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9" w:rsidRPr="007F00A7" w:rsidRDefault="00C22BD9" w:rsidP="00C22BD9">
      <w:pPr>
        <w:rPr>
          <w:rFonts w:ascii="Times New Roman" w:hAnsi="Times New Roman" w:cs="Times New Roman"/>
          <w:b/>
          <w:sz w:val="28"/>
          <w:szCs w:val="24"/>
        </w:rPr>
      </w:pPr>
      <w:r w:rsidRPr="007F00A7">
        <w:rPr>
          <w:rFonts w:ascii="Times New Roman" w:hAnsi="Times New Roman" w:cs="Times New Roman"/>
          <w:b/>
          <w:sz w:val="28"/>
          <w:szCs w:val="24"/>
        </w:rPr>
        <w:t>Supplementary data</w:t>
      </w:r>
    </w:p>
    <w:p w:rsidR="00C22BD9" w:rsidRPr="002726AF" w:rsidRDefault="00C22BD9" w:rsidP="00C22BD9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Appendix 1</w:t>
      </w:r>
      <w:r>
        <w:rPr>
          <w:rFonts w:ascii="Malgun Gothic" w:eastAsia="Malgun Gothic" w:hAnsi="Malgun Gothic" w:cs="Times New Roman" w:hint="eastAsia"/>
          <w:b/>
          <w:sz w:val="24"/>
        </w:rPr>
        <w:t>.</w:t>
      </w:r>
      <w:proofErr w:type="gramEnd"/>
      <w:r>
        <w:rPr>
          <w:rFonts w:ascii="Malgun Gothic" w:eastAsia="Malgun Gothic" w:hAnsi="Malgun Gothic" w:cs="Times New Roman" w:hint="eastAsia"/>
          <w:b/>
          <w:sz w:val="24"/>
        </w:rPr>
        <w:t xml:space="preserve"> </w:t>
      </w:r>
      <w:r w:rsidRPr="003E472C">
        <w:rPr>
          <w:rFonts w:ascii="Times New Roman" w:hAnsi="Times New Roman" w:cs="Times New Roman"/>
          <w:sz w:val="24"/>
        </w:rPr>
        <w:t>Logistic regression analyses for</w:t>
      </w:r>
      <w:r w:rsidRPr="003E472C">
        <w:rPr>
          <w:rFonts w:ascii="Times New Roman" w:hAnsi="Times New Roman" w:cs="Times New Roman" w:hint="eastAsia"/>
          <w:sz w:val="24"/>
        </w:rPr>
        <w:t xml:space="preserve"> </w:t>
      </w:r>
      <w:r w:rsidRPr="003E472C">
        <w:rPr>
          <w:rFonts w:ascii="Times New Roman" w:hAnsi="Times New Roman" w:cs="Times New Roman"/>
          <w:sz w:val="24"/>
        </w:rPr>
        <w:t xml:space="preserve">metabolic syndrome per </w:t>
      </w:r>
      <w:proofErr w:type="spellStart"/>
      <w:r w:rsidRPr="003E472C">
        <w:rPr>
          <w:rFonts w:ascii="Times New Roman" w:hAnsi="Times New Roman" w:cs="Times New Roman"/>
          <w:sz w:val="24"/>
        </w:rPr>
        <w:t>tertiles</w:t>
      </w:r>
      <w:proofErr w:type="spellEnd"/>
      <w:r w:rsidRPr="003E472C">
        <w:rPr>
          <w:rFonts w:ascii="Times New Roman" w:hAnsi="Times New Roman" w:cs="Times New Roman"/>
          <w:sz w:val="24"/>
        </w:rPr>
        <w:t xml:space="preserve"> of total and differential WBC counts</w:t>
      </w:r>
    </w:p>
    <w:tbl>
      <w:tblPr>
        <w:tblStyle w:val="TableGrid"/>
        <w:tblW w:w="489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468"/>
        <w:gridCol w:w="3083"/>
        <w:gridCol w:w="3085"/>
      </w:tblGrid>
      <w:tr w:rsidR="00C22BD9" w:rsidRPr="00C63F8B" w:rsidTr="00CD76EF"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Model 1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Model 2</w:t>
            </w:r>
          </w:p>
        </w:tc>
      </w:tr>
      <w:tr w:rsidR="00C22BD9" w:rsidRPr="00C63F8B" w:rsidTr="00CD76EF">
        <w:tc>
          <w:tcPr>
            <w:tcW w:w="923" w:type="pct"/>
            <w:tcBorders>
              <w:top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WBC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1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1.00</w:t>
            </w: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 xml:space="preserve">1.00 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2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1.04 (0.76-1.43)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1.09 (0.78-1.53)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3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1.19 (0.87-1.63)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1.24 (0.89-1.74)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Neutrophil</w:t>
            </w: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1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1.00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 xml:space="preserve">1.00 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2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0.97 (0.71-1.33)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1.00 (0.72-1.40)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3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1.04 (0.76-1.42)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1.04 (0.74-1.45)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 xml:space="preserve">Monocyte </w:t>
            </w: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1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1.00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 xml:space="preserve">1.00 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2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1.32 (0.96-1.81)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1.28 (0.93-1.76)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3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1.40 (1.02-1.92)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1.39 (1.01-1.91)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 xml:space="preserve">Lymphocyte </w:t>
            </w: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1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1.00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 xml:space="preserve">1.00 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2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0.81 (0.59-1.11)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0.89 (0.63-1.24)</w:t>
            </w:r>
          </w:p>
        </w:tc>
      </w:tr>
      <w:tr w:rsidR="00C22BD9" w:rsidRPr="00C63F8B" w:rsidTr="00CD76EF">
        <w:tc>
          <w:tcPr>
            <w:tcW w:w="923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pct"/>
          </w:tcPr>
          <w:p w:rsidR="00C22BD9" w:rsidRPr="00C63F8B" w:rsidRDefault="00C22BD9" w:rsidP="00CD76E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/>
                <w:sz w:val="22"/>
              </w:rPr>
              <w:t>3</w:t>
            </w:r>
            <w:r w:rsidRPr="00C63F8B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C63F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63F8B">
              <w:rPr>
                <w:rFonts w:ascii="Times New Roman" w:hAnsi="Times New Roman" w:cs="Times New Roman"/>
                <w:sz w:val="22"/>
              </w:rPr>
              <w:t>tertile</w:t>
            </w:r>
            <w:proofErr w:type="spellEnd"/>
          </w:p>
        </w:tc>
        <w:tc>
          <w:tcPr>
            <w:tcW w:w="1646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0.98 (0.72-1.34)</w:t>
            </w:r>
          </w:p>
        </w:tc>
        <w:tc>
          <w:tcPr>
            <w:tcW w:w="1647" w:type="pct"/>
          </w:tcPr>
          <w:p w:rsidR="00C22BD9" w:rsidRPr="00C63F8B" w:rsidRDefault="00C22BD9" w:rsidP="00CD76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3F8B">
              <w:rPr>
                <w:rFonts w:ascii="Times New Roman" w:hAnsi="Times New Roman" w:cs="Times New Roman" w:hint="eastAsia"/>
                <w:sz w:val="22"/>
              </w:rPr>
              <w:t>1.10 (0.78-1.55)</w:t>
            </w:r>
          </w:p>
        </w:tc>
      </w:tr>
    </w:tbl>
    <w:p w:rsidR="00C22BD9" w:rsidRPr="00910422" w:rsidRDefault="00C22BD9" w:rsidP="00C22B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Data are shown as hazard ratios (95% confidence intervals); Model 1, unadjusted; Model 2, adjusted for age, gender, and BMI</w:t>
      </w:r>
    </w:p>
    <w:p w:rsidR="009673F2" w:rsidRDefault="009673F2">
      <w:bookmarkStart w:id="0" w:name="_GoBack"/>
      <w:bookmarkEnd w:id="0"/>
    </w:p>
    <w:sectPr w:rsidR="0096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9"/>
    <w:rsid w:val="0052108F"/>
    <w:rsid w:val="00965988"/>
    <w:rsid w:val="009673F2"/>
    <w:rsid w:val="00C22BD9"/>
    <w:rsid w:val="00D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BD9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BD9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k.shakul Hameed</dc:creator>
  <cp:lastModifiedBy>k.shakul Hameed</cp:lastModifiedBy>
  <cp:revision>1</cp:revision>
  <dcterms:created xsi:type="dcterms:W3CDTF">2016-11-10T17:28:00Z</dcterms:created>
  <dcterms:modified xsi:type="dcterms:W3CDTF">2016-11-10T17:29:00Z</dcterms:modified>
</cp:coreProperties>
</file>