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7445" w14:textId="77777777" w:rsidR="00B96CED" w:rsidRPr="00B96CED" w:rsidRDefault="00B96CED" w:rsidP="00B96CED">
      <w:pPr>
        <w:spacing w:before="100" w:beforeAutospacing="1" w:after="100" w:afterAutospacing="1" w:line="360" w:lineRule="auto"/>
        <w:rPr>
          <w:bCs/>
          <w:sz w:val="36"/>
          <w:szCs w:val="36"/>
          <w:lang w:val="en-GB"/>
        </w:rPr>
      </w:pPr>
      <w:r w:rsidRPr="00B96CED">
        <w:rPr>
          <w:bCs/>
          <w:sz w:val="36"/>
          <w:szCs w:val="36"/>
          <w:lang w:val="en-GB"/>
        </w:rPr>
        <w:t xml:space="preserve">Provision of a Comprehensive Medicines Review is Associated with Lower Mortality Risk for Residents of Aged Care Facilities: </w:t>
      </w:r>
      <w:proofErr w:type="gramStart"/>
      <w:r w:rsidRPr="00B96CED">
        <w:rPr>
          <w:bCs/>
          <w:sz w:val="36"/>
          <w:szCs w:val="36"/>
          <w:lang w:val="en-GB"/>
        </w:rPr>
        <w:t>a</w:t>
      </w:r>
      <w:proofErr w:type="gramEnd"/>
      <w:r w:rsidRPr="00B96CED">
        <w:rPr>
          <w:bCs/>
          <w:sz w:val="36"/>
          <w:szCs w:val="36"/>
          <w:lang w:val="en-GB"/>
        </w:rPr>
        <w:t xml:space="preserve"> Retrospective Cohort Study</w:t>
      </w:r>
    </w:p>
    <w:p w14:paraId="612C49A5" w14:textId="3D964545" w:rsidR="00B96CED" w:rsidRPr="00B96CED" w:rsidRDefault="00B96CED" w:rsidP="00B96CED">
      <w:pPr>
        <w:spacing w:after="120" w:line="360" w:lineRule="auto"/>
        <w:rPr>
          <w:b/>
          <w:bCs/>
          <w:sz w:val="28"/>
          <w:szCs w:val="28"/>
        </w:rPr>
      </w:pPr>
      <w:r w:rsidRPr="00B96CED">
        <w:rPr>
          <w:b/>
          <w:bCs/>
          <w:sz w:val="28"/>
          <w:szCs w:val="28"/>
        </w:rPr>
        <w:t>SUPPLEMENTARY DATA</w:t>
      </w:r>
    </w:p>
    <w:p w14:paraId="58ABB2D3" w14:textId="55F989E7" w:rsidR="00F2460D" w:rsidRDefault="00003259" w:rsidP="00B96CED">
      <w:pPr>
        <w:spacing w:after="120" w:line="360" w:lineRule="auto"/>
        <w:contextualSpacing/>
        <w:rPr>
          <w:b/>
          <w:bCs/>
        </w:rPr>
      </w:pPr>
      <w:r w:rsidRPr="00D70005">
        <w:rPr>
          <w:b/>
          <w:bCs/>
        </w:rPr>
        <w:t>Appendix 1</w:t>
      </w:r>
      <w:r w:rsidR="00F2460D">
        <w:rPr>
          <w:b/>
          <w:bCs/>
        </w:rPr>
        <w:t xml:space="preserve">: </w:t>
      </w:r>
      <w:r>
        <w:rPr>
          <w:b/>
          <w:bCs/>
        </w:rPr>
        <w:t>methods section</w:t>
      </w:r>
    </w:p>
    <w:p w14:paraId="0C102B5B" w14:textId="77777777" w:rsidR="00003259" w:rsidRPr="00F355F0" w:rsidRDefault="00003259" w:rsidP="00B96CED">
      <w:pPr>
        <w:pStyle w:val="ListParagraph"/>
        <w:numPr>
          <w:ilvl w:val="0"/>
          <w:numId w:val="1"/>
        </w:numPr>
        <w:tabs>
          <w:tab w:val="left" w:pos="426"/>
        </w:tabs>
        <w:spacing w:after="120" w:line="360" w:lineRule="auto"/>
        <w:ind w:left="0" w:firstLine="0"/>
        <w:rPr>
          <w:b/>
          <w:bCs/>
        </w:rPr>
      </w:pPr>
      <w:r w:rsidRPr="00F355F0">
        <w:rPr>
          <w:b/>
          <w:bCs/>
        </w:rPr>
        <w:t>Exposure of interest</w:t>
      </w:r>
    </w:p>
    <w:p w14:paraId="635BE739" w14:textId="1490FFA4" w:rsidR="00003259" w:rsidRPr="00D70005" w:rsidRDefault="00003259" w:rsidP="00B96CED">
      <w:pPr>
        <w:spacing w:after="500" w:line="360" w:lineRule="auto"/>
        <w:contextualSpacing/>
      </w:pPr>
      <w:r w:rsidRPr="00F355F0">
        <w:t xml:space="preserve">The exposure of interest was the first </w:t>
      </w:r>
      <w:r>
        <w:t>general medical practitioner (</w:t>
      </w:r>
      <w:r w:rsidRPr="00F355F0">
        <w:t>GP</w:t>
      </w:r>
      <w:r>
        <w:t>) Medicare Benefits Schedule (</w:t>
      </w:r>
      <w:r w:rsidRPr="00F355F0">
        <w:t>MBS</w:t>
      </w:r>
      <w:r>
        <w:t>)</w:t>
      </w:r>
      <w:r w:rsidRPr="00F355F0">
        <w:t xml:space="preserve"> claim for a</w:t>
      </w:r>
      <w:r>
        <w:t xml:space="preserve"> residential medication management review (</w:t>
      </w:r>
      <w:r w:rsidRPr="00F355F0">
        <w:t>RMMR</w:t>
      </w:r>
      <w:r>
        <w:t>)</w:t>
      </w:r>
      <w:r w:rsidRPr="00F355F0">
        <w:t xml:space="preserve"> (MBS item code 903) within 6-12 months of </w:t>
      </w:r>
      <w:r>
        <w:t>residential aged care facility (</w:t>
      </w:r>
      <w:r w:rsidRPr="00F355F0">
        <w:t>RACF</w:t>
      </w:r>
      <w:r>
        <w:t>)</w:t>
      </w:r>
      <w:r w:rsidRPr="00F355F0">
        <w:t xml:space="preserve"> entry. In keeping with previous studies [</w:t>
      </w:r>
      <w:r w:rsidR="00F60294">
        <w:t>1</w:t>
      </w:r>
      <w:r w:rsidRPr="00F355F0">
        <w:t xml:space="preserve">, 2, </w:t>
      </w:r>
      <w:r w:rsidR="00F60294">
        <w:t>3</w:t>
      </w:r>
      <w:r w:rsidRPr="00F355F0">
        <w:t>], claims for Home Medicines Reviews (HMRs; MBS item code 900) post-RACF entry (~3.5% of all medicines review claims post-RACF entry) were also considered to represent RMMRs. HMRs are comprehensive medicines reviews that are conducted for community-dwelling individuals by accredited pharmacists in collaboration with the person’s GP. HMRs are also known as Domiciliary Medication Management Reviews (DMMRs). Hence, HMRs could be inadvertently claimed instead of an RMMR due to similarities in MBS item codes and names [</w:t>
      </w:r>
      <w:r w:rsidR="00F60294">
        <w:t>1</w:t>
      </w:r>
      <w:r w:rsidRPr="00F355F0">
        <w:t xml:space="preserve">, </w:t>
      </w:r>
      <w:r w:rsidR="00F60294">
        <w:t>2</w:t>
      </w:r>
      <w:r w:rsidRPr="00F355F0">
        <w:t xml:space="preserve">, </w:t>
      </w:r>
      <w:r w:rsidR="00F60294">
        <w:t>3</w:t>
      </w:r>
      <w:r w:rsidRPr="00F355F0">
        <w:t>].</w:t>
      </w:r>
    </w:p>
    <w:p w14:paraId="57C25324" w14:textId="77777777" w:rsidR="00003259" w:rsidRPr="00D70005" w:rsidRDefault="00003259" w:rsidP="00B96CED">
      <w:pPr>
        <w:pStyle w:val="ListParagraph"/>
        <w:numPr>
          <w:ilvl w:val="0"/>
          <w:numId w:val="1"/>
        </w:numPr>
        <w:tabs>
          <w:tab w:val="left" w:pos="426"/>
        </w:tabs>
        <w:spacing w:after="120" w:line="360" w:lineRule="auto"/>
        <w:ind w:left="0" w:firstLine="0"/>
        <w:rPr>
          <w:b/>
          <w:bCs/>
        </w:rPr>
      </w:pPr>
      <w:r w:rsidRPr="00D70005">
        <w:rPr>
          <w:b/>
          <w:bCs/>
        </w:rPr>
        <w:t>Description of index date assignment for unexposed individuals</w:t>
      </w:r>
    </w:p>
    <w:p w14:paraId="51502993" w14:textId="7B1219E7" w:rsidR="00B76AF1" w:rsidRDefault="00003259" w:rsidP="00B96CED">
      <w:pPr>
        <w:spacing w:after="400" w:line="360" w:lineRule="auto"/>
        <w:contextualSpacing/>
        <w:rPr>
          <w:b/>
          <w:bCs/>
        </w:rPr>
      </w:pPr>
      <w:r w:rsidRPr="00384CDE">
        <w:rPr>
          <w:rFonts w:cstheme="majorBidi"/>
          <w:lang w:val="en-GB"/>
        </w:rPr>
        <w:t>All exposed and unexposed persons were matched into one of 160 unique subgroups based on five criteria: age at RACF entry (categori</w:t>
      </w:r>
      <w:r>
        <w:rPr>
          <w:rFonts w:cstheme="majorBidi"/>
          <w:lang w:val="en-GB"/>
        </w:rPr>
        <w:t>s</w:t>
      </w:r>
      <w:r w:rsidRPr="00384CDE">
        <w:rPr>
          <w:rFonts w:cstheme="majorBidi"/>
          <w:lang w:val="en-GB"/>
        </w:rPr>
        <w:t>ed as 65-74, 75-84, 85-94, ≥95), sex, remoteness of residence (major city/other), number of unique prescriptions for PBS medicines dispensed in the year before RACF entry (1-5, 6-10, 11-15, 16-20, ≥21), and dementia diagnosis (yes/no). The median time from RACF entry to first RMMR was determined for exposed individuals in each of the subgroups and then used as the corresponding index date for unexposed individuals in the same subgroup. The subgroups were only used to assign index dates and individuals were not matched for further analyses.</w:t>
      </w:r>
    </w:p>
    <w:p w14:paraId="74C7388B" w14:textId="69432E32" w:rsidR="00003259" w:rsidRPr="00D70005" w:rsidRDefault="00003259" w:rsidP="00B96CED">
      <w:pPr>
        <w:pStyle w:val="ListParagraph"/>
        <w:numPr>
          <w:ilvl w:val="0"/>
          <w:numId w:val="1"/>
        </w:numPr>
        <w:tabs>
          <w:tab w:val="left" w:pos="426"/>
        </w:tabs>
        <w:spacing w:after="120" w:line="360" w:lineRule="auto"/>
        <w:ind w:left="0" w:firstLine="0"/>
        <w:rPr>
          <w:b/>
          <w:bCs/>
        </w:rPr>
      </w:pPr>
      <w:r w:rsidRPr="00D70005">
        <w:rPr>
          <w:b/>
          <w:bCs/>
        </w:rPr>
        <w:t>Detailed description of covariates</w:t>
      </w:r>
    </w:p>
    <w:p w14:paraId="152BEE82" w14:textId="7F0310B8" w:rsidR="00B76AF1" w:rsidRDefault="00003259" w:rsidP="00B96CED">
      <w:pPr>
        <w:spacing w:after="120" w:line="360" w:lineRule="auto"/>
        <w:contextualSpacing/>
      </w:pPr>
      <w:r>
        <w:t>Covariates for all models were: age and year of RACF entry, sex, main language spoken (English, other), country of birth (Australia, other), RACF location (South Australia, Victoria, New South Wales), remoteness of residence (major city, other [</w:t>
      </w:r>
      <w:r w:rsidR="00F60294">
        <w:t>4</w:t>
      </w:r>
      <w:r>
        <w:t xml:space="preserve">]), RACF provider (not-for-profit, for-profit, government-operated), and number of unique Pharmaceutical </w:t>
      </w:r>
      <w:r w:rsidR="00BE38F0">
        <w:t>Benefits</w:t>
      </w:r>
      <w:r>
        <w:t xml:space="preserve"> Scheme (PBS) prescriptions dispensed in the year before RACF entry. Comorbidity score was derived using the Australian </w:t>
      </w:r>
      <w:r>
        <w:lastRenderedPageBreak/>
        <w:t>adaptation of the 46-item Rx-Risk comorbidity measure [</w:t>
      </w:r>
      <w:r w:rsidR="00F60294">
        <w:t>5</w:t>
      </w:r>
      <w:r>
        <w:t>] applied to prescription claims in the six months before RACF entry. Dementia was determined from Rx-Risk, aged care eligibility or entry into care assessments [</w:t>
      </w:r>
      <w:r w:rsidR="00F60294">
        <w:t>1</w:t>
      </w:r>
      <w:r>
        <w:t>]. In the year before the index date, the number of standard GP visits and unplanned hospitalisations (categorised as per Table 1) were determined. Provision of a multidisciplinary care plan (MBS item 731) or a case conference (MBS items 735, 739, 743, 747, 750 or 758) was determined in the six months prior to the index date. Need for palliative or end of life care (yes/no), need for assistance with medicines administration (categories shown in Table 1</w:t>
      </w:r>
      <w:r w:rsidR="00F60294">
        <w:t xml:space="preserve"> of the main paper</w:t>
      </w:r>
      <w:r>
        <w:t>), and care needs with respect to activities of daily living, behavioural daily living, and complex care needs (each categorised as nil/low, medium, or high) were determined from entry into care assessments [</w:t>
      </w:r>
      <w:r w:rsidR="00F60294">
        <w:t>6</w:t>
      </w:r>
      <w:r>
        <w:t>]. For models where the outcome was a fall-related hospitalisation, covariates included: i) number of unique medicines associated with increased falls risk [</w:t>
      </w:r>
      <w:r w:rsidR="00F60294">
        <w:t>7</w:t>
      </w:r>
      <w:r>
        <w:t>] dispensed in the previous six months and ii) fall-related hospitalisations in the previous year.</w:t>
      </w:r>
    </w:p>
    <w:p w14:paraId="33A56A77" w14:textId="77777777" w:rsidR="00B96CED" w:rsidRPr="00B96CED" w:rsidRDefault="00B96CED" w:rsidP="00B96CED">
      <w:pPr>
        <w:spacing w:after="120" w:line="360" w:lineRule="auto"/>
        <w:contextualSpacing/>
      </w:pPr>
    </w:p>
    <w:p w14:paraId="554983EA" w14:textId="4A46B21D" w:rsidR="00003259" w:rsidRPr="00003259" w:rsidRDefault="00003259" w:rsidP="00B96CED">
      <w:pPr>
        <w:spacing w:line="360" w:lineRule="auto"/>
        <w:contextualSpacing/>
        <w:rPr>
          <w:b/>
          <w:bCs/>
        </w:rPr>
      </w:pPr>
      <w:r w:rsidRPr="00003259">
        <w:rPr>
          <w:b/>
          <w:bCs/>
        </w:rPr>
        <w:t>References</w:t>
      </w:r>
    </w:p>
    <w:p w14:paraId="556DA854" w14:textId="77777777" w:rsidR="009627A0" w:rsidRPr="00175FAA" w:rsidRDefault="009627A0" w:rsidP="00B96CED">
      <w:pPr>
        <w:pStyle w:val="EndNoteBibliography"/>
        <w:numPr>
          <w:ilvl w:val="0"/>
          <w:numId w:val="2"/>
        </w:numPr>
        <w:spacing w:after="0" w:line="360" w:lineRule="auto"/>
        <w:ind w:left="357" w:hanging="357"/>
        <w:contextualSpacing/>
      </w:pPr>
      <w:r w:rsidRPr="00175FAA">
        <w:t>Sluggett JK, Bell JS, Lang C, et al. Variation in provision of collaborative medication reviews on entry to long-term care facilities. J Am Med Dir Assoc 2021; 22: 148-55.e1.</w:t>
      </w:r>
    </w:p>
    <w:p w14:paraId="14834303" w14:textId="77777777" w:rsidR="009627A0" w:rsidRPr="00A3741C" w:rsidRDefault="009627A0" w:rsidP="00B96CED">
      <w:pPr>
        <w:pStyle w:val="EndNoteBibliography"/>
        <w:numPr>
          <w:ilvl w:val="0"/>
          <w:numId w:val="2"/>
        </w:numPr>
        <w:spacing w:after="0" w:line="360" w:lineRule="auto"/>
        <w:ind w:left="357" w:hanging="357"/>
        <w:contextualSpacing/>
      </w:pPr>
      <w:r w:rsidRPr="00DC6600">
        <w:t>Sluggett JK, Caughey GE, Air T, et al</w:t>
      </w:r>
      <w:r w:rsidRPr="00A3741C">
        <w:t>. Medicines use before and after comprehensive medicines review among residents of long-term care facilities: a retrospective cohort study. BMC Geriatr 2021; in press.</w:t>
      </w:r>
    </w:p>
    <w:p w14:paraId="43D15820" w14:textId="77777777" w:rsidR="00F60294" w:rsidRPr="00476EF2" w:rsidRDefault="00F60294" w:rsidP="00B96CED">
      <w:pPr>
        <w:pStyle w:val="EndNoteBibliography"/>
        <w:numPr>
          <w:ilvl w:val="0"/>
          <w:numId w:val="2"/>
        </w:numPr>
        <w:spacing w:after="0" w:line="360" w:lineRule="auto"/>
        <w:ind w:left="357" w:hanging="357"/>
        <w:contextualSpacing/>
      </w:pPr>
      <w:r w:rsidRPr="00A3741C">
        <w:t xml:space="preserve">Sluggett JK, Bell </w:t>
      </w:r>
      <w:r w:rsidRPr="00476EF2">
        <w:t>JS, Lang C, et al. Residential medication management reviews in Australian residential aged care facilities. Med J Aust 2021; 214: 432-3.</w:t>
      </w:r>
    </w:p>
    <w:p w14:paraId="532003B9" w14:textId="77777777" w:rsidR="00F60294" w:rsidRPr="00DC6600" w:rsidRDefault="00F60294" w:rsidP="00B96CED">
      <w:pPr>
        <w:pStyle w:val="EndNoteBibliography"/>
        <w:numPr>
          <w:ilvl w:val="0"/>
          <w:numId w:val="2"/>
        </w:numPr>
        <w:spacing w:after="0" w:line="360" w:lineRule="auto"/>
        <w:ind w:left="357" w:hanging="357"/>
        <w:contextualSpacing/>
      </w:pPr>
      <w:r w:rsidRPr="00DC6600">
        <w:t xml:space="preserve">Australian Bureau of Statistics. </w:t>
      </w:r>
      <w:r w:rsidRPr="00AC3D8D">
        <w:rPr>
          <w:i/>
          <w:iCs/>
        </w:rPr>
        <w:t>Australian Standard Geographical Classification (ASHC), July 2011</w:t>
      </w:r>
      <w:r w:rsidRPr="00DC6600">
        <w:t>. Canberra: Commonwealth of Australia; 2011.</w:t>
      </w:r>
    </w:p>
    <w:p w14:paraId="7B4372D2" w14:textId="2467989D" w:rsidR="00F60294" w:rsidRDefault="00F60294" w:rsidP="00B96CED">
      <w:pPr>
        <w:pStyle w:val="EndNoteBibliography"/>
        <w:numPr>
          <w:ilvl w:val="0"/>
          <w:numId w:val="2"/>
        </w:numPr>
        <w:spacing w:after="0" w:line="360" w:lineRule="auto"/>
        <w:ind w:left="357" w:hanging="357"/>
        <w:contextualSpacing/>
      </w:pPr>
      <w:r w:rsidRPr="00DC6600">
        <w:t xml:space="preserve">Pratt NL, Kerr M, Barratt JD, et al. The validity of the </w:t>
      </w:r>
      <w:r w:rsidRPr="00476EF2">
        <w:t>Rx-Risk Comorbidity Index using medicines mapped to the Anatomical Therapeutic Chemical (ATC) Classification System. BMJ Open 2018; 8: e021122.</w:t>
      </w:r>
    </w:p>
    <w:p w14:paraId="55DA7F0E" w14:textId="77777777" w:rsidR="00F60294" w:rsidRPr="00DC6600" w:rsidRDefault="00F60294" w:rsidP="00B96CED">
      <w:pPr>
        <w:pStyle w:val="EndNoteBibliography"/>
        <w:numPr>
          <w:ilvl w:val="0"/>
          <w:numId w:val="2"/>
        </w:numPr>
        <w:spacing w:after="0" w:line="360" w:lineRule="auto"/>
        <w:ind w:left="357" w:hanging="357"/>
        <w:contextualSpacing/>
      </w:pPr>
      <w:r w:rsidRPr="00DC6600">
        <w:t xml:space="preserve">Australian Government Department of Health and Ageing. </w:t>
      </w:r>
      <w:r w:rsidRPr="00DC6600">
        <w:rPr>
          <w:i/>
          <w:iCs/>
        </w:rPr>
        <w:t>Aged Care Funding Instrument (ACFI) User Guide</w:t>
      </w:r>
      <w:r w:rsidRPr="00DC6600">
        <w:t>. Canberra: Commonwealth of Australia; 2013.</w:t>
      </w:r>
    </w:p>
    <w:p w14:paraId="19F757E0" w14:textId="6F9AB8DF" w:rsidR="00003259" w:rsidRDefault="00F60294" w:rsidP="00B96CED">
      <w:pPr>
        <w:pStyle w:val="EndNoteBibliography"/>
        <w:numPr>
          <w:ilvl w:val="0"/>
          <w:numId w:val="2"/>
        </w:numPr>
        <w:spacing w:after="0" w:line="360" w:lineRule="auto"/>
        <w:ind w:left="357" w:hanging="357"/>
        <w:contextualSpacing/>
      </w:pPr>
      <w:r w:rsidRPr="00476EF2">
        <w:t>Milos V, Bondesson Å, Magnusson M, Jakobsson U, Westerlund T, Midlöv P. Fall risk-increasing drugs and falls: a cross-sectional study among elderly patients in primary care. BMC Geriatr 2014; 14: 40.</w:t>
      </w:r>
    </w:p>
    <w:p w14:paraId="4203AE8A" w14:textId="2DF825C1" w:rsidR="00B96CED" w:rsidRDefault="00B96CED">
      <w:r>
        <w:br w:type="page"/>
      </w:r>
    </w:p>
    <w:p w14:paraId="56E0B827" w14:textId="77777777" w:rsidR="00B96CED" w:rsidRDefault="00B96CED" w:rsidP="00B96CED">
      <w:pPr>
        <w:spacing w:line="480" w:lineRule="auto"/>
        <w:rPr>
          <w:rFonts w:ascii="Calibri" w:hAnsi="Calibri" w:cs="Calibri"/>
          <w:b/>
          <w:bCs/>
          <w:noProof/>
          <w:lang w:val="en-US"/>
        </w:rPr>
        <w:sectPr w:rsidR="00B96CED" w:rsidSect="00D70005">
          <w:pgSz w:w="11906" w:h="16838"/>
          <w:pgMar w:top="1440" w:right="1440" w:bottom="709" w:left="1440" w:header="708" w:footer="708" w:gutter="0"/>
          <w:cols w:space="708"/>
          <w:docGrid w:linePitch="360"/>
        </w:sectPr>
      </w:pPr>
    </w:p>
    <w:p w14:paraId="10A598A1" w14:textId="4FF5ACB3" w:rsidR="00B96CED" w:rsidRDefault="00B96CED" w:rsidP="00B96CED">
      <w:pPr>
        <w:spacing w:line="480" w:lineRule="auto"/>
        <w:rPr>
          <w:rFonts w:ascii="Calibri" w:hAnsi="Calibri" w:cs="Calibri"/>
          <w:noProof/>
          <w:lang w:val="en-US"/>
        </w:rPr>
      </w:pPr>
      <w:r>
        <w:rPr>
          <w:rFonts w:ascii="Calibri" w:hAnsi="Calibri" w:cs="Calibri"/>
          <w:b/>
          <w:bCs/>
          <w:noProof/>
          <w:lang w:val="en-US"/>
        </w:rPr>
        <w:lastRenderedPageBreak/>
        <w:t>Appendix 2:</w:t>
      </w:r>
      <w:r>
        <w:rPr>
          <w:rFonts w:ascii="Calibri" w:hAnsi="Calibri" w:cs="Calibri"/>
          <w:b/>
          <w:bCs/>
          <w:noProof/>
          <w:lang w:val="en-US"/>
        </w:rPr>
        <w:t xml:space="preserve"> </w:t>
      </w:r>
      <w:r>
        <w:rPr>
          <w:rFonts w:ascii="Calibri" w:hAnsi="Calibri" w:cs="Calibri"/>
          <w:noProof/>
          <w:lang w:val="en-US"/>
        </w:rPr>
        <w:t>Percentage of individuals experiencing the outcomes of interest and competing risk of death (where applicable) at 12-month follow-up</w:t>
      </w:r>
    </w:p>
    <w:tbl>
      <w:tblPr>
        <w:tblStyle w:val="TableGrid"/>
        <w:tblW w:w="0" w:type="auto"/>
        <w:tblLook w:val="04A0" w:firstRow="1" w:lastRow="0" w:firstColumn="1" w:lastColumn="0" w:noHBand="0" w:noVBand="1"/>
      </w:tblPr>
      <w:tblGrid>
        <w:gridCol w:w="3005"/>
        <w:gridCol w:w="2519"/>
        <w:gridCol w:w="2555"/>
        <w:gridCol w:w="2688"/>
        <w:gridCol w:w="2552"/>
      </w:tblGrid>
      <w:tr w:rsidR="00B96CED" w14:paraId="5971E27C" w14:textId="77777777" w:rsidTr="00EC5673">
        <w:tc>
          <w:tcPr>
            <w:tcW w:w="3005" w:type="dxa"/>
            <w:vMerge w:val="restart"/>
          </w:tcPr>
          <w:p w14:paraId="3BDD1302" w14:textId="77777777" w:rsidR="00B96CED" w:rsidRPr="007907F5" w:rsidRDefault="00B96CED" w:rsidP="00EC5673">
            <w:pPr>
              <w:spacing w:line="480" w:lineRule="auto"/>
              <w:rPr>
                <w:rFonts w:ascii="Calibri" w:hAnsi="Calibri" w:cs="Calibri"/>
                <w:b/>
                <w:bCs/>
                <w:noProof/>
                <w:lang w:val="en-US"/>
              </w:rPr>
            </w:pPr>
            <w:r w:rsidRPr="007907F5">
              <w:rPr>
                <w:rFonts w:ascii="Calibri" w:hAnsi="Calibri" w:cs="Calibri"/>
                <w:b/>
                <w:bCs/>
                <w:noProof/>
                <w:lang w:val="en-US"/>
              </w:rPr>
              <w:t>Main outcome of interest</w:t>
            </w:r>
          </w:p>
        </w:tc>
        <w:tc>
          <w:tcPr>
            <w:tcW w:w="5074" w:type="dxa"/>
            <w:gridSpan w:val="2"/>
          </w:tcPr>
          <w:p w14:paraId="2B2F083F" w14:textId="77777777" w:rsidR="00B96CED" w:rsidRPr="007907F5" w:rsidRDefault="00B96CED" w:rsidP="00EC5673">
            <w:pPr>
              <w:spacing w:line="480" w:lineRule="auto"/>
              <w:jc w:val="center"/>
              <w:rPr>
                <w:rFonts w:ascii="Calibri" w:hAnsi="Calibri" w:cs="Calibri"/>
                <w:b/>
                <w:bCs/>
                <w:noProof/>
                <w:lang w:val="en-US"/>
              </w:rPr>
            </w:pPr>
            <w:r w:rsidRPr="007907F5">
              <w:rPr>
                <w:rFonts w:ascii="Calibri" w:hAnsi="Calibri" w:cs="Calibri"/>
                <w:b/>
                <w:bCs/>
                <w:noProof/>
                <w:lang w:val="en-US"/>
              </w:rPr>
              <w:t>Percentage of individuals experiencing the main outcome of interest at 12-month follow-up (95% CI)</w:t>
            </w:r>
          </w:p>
        </w:tc>
        <w:tc>
          <w:tcPr>
            <w:tcW w:w="5240" w:type="dxa"/>
            <w:gridSpan w:val="2"/>
          </w:tcPr>
          <w:p w14:paraId="465C2E88" w14:textId="77777777" w:rsidR="00B96CED" w:rsidRPr="007907F5" w:rsidRDefault="00B96CED" w:rsidP="00EC5673">
            <w:pPr>
              <w:spacing w:line="480" w:lineRule="auto"/>
              <w:jc w:val="center"/>
              <w:rPr>
                <w:rFonts w:ascii="Calibri" w:hAnsi="Calibri" w:cs="Calibri"/>
                <w:b/>
                <w:bCs/>
                <w:noProof/>
                <w:lang w:val="en-US"/>
              </w:rPr>
            </w:pPr>
            <w:r>
              <w:rPr>
                <w:rFonts w:ascii="Calibri" w:hAnsi="Calibri" w:cs="Calibri"/>
                <w:b/>
                <w:bCs/>
                <w:noProof/>
                <w:lang w:val="en-US"/>
              </w:rPr>
              <w:t xml:space="preserve">Percentage of individuals experiencing </w:t>
            </w:r>
            <w:r w:rsidRPr="007907F5">
              <w:rPr>
                <w:rFonts w:ascii="Calibri" w:hAnsi="Calibri" w:cs="Calibri"/>
                <w:b/>
                <w:bCs/>
                <w:noProof/>
                <w:lang w:val="en-US"/>
              </w:rPr>
              <w:t>the competing risk of death at 12-month follow-up (95% CI)</w:t>
            </w:r>
          </w:p>
        </w:tc>
      </w:tr>
      <w:tr w:rsidR="00B96CED" w14:paraId="6DF0F740" w14:textId="77777777" w:rsidTr="00EC5673">
        <w:tc>
          <w:tcPr>
            <w:tcW w:w="3005" w:type="dxa"/>
            <w:vMerge/>
          </w:tcPr>
          <w:p w14:paraId="010A890A" w14:textId="77777777" w:rsidR="00B96CED" w:rsidRPr="007907F5" w:rsidRDefault="00B96CED" w:rsidP="00EC5673">
            <w:pPr>
              <w:spacing w:line="480" w:lineRule="auto"/>
              <w:rPr>
                <w:rFonts w:ascii="Calibri" w:hAnsi="Calibri" w:cs="Calibri"/>
                <w:b/>
                <w:bCs/>
                <w:noProof/>
                <w:lang w:val="en-US"/>
              </w:rPr>
            </w:pPr>
          </w:p>
        </w:tc>
        <w:tc>
          <w:tcPr>
            <w:tcW w:w="2519" w:type="dxa"/>
          </w:tcPr>
          <w:p w14:paraId="0C37FDE2" w14:textId="77777777" w:rsidR="00B96CED" w:rsidRPr="007907F5" w:rsidRDefault="00B96CED" w:rsidP="00EC5673">
            <w:pPr>
              <w:spacing w:line="480" w:lineRule="auto"/>
              <w:jc w:val="center"/>
              <w:rPr>
                <w:rFonts w:ascii="Calibri" w:hAnsi="Calibri" w:cs="Calibri"/>
                <w:b/>
                <w:bCs/>
                <w:noProof/>
                <w:lang w:val="en-US"/>
              </w:rPr>
            </w:pPr>
            <w:r>
              <w:rPr>
                <w:rFonts w:ascii="Calibri" w:hAnsi="Calibri" w:cs="Calibri"/>
                <w:b/>
                <w:bCs/>
                <w:noProof/>
                <w:lang w:val="en-US"/>
              </w:rPr>
              <w:t>Received RMMR</w:t>
            </w:r>
          </w:p>
        </w:tc>
        <w:tc>
          <w:tcPr>
            <w:tcW w:w="2555" w:type="dxa"/>
          </w:tcPr>
          <w:p w14:paraId="5B1371E3" w14:textId="77777777" w:rsidR="00B96CED" w:rsidRPr="007907F5" w:rsidRDefault="00B96CED" w:rsidP="00EC5673">
            <w:pPr>
              <w:spacing w:line="480" w:lineRule="auto"/>
              <w:jc w:val="center"/>
              <w:rPr>
                <w:rFonts w:ascii="Calibri" w:hAnsi="Calibri" w:cs="Calibri"/>
                <w:b/>
                <w:bCs/>
                <w:noProof/>
                <w:lang w:val="en-US"/>
              </w:rPr>
            </w:pPr>
            <w:r>
              <w:rPr>
                <w:rFonts w:ascii="Calibri" w:hAnsi="Calibri" w:cs="Calibri"/>
                <w:b/>
                <w:bCs/>
                <w:noProof/>
                <w:lang w:val="en-US"/>
              </w:rPr>
              <w:t>Unexposed (no RMMR)</w:t>
            </w:r>
          </w:p>
        </w:tc>
        <w:tc>
          <w:tcPr>
            <w:tcW w:w="2688" w:type="dxa"/>
          </w:tcPr>
          <w:p w14:paraId="1404EBF2" w14:textId="77777777" w:rsidR="00B96CED" w:rsidRDefault="00B96CED" w:rsidP="00EC5673">
            <w:pPr>
              <w:spacing w:line="480" w:lineRule="auto"/>
              <w:jc w:val="center"/>
              <w:rPr>
                <w:rFonts w:ascii="Calibri" w:hAnsi="Calibri" w:cs="Calibri"/>
                <w:b/>
                <w:bCs/>
                <w:noProof/>
                <w:lang w:val="en-US"/>
              </w:rPr>
            </w:pPr>
            <w:r>
              <w:rPr>
                <w:rFonts w:ascii="Calibri" w:hAnsi="Calibri" w:cs="Calibri"/>
                <w:b/>
                <w:bCs/>
                <w:noProof/>
                <w:lang w:val="en-US"/>
              </w:rPr>
              <w:t>Received RMMR</w:t>
            </w:r>
          </w:p>
        </w:tc>
        <w:tc>
          <w:tcPr>
            <w:tcW w:w="2552" w:type="dxa"/>
          </w:tcPr>
          <w:p w14:paraId="1BDC4FE0" w14:textId="77777777" w:rsidR="00B96CED" w:rsidRDefault="00B96CED" w:rsidP="00EC5673">
            <w:pPr>
              <w:spacing w:line="480" w:lineRule="auto"/>
              <w:jc w:val="center"/>
              <w:rPr>
                <w:rFonts w:ascii="Calibri" w:hAnsi="Calibri" w:cs="Calibri"/>
                <w:b/>
                <w:bCs/>
                <w:noProof/>
                <w:lang w:val="en-US"/>
              </w:rPr>
            </w:pPr>
            <w:r>
              <w:rPr>
                <w:rFonts w:ascii="Calibri" w:hAnsi="Calibri" w:cs="Calibri"/>
                <w:b/>
                <w:bCs/>
                <w:noProof/>
                <w:lang w:val="en-US"/>
              </w:rPr>
              <w:t>Unexposed (no RMMR)</w:t>
            </w:r>
          </w:p>
        </w:tc>
      </w:tr>
      <w:tr w:rsidR="00B96CED" w14:paraId="4A75CA10" w14:textId="77777777" w:rsidTr="00EC5673">
        <w:tc>
          <w:tcPr>
            <w:tcW w:w="13319" w:type="dxa"/>
            <w:gridSpan w:val="5"/>
          </w:tcPr>
          <w:p w14:paraId="504A38E7" w14:textId="77777777" w:rsidR="00B96CED" w:rsidRPr="00DE0A82" w:rsidRDefault="00B96CED" w:rsidP="00EC5673">
            <w:pPr>
              <w:spacing w:line="480" w:lineRule="auto"/>
              <w:rPr>
                <w:rFonts w:ascii="Calibri" w:hAnsi="Calibri" w:cs="Calibri"/>
                <w:b/>
                <w:i/>
                <w:iCs/>
                <w:noProof/>
                <w:lang w:val="en-US"/>
              </w:rPr>
            </w:pPr>
            <w:r w:rsidRPr="00DE0A82">
              <w:rPr>
                <w:b/>
                <w:i/>
                <w:iCs/>
                <w:lang w:val="en-US"/>
              </w:rPr>
              <w:t>Main analysis</w:t>
            </w:r>
          </w:p>
        </w:tc>
      </w:tr>
      <w:tr w:rsidR="00B96CED" w14:paraId="27C2E674" w14:textId="77777777" w:rsidTr="00EC5673">
        <w:tc>
          <w:tcPr>
            <w:tcW w:w="3005" w:type="dxa"/>
          </w:tcPr>
          <w:p w14:paraId="23D5A0FB" w14:textId="77777777" w:rsidR="00B96CED" w:rsidRDefault="00B96CED" w:rsidP="00EC5673">
            <w:pPr>
              <w:spacing w:line="480" w:lineRule="auto"/>
              <w:rPr>
                <w:rFonts w:ascii="Calibri" w:hAnsi="Calibri" w:cs="Calibri"/>
                <w:noProof/>
                <w:lang w:val="en-US"/>
              </w:rPr>
            </w:pPr>
            <w:r>
              <w:rPr>
                <w:bCs/>
                <w:lang w:val="en-US"/>
              </w:rPr>
              <w:t xml:space="preserve">ED presentation or unplanned </w:t>
            </w:r>
            <w:proofErr w:type="spellStart"/>
            <w:r>
              <w:rPr>
                <w:bCs/>
                <w:lang w:val="en-US"/>
              </w:rPr>
              <w:t>hospitalisation</w:t>
            </w:r>
            <w:proofErr w:type="spellEnd"/>
          </w:p>
        </w:tc>
        <w:tc>
          <w:tcPr>
            <w:tcW w:w="2519" w:type="dxa"/>
          </w:tcPr>
          <w:p w14:paraId="558D7681" w14:textId="77777777" w:rsidR="00B96CED" w:rsidRPr="00667BB8" w:rsidRDefault="00B96CED" w:rsidP="00EC5673">
            <w:pPr>
              <w:spacing w:line="480" w:lineRule="auto"/>
              <w:jc w:val="center"/>
              <w:rPr>
                <w:rFonts w:ascii="Calibri" w:hAnsi="Calibri" w:cs="Calibri"/>
                <w:noProof/>
                <w:lang w:val="en-US"/>
              </w:rPr>
            </w:pPr>
            <w:r w:rsidRPr="00667BB8">
              <w:rPr>
                <w:rFonts w:ascii="Calibri" w:hAnsi="Calibri" w:cs="Calibri"/>
                <w:noProof/>
                <w:lang w:val="en-US"/>
              </w:rPr>
              <w:t>42.5 (41.6-43.4)</w:t>
            </w:r>
          </w:p>
        </w:tc>
        <w:tc>
          <w:tcPr>
            <w:tcW w:w="2555" w:type="dxa"/>
          </w:tcPr>
          <w:p w14:paraId="2F080AFB" w14:textId="77777777" w:rsidR="00B96CED" w:rsidRPr="00667BB8" w:rsidRDefault="00B96CED" w:rsidP="00EC5673">
            <w:pPr>
              <w:spacing w:line="480" w:lineRule="auto"/>
              <w:jc w:val="center"/>
              <w:rPr>
                <w:rFonts w:ascii="Calibri" w:hAnsi="Calibri" w:cs="Calibri"/>
                <w:noProof/>
                <w:lang w:val="en-US"/>
              </w:rPr>
            </w:pPr>
            <w:r w:rsidRPr="00667BB8">
              <w:rPr>
                <w:rFonts w:ascii="Calibri" w:hAnsi="Calibri" w:cs="Calibri"/>
                <w:noProof/>
                <w:lang w:val="en-US"/>
              </w:rPr>
              <w:t>43.1 (42.6-43.6)</w:t>
            </w:r>
          </w:p>
        </w:tc>
        <w:tc>
          <w:tcPr>
            <w:tcW w:w="2688" w:type="dxa"/>
          </w:tcPr>
          <w:p w14:paraId="629A0A09"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11.5 (10.9-12.1)</w:t>
            </w:r>
          </w:p>
        </w:tc>
        <w:tc>
          <w:tcPr>
            <w:tcW w:w="2552" w:type="dxa"/>
          </w:tcPr>
          <w:p w14:paraId="4A7FE6B7"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12.7 (12.4-13.0)</w:t>
            </w:r>
          </w:p>
        </w:tc>
      </w:tr>
      <w:tr w:rsidR="00B96CED" w14:paraId="5DE059D5" w14:textId="77777777" w:rsidTr="00EC5673">
        <w:tc>
          <w:tcPr>
            <w:tcW w:w="3005" w:type="dxa"/>
          </w:tcPr>
          <w:p w14:paraId="7B0FC029" w14:textId="77777777" w:rsidR="00B96CED" w:rsidRDefault="00B96CED" w:rsidP="00EC5673">
            <w:pPr>
              <w:spacing w:line="480" w:lineRule="auto"/>
              <w:rPr>
                <w:rFonts w:ascii="Calibri" w:hAnsi="Calibri" w:cs="Calibri"/>
                <w:noProof/>
                <w:lang w:val="en-US"/>
              </w:rPr>
            </w:pPr>
            <w:r>
              <w:rPr>
                <w:bCs/>
                <w:lang w:val="en-US"/>
              </w:rPr>
              <w:t xml:space="preserve">Fall-related ED presentation or </w:t>
            </w:r>
            <w:proofErr w:type="spellStart"/>
            <w:r>
              <w:rPr>
                <w:bCs/>
                <w:lang w:val="en-US"/>
              </w:rPr>
              <w:t>hospitalisation</w:t>
            </w:r>
            <w:proofErr w:type="spellEnd"/>
          </w:p>
        </w:tc>
        <w:tc>
          <w:tcPr>
            <w:tcW w:w="2519" w:type="dxa"/>
          </w:tcPr>
          <w:p w14:paraId="264BE4CD" w14:textId="77777777" w:rsidR="00B96CED" w:rsidRPr="00667BB8" w:rsidRDefault="00B96CED" w:rsidP="00EC5673">
            <w:pPr>
              <w:spacing w:line="480" w:lineRule="auto"/>
              <w:jc w:val="center"/>
              <w:rPr>
                <w:rFonts w:ascii="Calibri" w:hAnsi="Calibri" w:cs="Calibri"/>
                <w:noProof/>
                <w:lang w:val="en-US"/>
              </w:rPr>
            </w:pPr>
            <w:r w:rsidRPr="00667BB8">
              <w:rPr>
                <w:rFonts w:ascii="Calibri" w:hAnsi="Calibri" w:cs="Calibri"/>
                <w:noProof/>
                <w:lang w:val="en-US"/>
              </w:rPr>
              <w:t>14.3 (13.7-15.0)</w:t>
            </w:r>
          </w:p>
        </w:tc>
        <w:tc>
          <w:tcPr>
            <w:tcW w:w="2555" w:type="dxa"/>
          </w:tcPr>
          <w:p w14:paraId="48954259" w14:textId="77777777" w:rsidR="00B96CED" w:rsidRPr="00667BB8" w:rsidRDefault="00B96CED" w:rsidP="00EC5673">
            <w:pPr>
              <w:spacing w:line="480" w:lineRule="auto"/>
              <w:jc w:val="center"/>
              <w:rPr>
                <w:rFonts w:ascii="Calibri" w:hAnsi="Calibri" w:cs="Calibri"/>
                <w:noProof/>
                <w:lang w:val="en-US"/>
              </w:rPr>
            </w:pPr>
            <w:r w:rsidRPr="00667BB8">
              <w:rPr>
                <w:rFonts w:ascii="Calibri" w:hAnsi="Calibri" w:cs="Calibri"/>
                <w:noProof/>
                <w:lang w:val="en-US"/>
              </w:rPr>
              <w:t>13.9 (13.6-14.2)</w:t>
            </w:r>
          </w:p>
        </w:tc>
        <w:tc>
          <w:tcPr>
            <w:tcW w:w="2688" w:type="dxa"/>
          </w:tcPr>
          <w:p w14:paraId="211F1AD0"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20.9 (20.2-21.7)</w:t>
            </w:r>
          </w:p>
        </w:tc>
        <w:tc>
          <w:tcPr>
            <w:tcW w:w="2552" w:type="dxa"/>
          </w:tcPr>
          <w:p w14:paraId="4154662B"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23.4 (22.9-23.8)</w:t>
            </w:r>
          </w:p>
        </w:tc>
      </w:tr>
      <w:tr w:rsidR="00B96CED" w14:paraId="479261FA" w14:textId="77777777" w:rsidTr="00EC5673">
        <w:tc>
          <w:tcPr>
            <w:tcW w:w="3005" w:type="dxa"/>
          </w:tcPr>
          <w:p w14:paraId="02E334E5" w14:textId="77777777" w:rsidR="00B96CED" w:rsidRDefault="00B96CED" w:rsidP="00EC5673">
            <w:pPr>
              <w:spacing w:line="480" w:lineRule="auto"/>
              <w:rPr>
                <w:rFonts w:ascii="Calibri" w:hAnsi="Calibri" w:cs="Calibri"/>
                <w:noProof/>
                <w:lang w:val="en-US"/>
              </w:rPr>
            </w:pPr>
            <w:r>
              <w:rPr>
                <w:bCs/>
                <w:lang w:val="en-US"/>
              </w:rPr>
              <w:t>Death (all-cause)</w:t>
            </w:r>
          </w:p>
        </w:tc>
        <w:tc>
          <w:tcPr>
            <w:tcW w:w="2519" w:type="dxa"/>
          </w:tcPr>
          <w:p w14:paraId="6170F9F9" w14:textId="77777777" w:rsidR="00B96CED" w:rsidRPr="00667BB8" w:rsidRDefault="00B96CED" w:rsidP="00EC5673">
            <w:pPr>
              <w:spacing w:line="480" w:lineRule="auto"/>
              <w:jc w:val="center"/>
              <w:rPr>
                <w:rFonts w:ascii="Calibri" w:hAnsi="Calibri" w:cs="Calibri"/>
                <w:noProof/>
                <w:lang w:val="en-US"/>
              </w:rPr>
            </w:pPr>
            <w:r w:rsidRPr="00667BB8">
              <w:rPr>
                <w:rFonts w:ascii="Calibri" w:hAnsi="Calibri" w:cs="Calibri"/>
                <w:noProof/>
                <w:lang w:val="en-US"/>
              </w:rPr>
              <w:t>22.2 (21.4-22.9)</w:t>
            </w:r>
          </w:p>
        </w:tc>
        <w:tc>
          <w:tcPr>
            <w:tcW w:w="2555" w:type="dxa"/>
          </w:tcPr>
          <w:p w14:paraId="4632BBEC" w14:textId="77777777" w:rsidR="00B96CED" w:rsidRPr="00667BB8" w:rsidRDefault="00B96CED" w:rsidP="00EC5673">
            <w:pPr>
              <w:spacing w:line="480" w:lineRule="auto"/>
              <w:jc w:val="center"/>
              <w:rPr>
                <w:rFonts w:ascii="Calibri" w:hAnsi="Calibri" w:cs="Calibri"/>
                <w:noProof/>
                <w:lang w:val="en-US"/>
              </w:rPr>
            </w:pPr>
            <w:r w:rsidRPr="00667BB8">
              <w:rPr>
                <w:rFonts w:ascii="Calibri" w:hAnsi="Calibri" w:cs="Calibri"/>
                <w:noProof/>
                <w:lang w:val="en-US"/>
              </w:rPr>
              <w:t>23.3 (22.9-23.7)</w:t>
            </w:r>
          </w:p>
        </w:tc>
        <w:tc>
          <w:tcPr>
            <w:tcW w:w="2688" w:type="dxa"/>
            <w:shd w:val="clear" w:color="auto" w:fill="BFBFBF" w:themeFill="background1" w:themeFillShade="BF"/>
          </w:tcPr>
          <w:p w14:paraId="23601DE2" w14:textId="77777777" w:rsidR="00B96CED" w:rsidRPr="00B743A7" w:rsidRDefault="00B96CED" w:rsidP="00EC5673">
            <w:pPr>
              <w:spacing w:line="480" w:lineRule="auto"/>
              <w:jc w:val="center"/>
              <w:rPr>
                <w:rFonts w:ascii="Calibri" w:hAnsi="Calibri" w:cs="Calibri"/>
                <w:noProof/>
                <w:lang w:val="en-US"/>
              </w:rPr>
            </w:pPr>
          </w:p>
        </w:tc>
        <w:tc>
          <w:tcPr>
            <w:tcW w:w="2552" w:type="dxa"/>
            <w:shd w:val="clear" w:color="auto" w:fill="BFBFBF" w:themeFill="background1" w:themeFillShade="BF"/>
          </w:tcPr>
          <w:p w14:paraId="39673614" w14:textId="77777777" w:rsidR="00B96CED" w:rsidRPr="00B743A7" w:rsidRDefault="00B96CED" w:rsidP="00EC5673">
            <w:pPr>
              <w:spacing w:line="480" w:lineRule="auto"/>
              <w:jc w:val="center"/>
              <w:rPr>
                <w:rFonts w:ascii="Calibri" w:hAnsi="Calibri" w:cs="Calibri"/>
                <w:noProof/>
                <w:lang w:val="en-US"/>
              </w:rPr>
            </w:pPr>
          </w:p>
        </w:tc>
      </w:tr>
      <w:tr w:rsidR="00B96CED" w14:paraId="14575AE9" w14:textId="77777777" w:rsidTr="00EC5673">
        <w:tc>
          <w:tcPr>
            <w:tcW w:w="13319" w:type="dxa"/>
            <w:gridSpan w:val="5"/>
            <w:shd w:val="clear" w:color="auto" w:fill="auto"/>
          </w:tcPr>
          <w:p w14:paraId="55C57CF3" w14:textId="77777777" w:rsidR="00B96CED" w:rsidRPr="00B743A7" w:rsidRDefault="00B96CED" w:rsidP="00EC5673">
            <w:pPr>
              <w:spacing w:line="480" w:lineRule="auto"/>
              <w:rPr>
                <w:rFonts w:ascii="Calibri" w:hAnsi="Calibri" w:cs="Calibri"/>
                <w:noProof/>
                <w:lang w:val="en-US"/>
              </w:rPr>
            </w:pPr>
            <w:r w:rsidRPr="000A4246">
              <w:rPr>
                <w:rFonts w:ascii="Calibri" w:hAnsi="Calibri" w:cs="Calibri"/>
                <w:b/>
                <w:bCs/>
                <w:i/>
                <w:iCs/>
                <w:noProof/>
                <w:lang w:val="en-US"/>
              </w:rPr>
              <w:t>Sensitivity analysis: cohort restricted to individuals experiencing polypharmacy</w:t>
            </w:r>
            <w:r>
              <w:rPr>
                <w:rFonts w:ascii="Calibri" w:hAnsi="Calibri" w:cs="Calibri"/>
                <w:b/>
                <w:bCs/>
                <w:i/>
                <w:iCs/>
                <w:noProof/>
                <w:lang w:val="en-US"/>
              </w:rPr>
              <w:t xml:space="preserve"> </w:t>
            </w:r>
            <w:r w:rsidRPr="006174EE">
              <w:rPr>
                <w:rFonts w:ascii="Calibri" w:hAnsi="Calibri" w:cs="Calibri"/>
                <w:b/>
                <w:bCs/>
                <w:i/>
                <w:iCs/>
                <w:noProof/>
                <w:lang w:val="en-US"/>
              </w:rPr>
              <w:t>(i.e., dispensed nine or more unique prescriptions)</w:t>
            </w:r>
            <w:r>
              <w:rPr>
                <w:rFonts w:ascii="Calibri" w:hAnsi="Calibri" w:cs="Calibri"/>
                <w:b/>
                <w:bCs/>
                <w:i/>
                <w:iCs/>
                <w:noProof/>
                <w:lang w:val="en-US"/>
              </w:rPr>
              <w:t xml:space="preserve"> (n=26936)</w:t>
            </w:r>
          </w:p>
        </w:tc>
      </w:tr>
      <w:tr w:rsidR="00B96CED" w14:paraId="6000A1B1" w14:textId="77777777" w:rsidTr="00EC5673">
        <w:tc>
          <w:tcPr>
            <w:tcW w:w="3005" w:type="dxa"/>
          </w:tcPr>
          <w:p w14:paraId="76474DF2" w14:textId="77777777" w:rsidR="00B96CED" w:rsidRDefault="00B96CED" w:rsidP="00EC5673">
            <w:pPr>
              <w:spacing w:line="480" w:lineRule="auto"/>
              <w:rPr>
                <w:bCs/>
                <w:lang w:val="en-US"/>
              </w:rPr>
            </w:pPr>
            <w:r w:rsidRPr="009872F8">
              <w:rPr>
                <w:bCs/>
                <w:lang w:val="en-US"/>
              </w:rPr>
              <w:t xml:space="preserve">ED presentation or unplanned </w:t>
            </w:r>
            <w:proofErr w:type="spellStart"/>
            <w:r w:rsidRPr="009872F8">
              <w:rPr>
                <w:bCs/>
                <w:lang w:val="en-US"/>
              </w:rPr>
              <w:t>hospitali</w:t>
            </w:r>
            <w:r>
              <w:rPr>
                <w:bCs/>
                <w:lang w:val="en-US"/>
              </w:rPr>
              <w:t>s</w:t>
            </w:r>
            <w:r w:rsidRPr="009872F8">
              <w:rPr>
                <w:bCs/>
                <w:lang w:val="en-US"/>
              </w:rPr>
              <w:t>ation</w:t>
            </w:r>
            <w:proofErr w:type="spellEnd"/>
          </w:p>
        </w:tc>
        <w:tc>
          <w:tcPr>
            <w:tcW w:w="2519" w:type="dxa"/>
            <w:vAlign w:val="center"/>
          </w:tcPr>
          <w:p w14:paraId="28862AB0" w14:textId="77777777" w:rsidR="00B96CED" w:rsidRPr="00667BB8" w:rsidRDefault="00B96CED" w:rsidP="00EC5673">
            <w:pPr>
              <w:spacing w:line="480" w:lineRule="auto"/>
              <w:jc w:val="center"/>
              <w:rPr>
                <w:rFonts w:ascii="Calibri" w:hAnsi="Calibri" w:cs="Calibri"/>
                <w:noProof/>
                <w:lang w:val="en-US"/>
              </w:rPr>
            </w:pPr>
            <w:r>
              <w:rPr>
                <w:bCs/>
                <w:lang w:val="en-US"/>
              </w:rPr>
              <w:t>47.9 (47.2-48.5)</w:t>
            </w:r>
          </w:p>
        </w:tc>
        <w:tc>
          <w:tcPr>
            <w:tcW w:w="2555" w:type="dxa"/>
            <w:vAlign w:val="center"/>
          </w:tcPr>
          <w:p w14:paraId="3E205976" w14:textId="77777777" w:rsidR="00B96CED" w:rsidRPr="00667BB8" w:rsidRDefault="00B96CED" w:rsidP="00EC5673">
            <w:pPr>
              <w:spacing w:line="480" w:lineRule="auto"/>
              <w:jc w:val="center"/>
              <w:rPr>
                <w:rFonts w:ascii="Calibri" w:hAnsi="Calibri" w:cs="Calibri"/>
                <w:noProof/>
                <w:lang w:val="en-US"/>
              </w:rPr>
            </w:pPr>
            <w:r>
              <w:rPr>
                <w:bCs/>
                <w:lang w:val="en-US"/>
              </w:rPr>
              <w:t>49.7 (49.3-50.1)</w:t>
            </w:r>
          </w:p>
        </w:tc>
        <w:tc>
          <w:tcPr>
            <w:tcW w:w="2688" w:type="dxa"/>
            <w:shd w:val="clear" w:color="auto" w:fill="auto"/>
            <w:vAlign w:val="center"/>
          </w:tcPr>
          <w:p w14:paraId="7A14CE31" w14:textId="77777777" w:rsidR="00B96CED" w:rsidRPr="00B743A7" w:rsidRDefault="00B96CED" w:rsidP="00EC5673">
            <w:pPr>
              <w:spacing w:line="480" w:lineRule="auto"/>
              <w:jc w:val="center"/>
              <w:rPr>
                <w:rFonts w:ascii="Calibri" w:hAnsi="Calibri" w:cs="Calibri"/>
                <w:noProof/>
                <w:lang w:val="en-US"/>
              </w:rPr>
            </w:pPr>
            <w:r>
              <w:rPr>
                <w:bCs/>
                <w:lang w:val="en-US"/>
              </w:rPr>
              <w:t>12.9 (12.5-13.4)</w:t>
            </w:r>
          </w:p>
        </w:tc>
        <w:tc>
          <w:tcPr>
            <w:tcW w:w="2552" w:type="dxa"/>
            <w:shd w:val="clear" w:color="auto" w:fill="auto"/>
            <w:vAlign w:val="center"/>
          </w:tcPr>
          <w:p w14:paraId="0B373533" w14:textId="77777777" w:rsidR="00B96CED" w:rsidRPr="00B743A7" w:rsidRDefault="00B96CED" w:rsidP="00EC5673">
            <w:pPr>
              <w:spacing w:line="480" w:lineRule="auto"/>
              <w:jc w:val="center"/>
              <w:rPr>
                <w:rFonts w:ascii="Calibri" w:hAnsi="Calibri" w:cs="Calibri"/>
                <w:noProof/>
                <w:lang w:val="en-US"/>
              </w:rPr>
            </w:pPr>
            <w:r>
              <w:rPr>
                <w:bCs/>
                <w:lang w:val="en-US"/>
              </w:rPr>
              <w:t>14.3 (14.1-14.6)</w:t>
            </w:r>
          </w:p>
        </w:tc>
      </w:tr>
      <w:tr w:rsidR="00B96CED" w14:paraId="171EDB6A" w14:textId="77777777" w:rsidTr="00EC5673">
        <w:tc>
          <w:tcPr>
            <w:tcW w:w="3005" w:type="dxa"/>
          </w:tcPr>
          <w:p w14:paraId="1347FE09" w14:textId="77777777" w:rsidR="00B96CED" w:rsidRDefault="00B96CED" w:rsidP="00EC5673">
            <w:pPr>
              <w:spacing w:line="480" w:lineRule="auto"/>
              <w:rPr>
                <w:bCs/>
                <w:lang w:val="en-US"/>
              </w:rPr>
            </w:pPr>
            <w:r>
              <w:rPr>
                <w:bCs/>
                <w:lang w:val="en-US"/>
              </w:rPr>
              <w:t xml:space="preserve">Fall-related ED presentation or </w:t>
            </w:r>
            <w:proofErr w:type="spellStart"/>
            <w:r>
              <w:rPr>
                <w:bCs/>
                <w:lang w:val="en-US"/>
              </w:rPr>
              <w:t>hospitalisation</w:t>
            </w:r>
            <w:proofErr w:type="spellEnd"/>
          </w:p>
        </w:tc>
        <w:tc>
          <w:tcPr>
            <w:tcW w:w="2519" w:type="dxa"/>
            <w:vAlign w:val="center"/>
          </w:tcPr>
          <w:p w14:paraId="4BE966FA" w14:textId="77777777" w:rsidR="00B96CED" w:rsidRPr="00667BB8" w:rsidRDefault="00B96CED" w:rsidP="00EC5673">
            <w:pPr>
              <w:spacing w:line="480" w:lineRule="auto"/>
              <w:jc w:val="center"/>
              <w:rPr>
                <w:rFonts w:ascii="Calibri" w:hAnsi="Calibri" w:cs="Calibri"/>
                <w:noProof/>
                <w:lang w:val="en-US"/>
              </w:rPr>
            </w:pPr>
            <w:r>
              <w:rPr>
                <w:bCs/>
                <w:lang w:val="en-US"/>
              </w:rPr>
              <w:t>14.7 (14.2-15.2)</w:t>
            </w:r>
          </w:p>
        </w:tc>
        <w:tc>
          <w:tcPr>
            <w:tcW w:w="2555" w:type="dxa"/>
            <w:vAlign w:val="center"/>
          </w:tcPr>
          <w:p w14:paraId="54205824" w14:textId="77777777" w:rsidR="00B96CED" w:rsidRPr="00667BB8" w:rsidRDefault="00B96CED" w:rsidP="00EC5673">
            <w:pPr>
              <w:spacing w:line="480" w:lineRule="auto"/>
              <w:jc w:val="center"/>
              <w:rPr>
                <w:rFonts w:ascii="Calibri" w:hAnsi="Calibri" w:cs="Calibri"/>
                <w:noProof/>
                <w:lang w:val="en-US"/>
              </w:rPr>
            </w:pPr>
            <w:r>
              <w:rPr>
                <w:bCs/>
                <w:lang w:val="en-US"/>
              </w:rPr>
              <w:t>14.8 (14.5-15.1)</w:t>
            </w:r>
          </w:p>
        </w:tc>
        <w:tc>
          <w:tcPr>
            <w:tcW w:w="2688" w:type="dxa"/>
            <w:shd w:val="clear" w:color="auto" w:fill="auto"/>
            <w:vAlign w:val="center"/>
          </w:tcPr>
          <w:p w14:paraId="77E23651" w14:textId="77777777" w:rsidR="00B96CED" w:rsidRPr="00B743A7" w:rsidRDefault="00B96CED" w:rsidP="00EC5673">
            <w:pPr>
              <w:spacing w:line="480" w:lineRule="auto"/>
              <w:jc w:val="center"/>
              <w:rPr>
                <w:rFonts w:ascii="Calibri" w:hAnsi="Calibri" w:cs="Calibri"/>
                <w:noProof/>
                <w:lang w:val="en-US"/>
              </w:rPr>
            </w:pPr>
            <w:r>
              <w:rPr>
                <w:bCs/>
                <w:lang w:val="en-US"/>
              </w:rPr>
              <w:t>24.8 (24.2-25.4)</w:t>
            </w:r>
          </w:p>
        </w:tc>
        <w:tc>
          <w:tcPr>
            <w:tcW w:w="2552" w:type="dxa"/>
            <w:shd w:val="clear" w:color="auto" w:fill="auto"/>
            <w:vAlign w:val="center"/>
          </w:tcPr>
          <w:p w14:paraId="3C4AA814" w14:textId="77777777" w:rsidR="00B96CED" w:rsidRPr="00B743A7" w:rsidRDefault="00B96CED" w:rsidP="00EC5673">
            <w:pPr>
              <w:spacing w:line="480" w:lineRule="auto"/>
              <w:jc w:val="center"/>
              <w:rPr>
                <w:rFonts w:ascii="Calibri" w:hAnsi="Calibri" w:cs="Calibri"/>
                <w:noProof/>
                <w:lang w:val="en-US"/>
              </w:rPr>
            </w:pPr>
            <w:r>
              <w:rPr>
                <w:bCs/>
                <w:lang w:val="en-US"/>
              </w:rPr>
              <w:t>27.7 (27.4-28.1)</w:t>
            </w:r>
          </w:p>
        </w:tc>
      </w:tr>
      <w:tr w:rsidR="00B96CED" w14:paraId="719AE824" w14:textId="77777777" w:rsidTr="00EC5673">
        <w:tc>
          <w:tcPr>
            <w:tcW w:w="3005" w:type="dxa"/>
          </w:tcPr>
          <w:p w14:paraId="15D42450" w14:textId="77777777" w:rsidR="00B96CED" w:rsidRDefault="00B96CED" w:rsidP="00EC5673">
            <w:pPr>
              <w:spacing w:line="480" w:lineRule="auto"/>
              <w:rPr>
                <w:bCs/>
                <w:lang w:val="en-US"/>
              </w:rPr>
            </w:pPr>
            <w:r w:rsidRPr="000E0335">
              <w:rPr>
                <w:bCs/>
                <w:lang w:val="en-US"/>
              </w:rPr>
              <w:t>Death (all-cause)</w:t>
            </w:r>
          </w:p>
        </w:tc>
        <w:tc>
          <w:tcPr>
            <w:tcW w:w="2519" w:type="dxa"/>
            <w:vAlign w:val="center"/>
          </w:tcPr>
          <w:p w14:paraId="0681CA63" w14:textId="77777777" w:rsidR="00B96CED" w:rsidRPr="00F1079F" w:rsidRDefault="00B96CED" w:rsidP="00EC5673">
            <w:pPr>
              <w:spacing w:line="480" w:lineRule="auto"/>
              <w:jc w:val="center"/>
              <w:rPr>
                <w:rFonts w:ascii="Calibri" w:hAnsi="Calibri" w:cs="Calibri"/>
                <w:noProof/>
                <w:lang w:val="en-US"/>
              </w:rPr>
            </w:pPr>
            <w:r w:rsidRPr="00F1079F">
              <w:rPr>
                <w:bCs/>
                <w:lang w:val="en-US"/>
              </w:rPr>
              <w:t>25.7 (24.6-26.9)</w:t>
            </w:r>
          </w:p>
        </w:tc>
        <w:tc>
          <w:tcPr>
            <w:tcW w:w="2555" w:type="dxa"/>
            <w:vAlign w:val="center"/>
          </w:tcPr>
          <w:p w14:paraId="3C3DE9B8" w14:textId="77777777" w:rsidR="00B96CED" w:rsidRPr="00F1079F" w:rsidRDefault="00B96CED" w:rsidP="00EC5673">
            <w:pPr>
              <w:spacing w:line="480" w:lineRule="auto"/>
              <w:jc w:val="center"/>
              <w:rPr>
                <w:rFonts w:ascii="Calibri" w:hAnsi="Calibri" w:cs="Calibri"/>
                <w:noProof/>
                <w:lang w:val="en-US"/>
              </w:rPr>
            </w:pPr>
            <w:r w:rsidRPr="00F1079F">
              <w:rPr>
                <w:bCs/>
                <w:lang w:val="en-US"/>
              </w:rPr>
              <w:t>27.9 (27.2-28.6)</w:t>
            </w:r>
          </w:p>
        </w:tc>
        <w:tc>
          <w:tcPr>
            <w:tcW w:w="2688" w:type="dxa"/>
            <w:shd w:val="clear" w:color="auto" w:fill="BFBFBF" w:themeFill="background1" w:themeFillShade="BF"/>
          </w:tcPr>
          <w:p w14:paraId="2E3C02B3" w14:textId="77777777" w:rsidR="00B96CED" w:rsidRPr="00B743A7" w:rsidRDefault="00B96CED" w:rsidP="00EC5673">
            <w:pPr>
              <w:spacing w:line="480" w:lineRule="auto"/>
              <w:jc w:val="center"/>
              <w:rPr>
                <w:rFonts w:ascii="Calibri" w:hAnsi="Calibri" w:cs="Calibri"/>
                <w:noProof/>
                <w:lang w:val="en-US"/>
              </w:rPr>
            </w:pPr>
          </w:p>
        </w:tc>
        <w:tc>
          <w:tcPr>
            <w:tcW w:w="2552" w:type="dxa"/>
            <w:shd w:val="clear" w:color="auto" w:fill="BFBFBF" w:themeFill="background1" w:themeFillShade="BF"/>
          </w:tcPr>
          <w:p w14:paraId="4F40521C" w14:textId="77777777" w:rsidR="00B96CED" w:rsidRPr="00B743A7" w:rsidRDefault="00B96CED" w:rsidP="00EC5673">
            <w:pPr>
              <w:spacing w:line="480" w:lineRule="auto"/>
              <w:jc w:val="center"/>
              <w:rPr>
                <w:rFonts w:ascii="Calibri" w:hAnsi="Calibri" w:cs="Calibri"/>
                <w:noProof/>
                <w:lang w:val="en-US"/>
              </w:rPr>
            </w:pPr>
          </w:p>
        </w:tc>
      </w:tr>
      <w:tr w:rsidR="00B96CED" w14:paraId="5233E5C5" w14:textId="77777777" w:rsidTr="00EC5673">
        <w:tc>
          <w:tcPr>
            <w:tcW w:w="13319" w:type="dxa"/>
            <w:gridSpan w:val="5"/>
          </w:tcPr>
          <w:p w14:paraId="5EC8A377" w14:textId="77777777" w:rsidR="00B96CED" w:rsidRPr="00B743A7" w:rsidRDefault="00B96CED" w:rsidP="00EC5673">
            <w:pPr>
              <w:spacing w:line="480" w:lineRule="auto"/>
              <w:rPr>
                <w:rFonts w:ascii="Calibri" w:hAnsi="Calibri" w:cs="Calibri"/>
                <w:b/>
                <w:bCs/>
                <w:i/>
                <w:iCs/>
                <w:noProof/>
                <w:lang w:val="en-US"/>
              </w:rPr>
            </w:pPr>
            <w:r w:rsidRPr="00B743A7">
              <w:rPr>
                <w:rFonts w:ascii="Calibri" w:hAnsi="Calibri" w:cs="Calibri"/>
                <w:b/>
                <w:bCs/>
                <w:i/>
                <w:iCs/>
                <w:noProof/>
                <w:lang w:val="en-US"/>
              </w:rPr>
              <w:lastRenderedPageBreak/>
              <w:t>Sensitivity analysis: hospitali</w:t>
            </w:r>
            <w:r>
              <w:rPr>
                <w:rFonts w:ascii="Calibri" w:hAnsi="Calibri" w:cs="Calibri"/>
                <w:b/>
                <w:bCs/>
                <w:i/>
                <w:iCs/>
                <w:noProof/>
                <w:lang w:val="en-US"/>
              </w:rPr>
              <w:t>s</w:t>
            </w:r>
            <w:r w:rsidRPr="00B743A7">
              <w:rPr>
                <w:rFonts w:ascii="Calibri" w:hAnsi="Calibri" w:cs="Calibri"/>
                <w:b/>
                <w:bCs/>
                <w:i/>
                <w:iCs/>
                <w:noProof/>
                <w:lang w:val="en-US"/>
              </w:rPr>
              <w:t>ation outcomes (i.e., no ED visits)</w:t>
            </w:r>
          </w:p>
        </w:tc>
      </w:tr>
      <w:tr w:rsidR="00B96CED" w14:paraId="50DA1F89" w14:textId="77777777" w:rsidTr="00EC5673">
        <w:tc>
          <w:tcPr>
            <w:tcW w:w="3005" w:type="dxa"/>
          </w:tcPr>
          <w:p w14:paraId="2C0292BB" w14:textId="77777777" w:rsidR="00B96CED" w:rsidRDefault="00B96CED" w:rsidP="00EC5673">
            <w:pPr>
              <w:spacing w:line="480" w:lineRule="auto"/>
              <w:rPr>
                <w:rFonts w:ascii="Calibri" w:hAnsi="Calibri" w:cs="Calibri"/>
                <w:noProof/>
                <w:lang w:val="en-US"/>
              </w:rPr>
            </w:pPr>
            <w:r>
              <w:rPr>
                <w:rFonts w:ascii="Calibri" w:hAnsi="Calibri" w:cs="Calibri"/>
                <w:noProof/>
                <w:lang w:val="en-US"/>
              </w:rPr>
              <w:t>Unplanned hospitalisation</w:t>
            </w:r>
          </w:p>
        </w:tc>
        <w:tc>
          <w:tcPr>
            <w:tcW w:w="2519" w:type="dxa"/>
          </w:tcPr>
          <w:p w14:paraId="79C3D371" w14:textId="77777777" w:rsidR="00B96CED" w:rsidRPr="00F86FA2" w:rsidRDefault="00B96CED" w:rsidP="00EC5673">
            <w:pPr>
              <w:spacing w:line="480" w:lineRule="auto"/>
              <w:jc w:val="center"/>
              <w:rPr>
                <w:rFonts w:ascii="Calibri" w:hAnsi="Calibri" w:cs="Calibri"/>
                <w:noProof/>
                <w:lang w:val="en-US"/>
              </w:rPr>
            </w:pPr>
            <w:r w:rsidRPr="00F86FA2">
              <w:rPr>
                <w:rFonts w:ascii="Calibri" w:hAnsi="Calibri" w:cs="Calibri"/>
                <w:noProof/>
                <w:lang w:val="en-US"/>
              </w:rPr>
              <w:t>30.0 (29.1-30.8)</w:t>
            </w:r>
          </w:p>
        </w:tc>
        <w:tc>
          <w:tcPr>
            <w:tcW w:w="2555" w:type="dxa"/>
          </w:tcPr>
          <w:p w14:paraId="68938923" w14:textId="77777777" w:rsidR="00B96CED" w:rsidRPr="00F86FA2" w:rsidRDefault="00B96CED" w:rsidP="00EC5673">
            <w:pPr>
              <w:spacing w:line="480" w:lineRule="auto"/>
              <w:jc w:val="center"/>
              <w:rPr>
                <w:rFonts w:ascii="Calibri" w:hAnsi="Calibri" w:cs="Calibri"/>
                <w:noProof/>
                <w:lang w:val="en-US"/>
              </w:rPr>
            </w:pPr>
            <w:r w:rsidRPr="00F86FA2">
              <w:rPr>
                <w:rFonts w:ascii="Calibri" w:hAnsi="Calibri" w:cs="Calibri"/>
                <w:noProof/>
                <w:lang w:val="en-US"/>
              </w:rPr>
              <w:t>30.7 (30.3-31.2)</w:t>
            </w:r>
          </w:p>
        </w:tc>
        <w:tc>
          <w:tcPr>
            <w:tcW w:w="2688" w:type="dxa"/>
          </w:tcPr>
          <w:p w14:paraId="7F0103EA"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14.4 (13.8-15.1)</w:t>
            </w:r>
          </w:p>
        </w:tc>
        <w:tc>
          <w:tcPr>
            <w:tcW w:w="2552" w:type="dxa"/>
          </w:tcPr>
          <w:p w14:paraId="6500200A"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15.8 (15.4-16.2)</w:t>
            </w:r>
          </w:p>
        </w:tc>
      </w:tr>
      <w:tr w:rsidR="00B96CED" w14:paraId="70D90386" w14:textId="77777777" w:rsidTr="00EC5673">
        <w:tc>
          <w:tcPr>
            <w:tcW w:w="3005" w:type="dxa"/>
          </w:tcPr>
          <w:p w14:paraId="5AF8A6EE" w14:textId="77777777" w:rsidR="00B96CED" w:rsidRDefault="00B96CED" w:rsidP="00EC5673">
            <w:pPr>
              <w:spacing w:line="480" w:lineRule="auto"/>
              <w:rPr>
                <w:rFonts w:ascii="Calibri" w:hAnsi="Calibri" w:cs="Calibri"/>
                <w:noProof/>
                <w:lang w:val="en-US"/>
              </w:rPr>
            </w:pPr>
            <w:r>
              <w:rPr>
                <w:rFonts w:ascii="Calibri" w:hAnsi="Calibri" w:cs="Calibri"/>
                <w:noProof/>
                <w:lang w:val="en-US"/>
              </w:rPr>
              <w:t>Fall-related hospitalisation</w:t>
            </w:r>
          </w:p>
        </w:tc>
        <w:tc>
          <w:tcPr>
            <w:tcW w:w="2519" w:type="dxa"/>
          </w:tcPr>
          <w:p w14:paraId="1028E256" w14:textId="77777777" w:rsidR="00B96CED" w:rsidRPr="00F86FA2" w:rsidRDefault="00B96CED" w:rsidP="00EC5673">
            <w:pPr>
              <w:spacing w:line="480" w:lineRule="auto"/>
              <w:jc w:val="center"/>
              <w:rPr>
                <w:rFonts w:ascii="Calibri" w:hAnsi="Calibri" w:cs="Calibri"/>
                <w:noProof/>
                <w:lang w:val="en-US"/>
              </w:rPr>
            </w:pPr>
            <w:r w:rsidRPr="00F86FA2">
              <w:rPr>
                <w:rFonts w:ascii="Calibri" w:hAnsi="Calibri" w:cs="Calibri"/>
                <w:noProof/>
                <w:lang w:val="en-US"/>
              </w:rPr>
              <w:t>11.0 (10.5-11.6)</w:t>
            </w:r>
          </w:p>
        </w:tc>
        <w:tc>
          <w:tcPr>
            <w:tcW w:w="2555" w:type="dxa"/>
          </w:tcPr>
          <w:p w14:paraId="0B7FC9F9" w14:textId="77777777" w:rsidR="00B96CED" w:rsidRPr="00F86FA2" w:rsidRDefault="00B96CED" w:rsidP="00EC5673">
            <w:pPr>
              <w:spacing w:line="480" w:lineRule="auto"/>
              <w:jc w:val="center"/>
              <w:rPr>
                <w:rFonts w:ascii="Calibri" w:hAnsi="Calibri" w:cs="Calibri"/>
                <w:noProof/>
                <w:lang w:val="en-US"/>
              </w:rPr>
            </w:pPr>
            <w:r w:rsidRPr="00F86FA2">
              <w:rPr>
                <w:rFonts w:ascii="Calibri" w:hAnsi="Calibri" w:cs="Calibri"/>
                <w:noProof/>
                <w:lang w:val="en-US"/>
              </w:rPr>
              <w:t>10.8 (10.5-11.1)</w:t>
            </w:r>
          </w:p>
        </w:tc>
        <w:tc>
          <w:tcPr>
            <w:tcW w:w="2688" w:type="dxa"/>
          </w:tcPr>
          <w:p w14:paraId="407408EF"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21.7 (20.9-22.5)</w:t>
            </w:r>
          </w:p>
        </w:tc>
        <w:tc>
          <w:tcPr>
            <w:tcW w:w="2552" w:type="dxa"/>
          </w:tcPr>
          <w:p w14:paraId="3E878A7F" w14:textId="77777777" w:rsidR="00B96CED" w:rsidRPr="00B743A7" w:rsidRDefault="00B96CED" w:rsidP="00EC5673">
            <w:pPr>
              <w:spacing w:line="480" w:lineRule="auto"/>
              <w:jc w:val="center"/>
              <w:rPr>
                <w:rFonts w:ascii="Calibri" w:hAnsi="Calibri" w:cs="Calibri"/>
                <w:noProof/>
                <w:lang w:val="en-US"/>
              </w:rPr>
            </w:pPr>
            <w:r w:rsidRPr="00B743A7">
              <w:rPr>
                <w:rFonts w:ascii="Calibri" w:hAnsi="Calibri" w:cs="Calibri"/>
                <w:noProof/>
                <w:lang w:val="en-US"/>
              </w:rPr>
              <w:t>24.2 (23.7-24.6)</w:t>
            </w:r>
          </w:p>
        </w:tc>
      </w:tr>
    </w:tbl>
    <w:p w14:paraId="50692044" w14:textId="77777777" w:rsidR="00B96CED" w:rsidRPr="00862A18" w:rsidRDefault="00B96CED" w:rsidP="00B96CED">
      <w:pPr>
        <w:spacing w:after="0" w:line="240" w:lineRule="auto"/>
        <w:rPr>
          <w:bCs/>
          <w:lang w:val="en-US"/>
        </w:rPr>
      </w:pPr>
      <w:r>
        <w:rPr>
          <w:bCs/>
          <w:i/>
          <w:iCs/>
          <w:lang w:val="en-US"/>
        </w:rPr>
        <w:t xml:space="preserve">ED emergency department, </w:t>
      </w:r>
      <w:r w:rsidRPr="005F649E">
        <w:rPr>
          <w:bCs/>
          <w:i/>
          <w:iCs/>
          <w:lang w:val="en-US"/>
        </w:rPr>
        <w:t>CI confidence interval, RMMR residential medication management review</w:t>
      </w:r>
    </w:p>
    <w:p w14:paraId="6C07C2D1" w14:textId="77777777" w:rsidR="00B96CED" w:rsidRPr="007B06BC" w:rsidRDefault="00B96CED" w:rsidP="00B96CED">
      <w:pPr>
        <w:rPr>
          <w:rFonts w:ascii="Calibri" w:hAnsi="Calibri" w:cs="Calibri"/>
          <w:noProof/>
          <w:lang w:val="en-US"/>
        </w:rPr>
      </w:pPr>
    </w:p>
    <w:p w14:paraId="00C9BE45" w14:textId="77777777" w:rsidR="00B96CED" w:rsidRDefault="00B96CED" w:rsidP="00B96CED">
      <w:pPr>
        <w:rPr>
          <w:rFonts w:ascii="Calibri" w:hAnsi="Calibri" w:cs="Calibri"/>
          <w:b/>
          <w:bCs/>
          <w:noProof/>
          <w:lang w:val="en-US"/>
        </w:rPr>
      </w:pPr>
    </w:p>
    <w:p w14:paraId="569517BC" w14:textId="77777777" w:rsidR="00B96CED" w:rsidRDefault="00B96CED" w:rsidP="00B96CED">
      <w:pPr>
        <w:rPr>
          <w:rFonts w:ascii="Calibri" w:hAnsi="Calibri" w:cs="Calibri"/>
          <w:b/>
          <w:bCs/>
          <w:noProof/>
          <w:lang w:val="en-US"/>
        </w:rPr>
      </w:pPr>
      <w:r>
        <w:rPr>
          <w:rFonts w:ascii="Calibri" w:hAnsi="Calibri" w:cs="Calibri"/>
          <w:b/>
          <w:bCs/>
          <w:noProof/>
          <w:lang w:val="en-US"/>
        </w:rPr>
        <w:br w:type="page"/>
      </w:r>
    </w:p>
    <w:p w14:paraId="30BC69C1" w14:textId="2208F395" w:rsidR="00B96CED" w:rsidRDefault="00B96CED" w:rsidP="00B96CED">
      <w:pPr>
        <w:spacing w:line="480" w:lineRule="auto"/>
        <w:ind w:left="142"/>
        <w:rPr>
          <w:bCs/>
          <w:lang w:val="en-US"/>
        </w:rPr>
      </w:pPr>
      <w:r>
        <w:rPr>
          <w:rFonts w:ascii="Calibri" w:hAnsi="Calibri" w:cs="Calibri"/>
          <w:b/>
          <w:bCs/>
          <w:noProof/>
          <w:lang w:val="en-US"/>
        </w:rPr>
        <w:lastRenderedPageBreak/>
        <w:t>Appendix 3:</w:t>
      </w:r>
      <w:r>
        <w:rPr>
          <w:rFonts w:ascii="Calibri" w:hAnsi="Calibri" w:cs="Calibri"/>
          <w:b/>
          <w:bCs/>
          <w:noProof/>
          <w:lang w:val="en-US"/>
        </w:rPr>
        <w:t xml:space="preserve"> </w:t>
      </w:r>
      <w:r w:rsidRPr="00D513BF">
        <w:rPr>
          <w:bCs/>
          <w:lang w:val="en-US"/>
        </w:rPr>
        <w:t>Unadjusted and adjusted associations between RMMR provision and outcomes of interest</w:t>
      </w:r>
      <w:r>
        <w:rPr>
          <w:bCs/>
          <w:lang w:val="en-US"/>
        </w:rPr>
        <w:t xml:space="preserve"> in the sensitivity analyses</w:t>
      </w:r>
    </w:p>
    <w:tbl>
      <w:tblPr>
        <w:tblStyle w:val="TableGrid"/>
        <w:tblW w:w="15459" w:type="dxa"/>
        <w:tblInd w:w="137" w:type="dxa"/>
        <w:tblLook w:val="04A0" w:firstRow="1" w:lastRow="0" w:firstColumn="1" w:lastColumn="0" w:noHBand="0" w:noVBand="1"/>
      </w:tblPr>
      <w:tblGrid>
        <w:gridCol w:w="2977"/>
        <w:gridCol w:w="1985"/>
        <w:gridCol w:w="1022"/>
        <w:gridCol w:w="1955"/>
        <w:gridCol w:w="992"/>
        <w:gridCol w:w="2097"/>
        <w:gridCol w:w="1162"/>
        <w:gridCol w:w="2097"/>
        <w:gridCol w:w="1164"/>
        <w:gridCol w:w="8"/>
      </w:tblGrid>
      <w:tr w:rsidR="00B96CED" w14:paraId="241C4BF4" w14:textId="77777777" w:rsidTr="00EC5673">
        <w:trPr>
          <w:gridAfter w:val="1"/>
          <w:wAfter w:w="8" w:type="dxa"/>
        </w:trPr>
        <w:tc>
          <w:tcPr>
            <w:tcW w:w="2977" w:type="dxa"/>
          </w:tcPr>
          <w:p w14:paraId="4731E9FA" w14:textId="77777777" w:rsidR="00B96CED" w:rsidRPr="0009461D" w:rsidRDefault="00B96CED" w:rsidP="00EC5673">
            <w:pPr>
              <w:spacing w:after="120" w:line="480" w:lineRule="auto"/>
              <w:ind w:left="29" w:hanging="29"/>
              <w:rPr>
                <w:b/>
                <w:lang w:val="en-US"/>
              </w:rPr>
            </w:pPr>
            <w:r w:rsidRPr="0009461D">
              <w:rPr>
                <w:b/>
                <w:lang w:val="en-US"/>
              </w:rPr>
              <w:t>Outcome of interest</w:t>
            </w:r>
          </w:p>
        </w:tc>
        <w:tc>
          <w:tcPr>
            <w:tcW w:w="1985" w:type="dxa"/>
          </w:tcPr>
          <w:p w14:paraId="60EA05FE" w14:textId="77777777" w:rsidR="00B96CED" w:rsidRDefault="00B96CED" w:rsidP="00EC5673">
            <w:pPr>
              <w:spacing w:after="120" w:line="480" w:lineRule="auto"/>
              <w:jc w:val="center"/>
              <w:rPr>
                <w:b/>
                <w:lang w:val="en-US"/>
              </w:rPr>
            </w:pPr>
            <w:r w:rsidRPr="0009461D">
              <w:rPr>
                <w:b/>
                <w:lang w:val="en-US"/>
              </w:rPr>
              <w:t xml:space="preserve">Unadjusted </w:t>
            </w:r>
            <w:proofErr w:type="spellStart"/>
            <w:r>
              <w:rPr>
                <w:b/>
                <w:lang w:val="en-US"/>
              </w:rPr>
              <w:t>sHR</w:t>
            </w:r>
            <w:proofErr w:type="spellEnd"/>
          </w:p>
          <w:p w14:paraId="0CF4C9E0" w14:textId="77777777" w:rsidR="00B96CED" w:rsidRPr="0009461D" w:rsidRDefault="00B96CED" w:rsidP="00EC5673">
            <w:pPr>
              <w:spacing w:after="120" w:line="480" w:lineRule="auto"/>
              <w:jc w:val="center"/>
              <w:rPr>
                <w:b/>
                <w:lang w:val="en-US"/>
              </w:rPr>
            </w:pPr>
            <w:r w:rsidRPr="0009461D">
              <w:rPr>
                <w:b/>
                <w:lang w:val="en-US"/>
              </w:rPr>
              <w:t xml:space="preserve">(95% </w:t>
            </w:r>
            <w:proofErr w:type="gramStart"/>
            <w:r w:rsidRPr="0009461D">
              <w:rPr>
                <w:b/>
                <w:lang w:val="en-US"/>
              </w:rPr>
              <w:t>CI)</w:t>
            </w:r>
            <w:r w:rsidRPr="00B043B1">
              <w:rPr>
                <w:b/>
                <w:vertAlign w:val="superscript"/>
                <w:lang w:val="en-US"/>
              </w:rPr>
              <w:t>a</w:t>
            </w:r>
            <w:proofErr w:type="gramEnd"/>
          </w:p>
        </w:tc>
        <w:tc>
          <w:tcPr>
            <w:tcW w:w="1022" w:type="dxa"/>
          </w:tcPr>
          <w:p w14:paraId="25F15FBB" w14:textId="77777777" w:rsidR="00B96CED" w:rsidRPr="0009461D" w:rsidRDefault="00B96CED" w:rsidP="00EC5673">
            <w:pPr>
              <w:spacing w:after="120" w:line="480" w:lineRule="auto"/>
              <w:jc w:val="center"/>
              <w:rPr>
                <w:b/>
                <w:lang w:val="en-US"/>
              </w:rPr>
            </w:pPr>
            <w:r w:rsidRPr="0009461D">
              <w:rPr>
                <w:b/>
                <w:lang w:val="en-US"/>
              </w:rPr>
              <w:t>p-value</w:t>
            </w:r>
          </w:p>
        </w:tc>
        <w:tc>
          <w:tcPr>
            <w:tcW w:w="1955" w:type="dxa"/>
          </w:tcPr>
          <w:p w14:paraId="37F25C1B" w14:textId="77777777" w:rsidR="00B96CED" w:rsidRDefault="00B96CED" w:rsidP="00EC5673">
            <w:pPr>
              <w:spacing w:after="120" w:line="480" w:lineRule="auto"/>
              <w:jc w:val="center"/>
              <w:rPr>
                <w:b/>
                <w:lang w:val="en-US"/>
              </w:rPr>
            </w:pPr>
            <w:r>
              <w:rPr>
                <w:b/>
                <w:lang w:val="en-US"/>
              </w:rPr>
              <w:t xml:space="preserve">Adjusted </w:t>
            </w:r>
            <w:proofErr w:type="spellStart"/>
            <w:r>
              <w:rPr>
                <w:b/>
                <w:lang w:val="en-US"/>
              </w:rPr>
              <w:t>s</w:t>
            </w:r>
            <w:r w:rsidRPr="0009461D">
              <w:rPr>
                <w:b/>
                <w:lang w:val="en-US"/>
              </w:rPr>
              <w:t>HR</w:t>
            </w:r>
            <w:proofErr w:type="spellEnd"/>
          </w:p>
          <w:p w14:paraId="67C4431C" w14:textId="77777777" w:rsidR="00B96CED" w:rsidRPr="0009461D" w:rsidRDefault="00B96CED" w:rsidP="00EC5673">
            <w:pPr>
              <w:spacing w:after="120" w:line="480" w:lineRule="auto"/>
              <w:jc w:val="center"/>
              <w:rPr>
                <w:b/>
                <w:lang w:val="en-US"/>
              </w:rPr>
            </w:pPr>
            <w:r w:rsidRPr="0009461D">
              <w:rPr>
                <w:b/>
                <w:lang w:val="en-US"/>
              </w:rPr>
              <w:t xml:space="preserve">(95% </w:t>
            </w:r>
            <w:proofErr w:type="gramStart"/>
            <w:r w:rsidRPr="0009461D">
              <w:rPr>
                <w:b/>
                <w:lang w:val="en-US"/>
              </w:rPr>
              <w:t>CI)</w:t>
            </w:r>
            <w:r>
              <w:rPr>
                <w:b/>
                <w:vertAlign w:val="superscript"/>
                <w:lang w:val="en-US"/>
              </w:rPr>
              <w:t>b</w:t>
            </w:r>
            <w:proofErr w:type="gramEnd"/>
          </w:p>
        </w:tc>
        <w:tc>
          <w:tcPr>
            <w:tcW w:w="992" w:type="dxa"/>
          </w:tcPr>
          <w:p w14:paraId="6F4F7810" w14:textId="77777777" w:rsidR="00B96CED" w:rsidRPr="0009461D" w:rsidRDefault="00B96CED" w:rsidP="00EC5673">
            <w:pPr>
              <w:spacing w:after="120" w:line="480" w:lineRule="auto"/>
              <w:jc w:val="center"/>
              <w:rPr>
                <w:b/>
                <w:lang w:val="en-US"/>
              </w:rPr>
            </w:pPr>
            <w:r w:rsidRPr="0009461D">
              <w:rPr>
                <w:b/>
                <w:lang w:val="en-US"/>
              </w:rPr>
              <w:t>p-value</w:t>
            </w:r>
          </w:p>
        </w:tc>
        <w:tc>
          <w:tcPr>
            <w:tcW w:w="2097" w:type="dxa"/>
          </w:tcPr>
          <w:p w14:paraId="56BDF76C" w14:textId="77777777" w:rsidR="00B96CED" w:rsidRDefault="00B96CED" w:rsidP="00EC5673">
            <w:pPr>
              <w:spacing w:after="120" w:line="480" w:lineRule="auto"/>
              <w:jc w:val="center"/>
              <w:rPr>
                <w:b/>
                <w:lang w:val="en-US"/>
              </w:rPr>
            </w:pPr>
            <w:r>
              <w:rPr>
                <w:b/>
                <w:lang w:val="en-US"/>
              </w:rPr>
              <w:t>Una</w:t>
            </w:r>
            <w:r w:rsidRPr="0009461D">
              <w:rPr>
                <w:b/>
                <w:lang w:val="en-US"/>
              </w:rPr>
              <w:t>djusted HR</w:t>
            </w:r>
          </w:p>
          <w:p w14:paraId="50C9BC94" w14:textId="77777777" w:rsidR="00B96CED" w:rsidRPr="0009461D" w:rsidRDefault="00B96CED" w:rsidP="00EC5673">
            <w:pPr>
              <w:spacing w:after="120" w:line="480" w:lineRule="auto"/>
              <w:jc w:val="center"/>
              <w:rPr>
                <w:b/>
                <w:lang w:val="en-US"/>
              </w:rPr>
            </w:pPr>
            <w:r w:rsidRPr="0009461D">
              <w:rPr>
                <w:b/>
                <w:lang w:val="en-US"/>
              </w:rPr>
              <w:t xml:space="preserve">(95% </w:t>
            </w:r>
            <w:proofErr w:type="gramStart"/>
            <w:r w:rsidRPr="0009461D">
              <w:rPr>
                <w:b/>
                <w:lang w:val="en-US"/>
              </w:rPr>
              <w:t>CI)</w:t>
            </w:r>
            <w:r>
              <w:rPr>
                <w:b/>
                <w:vertAlign w:val="superscript"/>
                <w:lang w:val="en-US"/>
              </w:rPr>
              <w:t>c</w:t>
            </w:r>
            <w:proofErr w:type="gramEnd"/>
          </w:p>
        </w:tc>
        <w:tc>
          <w:tcPr>
            <w:tcW w:w="1162" w:type="dxa"/>
          </w:tcPr>
          <w:p w14:paraId="66546B81" w14:textId="77777777" w:rsidR="00B96CED" w:rsidRPr="0009461D" w:rsidRDefault="00B96CED" w:rsidP="00EC5673">
            <w:pPr>
              <w:spacing w:after="120" w:line="480" w:lineRule="auto"/>
              <w:jc w:val="center"/>
              <w:rPr>
                <w:b/>
                <w:lang w:val="en-US"/>
              </w:rPr>
            </w:pPr>
            <w:r w:rsidRPr="0009461D">
              <w:rPr>
                <w:b/>
                <w:lang w:val="en-US"/>
              </w:rPr>
              <w:t>p-value</w:t>
            </w:r>
          </w:p>
        </w:tc>
        <w:tc>
          <w:tcPr>
            <w:tcW w:w="2097" w:type="dxa"/>
          </w:tcPr>
          <w:p w14:paraId="4FAD29BA" w14:textId="77777777" w:rsidR="00B96CED" w:rsidRDefault="00B96CED" w:rsidP="00EC5673">
            <w:pPr>
              <w:spacing w:after="120" w:line="480" w:lineRule="auto"/>
              <w:jc w:val="center"/>
              <w:rPr>
                <w:b/>
                <w:lang w:val="en-US"/>
              </w:rPr>
            </w:pPr>
            <w:r>
              <w:rPr>
                <w:b/>
                <w:lang w:val="en-US"/>
              </w:rPr>
              <w:t>Adjusted</w:t>
            </w:r>
            <w:r w:rsidRPr="0009461D">
              <w:rPr>
                <w:b/>
                <w:lang w:val="en-US"/>
              </w:rPr>
              <w:t xml:space="preserve"> HR</w:t>
            </w:r>
          </w:p>
          <w:p w14:paraId="412693B2" w14:textId="77777777" w:rsidR="00B96CED" w:rsidRPr="0009461D" w:rsidRDefault="00B96CED" w:rsidP="00EC5673">
            <w:pPr>
              <w:spacing w:after="120" w:line="480" w:lineRule="auto"/>
              <w:jc w:val="center"/>
              <w:rPr>
                <w:b/>
                <w:lang w:val="en-US"/>
              </w:rPr>
            </w:pPr>
            <w:r w:rsidRPr="0009461D">
              <w:rPr>
                <w:b/>
                <w:lang w:val="en-US"/>
              </w:rPr>
              <w:t xml:space="preserve">(95% </w:t>
            </w:r>
            <w:proofErr w:type="gramStart"/>
            <w:r w:rsidRPr="0009461D">
              <w:rPr>
                <w:b/>
                <w:lang w:val="en-US"/>
              </w:rPr>
              <w:t>CI)</w:t>
            </w:r>
            <w:r>
              <w:rPr>
                <w:b/>
                <w:vertAlign w:val="superscript"/>
                <w:lang w:val="en-US"/>
              </w:rPr>
              <w:t>d</w:t>
            </w:r>
            <w:proofErr w:type="gramEnd"/>
          </w:p>
        </w:tc>
        <w:tc>
          <w:tcPr>
            <w:tcW w:w="1164" w:type="dxa"/>
          </w:tcPr>
          <w:p w14:paraId="7FFCE64E" w14:textId="77777777" w:rsidR="00B96CED" w:rsidRPr="0009461D" w:rsidRDefault="00B96CED" w:rsidP="00EC5673">
            <w:pPr>
              <w:spacing w:after="120" w:line="480" w:lineRule="auto"/>
              <w:jc w:val="center"/>
              <w:rPr>
                <w:b/>
                <w:lang w:val="en-US"/>
              </w:rPr>
            </w:pPr>
            <w:r w:rsidRPr="0009461D">
              <w:rPr>
                <w:b/>
                <w:lang w:val="en-US"/>
              </w:rPr>
              <w:t>p-value</w:t>
            </w:r>
          </w:p>
        </w:tc>
      </w:tr>
      <w:tr w:rsidR="00B96CED" w14:paraId="00655366" w14:textId="77777777" w:rsidTr="00EC5673">
        <w:tc>
          <w:tcPr>
            <w:tcW w:w="15459" w:type="dxa"/>
            <w:gridSpan w:val="10"/>
            <w:tcBorders>
              <w:right w:val="single" w:sz="4" w:space="0" w:color="auto"/>
            </w:tcBorders>
            <w:shd w:val="clear" w:color="auto" w:fill="auto"/>
          </w:tcPr>
          <w:p w14:paraId="6C9A8ECE" w14:textId="77777777" w:rsidR="00B96CED" w:rsidRDefault="00B96CED" w:rsidP="00EC5673">
            <w:pPr>
              <w:spacing w:line="480" w:lineRule="auto"/>
              <w:rPr>
                <w:bCs/>
                <w:lang w:val="en-US"/>
              </w:rPr>
            </w:pPr>
            <w:r w:rsidRPr="000E0335">
              <w:rPr>
                <w:rFonts w:cs="Arial"/>
                <w:b/>
                <w:bCs/>
                <w:i/>
                <w:iCs/>
              </w:rPr>
              <w:t xml:space="preserve">Sensitivity analysis: cohort restricted to individuals experiencing polypharmacy (i.e., dispensed nine or more unique </w:t>
            </w:r>
            <w:proofErr w:type="gramStart"/>
            <w:r w:rsidRPr="000E0335">
              <w:rPr>
                <w:rFonts w:cs="Arial"/>
                <w:b/>
                <w:bCs/>
                <w:i/>
                <w:iCs/>
              </w:rPr>
              <w:t>prescriptions</w:t>
            </w:r>
            <w:r>
              <w:rPr>
                <w:rFonts w:cs="Arial"/>
                <w:b/>
                <w:bCs/>
                <w:i/>
                <w:iCs/>
              </w:rPr>
              <w:t>)</w:t>
            </w:r>
            <w:r w:rsidRPr="00BD26C5">
              <w:rPr>
                <w:rFonts w:cs="Arial"/>
                <w:b/>
                <w:bCs/>
                <w:i/>
                <w:iCs/>
                <w:vertAlign w:val="superscript"/>
              </w:rPr>
              <w:t>e</w:t>
            </w:r>
            <w:proofErr w:type="gramEnd"/>
          </w:p>
        </w:tc>
      </w:tr>
      <w:tr w:rsidR="00B96CED" w14:paraId="4AB2F85E" w14:textId="77777777" w:rsidTr="00EC5673">
        <w:trPr>
          <w:gridAfter w:val="1"/>
          <w:wAfter w:w="8" w:type="dxa"/>
        </w:trPr>
        <w:tc>
          <w:tcPr>
            <w:tcW w:w="2977" w:type="dxa"/>
          </w:tcPr>
          <w:p w14:paraId="4A3D2C86" w14:textId="77777777" w:rsidR="00B96CED" w:rsidRPr="00057E0B" w:rsidRDefault="00B96CED" w:rsidP="00EC5673">
            <w:pPr>
              <w:spacing w:line="480" w:lineRule="auto"/>
              <w:ind w:left="29" w:hanging="29"/>
              <w:rPr>
                <w:bCs/>
                <w:lang w:val="en-US"/>
              </w:rPr>
            </w:pPr>
            <w:r w:rsidRPr="00057E0B">
              <w:rPr>
                <w:bCs/>
                <w:lang w:val="en-US"/>
              </w:rPr>
              <w:t xml:space="preserve">ED presentation or unplanned </w:t>
            </w:r>
            <w:proofErr w:type="spellStart"/>
            <w:r w:rsidRPr="00057E0B">
              <w:rPr>
                <w:bCs/>
                <w:lang w:val="en-US"/>
              </w:rPr>
              <w:t>hospitalisation</w:t>
            </w:r>
            <w:proofErr w:type="spellEnd"/>
          </w:p>
        </w:tc>
        <w:tc>
          <w:tcPr>
            <w:tcW w:w="1985" w:type="dxa"/>
            <w:shd w:val="clear" w:color="auto" w:fill="auto"/>
            <w:vAlign w:val="center"/>
          </w:tcPr>
          <w:p w14:paraId="27E1DA90" w14:textId="77777777" w:rsidR="00B96CED" w:rsidRDefault="00B96CED" w:rsidP="00EC5673">
            <w:pPr>
              <w:spacing w:line="480" w:lineRule="auto"/>
              <w:jc w:val="center"/>
              <w:rPr>
                <w:bCs/>
                <w:lang w:val="en-US"/>
              </w:rPr>
            </w:pPr>
            <w:r>
              <w:rPr>
                <w:bCs/>
                <w:lang w:val="en-US"/>
              </w:rPr>
              <w:t>0.96 (0.92-1.00)</w:t>
            </w:r>
          </w:p>
        </w:tc>
        <w:tc>
          <w:tcPr>
            <w:tcW w:w="1022" w:type="dxa"/>
            <w:shd w:val="clear" w:color="auto" w:fill="auto"/>
            <w:vAlign w:val="center"/>
          </w:tcPr>
          <w:p w14:paraId="1E8A8BEC" w14:textId="77777777" w:rsidR="00B96CED" w:rsidRDefault="00B96CED" w:rsidP="00EC5673">
            <w:pPr>
              <w:spacing w:line="480" w:lineRule="auto"/>
              <w:jc w:val="center"/>
              <w:rPr>
                <w:bCs/>
                <w:lang w:val="en-US"/>
              </w:rPr>
            </w:pPr>
            <w:r>
              <w:rPr>
                <w:bCs/>
                <w:lang w:val="en-US"/>
              </w:rPr>
              <w:t>0.07</w:t>
            </w:r>
          </w:p>
        </w:tc>
        <w:tc>
          <w:tcPr>
            <w:tcW w:w="1955" w:type="dxa"/>
            <w:shd w:val="clear" w:color="auto" w:fill="auto"/>
            <w:vAlign w:val="center"/>
          </w:tcPr>
          <w:p w14:paraId="4426ACC2" w14:textId="77777777" w:rsidR="00B96CED" w:rsidRDefault="00B96CED" w:rsidP="00EC5673">
            <w:pPr>
              <w:spacing w:line="480" w:lineRule="auto"/>
              <w:jc w:val="center"/>
              <w:rPr>
                <w:bCs/>
                <w:lang w:val="en-US"/>
              </w:rPr>
            </w:pPr>
            <w:r>
              <w:rPr>
                <w:rFonts w:ascii="Calibri" w:hAnsi="Calibri" w:cs="Calibri"/>
                <w:color w:val="000000"/>
              </w:rPr>
              <w:t>0.99 (0.94-1.03)</w:t>
            </w:r>
          </w:p>
        </w:tc>
        <w:tc>
          <w:tcPr>
            <w:tcW w:w="992" w:type="dxa"/>
            <w:shd w:val="clear" w:color="auto" w:fill="auto"/>
            <w:vAlign w:val="center"/>
          </w:tcPr>
          <w:p w14:paraId="1ABE6805" w14:textId="77777777" w:rsidR="00B96CED" w:rsidRDefault="00B96CED" w:rsidP="00EC5673">
            <w:pPr>
              <w:spacing w:line="480" w:lineRule="auto"/>
              <w:jc w:val="center"/>
              <w:rPr>
                <w:bCs/>
                <w:lang w:val="en-US"/>
              </w:rPr>
            </w:pPr>
            <w:r>
              <w:rPr>
                <w:rFonts w:ascii="Calibri" w:hAnsi="Calibri" w:cs="Calibri"/>
                <w:color w:val="000000"/>
              </w:rPr>
              <w:t>0.56</w:t>
            </w:r>
          </w:p>
        </w:tc>
        <w:tc>
          <w:tcPr>
            <w:tcW w:w="2097" w:type="dxa"/>
            <w:shd w:val="clear" w:color="auto" w:fill="BFBFBF" w:themeFill="background1" w:themeFillShade="BF"/>
            <w:vAlign w:val="center"/>
          </w:tcPr>
          <w:p w14:paraId="15A93D9E" w14:textId="77777777" w:rsidR="00B96CED" w:rsidRDefault="00B96CED" w:rsidP="00EC5673">
            <w:pPr>
              <w:spacing w:line="480" w:lineRule="auto"/>
              <w:jc w:val="center"/>
              <w:rPr>
                <w:bCs/>
                <w:lang w:val="en-US"/>
              </w:rPr>
            </w:pPr>
          </w:p>
        </w:tc>
        <w:tc>
          <w:tcPr>
            <w:tcW w:w="1162" w:type="dxa"/>
            <w:shd w:val="clear" w:color="auto" w:fill="BFBFBF" w:themeFill="background1" w:themeFillShade="BF"/>
            <w:vAlign w:val="center"/>
          </w:tcPr>
          <w:p w14:paraId="18AD99E9" w14:textId="77777777" w:rsidR="00B96CED" w:rsidRDefault="00B96CED" w:rsidP="00EC5673">
            <w:pPr>
              <w:spacing w:line="480" w:lineRule="auto"/>
              <w:jc w:val="center"/>
              <w:rPr>
                <w:bCs/>
                <w:lang w:val="en-US"/>
              </w:rPr>
            </w:pPr>
          </w:p>
        </w:tc>
        <w:tc>
          <w:tcPr>
            <w:tcW w:w="2097" w:type="dxa"/>
            <w:shd w:val="clear" w:color="auto" w:fill="BFBFBF" w:themeFill="background1" w:themeFillShade="BF"/>
            <w:vAlign w:val="center"/>
          </w:tcPr>
          <w:p w14:paraId="56F64C5F" w14:textId="77777777" w:rsidR="00B96CED" w:rsidRDefault="00B96CED" w:rsidP="00EC5673">
            <w:pPr>
              <w:spacing w:line="480" w:lineRule="auto"/>
              <w:ind w:left="142"/>
              <w:jc w:val="center"/>
              <w:rPr>
                <w:bCs/>
                <w:lang w:val="en-US"/>
              </w:rPr>
            </w:pPr>
          </w:p>
        </w:tc>
        <w:tc>
          <w:tcPr>
            <w:tcW w:w="1164" w:type="dxa"/>
            <w:shd w:val="clear" w:color="auto" w:fill="BFBFBF" w:themeFill="background1" w:themeFillShade="BF"/>
            <w:vAlign w:val="center"/>
          </w:tcPr>
          <w:p w14:paraId="41DCB25A" w14:textId="77777777" w:rsidR="00B96CED" w:rsidRDefault="00B96CED" w:rsidP="00EC5673">
            <w:pPr>
              <w:spacing w:line="480" w:lineRule="auto"/>
              <w:ind w:left="142"/>
              <w:jc w:val="center"/>
              <w:rPr>
                <w:bCs/>
                <w:lang w:val="en-US"/>
              </w:rPr>
            </w:pPr>
          </w:p>
        </w:tc>
      </w:tr>
      <w:tr w:rsidR="00B96CED" w14:paraId="7FAF5F98" w14:textId="77777777" w:rsidTr="00EC5673">
        <w:trPr>
          <w:gridAfter w:val="1"/>
          <w:wAfter w:w="8" w:type="dxa"/>
        </w:trPr>
        <w:tc>
          <w:tcPr>
            <w:tcW w:w="2977" w:type="dxa"/>
          </w:tcPr>
          <w:p w14:paraId="4EEF078A" w14:textId="77777777" w:rsidR="00B96CED" w:rsidRPr="00057E0B" w:rsidRDefault="00B96CED" w:rsidP="00EC5673">
            <w:pPr>
              <w:spacing w:line="480" w:lineRule="auto"/>
              <w:ind w:left="29" w:hanging="29"/>
              <w:rPr>
                <w:bCs/>
                <w:lang w:val="en-US"/>
              </w:rPr>
            </w:pPr>
            <w:r w:rsidRPr="00057E0B">
              <w:rPr>
                <w:bCs/>
                <w:lang w:val="en-US"/>
              </w:rPr>
              <w:t xml:space="preserve">Fall-related ED presentation or </w:t>
            </w:r>
            <w:proofErr w:type="spellStart"/>
            <w:r w:rsidRPr="00057E0B">
              <w:rPr>
                <w:bCs/>
                <w:lang w:val="en-US"/>
              </w:rPr>
              <w:t>hospitalisation</w:t>
            </w:r>
            <w:proofErr w:type="spellEnd"/>
          </w:p>
        </w:tc>
        <w:tc>
          <w:tcPr>
            <w:tcW w:w="1985" w:type="dxa"/>
            <w:shd w:val="clear" w:color="auto" w:fill="auto"/>
            <w:vAlign w:val="center"/>
          </w:tcPr>
          <w:p w14:paraId="4301075C" w14:textId="77777777" w:rsidR="00B96CED" w:rsidRDefault="00B96CED" w:rsidP="00EC5673">
            <w:pPr>
              <w:spacing w:line="480" w:lineRule="auto"/>
              <w:jc w:val="center"/>
              <w:rPr>
                <w:bCs/>
                <w:lang w:val="en-US"/>
              </w:rPr>
            </w:pPr>
            <w:r>
              <w:rPr>
                <w:bCs/>
                <w:lang w:val="en-US"/>
              </w:rPr>
              <w:t>1.00 (0.93-1.08)</w:t>
            </w:r>
          </w:p>
        </w:tc>
        <w:tc>
          <w:tcPr>
            <w:tcW w:w="1022" w:type="dxa"/>
            <w:shd w:val="clear" w:color="auto" w:fill="auto"/>
            <w:vAlign w:val="center"/>
          </w:tcPr>
          <w:p w14:paraId="1984202D" w14:textId="77777777" w:rsidR="00B96CED" w:rsidRDefault="00B96CED" w:rsidP="00EC5673">
            <w:pPr>
              <w:spacing w:line="480" w:lineRule="auto"/>
              <w:jc w:val="center"/>
              <w:rPr>
                <w:bCs/>
                <w:lang w:val="en-US"/>
              </w:rPr>
            </w:pPr>
            <w:r>
              <w:rPr>
                <w:bCs/>
                <w:lang w:val="en-US"/>
              </w:rPr>
              <w:t>1.00</w:t>
            </w:r>
          </w:p>
        </w:tc>
        <w:tc>
          <w:tcPr>
            <w:tcW w:w="1955" w:type="dxa"/>
            <w:shd w:val="clear" w:color="auto" w:fill="auto"/>
            <w:vAlign w:val="center"/>
          </w:tcPr>
          <w:p w14:paraId="7CD32A52" w14:textId="77777777" w:rsidR="00B96CED" w:rsidRDefault="00B96CED" w:rsidP="00EC5673">
            <w:pPr>
              <w:spacing w:line="480" w:lineRule="auto"/>
              <w:jc w:val="center"/>
              <w:rPr>
                <w:bCs/>
                <w:lang w:val="en-US"/>
              </w:rPr>
            </w:pPr>
            <w:r>
              <w:rPr>
                <w:rFonts w:ascii="Calibri" w:hAnsi="Calibri" w:cs="Calibri"/>
                <w:color w:val="000000"/>
              </w:rPr>
              <w:t>1.02 (0.93-1.11)</w:t>
            </w:r>
          </w:p>
        </w:tc>
        <w:tc>
          <w:tcPr>
            <w:tcW w:w="992" w:type="dxa"/>
            <w:shd w:val="clear" w:color="auto" w:fill="auto"/>
            <w:vAlign w:val="center"/>
          </w:tcPr>
          <w:p w14:paraId="4C0B9309" w14:textId="77777777" w:rsidR="00B96CED" w:rsidRDefault="00B96CED" w:rsidP="00EC5673">
            <w:pPr>
              <w:spacing w:line="480" w:lineRule="auto"/>
              <w:jc w:val="center"/>
              <w:rPr>
                <w:bCs/>
                <w:lang w:val="en-US"/>
              </w:rPr>
            </w:pPr>
            <w:r>
              <w:rPr>
                <w:rFonts w:ascii="Calibri" w:hAnsi="Calibri" w:cs="Calibri"/>
                <w:color w:val="000000"/>
              </w:rPr>
              <w:t>0.69</w:t>
            </w:r>
          </w:p>
        </w:tc>
        <w:tc>
          <w:tcPr>
            <w:tcW w:w="2097" w:type="dxa"/>
            <w:shd w:val="clear" w:color="auto" w:fill="BFBFBF" w:themeFill="background1" w:themeFillShade="BF"/>
            <w:vAlign w:val="center"/>
          </w:tcPr>
          <w:p w14:paraId="731494DC" w14:textId="77777777" w:rsidR="00B96CED" w:rsidRDefault="00B96CED" w:rsidP="00EC5673">
            <w:pPr>
              <w:spacing w:line="480" w:lineRule="auto"/>
              <w:jc w:val="center"/>
              <w:rPr>
                <w:bCs/>
                <w:lang w:val="en-US"/>
              </w:rPr>
            </w:pPr>
          </w:p>
        </w:tc>
        <w:tc>
          <w:tcPr>
            <w:tcW w:w="1162" w:type="dxa"/>
            <w:shd w:val="clear" w:color="auto" w:fill="BFBFBF" w:themeFill="background1" w:themeFillShade="BF"/>
            <w:vAlign w:val="center"/>
          </w:tcPr>
          <w:p w14:paraId="779FBEE5" w14:textId="77777777" w:rsidR="00B96CED" w:rsidRDefault="00B96CED" w:rsidP="00EC5673">
            <w:pPr>
              <w:spacing w:line="480" w:lineRule="auto"/>
              <w:jc w:val="center"/>
              <w:rPr>
                <w:bCs/>
                <w:lang w:val="en-US"/>
              </w:rPr>
            </w:pPr>
          </w:p>
        </w:tc>
        <w:tc>
          <w:tcPr>
            <w:tcW w:w="2097" w:type="dxa"/>
            <w:shd w:val="clear" w:color="auto" w:fill="BFBFBF" w:themeFill="background1" w:themeFillShade="BF"/>
            <w:vAlign w:val="center"/>
          </w:tcPr>
          <w:p w14:paraId="466B4483" w14:textId="77777777" w:rsidR="00B96CED" w:rsidRDefault="00B96CED" w:rsidP="00EC5673">
            <w:pPr>
              <w:spacing w:line="480" w:lineRule="auto"/>
              <w:ind w:left="142"/>
              <w:jc w:val="center"/>
              <w:rPr>
                <w:bCs/>
                <w:lang w:val="en-US"/>
              </w:rPr>
            </w:pPr>
          </w:p>
        </w:tc>
        <w:tc>
          <w:tcPr>
            <w:tcW w:w="1164" w:type="dxa"/>
            <w:shd w:val="clear" w:color="auto" w:fill="BFBFBF" w:themeFill="background1" w:themeFillShade="BF"/>
            <w:vAlign w:val="center"/>
          </w:tcPr>
          <w:p w14:paraId="1C303008" w14:textId="77777777" w:rsidR="00B96CED" w:rsidRDefault="00B96CED" w:rsidP="00EC5673">
            <w:pPr>
              <w:spacing w:line="480" w:lineRule="auto"/>
              <w:ind w:left="142"/>
              <w:jc w:val="center"/>
              <w:rPr>
                <w:bCs/>
                <w:lang w:val="en-US"/>
              </w:rPr>
            </w:pPr>
          </w:p>
        </w:tc>
      </w:tr>
      <w:tr w:rsidR="00B96CED" w14:paraId="70C56895" w14:textId="77777777" w:rsidTr="00EC5673">
        <w:trPr>
          <w:gridAfter w:val="1"/>
          <w:wAfter w:w="8" w:type="dxa"/>
        </w:trPr>
        <w:tc>
          <w:tcPr>
            <w:tcW w:w="2977" w:type="dxa"/>
          </w:tcPr>
          <w:p w14:paraId="05F34F5F" w14:textId="77777777" w:rsidR="00B96CED" w:rsidRDefault="00B96CED" w:rsidP="00EC5673">
            <w:pPr>
              <w:spacing w:line="480" w:lineRule="auto"/>
              <w:ind w:left="29" w:hanging="29"/>
              <w:rPr>
                <w:bCs/>
                <w:lang w:val="en-US"/>
              </w:rPr>
            </w:pPr>
            <w:r w:rsidRPr="000E0335">
              <w:rPr>
                <w:bCs/>
                <w:lang w:val="en-US"/>
              </w:rPr>
              <w:t>Death (all-cause)</w:t>
            </w:r>
          </w:p>
        </w:tc>
        <w:tc>
          <w:tcPr>
            <w:tcW w:w="1985" w:type="dxa"/>
            <w:shd w:val="clear" w:color="auto" w:fill="BFBFBF" w:themeFill="background1" w:themeFillShade="BF"/>
            <w:vAlign w:val="center"/>
          </w:tcPr>
          <w:p w14:paraId="62389A72" w14:textId="77777777" w:rsidR="00B96CED" w:rsidRDefault="00B96CED" w:rsidP="00EC5673">
            <w:pPr>
              <w:spacing w:line="480" w:lineRule="auto"/>
              <w:jc w:val="center"/>
              <w:rPr>
                <w:bCs/>
                <w:lang w:val="en-US"/>
              </w:rPr>
            </w:pPr>
          </w:p>
        </w:tc>
        <w:tc>
          <w:tcPr>
            <w:tcW w:w="1022" w:type="dxa"/>
            <w:shd w:val="clear" w:color="auto" w:fill="BFBFBF" w:themeFill="background1" w:themeFillShade="BF"/>
            <w:vAlign w:val="center"/>
          </w:tcPr>
          <w:p w14:paraId="3089E454" w14:textId="77777777" w:rsidR="00B96CED" w:rsidRDefault="00B96CED" w:rsidP="00EC5673">
            <w:pPr>
              <w:spacing w:line="480" w:lineRule="auto"/>
              <w:jc w:val="center"/>
              <w:rPr>
                <w:bCs/>
                <w:lang w:val="en-US"/>
              </w:rPr>
            </w:pPr>
          </w:p>
        </w:tc>
        <w:tc>
          <w:tcPr>
            <w:tcW w:w="1955" w:type="dxa"/>
            <w:shd w:val="clear" w:color="auto" w:fill="BFBFBF" w:themeFill="background1" w:themeFillShade="BF"/>
            <w:vAlign w:val="center"/>
          </w:tcPr>
          <w:p w14:paraId="350926FC" w14:textId="77777777" w:rsidR="00B96CED" w:rsidRDefault="00B96CED" w:rsidP="00EC5673">
            <w:pPr>
              <w:spacing w:line="480" w:lineRule="auto"/>
              <w:jc w:val="center"/>
              <w:rPr>
                <w:bCs/>
                <w:lang w:val="en-US"/>
              </w:rPr>
            </w:pPr>
          </w:p>
        </w:tc>
        <w:tc>
          <w:tcPr>
            <w:tcW w:w="992" w:type="dxa"/>
            <w:shd w:val="clear" w:color="auto" w:fill="BFBFBF" w:themeFill="background1" w:themeFillShade="BF"/>
            <w:vAlign w:val="center"/>
          </w:tcPr>
          <w:p w14:paraId="3B295B6D" w14:textId="77777777" w:rsidR="00B96CED" w:rsidRDefault="00B96CED" w:rsidP="00EC5673">
            <w:pPr>
              <w:spacing w:line="480" w:lineRule="auto"/>
              <w:jc w:val="center"/>
              <w:rPr>
                <w:bCs/>
                <w:lang w:val="en-US"/>
              </w:rPr>
            </w:pPr>
          </w:p>
        </w:tc>
        <w:tc>
          <w:tcPr>
            <w:tcW w:w="2097" w:type="dxa"/>
            <w:vAlign w:val="center"/>
          </w:tcPr>
          <w:p w14:paraId="3CA5422F" w14:textId="77777777" w:rsidR="00B96CED" w:rsidRDefault="00B96CED" w:rsidP="00EC5673">
            <w:pPr>
              <w:spacing w:line="480" w:lineRule="auto"/>
              <w:jc w:val="center"/>
              <w:rPr>
                <w:bCs/>
                <w:lang w:val="en-US"/>
              </w:rPr>
            </w:pPr>
            <w:r w:rsidRPr="000E0335">
              <w:rPr>
                <w:bCs/>
                <w:lang w:val="en-US"/>
              </w:rPr>
              <w:t>0.92 (0.87-0.98)</w:t>
            </w:r>
          </w:p>
        </w:tc>
        <w:tc>
          <w:tcPr>
            <w:tcW w:w="1162" w:type="dxa"/>
            <w:vAlign w:val="center"/>
          </w:tcPr>
          <w:p w14:paraId="2AE8D9E5" w14:textId="77777777" w:rsidR="00B96CED" w:rsidRDefault="00B96CED" w:rsidP="00EC5673">
            <w:pPr>
              <w:spacing w:line="480" w:lineRule="auto"/>
              <w:jc w:val="center"/>
              <w:rPr>
                <w:bCs/>
                <w:lang w:val="en-US"/>
              </w:rPr>
            </w:pPr>
            <w:r w:rsidRPr="000E0335">
              <w:rPr>
                <w:bCs/>
                <w:lang w:val="en-US"/>
              </w:rPr>
              <w:t>0.006</w:t>
            </w:r>
          </w:p>
        </w:tc>
        <w:tc>
          <w:tcPr>
            <w:tcW w:w="2097" w:type="dxa"/>
            <w:shd w:val="clear" w:color="auto" w:fill="auto"/>
            <w:vAlign w:val="center"/>
          </w:tcPr>
          <w:p w14:paraId="41FBF158" w14:textId="77777777" w:rsidR="00B96CED" w:rsidRDefault="00B96CED" w:rsidP="00EC5673">
            <w:pPr>
              <w:spacing w:line="480" w:lineRule="auto"/>
              <w:ind w:left="142"/>
              <w:jc w:val="center"/>
              <w:rPr>
                <w:bCs/>
                <w:lang w:val="en-US"/>
              </w:rPr>
            </w:pPr>
            <w:r w:rsidRPr="000E0335">
              <w:rPr>
                <w:bCs/>
                <w:lang w:val="en-US"/>
              </w:rPr>
              <w:t>0.93 (0.88-0.99)</w:t>
            </w:r>
          </w:p>
        </w:tc>
        <w:tc>
          <w:tcPr>
            <w:tcW w:w="1164" w:type="dxa"/>
            <w:shd w:val="clear" w:color="auto" w:fill="auto"/>
            <w:vAlign w:val="center"/>
          </w:tcPr>
          <w:p w14:paraId="79669DEC" w14:textId="77777777" w:rsidR="00B96CED" w:rsidRDefault="00B96CED" w:rsidP="00EC5673">
            <w:pPr>
              <w:spacing w:line="480" w:lineRule="auto"/>
              <w:ind w:left="142"/>
              <w:jc w:val="center"/>
              <w:rPr>
                <w:bCs/>
                <w:lang w:val="en-US"/>
              </w:rPr>
            </w:pPr>
            <w:r w:rsidRPr="000E0335">
              <w:rPr>
                <w:bCs/>
                <w:lang w:val="en-US"/>
              </w:rPr>
              <w:t>0.025</w:t>
            </w:r>
          </w:p>
        </w:tc>
      </w:tr>
      <w:tr w:rsidR="00B96CED" w14:paraId="14F188DB" w14:textId="77777777" w:rsidTr="00EC5673">
        <w:tc>
          <w:tcPr>
            <w:tcW w:w="15459" w:type="dxa"/>
            <w:gridSpan w:val="10"/>
          </w:tcPr>
          <w:p w14:paraId="604A1416" w14:textId="77777777" w:rsidR="00B96CED" w:rsidRPr="000E0335" w:rsidRDefault="00B96CED" w:rsidP="00EC5673">
            <w:pPr>
              <w:spacing w:line="480" w:lineRule="auto"/>
              <w:rPr>
                <w:bCs/>
                <w:lang w:val="en-US"/>
              </w:rPr>
            </w:pPr>
            <w:r w:rsidRPr="000E0335">
              <w:rPr>
                <w:rFonts w:cs="Arial"/>
                <w:b/>
                <w:bCs/>
                <w:i/>
                <w:iCs/>
              </w:rPr>
              <w:t xml:space="preserve">Sensitivity analysis: hospitalisation outcomes (i.e., no ED </w:t>
            </w:r>
            <w:proofErr w:type="gramStart"/>
            <w:r w:rsidRPr="000E0335">
              <w:rPr>
                <w:rFonts w:cs="Arial"/>
                <w:b/>
                <w:bCs/>
                <w:i/>
                <w:iCs/>
              </w:rPr>
              <w:t>visits)</w:t>
            </w:r>
            <w:r w:rsidRPr="00BD26C5">
              <w:rPr>
                <w:rFonts w:cs="Arial"/>
                <w:b/>
                <w:bCs/>
                <w:i/>
                <w:iCs/>
                <w:vertAlign w:val="superscript"/>
              </w:rPr>
              <w:t>f</w:t>
            </w:r>
            <w:proofErr w:type="gramEnd"/>
          </w:p>
        </w:tc>
      </w:tr>
      <w:tr w:rsidR="00B96CED" w14:paraId="0FC86A0F" w14:textId="77777777" w:rsidTr="00EC5673">
        <w:trPr>
          <w:gridAfter w:val="1"/>
          <w:wAfter w:w="8" w:type="dxa"/>
        </w:trPr>
        <w:tc>
          <w:tcPr>
            <w:tcW w:w="2977" w:type="dxa"/>
          </w:tcPr>
          <w:p w14:paraId="111BEC83" w14:textId="77777777" w:rsidR="00B96CED" w:rsidRPr="000E0335" w:rsidRDefault="00B96CED" w:rsidP="00EC5673">
            <w:pPr>
              <w:spacing w:line="480" w:lineRule="auto"/>
              <w:ind w:left="29" w:hanging="29"/>
              <w:rPr>
                <w:bCs/>
                <w:lang w:val="en-US"/>
              </w:rPr>
            </w:pPr>
            <w:r>
              <w:rPr>
                <w:bCs/>
                <w:lang w:val="en-US"/>
              </w:rPr>
              <w:t>U</w:t>
            </w:r>
            <w:r w:rsidRPr="009872F8">
              <w:rPr>
                <w:bCs/>
                <w:lang w:val="en-US"/>
              </w:rPr>
              <w:t xml:space="preserve">nplanned </w:t>
            </w:r>
            <w:proofErr w:type="spellStart"/>
            <w:r w:rsidRPr="009872F8">
              <w:rPr>
                <w:bCs/>
                <w:lang w:val="en-US"/>
              </w:rPr>
              <w:t>hospitali</w:t>
            </w:r>
            <w:r>
              <w:rPr>
                <w:bCs/>
                <w:lang w:val="en-US"/>
              </w:rPr>
              <w:t>s</w:t>
            </w:r>
            <w:r w:rsidRPr="009872F8">
              <w:rPr>
                <w:bCs/>
                <w:lang w:val="en-US"/>
              </w:rPr>
              <w:t>ation</w:t>
            </w:r>
            <w:proofErr w:type="spellEnd"/>
          </w:p>
        </w:tc>
        <w:tc>
          <w:tcPr>
            <w:tcW w:w="1985" w:type="dxa"/>
            <w:shd w:val="clear" w:color="auto" w:fill="FFFFFF" w:themeFill="background1"/>
            <w:vAlign w:val="center"/>
          </w:tcPr>
          <w:p w14:paraId="774D24D8" w14:textId="77777777" w:rsidR="00B96CED" w:rsidRPr="00E66683" w:rsidRDefault="00B96CED" w:rsidP="00EC5673">
            <w:pPr>
              <w:spacing w:line="480" w:lineRule="auto"/>
              <w:jc w:val="center"/>
              <w:rPr>
                <w:bCs/>
                <w:lang w:val="en-US"/>
              </w:rPr>
            </w:pPr>
            <w:r w:rsidRPr="00E66683">
              <w:rPr>
                <w:bCs/>
                <w:lang w:val="en-US"/>
              </w:rPr>
              <w:t>0.97 (0.94-1.01)</w:t>
            </w:r>
          </w:p>
        </w:tc>
        <w:tc>
          <w:tcPr>
            <w:tcW w:w="1022" w:type="dxa"/>
            <w:shd w:val="clear" w:color="auto" w:fill="FFFFFF" w:themeFill="background1"/>
            <w:vAlign w:val="center"/>
          </w:tcPr>
          <w:p w14:paraId="658B68B4" w14:textId="77777777" w:rsidR="00B96CED" w:rsidRPr="00E66683" w:rsidRDefault="00B96CED" w:rsidP="00EC5673">
            <w:pPr>
              <w:spacing w:line="480" w:lineRule="auto"/>
              <w:jc w:val="center"/>
              <w:rPr>
                <w:bCs/>
                <w:lang w:val="en-US"/>
              </w:rPr>
            </w:pPr>
            <w:r w:rsidRPr="00E66683">
              <w:rPr>
                <w:bCs/>
                <w:lang w:val="en-US"/>
              </w:rPr>
              <w:t>0.13</w:t>
            </w:r>
          </w:p>
        </w:tc>
        <w:tc>
          <w:tcPr>
            <w:tcW w:w="1955" w:type="dxa"/>
            <w:shd w:val="clear" w:color="auto" w:fill="FFFFFF" w:themeFill="background1"/>
          </w:tcPr>
          <w:p w14:paraId="303CB382" w14:textId="77777777" w:rsidR="00B96CED" w:rsidRPr="00E66683" w:rsidRDefault="00B96CED" w:rsidP="00EC5673">
            <w:pPr>
              <w:spacing w:line="480" w:lineRule="auto"/>
              <w:jc w:val="center"/>
              <w:rPr>
                <w:bCs/>
                <w:lang w:val="en-US"/>
              </w:rPr>
            </w:pPr>
            <w:r w:rsidRPr="00E66683">
              <w:t>1.00 (0.96-1.04)</w:t>
            </w:r>
          </w:p>
        </w:tc>
        <w:tc>
          <w:tcPr>
            <w:tcW w:w="992" w:type="dxa"/>
            <w:shd w:val="clear" w:color="auto" w:fill="FFFFFF" w:themeFill="background1"/>
          </w:tcPr>
          <w:p w14:paraId="23BF4E35" w14:textId="77777777" w:rsidR="00B96CED" w:rsidRPr="00E66683" w:rsidRDefault="00B96CED" w:rsidP="00EC5673">
            <w:pPr>
              <w:spacing w:line="480" w:lineRule="auto"/>
              <w:jc w:val="center"/>
              <w:rPr>
                <w:bCs/>
                <w:lang w:val="en-US"/>
              </w:rPr>
            </w:pPr>
            <w:r w:rsidRPr="00E66683">
              <w:t>0.89</w:t>
            </w:r>
          </w:p>
        </w:tc>
        <w:tc>
          <w:tcPr>
            <w:tcW w:w="2097" w:type="dxa"/>
            <w:shd w:val="clear" w:color="auto" w:fill="BFBFBF" w:themeFill="background1" w:themeFillShade="BF"/>
            <w:vAlign w:val="center"/>
          </w:tcPr>
          <w:p w14:paraId="7D2801C5" w14:textId="77777777" w:rsidR="00B96CED" w:rsidRPr="000E0335" w:rsidRDefault="00B96CED" w:rsidP="00EC5673">
            <w:pPr>
              <w:spacing w:line="480" w:lineRule="auto"/>
              <w:jc w:val="center"/>
              <w:rPr>
                <w:bCs/>
                <w:lang w:val="en-US"/>
              </w:rPr>
            </w:pPr>
          </w:p>
        </w:tc>
        <w:tc>
          <w:tcPr>
            <w:tcW w:w="1162" w:type="dxa"/>
            <w:shd w:val="clear" w:color="auto" w:fill="BFBFBF" w:themeFill="background1" w:themeFillShade="BF"/>
            <w:vAlign w:val="center"/>
          </w:tcPr>
          <w:p w14:paraId="02D8DD74" w14:textId="77777777" w:rsidR="00B96CED" w:rsidRPr="000E0335" w:rsidRDefault="00B96CED" w:rsidP="00EC5673">
            <w:pPr>
              <w:spacing w:line="480" w:lineRule="auto"/>
              <w:jc w:val="center"/>
              <w:rPr>
                <w:bCs/>
                <w:lang w:val="en-US"/>
              </w:rPr>
            </w:pPr>
          </w:p>
        </w:tc>
        <w:tc>
          <w:tcPr>
            <w:tcW w:w="2097" w:type="dxa"/>
            <w:shd w:val="clear" w:color="auto" w:fill="BFBFBF" w:themeFill="background1" w:themeFillShade="BF"/>
            <w:vAlign w:val="center"/>
          </w:tcPr>
          <w:p w14:paraId="54B45A6B" w14:textId="77777777" w:rsidR="00B96CED" w:rsidRPr="000E0335" w:rsidRDefault="00B96CED" w:rsidP="00EC5673">
            <w:pPr>
              <w:spacing w:line="480" w:lineRule="auto"/>
              <w:ind w:left="142"/>
              <w:jc w:val="center"/>
              <w:rPr>
                <w:bCs/>
                <w:lang w:val="en-US"/>
              </w:rPr>
            </w:pPr>
          </w:p>
        </w:tc>
        <w:tc>
          <w:tcPr>
            <w:tcW w:w="1164" w:type="dxa"/>
            <w:shd w:val="clear" w:color="auto" w:fill="BFBFBF" w:themeFill="background1" w:themeFillShade="BF"/>
            <w:vAlign w:val="center"/>
          </w:tcPr>
          <w:p w14:paraId="25FDAC51" w14:textId="77777777" w:rsidR="00B96CED" w:rsidRPr="000E0335" w:rsidRDefault="00B96CED" w:rsidP="00EC5673">
            <w:pPr>
              <w:spacing w:line="480" w:lineRule="auto"/>
              <w:ind w:left="142"/>
              <w:jc w:val="center"/>
              <w:rPr>
                <w:bCs/>
                <w:lang w:val="en-US"/>
              </w:rPr>
            </w:pPr>
          </w:p>
        </w:tc>
      </w:tr>
      <w:tr w:rsidR="00B96CED" w14:paraId="2E399FE3" w14:textId="77777777" w:rsidTr="00EC5673">
        <w:trPr>
          <w:gridAfter w:val="1"/>
          <w:wAfter w:w="8" w:type="dxa"/>
        </w:trPr>
        <w:tc>
          <w:tcPr>
            <w:tcW w:w="2977" w:type="dxa"/>
          </w:tcPr>
          <w:p w14:paraId="169971A2" w14:textId="77777777" w:rsidR="00B96CED" w:rsidRPr="000E0335" w:rsidRDefault="00B96CED" w:rsidP="00EC5673">
            <w:pPr>
              <w:spacing w:line="480" w:lineRule="auto"/>
              <w:ind w:left="29" w:hanging="29"/>
              <w:rPr>
                <w:bCs/>
                <w:lang w:val="en-US"/>
              </w:rPr>
            </w:pPr>
            <w:r>
              <w:rPr>
                <w:bCs/>
                <w:lang w:val="en-US"/>
              </w:rPr>
              <w:t xml:space="preserve">Fall-related </w:t>
            </w:r>
            <w:proofErr w:type="spellStart"/>
            <w:r>
              <w:rPr>
                <w:bCs/>
                <w:lang w:val="en-US"/>
              </w:rPr>
              <w:t>h</w:t>
            </w:r>
            <w:r w:rsidRPr="009872F8">
              <w:rPr>
                <w:bCs/>
                <w:lang w:val="en-US"/>
              </w:rPr>
              <w:t>ospitali</w:t>
            </w:r>
            <w:r>
              <w:rPr>
                <w:bCs/>
                <w:lang w:val="en-US"/>
              </w:rPr>
              <w:t>s</w:t>
            </w:r>
            <w:r w:rsidRPr="009872F8">
              <w:rPr>
                <w:bCs/>
                <w:lang w:val="en-US"/>
              </w:rPr>
              <w:t>ation</w:t>
            </w:r>
            <w:proofErr w:type="spellEnd"/>
          </w:p>
        </w:tc>
        <w:tc>
          <w:tcPr>
            <w:tcW w:w="1985" w:type="dxa"/>
            <w:shd w:val="clear" w:color="auto" w:fill="FFFFFF" w:themeFill="background1"/>
            <w:vAlign w:val="center"/>
          </w:tcPr>
          <w:p w14:paraId="17A8FF76" w14:textId="77777777" w:rsidR="00B96CED" w:rsidRPr="00E66683" w:rsidRDefault="00B96CED" w:rsidP="00EC5673">
            <w:pPr>
              <w:spacing w:line="480" w:lineRule="auto"/>
              <w:jc w:val="center"/>
              <w:rPr>
                <w:bCs/>
                <w:lang w:val="en-US"/>
              </w:rPr>
            </w:pPr>
            <w:r w:rsidRPr="00E66683">
              <w:rPr>
                <w:bCs/>
                <w:lang w:val="en-US"/>
              </w:rPr>
              <w:t xml:space="preserve">1.03 (0.96-1.09) </w:t>
            </w:r>
          </w:p>
        </w:tc>
        <w:tc>
          <w:tcPr>
            <w:tcW w:w="1022" w:type="dxa"/>
            <w:shd w:val="clear" w:color="auto" w:fill="FFFFFF" w:themeFill="background1"/>
            <w:vAlign w:val="center"/>
          </w:tcPr>
          <w:p w14:paraId="495D20C4" w14:textId="77777777" w:rsidR="00B96CED" w:rsidRPr="00E66683" w:rsidRDefault="00B96CED" w:rsidP="00EC5673">
            <w:pPr>
              <w:spacing w:line="480" w:lineRule="auto"/>
              <w:jc w:val="center"/>
              <w:rPr>
                <w:bCs/>
                <w:lang w:val="en-US"/>
              </w:rPr>
            </w:pPr>
            <w:r w:rsidRPr="00E66683">
              <w:rPr>
                <w:bCs/>
                <w:lang w:val="en-US"/>
              </w:rPr>
              <w:t>0.42</w:t>
            </w:r>
          </w:p>
        </w:tc>
        <w:tc>
          <w:tcPr>
            <w:tcW w:w="1955" w:type="dxa"/>
            <w:shd w:val="clear" w:color="auto" w:fill="FFFFFF" w:themeFill="background1"/>
            <w:vAlign w:val="bottom"/>
          </w:tcPr>
          <w:p w14:paraId="14BEE34F" w14:textId="77777777" w:rsidR="00B96CED" w:rsidRPr="00E66683" w:rsidRDefault="00B96CED" w:rsidP="00EC5673">
            <w:pPr>
              <w:spacing w:line="480" w:lineRule="auto"/>
              <w:jc w:val="center"/>
              <w:rPr>
                <w:bCs/>
                <w:lang w:val="en-US"/>
              </w:rPr>
            </w:pPr>
            <w:r w:rsidRPr="00E66683">
              <w:rPr>
                <w:rFonts w:ascii="Calibri" w:hAnsi="Calibri" w:cs="Calibri"/>
                <w:color w:val="000000"/>
              </w:rPr>
              <w:t>1.0</w:t>
            </w:r>
            <w:r>
              <w:rPr>
                <w:rFonts w:ascii="Calibri" w:hAnsi="Calibri" w:cs="Calibri"/>
                <w:color w:val="000000"/>
              </w:rPr>
              <w:t>5</w:t>
            </w:r>
            <w:r w:rsidRPr="00E66683">
              <w:rPr>
                <w:rFonts w:ascii="Calibri" w:hAnsi="Calibri" w:cs="Calibri"/>
                <w:color w:val="000000"/>
              </w:rPr>
              <w:t xml:space="preserve"> (0.99-1.</w:t>
            </w:r>
            <w:r>
              <w:rPr>
                <w:rFonts w:ascii="Calibri" w:hAnsi="Calibri" w:cs="Calibri"/>
                <w:color w:val="000000"/>
              </w:rPr>
              <w:t>12</w:t>
            </w:r>
            <w:r w:rsidRPr="00E66683">
              <w:rPr>
                <w:rFonts w:ascii="Calibri" w:hAnsi="Calibri" w:cs="Calibri"/>
                <w:color w:val="000000"/>
              </w:rPr>
              <w:t>)</w:t>
            </w:r>
          </w:p>
        </w:tc>
        <w:tc>
          <w:tcPr>
            <w:tcW w:w="992" w:type="dxa"/>
            <w:shd w:val="clear" w:color="auto" w:fill="FFFFFF" w:themeFill="background1"/>
            <w:vAlign w:val="bottom"/>
          </w:tcPr>
          <w:p w14:paraId="7A231AF2" w14:textId="77777777" w:rsidR="00B96CED" w:rsidRPr="00E66683" w:rsidRDefault="00B96CED" w:rsidP="00EC5673">
            <w:pPr>
              <w:spacing w:line="480" w:lineRule="auto"/>
              <w:jc w:val="center"/>
              <w:rPr>
                <w:bCs/>
                <w:lang w:val="en-US"/>
              </w:rPr>
            </w:pPr>
            <w:r w:rsidRPr="00E66683">
              <w:rPr>
                <w:rFonts w:ascii="Calibri" w:hAnsi="Calibri" w:cs="Calibri"/>
                <w:color w:val="000000"/>
              </w:rPr>
              <w:t>0.1</w:t>
            </w:r>
            <w:r>
              <w:rPr>
                <w:rFonts w:ascii="Calibri" w:hAnsi="Calibri" w:cs="Calibri"/>
                <w:color w:val="000000"/>
              </w:rPr>
              <w:t>3</w:t>
            </w:r>
          </w:p>
        </w:tc>
        <w:tc>
          <w:tcPr>
            <w:tcW w:w="2097" w:type="dxa"/>
            <w:shd w:val="clear" w:color="auto" w:fill="BFBFBF" w:themeFill="background1" w:themeFillShade="BF"/>
            <w:vAlign w:val="center"/>
          </w:tcPr>
          <w:p w14:paraId="2FCDC088" w14:textId="77777777" w:rsidR="00B96CED" w:rsidRPr="000E0335" w:rsidRDefault="00B96CED" w:rsidP="00EC5673">
            <w:pPr>
              <w:spacing w:line="480" w:lineRule="auto"/>
              <w:jc w:val="center"/>
              <w:rPr>
                <w:bCs/>
                <w:lang w:val="en-US"/>
              </w:rPr>
            </w:pPr>
          </w:p>
        </w:tc>
        <w:tc>
          <w:tcPr>
            <w:tcW w:w="1162" w:type="dxa"/>
            <w:shd w:val="clear" w:color="auto" w:fill="BFBFBF" w:themeFill="background1" w:themeFillShade="BF"/>
            <w:vAlign w:val="center"/>
          </w:tcPr>
          <w:p w14:paraId="035FFCBF" w14:textId="77777777" w:rsidR="00B96CED" w:rsidRPr="000E0335" w:rsidRDefault="00B96CED" w:rsidP="00EC5673">
            <w:pPr>
              <w:spacing w:line="480" w:lineRule="auto"/>
              <w:jc w:val="center"/>
              <w:rPr>
                <w:bCs/>
                <w:lang w:val="en-US"/>
              </w:rPr>
            </w:pPr>
          </w:p>
        </w:tc>
        <w:tc>
          <w:tcPr>
            <w:tcW w:w="2097" w:type="dxa"/>
            <w:shd w:val="clear" w:color="auto" w:fill="BFBFBF" w:themeFill="background1" w:themeFillShade="BF"/>
            <w:vAlign w:val="center"/>
          </w:tcPr>
          <w:p w14:paraId="146FEEFA" w14:textId="77777777" w:rsidR="00B96CED" w:rsidRPr="000E0335" w:rsidRDefault="00B96CED" w:rsidP="00EC5673">
            <w:pPr>
              <w:spacing w:line="480" w:lineRule="auto"/>
              <w:ind w:left="142"/>
              <w:jc w:val="center"/>
              <w:rPr>
                <w:bCs/>
                <w:lang w:val="en-US"/>
              </w:rPr>
            </w:pPr>
          </w:p>
        </w:tc>
        <w:tc>
          <w:tcPr>
            <w:tcW w:w="1164" w:type="dxa"/>
            <w:shd w:val="clear" w:color="auto" w:fill="BFBFBF" w:themeFill="background1" w:themeFillShade="BF"/>
            <w:vAlign w:val="center"/>
          </w:tcPr>
          <w:p w14:paraId="252F9A27" w14:textId="77777777" w:rsidR="00B96CED" w:rsidRPr="000E0335" w:rsidRDefault="00B96CED" w:rsidP="00EC5673">
            <w:pPr>
              <w:spacing w:line="480" w:lineRule="auto"/>
              <w:ind w:left="142"/>
              <w:jc w:val="center"/>
              <w:rPr>
                <w:bCs/>
                <w:lang w:val="en-US"/>
              </w:rPr>
            </w:pPr>
          </w:p>
        </w:tc>
      </w:tr>
    </w:tbl>
    <w:p w14:paraId="73B79982" w14:textId="77777777" w:rsidR="00B96CED" w:rsidRPr="00FF62C8" w:rsidRDefault="00B96CED" w:rsidP="00B96CED">
      <w:pPr>
        <w:spacing w:after="0" w:line="240" w:lineRule="auto"/>
        <w:ind w:left="142"/>
        <w:rPr>
          <w:bCs/>
          <w:lang w:val="en-US"/>
        </w:rPr>
      </w:pPr>
      <w:proofErr w:type="spellStart"/>
      <w:proofErr w:type="gramStart"/>
      <w:r>
        <w:rPr>
          <w:bCs/>
          <w:vertAlign w:val="superscript"/>
          <w:lang w:val="en-US"/>
        </w:rPr>
        <w:t>a</w:t>
      </w:r>
      <w:proofErr w:type="spellEnd"/>
      <w:proofErr w:type="gramEnd"/>
      <w:r w:rsidRPr="00FF62C8">
        <w:rPr>
          <w:bCs/>
          <w:lang w:val="en-US"/>
        </w:rPr>
        <w:t xml:space="preserve"> Estimates from unadjusted competing risk regression model </w:t>
      </w:r>
    </w:p>
    <w:p w14:paraId="65890C75" w14:textId="77777777" w:rsidR="00B96CED" w:rsidRPr="00FF62C8" w:rsidRDefault="00B96CED" w:rsidP="00B96CED">
      <w:pPr>
        <w:spacing w:after="0" w:line="240" w:lineRule="auto"/>
        <w:ind w:left="142"/>
        <w:rPr>
          <w:bCs/>
          <w:lang w:val="en-US"/>
        </w:rPr>
      </w:pPr>
      <w:r>
        <w:rPr>
          <w:bCs/>
          <w:vertAlign w:val="superscript"/>
          <w:lang w:val="en-US"/>
        </w:rPr>
        <w:t>b</w:t>
      </w:r>
      <w:r w:rsidRPr="00FF62C8">
        <w:rPr>
          <w:bCs/>
          <w:lang w:val="en-US"/>
        </w:rPr>
        <w:t xml:space="preserve"> Estimates from competing risk regression model, adjusted for covariates described in methods; competing event was death </w:t>
      </w:r>
    </w:p>
    <w:p w14:paraId="55AFC4A3" w14:textId="77777777" w:rsidR="00B96CED" w:rsidRPr="00FF62C8" w:rsidRDefault="00B96CED" w:rsidP="00B96CED">
      <w:pPr>
        <w:spacing w:after="0" w:line="240" w:lineRule="auto"/>
        <w:ind w:left="142"/>
        <w:rPr>
          <w:bCs/>
          <w:lang w:val="en-US"/>
        </w:rPr>
      </w:pPr>
      <w:r>
        <w:rPr>
          <w:bCs/>
          <w:vertAlign w:val="superscript"/>
          <w:lang w:val="en-US"/>
        </w:rPr>
        <w:t>c</w:t>
      </w:r>
      <w:r w:rsidRPr="00FF62C8">
        <w:rPr>
          <w:bCs/>
          <w:lang w:val="en-US"/>
        </w:rPr>
        <w:t xml:space="preserve"> Estimates from unadjusted Cox regression model</w:t>
      </w:r>
    </w:p>
    <w:p w14:paraId="53177CC7" w14:textId="77777777" w:rsidR="00B96CED" w:rsidRDefault="00B96CED" w:rsidP="00B96CED">
      <w:pPr>
        <w:spacing w:after="0" w:line="240" w:lineRule="auto"/>
        <w:ind w:left="142"/>
        <w:rPr>
          <w:bCs/>
          <w:lang w:val="en-US"/>
        </w:rPr>
      </w:pPr>
      <w:r>
        <w:rPr>
          <w:bCs/>
          <w:vertAlign w:val="superscript"/>
          <w:lang w:val="en-US"/>
        </w:rPr>
        <w:t>d</w:t>
      </w:r>
      <w:r w:rsidRPr="00FF62C8">
        <w:rPr>
          <w:bCs/>
          <w:lang w:val="en-US"/>
        </w:rPr>
        <w:t xml:space="preserve"> Estimates from Cox regression models adjusted for all covariates described in methods</w:t>
      </w:r>
    </w:p>
    <w:p w14:paraId="471AB6C8" w14:textId="77777777" w:rsidR="00B96CED" w:rsidRPr="0086121A" w:rsidRDefault="00B96CED" w:rsidP="00B96CED">
      <w:pPr>
        <w:spacing w:after="0" w:line="240" w:lineRule="auto"/>
        <w:ind w:left="142"/>
        <w:rPr>
          <w:rFonts w:ascii="Calibri" w:hAnsi="Calibri" w:cs="Calibri"/>
          <w:bCs/>
          <w:noProof/>
          <w:lang w:val="en-US"/>
        </w:rPr>
      </w:pPr>
      <w:r>
        <w:rPr>
          <w:rFonts w:ascii="Calibri" w:hAnsi="Calibri" w:cs="Calibri"/>
          <w:bCs/>
          <w:noProof/>
          <w:vertAlign w:val="superscript"/>
          <w:lang w:val="en-US"/>
        </w:rPr>
        <w:t>e</w:t>
      </w:r>
      <w:r>
        <w:rPr>
          <w:rFonts w:ascii="Calibri" w:hAnsi="Calibri" w:cs="Calibri"/>
          <w:bCs/>
          <w:noProof/>
          <w:lang w:val="en-US"/>
        </w:rPr>
        <w:t xml:space="preserve"> </w:t>
      </w:r>
      <w:r w:rsidRPr="0086121A">
        <w:rPr>
          <w:rFonts w:ascii="Calibri" w:hAnsi="Calibri" w:cs="Calibri"/>
          <w:bCs/>
          <w:noProof/>
          <w:lang w:val="en-US"/>
        </w:rPr>
        <w:t>Complete case analysis conducted for all models; sample size=26936 residents</w:t>
      </w:r>
    </w:p>
    <w:p w14:paraId="66E30459" w14:textId="77777777" w:rsidR="00B96CED" w:rsidRDefault="00B96CED" w:rsidP="00B96CED">
      <w:pPr>
        <w:spacing w:after="0" w:line="240" w:lineRule="auto"/>
        <w:ind w:left="142"/>
        <w:rPr>
          <w:rFonts w:ascii="Calibri" w:hAnsi="Calibri" w:cs="Calibri"/>
          <w:bCs/>
          <w:noProof/>
          <w:lang w:val="en-US"/>
        </w:rPr>
      </w:pPr>
      <w:r w:rsidRPr="0086121A">
        <w:rPr>
          <w:bCs/>
          <w:vertAlign w:val="superscript"/>
          <w:lang w:val="en-US"/>
        </w:rPr>
        <w:t>f</w:t>
      </w:r>
      <w:r w:rsidRPr="0086121A">
        <w:rPr>
          <w:bCs/>
          <w:lang w:val="en-US"/>
        </w:rPr>
        <w:t xml:space="preserve"> Complete case analysis conducted for all models; sample size=</w:t>
      </w:r>
      <w:r w:rsidRPr="0086121A">
        <w:rPr>
          <w:rFonts w:ascii="Calibri" w:hAnsi="Calibri" w:cs="Calibri"/>
          <w:bCs/>
          <w:noProof/>
          <w:lang w:val="en-US"/>
        </w:rPr>
        <w:t>57378 individuals</w:t>
      </w:r>
    </w:p>
    <w:p w14:paraId="23CD28DE" w14:textId="4F9D656E" w:rsidR="00003259" w:rsidRDefault="00B96CED" w:rsidP="0005330A">
      <w:pPr>
        <w:spacing w:after="0" w:line="240" w:lineRule="auto"/>
        <w:ind w:left="142"/>
      </w:pPr>
      <w:r>
        <w:rPr>
          <w:bCs/>
          <w:i/>
          <w:iCs/>
          <w:lang w:val="en-US"/>
        </w:rPr>
        <w:t xml:space="preserve">ED emergency department, </w:t>
      </w:r>
      <w:r w:rsidRPr="005F649E">
        <w:rPr>
          <w:bCs/>
          <w:i/>
          <w:iCs/>
          <w:lang w:val="en-US"/>
        </w:rPr>
        <w:t>CI confidence interval, HR hazard ratio, RMMR residential medication management review</w:t>
      </w:r>
      <w:r>
        <w:rPr>
          <w:bCs/>
          <w:i/>
          <w:iCs/>
          <w:lang w:val="en-US"/>
        </w:rPr>
        <w:t xml:space="preserve">; </w:t>
      </w:r>
      <w:proofErr w:type="spellStart"/>
      <w:r>
        <w:rPr>
          <w:bCs/>
          <w:i/>
          <w:iCs/>
          <w:lang w:val="en-US"/>
        </w:rPr>
        <w:t>sHR</w:t>
      </w:r>
      <w:proofErr w:type="spellEnd"/>
      <w:r>
        <w:rPr>
          <w:bCs/>
          <w:i/>
          <w:iCs/>
          <w:lang w:val="en-US"/>
        </w:rPr>
        <w:t xml:space="preserve"> </w:t>
      </w:r>
      <w:proofErr w:type="spellStart"/>
      <w:r>
        <w:rPr>
          <w:bCs/>
          <w:i/>
          <w:iCs/>
          <w:lang w:val="en-US"/>
        </w:rPr>
        <w:t>subdistribution</w:t>
      </w:r>
      <w:proofErr w:type="spellEnd"/>
      <w:r>
        <w:rPr>
          <w:bCs/>
          <w:i/>
          <w:iCs/>
          <w:lang w:val="en-US"/>
        </w:rPr>
        <w:t xml:space="preserve"> hazard ratio</w:t>
      </w:r>
      <w:r w:rsidR="0005330A">
        <w:rPr>
          <w:bCs/>
          <w:i/>
          <w:iCs/>
          <w:lang w:val="en-US"/>
        </w:rPr>
        <w:t>.</w:t>
      </w:r>
      <w:r w:rsidR="0005330A">
        <w:t xml:space="preserve"> </w:t>
      </w:r>
    </w:p>
    <w:sectPr w:rsidR="00003259" w:rsidSect="0005330A">
      <w:pgSz w:w="16838" w:h="11906" w:orient="landscape"/>
      <w:pgMar w:top="1440" w:right="144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260"/>
    <w:multiLevelType w:val="hybridMultilevel"/>
    <w:tmpl w:val="B2225306"/>
    <w:lvl w:ilvl="0" w:tplc="43069E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392F7316"/>
    <w:multiLevelType w:val="hybridMultilevel"/>
    <w:tmpl w:val="EA5EA90A"/>
    <w:lvl w:ilvl="0" w:tplc="83F01728">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53584041">
    <w:abstractNumId w:val="0"/>
  </w:num>
  <w:num w:numId="2" w16cid:durableId="173940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59"/>
    <w:rsid w:val="00003259"/>
    <w:rsid w:val="0005330A"/>
    <w:rsid w:val="006F0814"/>
    <w:rsid w:val="009627A0"/>
    <w:rsid w:val="00A44DAA"/>
    <w:rsid w:val="00B76AF1"/>
    <w:rsid w:val="00B96CED"/>
    <w:rsid w:val="00BE38F0"/>
    <w:rsid w:val="00CE3100"/>
    <w:rsid w:val="00D87185"/>
    <w:rsid w:val="00DD4BE3"/>
    <w:rsid w:val="00F2460D"/>
    <w:rsid w:val="00F60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31B1"/>
  <w15:chartTrackingRefBased/>
  <w15:docId w15:val="{861F3E09-8603-4567-88DA-E8BC77C3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3259"/>
    <w:pPr>
      <w:spacing w:after="200" w:line="276" w:lineRule="auto"/>
      <w:ind w:left="720"/>
      <w:contextualSpacing/>
    </w:pPr>
  </w:style>
  <w:style w:type="character" w:customStyle="1" w:styleId="ListParagraphChar">
    <w:name w:val="List Paragraph Char"/>
    <w:basedOn w:val="DefaultParagraphFont"/>
    <w:link w:val="ListParagraph"/>
    <w:uiPriority w:val="34"/>
    <w:rsid w:val="00003259"/>
  </w:style>
  <w:style w:type="paragraph" w:customStyle="1" w:styleId="EndNoteBibliography">
    <w:name w:val="EndNote Bibliography"/>
    <w:basedOn w:val="Normal"/>
    <w:link w:val="EndNoteBibliographyChar"/>
    <w:rsid w:val="009627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7A0"/>
    <w:rPr>
      <w:rFonts w:ascii="Calibri" w:hAnsi="Calibri" w:cs="Calibri"/>
      <w:noProof/>
      <w:lang w:val="en-US"/>
    </w:rPr>
  </w:style>
  <w:style w:type="table" w:styleId="TableGrid">
    <w:name w:val="Table Grid"/>
    <w:basedOn w:val="TableNormal"/>
    <w:uiPriority w:val="39"/>
    <w:rsid w:val="00B96CE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Sluggett</dc:creator>
  <cp:keywords/>
  <dc:description/>
  <cp:lastModifiedBy>Katy Ladbrook</cp:lastModifiedBy>
  <cp:revision>2</cp:revision>
  <dcterms:created xsi:type="dcterms:W3CDTF">2022-06-07T09:41:00Z</dcterms:created>
  <dcterms:modified xsi:type="dcterms:W3CDTF">2022-06-07T09:41:00Z</dcterms:modified>
</cp:coreProperties>
</file>