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B8519F" w14:textId="77777777" w:rsidR="002420A3" w:rsidRDefault="003D4DE1" w:rsidP="003D4DE1">
      <w:pPr>
        <w:pStyle w:val="Style3"/>
      </w:pPr>
      <w:bookmarkStart w:id="0" w:name="_GoBack"/>
      <w:bookmarkEnd w:id="0"/>
      <w:r>
        <w:t>SUPPLEMENTARY FIGURES</w:t>
      </w:r>
    </w:p>
    <w:p w14:paraId="18C8749A" w14:textId="597AE056" w:rsidR="006F3606" w:rsidRDefault="006F3606" w:rsidP="006F3606">
      <w:pPr>
        <w:pStyle w:val="IUCrbodytext"/>
        <w:jc w:val="center"/>
        <w:rPr>
          <w:b/>
          <w:bCs/>
        </w:rPr>
      </w:pPr>
      <w:r>
        <w:rPr>
          <w:b/>
          <w:bCs/>
          <w:noProof/>
        </w:rPr>
        <w:drawing>
          <wp:inline distT="0" distB="0" distL="0" distR="0" wp14:anchorId="59FD1F67" wp14:editId="42DB132E">
            <wp:extent cx="5187372" cy="254809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r-construction-2408061_960_720.png"/>
                    <pic:cNvPicPr/>
                  </pic:nvPicPr>
                  <pic:blipFill>
                    <a:blip r:embed="rId6">
                      <a:extLst>
                        <a:ext uri="{28A0092B-C50C-407E-A947-70E740481C1C}">
                          <a14:useLocalDpi xmlns:a14="http://schemas.microsoft.com/office/drawing/2010/main" val="0"/>
                        </a:ext>
                      </a:extLst>
                    </a:blip>
                    <a:stretch>
                      <a:fillRect/>
                    </a:stretch>
                  </pic:blipFill>
                  <pic:spPr>
                    <a:xfrm>
                      <a:off x="0" y="0"/>
                      <a:ext cx="5187372" cy="2548097"/>
                    </a:xfrm>
                    <a:prstGeom prst="rect">
                      <a:avLst/>
                    </a:prstGeom>
                  </pic:spPr>
                </pic:pic>
              </a:graphicData>
            </a:graphic>
          </wp:inline>
        </w:drawing>
      </w:r>
    </w:p>
    <w:p w14:paraId="4FBEF7C3" w14:textId="15635FF3" w:rsidR="00802E1F" w:rsidRDefault="00802E1F" w:rsidP="00802E1F">
      <w:pPr>
        <w:pStyle w:val="IUCrbodytext"/>
        <w:jc w:val="both"/>
      </w:pPr>
      <w:r>
        <w:rPr>
          <w:b/>
          <w:bCs/>
        </w:rPr>
        <w:t>Fig. S1</w:t>
      </w:r>
      <w:r w:rsidRPr="00AB0560">
        <w:rPr>
          <w:b/>
          <w:bCs/>
        </w:rPr>
        <w:t>.</w:t>
      </w:r>
      <w:r w:rsidRPr="00AB0560">
        <w:rPr>
          <w:b/>
          <w:bCs/>
        </w:rPr>
        <w:t> </w:t>
      </w:r>
      <w:r>
        <w:rPr>
          <w:b/>
        </w:rPr>
        <w:t xml:space="preserve">Clustering of KHI and KHII matches </w:t>
      </w:r>
      <w:r w:rsidR="0003720D">
        <w:rPr>
          <w:b/>
        </w:rPr>
        <w:t xml:space="preserve">found </w:t>
      </w:r>
      <w:r>
        <w:rPr>
          <w:b/>
        </w:rPr>
        <w:t>on prokaryotic proteomes.</w:t>
      </w:r>
      <w:r w:rsidRPr="00AB0560">
        <w:t xml:space="preserve"> </w:t>
      </w:r>
      <w:r>
        <w:t>Cluster map</w:t>
      </w:r>
      <w:r w:rsidR="00F60A2E">
        <w:t>s</w:t>
      </w:r>
      <w:r w:rsidR="00EE24D3">
        <w:t xml:space="preserve"> built</w:t>
      </w:r>
      <w:r w:rsidR="00F60A2E">
        <w:t xml:space="preserve"> </w:t>
      </w:r>
      <w:r w:rsidR="00EE24D3">
        <w:t>with</w:t>
      </w:r>
      <w:r w:rsidR="00D2059C">
        <w:t xml:space="preserve"> the matches for KHI (d.51.1</w:t>
      </w:r>
      <w:r>
        <w:t>)</w:t>
      </w:r>
      <w:r w:rsidR="00F60A2E">
        <w:t xml:space="preserve"> and KHII (d.52.3.1)</w:t>
      </w:r>
      <w:r>
        <w:t xml:space="preserve"> </w:t>
      </w:r>
      <w:r w:rsidR="00F60A2E">
        <w:t xml:space="preserve">in (a) archaea and (b) bacteria. </w:t>
      </w:r>
      <w:r>
        <w:t>Clustering was done</w:t>
      </w:r>
      <w:r w:rsidR="00EE24D3">
        <w:t xml:space="preserve"> with CLANS</w:t>
      </w:r>
      <w:r w:rsidR="00C617F6">
        <w:t xml:space="preserve"> </w:t>
      </w:r>
      <w:r w:rsidR="00C617F6">
        <w:fldChar w:fldCharType="begin" w:fldLock="1"/>
      </w:r>
      <w:r w:rsidR="00C617F6">
        <w:instrText>ADDIN CSL_CITATION { "citationItems" : [ { "id" : "ITEM-1", "itemData" : { "DOI" : "10.1093/bioinformatics/bth444", "ISBN" : "1367-4803", "ISSN" : "13674803", "PMID" : "15284097", "abstract" : "SUMMARY: The main source of hypotheses on the structure and function of new proteins is their homology to proteins with known properties. Homologous relationships are typically established through sequence similarity searches, multiple alignments and phylogenetic reconstruction. In cases where the number of potential relationships is large, for example in P-loop NTPases with many thousands of members, alignments and phylogenies become computationally demanding, accumulate errors and lose resolution. In search of a better way to analyze relationships in large sequence datasets we have developed a Java application, CLANS (CLuster ANalysis of Sequences), which uses a version of the Fruchterman-Reingold graph layout algorithm to visualize pairwise sequence similarities in either two-dimensional or three-dimensional space. AVAILABILITY: CLANS can be downloaded at http://protevo.eb.tuebingen.mpg.de/download.", "author" : [ { "dropping-particle" : "", "family" : "Frickey", "given" : "Tancred", "non-dropping-particle" : "", "parse-names" : false, "suffix" : "" }, { "dropping-particle" : "", "family" : "Lupas", "given" : "Andrei", "non-dropping-particle" : "", "parse-names" : false, "suffix" : "" } ], "container-title" : "Bioinformatics", "id" : "ITEM-1", "issue" : "18", "issued" : { "date-parts" : [ [ "2004", "12", "12" ] ] }, "page" : "3702-3704", "publisher" : "Oxford University Press", "title" : "CLANS: A Java application for visualizing protein families based on pairwise similarity", "type" : "article-journal", "volume" : "20" }, "uris" : [ "http://www.mendeley.com/documents/?uuid=a110dc5b-3fd8-4722-bb0e-df49208e6d7b" ] } ], "mendeley" : { "formattedCitation" : "(Frickey and Lupas, 2004)", "plainTextFormattedCitation" : "(Frickey and Lupas, 2004)", "previouslyFormattedCitation" : "(Frickey and Lupas, 2004)" }, "properties" : {  }, "schema" : "https://github.com/citation-style-language/schema/raw/master/csl-citation.json" }</w:instrText>
      </w:r>
      <w:r w:rsidR="00C617F6">
        <w:fldChar w:fldCharType="separate"/>
      </w:r>
      <w:r w:rsidR="00C617F6" w:rsidRPr="00C617F6">
        <w:rPr>
          <w:noProof/>
        </w:rPr>
        <w:t>(Frickey and Lupas, 2004)</w:t>
      </w:r>
      <w:r w:rsidR="00C617F6">
        <w:fldChar w:fldCharType="end"/>
      </w:r>
      <w:r>
        <w:t xml:space="preserve"> in 2D</w:t>
      </w:r>
      <w:r w:rsidR="00FB46DF">
        <w:t xml:space="preserve"> until equilibrium</w:t>
      </w:r>
      <w:r>
        <w:t xml:space="preserve"> at a</w:t>
      </w:r>
      <w:r w:rsidR="00055599">
        <w:t xml:space="preserve"> BLASTp</w:t>
      </w:r>
      <w:r>
        <w:t xml:space="preserve"> </w:t>
      </w:r>
      <w:r w:rsidRPr="00E75197">
        <w:rPr>
          <w:i/>
        </w:rPr>
        <w:t>p</w:t>
      </w:r>
      <w:r>
        <w:t xml:space="preserve">-value cutoff of </w:t>
      </w:r>
      <w:r w:rsidR="00FB46DF">
        <w:t xml:space="preserve">(a) </w:t>
      </w:r>
      <w:r>
        <w:t>10</w:t>
      </w:r>
      <w:r w:rsidRPr="001E094D">
        <w:rPr>
          <w:vertAlign w:val="superscript"/>
        </w:rPr>
        <w:t>-1</w:t>
      </w:r>
      <w:r>
        <w:rPr>
          <w:vertAlign w:val="superscript"/>
        </w:rPr>
        <w:t>4</w:t>
      </w:r>
      <w:r>
        <w:t xml:space="preserve"> </w:t>
      </w:r>
      <w:r w:rsidR="00FB46DF">
        <w:t xml:space="preserve">and (b) </w:t>
      </w:r>
      <w:r w:rsidR="00BE7DD0">
        <w:t>10</w:t>
      </w:r>
      <w:r w:rsidR="00BE7DD0">
        <w:rPr>
          <w:vertAlign w:val="superscript"/>
        </w:rPr>
        <w:t>-6</w:t>
      </w:r>
      <w:r w:rsidR="00BE7DD0">
        <w:t>.</w:t>
      </w:r>
      <w:r>
        <w:t xml:space="preserve"> Do</w:t>
      </w:r>
      <w:r w:rsidR="00EE24D3">
        <w:t xml:space="preserve">ts represent protein sequences and </w:t>
      </w:r>
      <w:r w:rsidRPr="001B6CF3">
        <w:t xml:space="preserve">are colored according to </w:t>
      </w:r>
      <w:r>
        <w:t xml:space="preserve">the </w:t>
      </w:r>
      <w:r w:rsidRPr="001B6CF3">
        <w:t>different protein families</w:t>
      </w:r>
      <w:r w:rsidR="00EE24D3">
        <w:t xml:space="preserve"> </w:t>
      </w:r>
      <w:r>
        <w:t>identified with HHPred</w:t>
      </w:r>
      <w:r w:rsidR="006C6D09">
        <w:t xml:space="preserve"> </w:t>
      </w:r>
      <w:r w:rsidR="006C6D09">
        <w:fldChar w:fldCharType="begin" w:fldLock="1"/>
      </w:r>
      <w:r w:rsidR="006C6D09">
        <w:instrText>ADDIN CSL_CITATION { "citationItems" : [ { "id" : "ITEM-1", "itemData" : { "DOI" : "10.1016/j.jmb.2017.12.007", "ISSN" : "00222836", "PMID" : "29258817", "abstract" : "The MPI Bioinformatics Toolkit (https://toolkit.tuebingen.mpg.de) is a free, one-stop web service for protein bioinformatic analysis. It currently offers 34 interconnected external and in-house tools, whose functionality covers sequence similarity searching, alignment construction, detection of sequence features, structure prediction, and sequence classification. This breadth has made the Toolkit an important resource for experimental biology and for teaching bioinformatic inquiry. Recently, we replaced the first version of the Toolkit, which was released in 2005 and had served around 2.5 million queries, with an entirely new version, focusing on improved features for the comprehensive analysis of proteins, as well as on promoting teaching. For instance, our popular remote homology detection server, HHpred, now allows pairwise comparison of two sequences or alignments and offers additional profile HMMs for several model organisms and domain databases. Here, we introduce the new version of our Toolkit and its application to the analysis of proteins.", "author" : [ { "dropping-particle" : "", "family" : "Zimmermann", "given" : "Lukas", "non-dropping-particle" : "", "parse-names" : false, "suffix" : "" }, { "dropping-particle" : "", "family" : "Stephens", "given" : "Andrew", "non-dropping-particle" : "", "parse-names" : false, "suffix" : "" }, { "dropping-particle" : "", "family" : "Nam", "given" : "Seung-Zin", "non-dropping-particle" : "", "parse-names" : false, "suffix" : "" }, { "dropping-particle" : "", "family" : "Rau", "given" : "David", "non-dropping-particle" : "", "parse-names" : false, "suffix" : "" }, { "dropping-particle" : "", "family" : "K\u00fcbler", "given" : "Jonas", "non-dropping-particle" : "", "parse-names" : false, "suffix" : "" }, { "dropping-particle" : "", "family" : "Lozajic", "given" : "Marko", "non-dropping-particle" : "", "parse-names" : false, "suffix" : "" }, { "dropping-particle" : "", "family" : "Gabler", "given" : "Felix", "non-dropping-particle" : "", "parse-names" : false, "suffix" : "" }, { "dropping-particle" : "", "family" : "S\u00f6ding", "given" : "Johannes", "non-dropping-particle" : "", "parse-names" : false, "suffix" : "" }, { "dropping-particle" : "", "family" : "Lupas", "given" : "Andrei N.", "non-dropping-particle" : "", "parse-names" : false, "suffix" : "" }, { "dropping-particle" : "", "family" : "Alva", "given" : "Vikram", "non-dropping-particle" : "", "parse-names" : false, "suffix" : "" } ], "container-title" : "Journal of Molecular Biology", "id" : "ITEM-1", "issued" : { "date-parts" : [ [ "2018", "12", "16" ] ] }, "title" : "A completely reimplemented MPI Bioinformatics Toolkit with a new HHpred server at its core", "type" : "article-journal" }, "uris" : [ "http://www.mendeley.com/documents/?uuid=0f88194b-9b99-31af-a6ec-649d5d3100c4" ] } ], "mendeley" : { "formattedCitation" : "(Zimmermann &lt;i&gt;et al.&lt;/i&gt;, 2018)", "plainTextFormattedCitation" : "(Zimmermann et al., 2018)", "previouslyFormattedCitation" : "(Zimmermann &lt;i&gt;et al.&lt;/i&gt;, 2018)" }, "properties" : {  }, "schema" : "https://github.com/citation-style-language/schema/raw/master/csl-citation.json" }</w:instrText>
      </w:r>
      <w:r w:rsidR="006C6D09">
        <w:fldChar w:fldCharType="separate"/>
      </w:r>
      <w:r w:rsidR="006C6D09" w:rsidRPr="006C6D09">
        <w:rPr>
          <w:noProof/>
        </w:rPr>
        <w:t xml:space="preserve">(Zimmermann </w:t>
      </w:r>
      <w:r w:rsidR="006C6D09" w:rsidRPr="006C6D09">
        <w:rPr>
          <w:i/>
          <w:noProof/>
        </w:rPr>
        <w:t>et al.</w:t>
      </w:r>
      <w:r w:rsidR="006C6D09" w:rsidRPr="006C6D09">
        <w:rPr>
          <w:noProof/>
        </w:rPr>
        <w:t>, 2018)</w:t>
      </w:r>
      <w:r w:rsidR="006C6D09">
        <w:fldChar w:fldCharType="end"/>
      </w:r>
      <w:r w:rsidRPr="001B6CF3">
        <w:t>.</w:t>
      </w:r>
      <w:r>
        <w:t xml:space="preserve"> C</w:t>
      </w:r>
      <w:r w:rsidRPr="001B6CF3">
        <w:t xml:space="preserve">onnections </w:t>
      </w:r>
      <w:r>
        <w:t xml:space="preserve">represent </w:t>
      </w:r>
      <w:r w:rsidRPr="001B6CF3">
        <w:t xml:space="preserve">similarities </w:t>
      </w:r>
      <w:r>
        <w:t xml:space="preserve">up to a </w:t>
      </w:r>
      <w:r w:rsidRPr="00CE556D">
        <w:rPr>
          <w:i/>
        </w:rPr>
        <w:t>p</w:t>
      </w:r>
      <w:r>
        <w:t xml:space="preserve">-value of </w:t>
      </w:r>
      <w:r w:rsidR="00FB46DF">
        <w:t xml:space="preserve">(a) </w:t>
      </w:r>
      <w:r>
        <w:t>10</w:t>
      </w:r>
      <w:r w:rsidRPr="001E094D">
        <w:rPr>
          <w:vertAlign w:val="superscript"/>
        </w:rPr>
        <w:t>-10</w:t>
      </w:r>
      <w:r>
        <w:t xml:space="preserve"> </w:t>
      </w:r>
      <w:r w:rsidR="00FB46DF">
        <w:t>and (b) 10</w:t>
      </w:r>
      <w:r w:rsidR="00FB46DF">
        <w:rPr>
          <w:vertAlign w:val="superscript"/>
        </w:rPr>
        <w:t>-4</w:t>
      </w:r>
      <w:r w:rsidR="00FB46DF">
        <w:t xml:space="preserve"> </w:t>
      </w:r>
      <w:r w:rsidRPr="001B6CF3">
        <w:t>(darker means more similar).</w:t>
      </w:r>
      <w:r>
        <w:t xml:space="preserve"> </w:t>
      </w:r>
      <w:r w:rsidR="003D433C">
        <w:t xml:space="preserve">Asterisks (*) mark protein families for </w:t>
      </w:r>
      <w:r w:rsidR="00D2059C">
        <w:t>which</w:t>
      </w:r>
      <w:r w:rsidR="003D433C">
        <w:t xml:space="preserve"> </w:t>
      </w:r>
      <w:r w:rsidR="00D2059C">
        <w:t xml:space="preserve">the domain boundaries suggested by the HMMER searches did not agree with the </w:t>
      </w:r>
      <w:r w:rsidR="00667A2C">
        <w:t xml:space="preserve">results from </w:t>
      </w:r>
      <w:r w:rsidR="00D2059C">
        <w:t>HHpred searches</w:t>
      </w:r>
      <w:r w:rsidR="00667A2C">
        <w:t xml:space="preserve"> over SCOPe95</w:t>
      </w:r>
      <w:r w:rsidR="003D433C">
        <w:t>.</w:t>
      </w:r>
    </w:p>
    <w:p w14:paraId="6862D2EF" w14:textId="77777777" w:rsidR="00802E1F" w:rsidRDefault="00802E1F" w:rsidP="00802E1F">
      <w:pPr>
        <w:pStyle w:val="Style3"/>
        <w:numPr>
          <w:ilvl w:val="0"/>
          <w:numId w:val="0"/>
        </w:numPr>
      </w:pPr>
    </w:p>
    <w:p w14:paraId="03A7F905" w14:textId="77777777" w:rsidR="00802E1F" w:rsidRDefault="00802E1F">
      <w:pPr>
        <w:rPr>
          <w:rFonts w:ascii="Times New Roman" w:eastAsia="Times New Roman" w:hAnsi="Times New Roman" w:cs="Times New Roman"/>
          <w:b/>
          <w:sz w:val="22"/>
          <w:lang w:val="en-GB" w:eastAsia="en-GB"/>
        </w:rPr>
      </w:pPr>
      <w:r>
        <w:rPr>
          <w:b/>
        </w:rPr>
        <w:br w:type="page"/>
      </w:r>
    </w:p>
    <w:p w14:paraId="575390EA" w14:textId="33BD63BC" w:rsidR="00EE35EC" w:rsidRDefault="00EE35EC" w:rsidP="00EE35EC">
      <w:pPr>
        <w:pStyle w:val="IUCrbodytext"/>
        <w:rPr>
          <w:b/>
        </w:rPr>
      </w:pPr>
      <w:r>
        <w:rPr>
          <w:noProof/>
        </w:rPr>
        <w:lastRenderedPageBreak/>
        <w:drawing>
          <wp:inline distT="0" distB="0" distL="0" distR="0" wp14:anchorId="4E67D886" wp14:editId="2FCBA3D6">
            <wp:extent cx="5211447" cy="4926471"/>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sp:Desktop:Desktop:EMBL_PhD:Paper_writing:valifrag_for_Nature:DipSpace_IUCRj:figures:Fig7.png"/>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5211447" cy="4926471"/>
                    </a:xfrm>
                    <a:prstGeom prst="rect">
                      <a:avLst/>
                    </a:prstGeom>
                    <a:noFill/>
                    <a:ln>
                      <a:noFill/>
                    </a:ln>
                  </pic:spPr>
                </pic:pic>
              </a:graphicData>
            </a:graphic>
          </wp:inline>
        </w:drawing>
      </w:r>
    </w:p>
    <w:p w14:paraId="6970F6DB" w14:textId="27AF9E5A" w:rsidR="000F7313" w:rsidRDefault="00802E1F" w:rsidP="00BF5069">
      <w:pPr>
        <w:pStyle w:val="IUCrbodytext"/>
        <w:jc w:val="both"/>
      </w:pPr>
      <w:r>
        <w:rPr>
          <w:b/>
          <w:bCs/>
        </w:rPr>
        <w:t>Fig. S2</w:t>
      </w:r>
      <w:r w:rsidR="00EE35EC" w:rsidRPr="00AB0560">
        <w:rPr>
          <w:b/>
          <w:bCs/>
        </w:rPr>
        <w:t>.</w:t>
      </w:r>
      <w:r w:rsidR="00EE35EC" w:rsidRPr="00AB0560">
        <w:rPr>
          <w:b/>
          <w:bCs/>
        </w:rPr>
        <w:t> </w:t>
      </w:r>
      <w:r w:rsidR="00EE35EC">
        <w:rPr>
          <w:b/>
        </w:rPr>
        <w:t xml:space="preserve">The KH domain </w:t>
      </w:r>
      <w:r w:rsidR="009A0152">
        <w:rPr>
          <w:b/>
        </w:rPr>
        <w:t>from</w:t>
      </w:r>
      <w:r w:rsidR="00EE35EC">
        <w:rPr>
          <w:b/>
        </w:rPr>
        <w:t xml:space="preserve"> archaeal PINA.</w:t>
      </w:r>
      <w:r w:rsidR="00EE35EC" w:rsidRPr="00AB0560">
        <w:t xml:space="preserve"> </w:t>
      </w:r>
      <w:r w:rsidR="00EE35EC">
        <w:t xml:space="preserve">(a) </w:t>
      </w:r>
      <w:r w:rsidR="00EE24D3">
        <w:t>Ribbon representation of the sing</w:t>
      </w:r>
      <w:r w:rsidR="00871997">
        <w:t>le structure available for PINA;</w:t>
      </w:r>
      <w:r w:rsidR="00EE24D3">
        <w:t xml:space="preserve"> </w:t>
      </w:r>
      <w:r w:rsidR="00EE35EC">
        <w:t>the crystallographic structure (pdbID: 5f4h</w:t>
      </w:r>
      <w:r w:rsidR="009A0152">
        <w:t>, chain L</w:t>
      </w:r>
      <w:r w:rsidR="00EE35EC">
        <w:t xml:space="preserve">) of </w:t>
      </w:r>
      <w:r w:rsidR="009A0152">
        <w:t>the PINA monomer from</w:t>
      </w:r>
      <w:r w:rsidR="00DD6FD3">
        <w:t xml:space="preserve"> the c</w:t>
      </w:r>
      <w:r w:rsidR="00450F50">
        <w:t>renarchareota</w:t>
      </w:r>
      <w:r w:rsidR="009A0152">
        <w:t xml:space="preserve"> </w:t>
      </w:r>
      <w:r w:rsidR="00871997" w:rsidRPr="00627E4F">
        <w:rPr>
          <w:i/>
        </w:rPr>
        <w:t>Sulfolobus islandicus</w:t>
      </w:r>
      <w:r w:rsidR="00EE24D3">
        <w:t xml:space="preserve">. </w:t>
      </w:r>
      <w:r w:rsidR="00450F50">
        <w:t xml:space="preserve">This </w:t>
      </w:r>
      <w:r w:rsidR="00450F50">
        <w:rPr>
          <w:lang w:eastAsia="en-IN"/>
        </w:rPr>
        <w:t xml:space="preserve">conserved ATPase is involved in DNA recombinational repair </w:t>
      </w:r>
      <w:r w:rsidR="00BF3548">
        <w:rPr>
          <w:lang w:eastAsia="en-IN"/>
        </w:rPr>
        <w:t>in</w:t>
      </w:r>
      <w:r w:rsidR="00450F50">
        <w:rPr>
          <w:lang w:eastAsia="en-IN"/>
        </w:rPr>
        <w:t xml:space="preserve"> archaea </w:t>
      </w:r>
      <w:r w:rsidR="00450F50">
        <w:rPr>
          <w:lang w:eastAsia="en-IN"/>
        </w:rPr>
        <w:fldChar w:fldCharType="begin" w:fldLock="1"/>
      </w:r>
      <w:r w:rsidR="00C617F6">
        <w:rPr>
          <w:lang w:eastAsia="en-IN"/>
        </w:rPr>
        <w:instrText>ADDIN CSL_CITATION { "citationItems" : [ { "id" : "ITEM-1", "itemData" : { "DOI" : "10.1016/j.jmb.2017.02.016", "ISSN" : "10898638", "abstract" : "Holliday junction (HJ) is a hallmark intermediate in DNA recombination and must be processed by dissolution (for double HJ) or resolution to ensure genome stability. Although HJ resolvases have been identified in all domains of life, there is a long-standing effort to search in prokaryotes and eukarya for proteins promoting HJ migration. Here, we report the structural and functional characterization of a novel ATPase, Sulfolobus islandicus PilT N-terminal-domain-containing ATPase (SisPINA), encoded by the gene adjacent to the resolvase Hjc coding gene. PINA is conserved in archaea and vital for S. islandicus viability. Purified SisPINA forms hexameric rings in the crystalline state and in solution, similar to the HJ migration helicase RuvB in Gram-negative bacteria. Structural analysis suggests that ATP binding and hydrolysis cause conformational changes in SisPINA to drive branch migration. Further studies reveal that SisPINA interacts with SisHjc and coordinates HJ migration and cleavage.", "author" : [ { "dropping-particle" : "", "family" : "Zhai", "given" : "Binyuan", "non-dropping-particle" : "", "parse-names" : false, "suffix" : "" }, { "dropping-particle" : "", "family" : "DuPrez", "given" : "Kevin", "non-dropping-particle" : "", "parse-names" : false, "suffix" : "" }, { "dropping-particle" : "", "family" : "Doukov", "given" : "Tzanko I.", "non-dropping-particle" : "", "parse-names" : false, "suffix" : "" }, { "dropping-particle" : "", "family" : "Li", "given" : "Huan", "non-dropping-particle" : "", "parse-names" : false, "suffix" : "" }, { "dropping-particle" : "", "family" : "Huang", "given" : "Mengting", "non-dropping-particle" : "", "parse-names" : false, "suffix" : "" }, { "dropping-particle" : "", "family" : "Shang", "given" : "Guijun", "non-dropping-particle" : "", "parse-names" : false, "suffix" : "" }, { "dropping-particle" : "", "family" : "Ni", "given" : "Jinfeng", "non-dropping-particle" : "", "parse-names" : false, "suffix" : "" }, { "dropping-particle" : "", "family" : "Gu", "given" : "Lichuan", "non-dropping-particle" : "", "parse-names" : false, "suffix" : "" }, { "dropping-particle" : "", "family" : "Shen", "given" : "Yulong", "non-dropping-particle" : "", "parse-names" : false, "suffix" : "" }, { "dropping-particle" : "", "family" : "Fan", "given" : "Li", "non-dropping-particle" : "", "parse-names" : false, "suffix" : "" } ], "container-title" : "Journal of Molecular Biology", "id" : "ITEM-1", "issue" : "7", "issued" : { "date-parts" : [ [ "2017" ] ] }, "page" : "1009-1029", "title" : "Structure and Function of a Novel ATPase that Interacts with Holliday Junction Resolvase Hjc and Promotes Branch Migration", "type" : "article-journal", "volume" : "429" }, "uris" : [ "http://www.mendeley.com/documents/?uuid=93d5192e-2274-3876-bfd2-474bab203f8e" ] } ], "mendeley" : { "formattedCitation" : "(Zhai &lt;i&gt;et al.&lt;/i&gt;, 2017)", "plainTextFormattedCitation" : "(Zhai et al., 2017)", "previouslyFormattedCitation" : "(Zhai &lt;i&gt;et al.&lt;/i&gt;, 2017)" }, "properties" : {  }, "schema" : "https://github.com/citation-style-language/schema/raw/master/csl-citation.json" }</w:instrText>
      </w:r>
      <w:r w:rsidR="00450F50">
        <w:rPr>
          <w:lang w:eastAsia="en-IN"/>
        </w:rPr>
        <w:fldChar w:fldCharType="separate"/>
      </w:r>
      <w:r w:rsidR="00C617F6" w:rsidRPr="00C617F6">
        <w:rPr>
          <w:noProof/>
          <w:lang w:eastAsia="en-IN"/>
        </w:rPr>
        <w:t xml:space="preserve">(Zhai </w:t>
      </w:r>
      <w:r w:rsidR="00C617F6" w:rsidRPr="00C617F6">
        <w:rPr>
          <w:i/>
          <w:noProof/>
          <w:lang w:eastAsia="en-IN"/>
        </w:rPr>
        <w:t>et al.</w:t>
      </w:r>
      <w:r w:rsidR="00C617F6" w:rsidRPr="00C617F6">
        <w:rPr>
          <w:noProof/>
          <w:lang w:eastAsia="en-IN"/>
        </w:rPr>
        <w:t>, 2017)</w:t>
      </w:r>
      <w:r w:rsidR="00450F50">
        <w:rPr>
          <w:lang w:eastAsia="en-IN"/>
        </w:rPr>
        <w:fldChar w:fldCharType="end"/>
      </w:r>
      <w:r w:rsidR="00450F50">
        <w:rPr>
          <w:lang w:eastAsia="en-IN"/>
        </w:rPr>
        <w:t xml:space="preserve"> and is composed by three domains: an N-terminal PINc domain, an ATPase domain and a C-terminal domain involved in protein-protein interactions. This C-terminal domain is un</w:t>
      </w:r>
      <w:r w:rsidR="00BF3548">
        <w:rPr>
          <w:lang w:eastAsia="en-IN"/>
        </w:rPr>
        <w:t xml:space="preserve">modelled in the final structure. </w:t>
      </w:r>
      <w:r w:rsidR="00EE35EC">
        <w:t xml:space="preserve">(b) Sequence alignment of </w:t>
      </w:r>
      <w:r w:rsidR="00BF3548">
        <w:t xml:space="preserve">the C-terminal domain of </w:t>
      </w:r>
      <w:r w:rsidR="009A0152">
        <w:t xml:space="preserve">PINA from </w:t>
      </w:r>
      <w:r w:rsidR="00EE35EC" w:rsidRPr="00962F3D">
        <w:rPr>
          <w:i/>
        </w:rPr>
        <w:t>S. islandicus</w:t>
      </w:r>
      <w:r w:rsidR="00EE35EC">
        <w:t xml:space="preserve"> </w:t>
      </w:r>
      <w:r w:rsidR="00BF3548">
        <w:t xml:space="preserve">(UniProtKB: MJ1533) </w:t>
      </w:r>
      <w:r w:rsidR="009A0152">
        <w:t>and</w:t>
      </w:r>
      <w:r w:rsidR="00DD6FD3">
        <w:t xml:space="preserve"> the e</w:t>
      </w:r>
      <w:r w:rsidR="00BF3548">
        <w:t>uryarchareota</w:t>
      </w:r>
      <w:r w:rsidR="009A0152">
        <w:t xml:space="preserve"> </w:t>
      </w:r>
      <w:r w:rsidR="00BF3548" w:rsidRPr="00627E4F">
        <w:rPr>
          <w:i/>
        </w:rPr>
        <w:t xml:space="preserve">Methanocaldococcus jannaschii </w:t>
      </w:r>
      <w:r w:rsidR="00BF3548">
        <w:t>(UniProtKB: MJ1533)</w:t>
      </w:r>
      <w:r w:rsidR="009A0152">
        <w:t>.</w:t>
      </w:r>
      <w:r w:rsidR="00EE35EC">
        <w:t xml:space="preserve"> </w:t>
      </w:r>
      <w:r w:rsidR="00BF3548">
        <w:t>HHPred predicts th</w:t>
      </w:r>
      <w:r w:rsidR="00DD6FD3">
        <w:t>is domain to be a KHII but the e</w:t>
      </w:r>
      <w:r w:rsidR="00BF3548">
        <w:t xml:space="preserve">uryarchareota </w:t>
      </w:r>
      <w:r w:rsidR="00DD6FD3">
        <w:t>sequence is</w:t>
      </w:r>
      <w:r w:rsidR="00BF3548">
        <w:t xml:space="preserve"> longer than </w:t>
      </w:r>
      <w:r w:rsidR="00DD6FD3">
        <w:t>its crenarchareota ortholog</w:t>
      </w:r>
      <w:r w:rsidR="00BF3548">
        <w:t xml:space="preserve"> </w:t>
      </w:r>
      <w:r w:rsidR="00BF3548">
        <w:rPr>
          <w:lang w:eastAsia="en-IN"/>
        </w:rPr>
        <w:fldChar w:fldCharType="begin" w:fldLock="1"/>
      </w:r>
      <w:r w:rsidR="00C617F6">
        <w:rPr>
          <w:lang w:eastAsia="en-IN"/>
        </w:rPr>
        <w:instrText>ADDIN CSL_CITATION { "citationItems" : [ { "id" : "ITEM-1", "itemData" : { "DOI" : "10.1016/j.jmb.2017.02.016", "ISSN" : "10898638", "abstract" : "Holliday junction (HJ) is a hallmark intermediate in DNA recombination and must be processed by dissolution (for double HJ) or resolution to ensure genome stability. Although HJ resolvases have been identified in all domains of life, there is a long-standing effort to search in prokaryotes and eukarya for proteins promoting HJ migration. Here, we report the structural and functional characterization of a novel ATPase, Sulfolobus islandicus PilT N-terminal-domain-containing ATPase (SisPINA), encoded by the gene adjacent to the resolvase Hjc coding gene. PINA is conserved in archaea and vital for S. islandicus viability. Purified SisPINA forms hexameric rings in the crystalline state and in solution, similar to the HJ migration helicase RuvB in Gram-negative bacteria. Structural analysis suggests that ATP binding and hydrolysis cause conformational changes in SisPINA to drive branch migration. Further studies reveal that SisPINA interacts with SisHjc and coordinates HJ migration and cleavage.", "author" : [ { "dropping-particle" : "", "family" : "Zhai", "given" : "Binyuan", "non-dropping-particle" : "", "parse-names" : false, "suffix" : "" }, { "dropping-particle" : "", "family" : "DuPrez", "given" : "Kevin", "non-dropping-particle" : "", "parse-names" : false, "suffix" : "" }, { "dropping-particle" : "", "family" : "Doukov", "given" : "Tzanko I.", "non-dropping-particle" : "", "parse-names" : false, "suffix" : "" }, { "dropping-particle" : "", "family" : "Li", "given" : "Huan", "non-dropping-particle" : "", "parse-names" : false, "suffix" : "" }, { "dropping-particle" : "", "family" : "Huang", "given" : "Mengting", "non-dropping-particle" : "", "parse-names" : false, "suffix" : "" }, { "dropping-particle" : "", "family" : "Shang", "given" : "Guijun", "non-dropping-particle" : "", "parse-names" : false, "suffix" : "" }, { "dropping-particle" : "", "family" : "Ni", "given" : "Jinfeng", "non-dropping-particle" : "", "parse-names" : false, "suffix" : "" }, { "dropping-particle" : "", "family" : "Gu", "given" : "Lichuan", "non-dropping-particle" : "", "parse-names" : false, "suffix" : "" }, { "dropping-particle" : "", "family" : "Shen", "given" : "Yulong", "non-dropping-particle" : "", "parse-names" : false, "suffix" : "" }, { "dropping-particle" : "", "family" : "Fan", "given" : "Li", "non-dropping-particle" : "", "parse-names" : false, "suffix" : "" } ], "container-title" : "Journal of Molecular Biology", "id" : "ITEM-1", "issue" : "7", "issued" : { "date-parts" : [ [ "2017" ] ] }, "page" : "1009-1029", "title" : "Structure and Function of a Novel ATPase that Interacts with Holliday Junction Resolvase Hjc and Promotes Branch Migration", "type" : "article-journal", "volume" : "429" }, "uris" : [ "http://www.mendeley.com/documents/?uuid=93d5192e-2274-3876-bfd2-474bab203f8e" ] } ], "mendeley" : { "formattedCitation" : "(Zhai &lt;i&gt;et al.&lt;/i&gt;, 2017)", "plainTextFormattedCitation" : "(Zhai et al., 2017)", "previouslyFormattedCitation" : "(Zhai &lt;i&gt;et al.&lt;/i&gt;, 2017)" }, "properties" : {  }, "schema" : "https://github.com/citation-style-language/schema/raw/master/csl-citation.json" }</w:instrText>
      </w:r>
      <w:r w:rsidR="00BF3548">
        <w:rPr>
          <w:lang w:eastAsia="en-IN"/>
        </w:rPr>
        <w:fldChar w:fldCharType="separate"/>
      </w:r>
      <w:r w:rsidR="00C617F6" w:rsidRPr="00C617F6">
        <w:rPr>
          <w:noProof/>
          <w:lang w:eastAsia="en-IN"/>
        </w:rPr>
        <w:t xml:space="preserve">(Zhai </w:t>
      </w:r>
      <w:r w:rsidR="00C617F6" w:rsidRPr="00C617F6">
        <w:rPr>
          <w:i/>
          <w:noProof/>
          <w:lang w:eastAsia="en-IN"/>
        </w:rPr>
        <w:t>et al.</w:t>
      </w:r>
      <w:r w:rsidR="00C617F6" w:rsidRPr="00C617F6">
        <w:rPr>
          <w:noProof/>
          <w:lang w:eastAsia="en-IN"/>
        </w:rPr>
        <w:t>, 2017)</w:t>
      </w:r>
      <w:r w:rsidR="00BF3548">
        <w:rPr>
          <w:lang w:eastAsia="en-IN"/>
        </w:rPr>
        <w:fldChar w:fldCharType="end"/>
      </w:r>
      <w:r w:rsidR="00DD6FD3">
        <w:rPr>
          <w:lang w:eastAsia="en-IN"/>
        </w:rPr>
        <w:t xml:space="preserve">; </w:t>
      </w:r>
      <w:r w:rsidR="00783284">
        <w:rPr>
          <w:lang w:eastAsia="en-IN"/>
        </w:rPr>
        <w:t>the HMMER searches suggested a KHI topology</w:t>
      </w:r>
      <w:r w:rsidR="00DD6FD3">
        <w:rPr>
          <w:lang w:eastAsia="en-IN"/>
        </w:rPr>
        <w:t xml:space="preserve"> for this sequence</w:t>
      </w:r>
      <w:r w:rsidR="00783284">
        <w:rPr>
          <w:lang w:eastAsia="en-IN"/>
        </w:rPr>
        <w:t>.</w:t>
      </w:r>
      <w:r w:rsidR="00783284">
        <w:t xml:space="preserve"> </w:t>
      </w:r>
      <w:r w:rsidR="009A0152">
        <w:t xml:space="preserve">The </w:t>
      </w:r>
      <w:r w:rsidR="00EE35EC">
        <w:t xml:space="preserve">secondary </w:t>
      </w:r>
      <w:r w:rsidR="009A0152">
        <w:t>structure, as predicted with Quick2D</w:t>
      </w:r>
      <w:r w:rsidR="00C617F6">
        <w:t xml:space="preserve"> </w:t>
      </w:r>
      <w:r w:rsidR="00C617F6">
        <w:fldChar w:fldCharType="begin" w:fldLock="1"/>
      </w:r>
      <w:r w:rsidR="00F06A16">
        <w:instrText>ADDIN CSL_CITATION { "citationItems" : [ { "id" : "ITEM-1", "itemData" : { "DOI" : "10.1093/nar/gkw348", "ISSN" : "0305-1048", "author" : [ { "dropping-particle" : "", "family" : "Alva", "given" : "Vikram", "non-dropping-particle" : "", "parse-names" : false, "suffix" : "" }, { "dropping-particle" : "", "family" : "Nam", "given" : "Seung-Zin", "non-dropping-particle" : "", "parse-names" : false, "suffix" : "" }, { "dropping-particle" : "", "family" : "S\u00f6ding", "given" : "Johannes", "non-dropping-particle" : "", "parse-names" : false, "suffix" : "" }, { "dropping-particle" : "", "family" : "Lupas", "given" : "Andrei N.", "non-dropping-particle" : "", "parse-names" : false, "suffix" : "" } ], "container-title" : "Nucleic Acids Research", "id" : "ITEM-1", "issue" : "8 July 2016", "issued" : { "date-parts" : [ [ "2016" ] ] }, "page" : "W410\u2013W415", "title" : "The MPI bioinformatics Toolkit as an integrative platform for advanced protein sequence and structure analysis", "type" : "article-journal", "volume" : "44" }, "uris" : [ "http://www.mendeley.com/documents/?uuid=af604752-d62b-42ad-9ca9-f94b6e24005a" ] } ], "mendeley" : { "formattedCitation" : "(Alva &lt;i&gt;et al.&lt;/i&gt;, 2016)", "plainTextFormattedCitation" : "(Alva et al., 2016)", "previouslyFormattedCitation" : "(Alva &lt;i&gt;et al.&lt;/i&gt;, 2016)" }, "properties" : {  }, "schema" : "https://github.com/citation-style-language/schema/raw/master/csl-citation.json" }</w:instrText>
      </w:r>
      <w:r w:rsidR="00C617F6">
        <w:fldChar w:fldCharType="separate"/>
      </w:r>
      <w:r w:rsidR="00C617F6" w:rsidRPr="00C617F6">
        <w:rPr>
          <w:noProof/>
        </w:rPr>
        <w:t xml:space="preserve">(Alva </w:t>
      </w:r>
      <w:r w:rsidR="00C617F6" w:rsidRPr="00C617F6">
        <w:rPr>
          <w:i/>
          <w:noProof/>
        </w:rPr>
        <w:t>et al.</w:t>
      </w:r>
      <w:r w:rsidR="00C617F6" w:rsidRPr="00C617F6">
        <w:rPr>
          <w:noProof/>
        </w:rPr>
        <w:t>, 2016)</w:t>
      </w:r>
      <w:r w:rsidR="00C617F6">
        <w:fldChar w:fldCharType="end"/>
      </w:r>
      <w:r w:rsidR="009A0152">
        <w:t>, is shown:</w:t>
      </w:r>
      <w:r w:rsidR="00EE35EC">
        <w:t xml:space="preserve"> </w:t>
      </w:r>
      <w:r w:rsidR="009A0152">
        <w:t>h</w:t>
      </w:r>
      <w:r w:rsidR="00EE35EC">
        <w:t xml:space="preserve">elices are marked in red, strands in blue and disordered regions in yellow. (c) </w:t>
      </w:r>
      <w:r w:rsidR="00DD6FD3">
        <w:t>Ribbon diagram of the structure modelled with RaptorX Contact Prediction</w:t>
      </w:r>
      <w:r w:rsidR="00C617F6">
        <w:t xml:space="preserve"> </w:t>
      </w:r>
      <w:r w:rsidR="00C617F6">
        <w:fldChar w:fldCharType="begin" w:fldLock="1"/>
      </w:r>
      <w:r w:rsidR="00C617F6">
        <w:instrText>ADDIN CSL_CITATION { "citationItems" : [ { "id" : "ITEM-1", "itemData" : { "DOI" : "10.1371/journal.pcbi.1005324", "ISSN" : "1553-7358", "author" : [ { "dropping-particle" : "", "family" : "Wang", "given" : "Sheng", "non-dropping-particle" : "", "parse-names" : false, "suffix" : "" }, { "dropping-particle" : "", "family" : "Sun", "given" : "Siqi", "non-dropping-particle" : "", "parse-names" : false, "suffix" : "" }, { "dropping-particle" : "", "family" : "Li", "given" : "Zhen", "non-dropping-particle" : "", "parse-names" : false, "suffix" : "" }, { "dropping-particle" : "", "family" : "Zhang", "given" : "Renyu", "non-dropping-particle" : "", "parse-names" : false, "suffix" : "" }, { "dropping-particle" : "", "family" : "Xu", "given" : "Jinbo", "non-dropping-particle" : "", "parse-names" : false, "suffix" : "" }, { "dropping-particle" : "", "family" : "Trakselis", "given" : "MA", "non-dropping-particle" : "", "parse-names" : false, "suffix" : "" } ], "container-title" : "PLOS Computational Biology", "editor" : [ { "dropping-particle" : "", "family" : "Schlessinger", "given" : "Avner", "non-dropping-particle" : "", "parse-names" : false, "suffix" : "" } ], "id" : "ITEM-1", "issue" : "1", "issued" : { "date-parts" : [ [ "2017", "1", "5" ] ] }, "page" : "e1005324", "publisher" : "ICML", "title" : "Accurate De Novo Prediction of Protein Contact Map by Ultra-Deep Learning Model", "type" : "article-journal", "volume" : "13" }, "uris" : [ "http://www.mendeley.com/documents/?uuid=40fc2b10-d32c-3770-a7d0-ce41db5737dc" ] } ], "mendeley" : { "formattedCitation" : "(Wang &lt;i&gt;et al.&lt;/i&gt;, 2017)", "plainTextFormattedCitation" : "(Wang et al., 2017)", "previouslyFormattedCitation" : "(Wang &lt;i&gt;et al.&lt;/i&gt;, 2017)" }, "properties" : {  }, "schema" : "https://github.com/citation-style-language/schema/raw/master/csl-citation.json" }</w:instrText>
      </w:r>
      <w:r w:rsidR="00C617F6">
        <w:fldChar w:fldCharType="separate"/>
      </w:r>
      <w:r w:rsidR="00C617F6" w:rsidRPr="00C617F6">
        <w:rPr>
          <w:noProof/>
        </w:rPr>
        <w:t xml:space="preserve">(Wang </w:t>
      </w:r>
      <w:r w:rsidR="00C617F6" w:rsidRPr="00C617F6">
        <w:rPr>
          <w:i/>
          <w:noProof/>
        </w:rPr>
        <w:t>et al.</w:t>
      </w:r>
      <w:r w:rsidR="00C617F6" w:rsidRPr="00C617F6">
        <w:rPr>
          <w:noProof/>
        </w:rPr>
        <w:t>, 2017)</w:t>
      </w:r>
      <w:r w:rsidR="00C617F6">
        <w:fldChar w:fldCharType="end"/>
      </w:r>
      <w:r w:rsidR="00DD6FD3">
        <w:t xml:space="preserve"> for</w:t>
      </w:r>
      <w:r w:rsidR="00783284">
        <w:t xml:space="preserve"> the </w:t>
      </w:r>
      <w:r w:rsidR="00DD6FD3">
        <w:t>sequences in (b)</w:t>
      </w:r>
      <w:r w:rsidR="00783284">
        <w:t>.</w:t>
      </w:r>
      <w:r w:rsidR="00DD6FD3">
        <w:t xml:space="preserve"> </w:t>
      </w:r>
      <w:r w:rsidR="00783284">
        <w:t xml:space="preserve">The </w:t>
      </w:r>
      <w:r w:rsidR="000C4414">
        <w:t xml:space="preserve">secondary structure </w:t>
      </w:r>
      <w:r w:rsidR="00DD6FD3">
        <w:t>predicted with Quick2D</w:t>
      </w:r>
      <w:r w:rsidR="000C4414">
        <w:t xml:space="preserve"> and the RaptorX models support</w:t>
      </w:r>
      <w:r w:rsidR="00DD6FD3">
        <w:t xml:space="preserve"> a KHII fold for the C-terminal domain of PINA from both archaeal lineages.</w:t>
      </w:r>
    </w:p>
    <w:p w14:paraId="6803FA4D" w14:textId="77777777" w:rsidR="000F7313" w:rsidRDefault="000F7313" w:rsidP="000F7313">
      <w:pPr>
        <w:pStyle w:val="IUCrbodytext"/>
        <w:jc w:val="both"/>
        <w:rPr>
          <w:b/>
          <w:bCs/>
        </w:rPr>
      </w:pPr>
      <w:r>
        <w:rPr>
          <w:noProof/>
          <w:color w:val="000000" w:themeColor="text1"/>
        </w:rPr>
        <w:drawing>
          <wp:inline distT="0" distB="0" distL="0" distR="0" wp14:anchorId="342E89EE" wp14:editId="116B06CC">
            <wp:extent cx="5257800" cy="4932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sp:Desktop:Desktop:EMBL_PhD:Paper_writing:valifrag_for_Nature:DipSpace_IUCRj:figures:Fig7.pn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258726" cy="4933029"/>
                    </a:xfrm>
                    <a:prstGeom prst="rect">
                      <a:avLst/>
                    </a:prstGeom>
                    <a:noFill/>
                    <a:ln>
                      <a:noFill/>
                    </a:ln>
                  </pic:spPr>
                </pic:pic>
              </a:graphicData>
            </a:graphic>
          </wp:inline>
        </w:drawing>
      </w:r>
    </w:p>
    <w:p w14:paraId="7BA64192" w14:textId="1A548EF7" w:rsidR="000F7313" w:rsidRDefault="000F7313" w:rsidP="000F7313">
      <w:pPr>
        <w:pStyle w:val="IUCrbodytext"/>
        <w:jc w:val="both"/>
      </w:pPr>
      <w:r>
        <w:rPr>
          <w:b/>
          <w:bCs/>
        </w:rPr>
        <w:t>F</w:t>
      </w:r>
      <w:r w:rsidRPr="00AB0560">
        <w:rPr>
          <w:b/>
          <w:bCs/>
        </w:rPr>
        <w:t xml:space="preserve">ig. </w:t>
      </w:r>
      <w:r>
        <w:rPr>
          <w:b/>
          <w:bCs/>
        </w:rPr>
        <w:t>S3</w:t>
      </w:r>
      <w:r w:rsidRPr="00AB0560">
        <w:rPr>
          <w:b/>
          <w:bCs/>
        </w:rPr>
        <w:t>.</w:t>
      </w:r>
      <w:r w:rsidRPr="00AB0560">
        <w:rPr>
          <w:b/>
          <w:bCs/>
        </w:rPr>
        <w:t> </w:t>
      </w:r>
      <w:r w:rsidR="00667A2C" w:rsidRPr="00667A2C">
        <w:rPr>
          <w:b/>
        </w:rPr>
        <w:t xml:space="preserve"> </w:t>
      </w:r>
      <w:r w:rsidR="00667A2C">
        <w:rPr>
          <w:b/>
        </w:rPr>
        <w:t xml:space="preserve">The Small Domain (SD) from </w:t>
      </w:r>
      <w:r w:rsidR="00667A2C">
        <w:rPr>
          <w:b/>
          <w:i/>
        </w:rPr>
        <w:t xml:space="preserve">E. coli </w:t>
      </w:r>
      <w:r w:rsidR="00667A2C">
        <w:rPr>
          <w:b/>
        </w:rPr>
        <w:t>RNases E and G</w:t>
      </w:r>
      <w:r w:rsidR="00667A2C" w:rsidRPr="00AB0560">
        <w:t xml:space="preserve">. </w:t>
      </w:r>
      <w:r w:rsidR="00667A2C">
        <w:t xml:space="preserve">(a) </w:t>
      </w:r>
      <w:r w:rsidR="00154625">
        <w:t>R</w:t>
      </w:r>
      <w:r w:rsidR="00667A2C">
        <w:t>ibbon diagram of the crystallographic structure (pdbID: 2bx2</w:t>
      </w:r>
      <w:r w:rsidR="00154625">
        <w:t>, chain L</w:t>
      </w:r>
      <w:r w:rsidR="00667A2C">
        <w:t>) of</w:t>
      </w:r>
      <w:r w:rsidR="00154625">
        <w:t xml:space="preserve"> the monomer of the catalytic region from the RNase E of</w:t>
      </w:r>
      <w:r w:rsidR="00667A2C">
        <w:t xml:space="preserve"> </w:t>
      </w:r>
      <w:r w:rsidR="00667A2C">
        <w:rPr>
          <w:i/>
        </w:rPr>
        <w:t>E. coli</w:t>
      </w:r>
      <w:r w:rsidR="00667A2C">
        <w:t xml:space="preserve">, depicting its </w:t>
      </w:r>
      <w:r w:rsidR="00154625">
        <w:t>three</w:t>
      </w:r>
      <w:r w:rsidR="00667A2C">
        <w:t xml:space="preserve"> main </w:t>
      </w:r>
      <w:r w:rsidR="00154625">
        <w:t>domains</w:t>
      </w:r>
      <w:r w:rsidR="00667A2C">
        <w:t xml:space="preserve"> and their role, as well as the RNA binding region</w:t>
      </w:r>
      <w:r w:rsidR="00C617F6">
        <w:t xml:space="preserve"> </w:t>
      </w:r>
      <w:r w:rsidR="00C617F6">
        <w:fldChar w:fldCharType="begin" w:fldLock="1"/>
      </w:r>
      <w:r w:rsidR="00C617F6">
        <w:instrText>ADDIN CSL_CITATION { "citationItems" : [ { "id" : "ITEM-1", "itemData" : { "DOI" : "10.1038/nature04084", "ISSN" : "0028-0836", "PMID" : "16237448", "abstract" : "The coordinated regulation of gene expression is required for homeostasis, growth and development in all organisms. Such coordination may be partly achieved at the level of messenger RNA stability, in which the targeted destruction of subsets of transcripts generates the potential for cross-regulating metabolic pathways. In Escherichia coli, the balance and composition of the transcript population is affected by RNase E, an essential endoribonuclease that not only turns over RNA but also processes certain key RNA precursors. RNase E cleaves RNA internally, but its catalytic power is determined by the 5' terminus of the substrate, even if this lies at a distance from the cutting site. Here we report crystal structures of the catalytic domain of RNase E as trapped allosteric intermediates with RNA substrates. Four subunits of RNase E catalytic domain associate into an interwoven quaternary structure, explaining why the subunit organization is required for catalytic activity. The subdomain encompassing the active site is structurally congruent to a deoxyribonuclease, making an unexpected link in the evolutionary history of RNA and DNA nucleases. The structure explains how the recognition of the 5' terminus of the substrate may trigger catalysis and also sheds light on the question of how RNase E might selectively process, rather than destroy, specific RNA precursors.", "author" : [ { "dropping-particle" : "", "family" : "Callaghan", "given" : "Anastasia J.", "non-dropping-particle" : "", "parse-names" : false, "suffix" : "" }, { "dropping-particle" : "", "family" : "Marcaida", "given" : "Maria Jose", "non-dropping-particle" : "", "parse-names" : false, "suffix" : "" }, { "dropping-particle" : "", "family" : "Stead", "given" : "Jonathan A.", "non-dropping-particle" : "", "parse-names" : false, "suffix" : "" }, { "dropping-particle" : "", "family" : "McDowall", "given" : "Kenneth J.", "non-dropping-particle" : "", "parse-names" : false, "suffix" : "" }, { "dropping-particle" : "", "family" : "Scott", "given" : "William G.", "non-dropping-particle" : "", "parse-names" : false, "suffix" : "" }, { "dropping-particle" : "", "family" : "Luisi", "given" : "Ben F.", "non-dropping-particle" : "", "parse-names" : false, "suffix" : "" } ], "container-title" : "Nature", "id" : "ITEM-1", "issue" : "7062", "issued" : { "date-parts" : [ [ "2005", "10", "20" ] ] }, "page" : "1187-1191", "title" : "Structure of Escherichia coli RNase E catalytic domain and implications for RNA turnover", "type" : "article-journal", "volume" : "437" }, "uris" : [ "http://www.mendeley.com/documents/?uuid=01941385-da29-366d-88d8-57d608febb61" ] } ], "mendeley" : { "formattedCitation" : "(Callaghan &lt;i&gt;et al.&lt;/i&gt;, 2005)", "plainTextFormattedCitation" : "(Callaghan et al., 2005)", "previouslyFormattedCitation" : "(Callaghan &lt;i&gt;et al.&lt;/i&gt;, 2005)" }, "properties" : {  }, "schema" : "https://github.com/citation-style-language/schema/raw/master/csl-citation.json" }</w:instrText>
      </w:r>
      <w:r w:rsidR="00C617F6">
        <w:fldChar w:fldCharType="separate"/>
      </w:r>
      <w:r w:rsidR="00C617F6" w:rsidRPr="00C617F6">
        <w:rPr>
          <w:noProof/>
        </w:rPr>
        <w:t xml:space="preserve">(Callaghan </w:t>
      </w:r>
      <w:r w:rsidR="00C617F6" w:rsidRPr="00C617F6">
        <w:rPr>
          <w:i/>
          <w:noProof/>
        </w:rPr>
        <w:t>et al.</w:t>
      </w:r>
      <w:r w:rsidR="00C617F6" w:rsidRPr="00C617F6">
        <w:rPr>
          <w:noProof/>
        </w:rPr>
        <w:t>, 2005)</w:t>
      </w:r>
      <w:r w:rsidR="00C617F6">
        <w:fldChar w:fldCharType="end"/>
      </w:r>
      <w:r w:rsidR="00667A2C">
        <w:t xml:space="preserve">. (b) Zoom into the Small Domain and the initial KH </w:t>
      </w:r>
      <w:r w:rsidR="00154625">
        <w:t>match</w:t>
      </w:r>
      <w:r w:rsidR="00667A2C">
        <w:t>. (c) Sequence alignment (obtained with Promals3D</w:t>
      </w:r>
      <w:r w:rsidR="00C617F6">
        <w:t xml:space="preserve"> </w:t>
      </w:r>
      <w:r w:rsidR="00C617F6">
        <w:fldChar w:fldCharType="begin" w:fldLock="1"/>
      </w:r>
      <w:r w:rsidR="00C617F6">
        <w:instrText>ADDIN CSL_CITATION { "citationItems" : [ { "id" : "ITEM-1", "itemData" : { "DOI" : "10.1007/978-1-62703-646-7_17", "ISSN" : "1940-6029", "PMID" : "24170408", "abstract" : "Multiple sequence alignment (MSA) is an essential tool with many applications in bioinformatics and computational biology. Accurate MSA construction for divergent proteins remains a difficult computational task. The constantly increasing protein sequences and structures in public databases could be used to improve alignment quality. PROMALS3D is a tool for protein MSA construction enhanced with additional evolutionary and structural information from database searches. PROMALS3D automatically identifies homologs from sequence and structure databases for input proteins, derives structure-based constraints from alignments of three-dimensional structures, and combines them with sequence-based constraints of profile-profile alignments in a consistency-based framework to construct high-quality multiple sequence alignments. PROMALS3D output is a consensus alignment enriched with sequence and structural information about input proteins and their homologs. PROMALS3D Web server and package are available at http://prodata.swmed.edu/PROMALS3D.", "author" : [ { "dropping-particle" : "", "family" : "Pei", "given" : "Jimin", "non-dropping-particle" : "", "parse-names" : false, "suffix" : "" }, { "dropping-particle" : "V.", "family" : "Grishin", "given" : "Nick", "non-dropping-particle" : "", "parse-names" : false, "suffix" : "" } ], "container-title" : "Methods in molecular biology (Clifton, N.J.)", "id" : "ITEM-1", "issued" : { "date-parts" : [ [ "2014" ] ] }, "page" : "263-271", "title" : "PROMALS3D: Multiple Protein Sequence Alignment Enhanced with Evolutionary and Three-Dimensional Structural Information", "type" : "chapter", "volume" : "1079" }, "uris" : [ "http://www.mendeley.com/documents/?uuid=d53ac840-e2f9-3e27-ab66-800814b021dd" ] } ], "mendeley" : { "formattedCitation" : "(Pei and Grishin, 2014)", "plainTextFormattedCitation" : "(Pei and Grishin, 2014)", "previouslyFormattedCitation" : "(Pei and Grishin, 2014)" }, "properties" : {  }, "schema" : "https://github.com/citation-style-language/schema/raw/master/csl-citation.json" }</w:instrText>
      </w:r>
      <w:r w:rsidR="00C617F6">
        <w:fldChar w:fldCharType="separate"/>
      </w:r>
      <w:r w:rsidR="00C617F6" w:rsidRPr="00C617F6">
        <w:rPr>
          <w:noProof/>
        </w:rPr>
        <w:t>(Pei and Grishin, 2014)</w:t>
      </w:r>
      <w:r w:rsidR="00C617F6">
        <w:fldChar w:fldCharType="end"/>
      </w:r>
      <w:r w:rsidR="00667A2C">
        <w:t xml:space="preserve">) of </w:t>
      </w:r>
      <w:r w:rsidR="00154625">
        <w:t xml:space="preserve">the SD sequences from RNases E and G from </w:t>
      </w:r>
      <w:r w:rsidR="00667A2C">
        <w:rPr>
          <w:i/>
        </w:rPr>
        <w:t>E. coli</w:t>
      </w:r>
      <w:r w:rsidR="00667A2C">
        <w:t>, depicting the secondary structural predictions obtained with Quick2D</w:t>
      </w:r>
      <w:r w:rsidR="00C617F6">
        <w:t xml:space="preserve"> </w:t>
      </w:r>
      <w:r w:rsidR="00C617F6">
        <w:fldChar w:fldCharType="begin" w:fldLock="1"/>
      </w:r>
      <w:r w:rsidR="00F06A16">
        <w:instrText>ADDIN CSL_CITATION { "citationItems" : [ { "id" : "ITEM-1", "itemData" : { "DOI" : "10.1093/nar/gkw348", "ISSN" : "0305-1048", "author" : [ { "dropping-particle" : "", "family" : "Alva", "given" : "Vikram", "non-dropping-particle" : "", "parse-names" : false, "suffix" : "" }, { "dropping-particle" : "", "family" : "Nam", "given" : "Seung-Zin", "non-dropping-particle" : "", "parse-names" : false, "suffix" : "" }, { "dropping-particle" : "", "family" : "S\u00f6ding", "given" : "Johannes", "non-dropping-particle" : "", "parse-names" : false, "suffix" : "" }, { "dropping-particle" : "", "family" : "Lupas", "given" : "Andrei N.", "non-dropping-particle" : "", "parse-names" : false, "suffix" : "" } ], "container-title" : "Nucleic Acids Research", "id" : "ITEM-1", "issue" : "8 July 2016", "issued" : { "date-parts" : [ [ "2016" ] ] }, "page" : "W410\u2013W415", "title" : "The MPI bioinformatics Toolkit as an integrative platform for advanced protein sequence and structure analysis", "type" : "article-journal", "volume" : "44" }, "uris" : [ "http://www.mendeley.com/documents/?uuid=af604752-d62b-42ad-9ca9-f94b6e24005a" ] } ], "mendeley" : { "formattedCitation" : "(Alva &lt;i&gt;et al.&lt;/i&gt;, 2016)", "plainTextFormattedCitation" : "(Alva et al., 2016)", "previouslyFormattedCitation" : "(Alva &lt;i&gt;et al.&lt;/i&gt;, 2016)" }, "properties" : {  }, "schema" : "https://github.com/citation-style-language/schema/raw/master/csl-citation.json" }</w:instrText>
      </w:r>
      <w:r w:rsidR="00C617F6">
        <w:fldChar w:fldCharType="separate"/>
      </w:r>
      <w:r w:rsidR="00C617F6" w:rsidRPr="00C617F6">
        <w:rPr>
          <w:noProof/>
        </w:rPr>
        <w:t xml:space="preserve">(Alva </w:t>
      </w:r>
      <w:r w:rsidR="00C617F6" w:rsidRPr="00C617F6">
        <w:rPr>
          <w:i/>
          <w:noProof/>
        </w:rPr>
        <w:t>et al.</w:t>
      </w:r>
      <w:r w:rsidR="00C617F6" w:rsidRPr="00C617F6">
        <w:rPr>
          <w:noProof/>
        </w:rPr>
        <w:t>, 2016)</w:t>
      </w:r>
      <w:r w:rsidR="00C617F6">
        <w:fldChar w:fldCharType="end"/>
      </w:r>
      <w:r w:rsidR="00667A2C">
        <w:t xml:space="preserve">. Helices are marked in red, strands in blue and disordered regions in yellow. (d) Ribbon diagram of the crystallographic dimer (pdbID: 2bx2) of </w:t>
      </w:r>
      <w:r w:rsidR="00154625">
        <w:t xml:space="preserve">the SD from </w:t>
      </w:r>
      <w:r w:rsidR="00667A2C">
        <w:rPr>
          <w:i/>
        </w:rPr>
        <w:t xml:space="preserve">E. coli </w:t>
      </w:r>
      <w:r w:rsidR="00667A2C">
        <w:t xml:space="preserve">RNase E, where the </w:t>
      </w:r>
      <w:r w:rsidR="00154625">
        <w:t>participation</w:t>
      </w:r>
      <w:r w:rsidR="00667A2C">
        <w:t xml:space="preserve"> of the </w:t>
      </w:r>
      <w:r w:rsidR="00154625">
        <w:t xml:space="preserve">region containing helix </w:t>
      </w:r>
      <w:r w:rsidR="00154625">
        <w:rPr>
          <w:i/>
        </w:rPr>
        <w:t>F</w:t>
      </w:r>
      <w:r w:rsidR="00667A2C">
        <w:t xml:space="preserve"> in dimerization is illustrated. The KH motif is colored grey, the KHIII decorations green and the predicted disordered region </w:t>
      </w:r>
      <w:r w:rsidR="00154625">
        <w:t xml:space="preserve">in </w:t>
      </w:r>
      <w:r w:rsidR="00667A2C">
        <w:t>yellow.</w:t>
      </w:r>
    </w:p>
    <w:p w14:paraId="6B57FAAC" w14:textId="77777777" w:rsidR="00802E1F" w:rsidRDefault="00802E1F" w:rsidP="000F7313">
      <w:pPr>
        <w:pStyle w:val="IUCrbodytext"/>
        <w:jc w:val="both"/>
      </w:pPr>
    </w:p>
    <w:p w14:paraId="6821E1D3" w14:textId="77777777" w:rsidR="00802E1F" w:rsidRDefault="00802E1F" w:rsidP="00802E1F">
      <w:pPr>
        <w:pStyle w:val="IUCrbodytext"/>
        <w:jc w:val="center"/>
        <w:rPr>
          <w:b/>
          <w:bCs/>
        </w:rPr>
      </w:pPr>
      <w:r>
        <w:rPr>
          <w:noProof/>
          <w:color w:val="000000" w:themeColor="text1"/>
        </w:rPr>
        <w:drawing>
          <wp:inline distT="0" distB="0" distL="0" distR="0" wp14:anchorId="3D711F09" wp14:editId="1AFE5FBE">
            <wp:extent cx="5220000" cy="249928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sp:Desktop:Desktop:EMBL_PhD:Paper_writing:valifrag_for_Nature:DipSpace_IUCRj:figures:Fig7.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220000" cy="2499287"/>
                    </a:xfrm>
                    <a:prstGeom prst="rect">
                      <a:avLst/>
                    </a:prstGeom>
                    <a:noFill/>
                    <a:ln>
                      <a:noFill/>
                    </a:ln>
                  </pic:spPr>
                </pic:pic>
              </a:graphicData>
            </a:graphic>
          </wp:inline>
        </w:drawing>
      </w:r>
    </w:p>
    <w:p w14:paraId="76E1546F" w14:textId="4C6C5029" w:rsidR="00802E1F" w:rsidRDefault="00802E1F" w:rsidP="00802E1F">
      <w:pPr>
        <w:pStyle w:val="IUCrbodytext"/>
        <w:jc w:val="both"/>
      </w:pPr>
      <w:r>
        <w:rPr>
          <w:b/>
          <w:bCs/>
        </w:rPr>
        <w:t>Fig. S4</w:t>
      </w:r>
      <w:r w:rsidRPr="00AB0560">
        <w:rPr>
          <w:b/>
          <w:bCs/>
        </w:rPr>
        <w:t>.</w:t>
      </w:r>
      <w:r>
        <w:rPr>
          <w:b/>
        </w:rPr>
        <w:t xml:space="preserve"> Classification of non-KH domai</w:t>
      </w:r>
      <w:r w:rsidR="00667A2C">
        <w:rPr>
          <w:b/>
        </w:rPr>
        <w:t>n</w:t>
      </w:r>
      <w:r>
        <w:rPr>
          <w:b/>
        </w:rPr>
        <w:t xml:space="preserve">s homologous to the SD of RNases E and G. </w:t>
      </w:r>
      <w:r>
        <w:t>(a) Cluster map of the sequences of the globular regions from bacterial FliH and prokaryotic subunit E of v-type ATP synthase, obtained with JackHMMER</w:t>
      </w:r>
      <w:r w:rsidR="00C617F6">
        <w:t xml:space="preserve"> </w:t>
      </w:r>
      <w:r w:rsidR="00C617F6">
        <w:fldChar w:fldCharType="begin" w:fldLock="1"/>
      </w:r>
      <w:r w:rsidR="00C617F6">
        <w:instrText>ADDIN CSL_CITATION { "citationItems" : [ { "id" : "ITEM-1", "itemData" : { "DOI" : "10.1093/nar/gkv397", "ISSN" : "0305-1048", "author" : [ { "dropping-particle" : "", "family" : "Finn", "given" : "Robert D.", "non-dropping-particle" : "", "parse-names" : false, "suffix" : "" }, { "dropping-particle" : "", "family" : "Clements", "given" : "Jody", "non-dropping-particle" : "", "parse-names" : false, "suffix" : "" }, { "dropping-particle" : "", "family" : "Arndt", "given" : "William", "non-dropping-particle" : "", "parse-names" : false, "suffix" : "" }, { "dropping-particle" : "", "family" : "Miller", "given" : "Benjamin L.", "non-dropping-particle" : "", "parse-names" : false, "suffix" : "" }, { "dropping-particle" : "", "family" : "Wheeler", "given" : "Travis J.", "non-dropping-particle" : "", "parse-names" : false, "suffix" : "" }, { "dropping-particle" : "", "family" : "Schreiber", "given" : "Fabian", "non-dropping-particle" : "", "parse-names" : false, "suffix" : "" }, { "dropping-particle" : "", "family" : "Bateman", "given" : "Alex", "non-dropping-particle" : "", "parse-names" : false, "suffix" : "" }, { "dropping-particle" : "", "family" : "Eddy", "given" : "Sean R.", "non-dropping-particle" : "", "parse-names" : false, "suffix" : "" }, { "dropping-particle" : "", "family" : "G.", "given" : "van\u00a0Ginkel", "non-dropping-particle" : "", "parse-names" : false, "suffix" : "" }, { "dropping-particle" : "", "family" : "S.P.", "given" : "Gore", "non-dropping-particle" : "", "parse-names" : false, "suffix" : "" } ], "container-title" : "Nucleic Acids Research", "id" : "ITEM-1", "issue" : "W1", "issued" : { "date-parts" : [ [ "2015", "7", "1" ] ] }, "page" : "W30-W38", "publisher" : "Oxford University Press", "title" : "HMMER web server: 2015 update", "type" : "article-journal", "volume" : "43" }, "uris" : [ "http://www.mendeley.com/documents/?uuid=642d2e00-699e-311b-a7a2-7b517d40b034" ] } ], "mendeley" : { "formattedCitation" : "(Finn &lt;i&gt;et al.&lt;/i&gt;, 2015)", "plainTextFormattedCitation" : "(Finn et al., 2015)", "previouslyFormattedCitation" : "(Finn &lt;i&gt;et al.&lt;/i&gt;, 2015)" }, "properties" : {  }, "schema" : "https://github.com/citation-style-language/schema/raw/master/csl-citation.json" }</w:instrText>
      </w:r>
      <w:r w:rsidR="00C617F6">
        <w:fldChar w:fldCharType="separate"/>
      </w:r>
      <w:r w:rsidR="00C617F6" w:rsidRPr="00C617F6">
        <w:rPr>
          <w:noProof/>
        </w:rPr>
        <w:t xml:space="preserve">(Finn </w:t>
      </w:r>
      <w:r w:rsidR="00C617F6" w:rsidRPr="00C617F6">
        <w:rPr>
          <w:i/>
          <w:noProof/>
        </w:rPr>
        <w:t>et al.</w:t>
      </w:r>
      <w:r w:rsidR="00C617F6" w:rsidRPr="00C617F6">
        <w:rPr>
          <w:noProof/>
        </w:rPr>
        <w:t>, 2015)</w:t>
      </w:r>
      <w:r w:rsidR="00C617F6">
        <w:fldChar w:fldCharType="end"/>
      </w:r>
      <w:r>
        <w:t xml:space="preserve"> over the reference proteomes of archaea and bacteria. Clustering was done</w:t>
      </w:r>
      <w:r w:rsidR="00C617F6">
        <w:t xml:space="preserve"> with CLANS </w:t>
      </w:r>
      <w:r w:rsidR="00C617F6">
        <w:fldChar w:fldCharType="begin" w:fldLock="1"/>
      </w:r>
      <w:r w:rsidR="00C617F6">
        <w:instrText>ADDIN CSL_CITATION { "citationItems" : [ { "id" : "ITEM-1", "itemData" : { "DOI" : "10.1093/bioinformatics/bth444", "ISBN" : "1367-4803", "ISSN" : "13674803", "PMID" : "15284097", "abstract" : "SUMMARY: The main source of hypotheses on the structure and function of new proteins is their homology to proteins with known properties. Homologous relationships are typically established through sequence similarity searches, multiple alignments and phylogenetic reconstruction. In cases where the number of potential relationships is large, for example in P-loop NTPases with many thousands of members, alignments and phylogenies become computationally demanding, accumulate errors and lose resolution. In search of a better way to analyze relationships in large sequence datasets we have developed a Java application, CLANS (CLuster ANalysis of Sequences), which uses a version of the Fruchterman-Reingold graph layout algorithm to visualize pairwise sequence similarities in either two-dimensional or three-dimensional space. AVAILABILITY: CLANS can be downloaded at http://protevo.eb.tuebingen.mpg.de/download.", "author" : [ { "dropping-particle" : "", "family" : "Frickey", "given" : "Tancred", "non-dropping-particle" : "", "parse-names" : false, "suffix" : "" }, { "dropping-particle" : "", "family" : "Lupas", "given" : "Andrei", "non-dropping-particle" : "", "parse-names" : false, "suffix" : "" } ], "container-title" : "Bioinformatics", "id" : "ITEM-1", "issue" : "18", "issued" : { "date-parts" : [ [ "2004", "12", "12" ] ] }, "page" : "3702-3704", "publisher" : "Oxford University Press", "title" : "CLANS: A Java application for visualizing protein families based on pairwise similarity", "type" : "article-journal", "volume" : "20" }, "uris" : [ "http://www.mendeley.com/documents/?uuid=a110dc5b-3fd8-4722-bb0e-df49208e6d7b" ] } ], "mendeley" : { "formattedCitation" : "(Frickey and Lupas, 2004)", "plainTextFormattedCitation" : "(Frickey and Lupas, 2004)", "previouslyFormattedCitation" : "(Frickey and Lupas, 2004)" }, "properties" : {  }, "schema" : "https://github.com/citation-style-language/schema/raw/master/csl-citation.json" }</w:instrText>
      </w:r>
      <w:r w:rsidR="00C617F6">
        <w:fldChar w:fldCharType="separate"/>
      </w:r>
      <w:r w:rsidR="00C617F6" w:rsidRPr="00C617F6">
        <w:rPr>
          <w:noProof/>
        </w:rPr>
        <w:t>(Frickey and Lupas, 2004)</w:t>
      </w:r>
      <w:r w:rsidR="00C617F6">
        <w:fldChar w:fldCharType="end"/>
      </w:r>
      <w:r>
        <w:t xml:space="preserve"> in 2D at a</w:t>
      </w:r>
      <w:r w:rsidR="00D42D47">
        <w:t xml:space="preserve"> BLASTp</w:t>
      </w:r>
      <w:r>
        <w:t xml:space="preserve"> </w:t>
      </w:r>
      <w:r w:rsidRPr="00E75197">
        <w:rPr>
          <w:i/>
        </w:rPr>
        <w:t>p</w:t>
      </w:r>
      <w:r>
        <w:t>-value cutoff of 10</w:t>
      </w:r>
      <w:r w:rsidRPr="001E094D">
        <w:rPr>
          <w:vertAlign w:val="superscript"/>
        </w:rPr>
        <w:t>-1</w:t>
      </w:r>
      <w:r>
        <w:rPr>
          <w:vertAlign w:val="superscript"/>
        </w:rPr>
        <w:t>4</w:t>
      </w:r>
      <w:r>
        <w:t xml:space="preserve"> until equilibrium. Dots represent protein sequences; they </w:t>
      </w:r>
      <w:r w:rsidRPr="001B6CF3">
        <w:t xml:space="preserve">are colored according to </w:t>
      </w:r>
      <w:r>
        <w:t xml:space="preserve">the </w:t>
      </w:r>
      <w:r w:rsidRPr="001B6CF3">
        <w:t>different protein families</w:t>
      </w:r>
      <w:r>
        <w:t xml:space="preserve"> and lined based o</w:t>
      </w:r>
      <w:r w:rsidR="00C617F6">
        <w:t>n their taxonomy (grey: archaea; black: b</w:t>
      </w:r>
      <w:r>
        <w:t>acteria)</w:t>
      </w:r>
      <w:r w:rsidRPr="001B6CF3">
        <w:t>.</w:t>
      </w:r>
      <w:r>
        <w:t xml:space="preserve"> C</w:t>
      </w:r>
      <w:r w:rsidRPr="001B6CF3">
        <w:t xml:space="preserve">onnections </w:t>
      </w:r>
      <w:r>
        <w:t xml:space="preserve">represent </w:t>
      </w:r>
      <w:r w:rsidRPr="001B6CF3">
        <w:t xml:space="preserve">similarities </w:t>
      </w:r>
      <w:r>
        <w:t xml:space="preserve">up to a </w:t>
      </w:r>
      <w:r w:rsidRPr="00CE556D">
        <w:rPr>
          <w:i/>
        </w:rPr>
        <w:t>p</w:t>
      </w:r>
      <w:r>
        <w:t>-value of 10</w:t>
      </w:r>
      <w:r w:rsidRPr="001E094D">
        <w:rPr>
          <w:vertAlign w:val="superscript"/>
        </w:rPr>
        <w:t>-10</w:t>
      </w:r>
      <w:r>
        <w:t xml:space="preserve"> </w:t>
      </w:r>
      <w:r w:rsidRPr="001B6CF3">
        <w:t>(darker means more similar).</w:t>
      </w:r>
      <w:r>
        <w:t xml:space="preserve"> The number of sequences in each cluster is shown within brackets. (b-c) Re-refined crystallographic structures of the globular domains from (b) </w:t>
      </w:r>
      <w:r>
        <w:rPr>
          <w:i/>
        </w:rPr>
        <w:t>Salmonella enterica</w:t>
      </w:r>
      <w:r>
        <w:t xml:space="preserve"> FliH and (c) </w:t>
      </w:r>
      <w:r>
        <w:rPr>
          <w:i/>
        </w:rPr>
        <w:t>Pyrococcus horikoshii</w:t>
      </w:r>
      <w:r>
        <w:t xml:space="preserve"> v-type ATP synthase subunit E. These matches were identified by using the sequence alignment of the SD from </w:t>
      </w:r>
      <w:r>
        <w:rPr>
          <w:i/>
        </w:rPr>
        <w:t xml:space="preserve">E.coli </w:t>
      </w:r>
      <w:r>
        <w:t>RNases G and E for HHpred searches over the PDB70, using 8 iterations of PsiBlast over the nre70 database and not scoring for secondary structure</w:t>
      </w:r>
      <w:r w:rsidR="00C617F6">
        <w:t xml:space="preserve"> </w:t>
      </w:r>
      <w:r w:rsidR="00C77C15">
        <w:fldChar w:fldCharType="begin" w:fldLock="1"/>
      </w:r>
      <w:r w:rsidR="00C77C15">
        <w:instrText>ADDIN CSL_CITATION { "citationItems" : [ { "id" : "ITEM-1", "itemData" : { "DOI" : "10.1016/j.jmb.2017.12.007", "ISSN" : "00222836", "PMID" : "29258817", "abstract" : "The MPI Bioinformatics Toolkit (https://toolkit.tuebingen.mpg.de) is a free, one-stop web service for protein bioinformatic analysis. It currently offers 34 interconnected external and in-house tools, whose functionality covers sequence similarity searching, alignment construction, detection of sequence features, structure prediction, and sequence classification. This breadth has made the Toolkit an important resource for experimental biology and for teaching bioinformatic inquiry. Recently, we replaced the first version of the Toolkit, which was released in 2005 and had served around 2.5 million queries, with an entirely new version, focusing on improved features for the comprehensive analysis of proteins, as well as on promoting teaching. For instance, our popular remote homology detection server, HHpred, now allows pairwise comparison of two sequences or alignments and offers additional profile HMMs for several model organisms and domain databases. Here, we introduce the new version of our Toolkit and its application to the analysis of proteins.", "author" : [ { "dropping-particle" : "", "family" : "Zimmermann", "given" : "Lukas", "non-dropping-particle" : "", "parse-names" : false, "suffix" : "" }, { "dropping-particle" : "", "family" : "Stephens", "given" : "Andrew", "non-dropping-particle" : "", "parse-names" : false, "suffix" : "" }, { "dropping-particle" : "", "family" : "Nam", "given" : "Seung-Zin", "non-dropping-particle" : "", "parse-names" : false, "suffix" : "" }, { "dropping-particle" : "", "family" : "Rau", "given" : "David", "non-dropping-particle" : "", "parse-names" : false, "suffix" : "" }, { "dropping-particle" : "", "family" : "K\u00fcbler", "given" : "Jonas", "non-dropping-particle" : "", "parse-names" : false, "suffix" : "" }, { "dropping-particle" : "", "family" : "Lozajic", "given" : "Marko", "non-dropping-particle" : "", "parse-names" : false, "suffix" : "" }, { "dropping-particle" : "", "family" : "Gabler", "given" : "Felix", "non-dropping-particle" : "", "parse-names" : false, "suffix" : "" }, { "dropping-particle" : "", "family" : "S\u00f6ding", "given" : "Johannes", "non-dropping-particle" : "", "parse-names" : false, "suffix" : "" }, { "dropping-particle" : "", "family" : "Lupas", "given" : "Andrei N.", "non-dropping-particle" : "", "parse-names" : false, "suffix" : "" }, { "dropping-particle" : "", "family" : "Alva", "given" : "Vikram", "non-dropping-particle" : "", "parse-names" : false, "suffix" : "" } ], "container-title" : "Journal of Molecular Biology", "id" : "ITEM-1", "issued" : { "date-parts" : [ [ "2018", "12", "16" ] ] }, "title" : "A completely reimplemented MPI Bioinformatics Toolkit with a new HHpred server at its core", "type" : "article-journal" }, "uris" : [ "http://www.mendeley.com/documents/?uuid=0f88194b-9b99-31af-a6ec-649d5d3100c4" ] } ], "mendeley" : { "formattedCitation" : "(Zimmermann &lt;i&gt;et al.&lt;/i&gt;, 2018)", "plainTextFormattedCitation" : "(Zimmermann et al., 2018)", "previouslyFormattedCitation" : "(Zimmermann &lt;i&gt;et al.&lt;/i&gt;, 2018)" }, "properties" : {  }, "schema" : "https://github.com/citation-style-language/schema/raw/master/csl-citation.json" }</w:instrText>
      </w:r>
      <w:r w:rsidR="00C77C15">
        <w:fldChar w:fldCharType="separate"/>
      </w:r>
      <w:r w:rsidR="00C77C15" w:rsidRPr="00C77C15">
        <w:rPr>
          <w:noProof/>
        </w:rPr>
        <w:t xml:space="preserve">(Zimmermann </w:t>
      </w:r>
      <w:r w:rsidR="00C77C15" w:rsidRPr="00C77C15">
        <w:rPr>
          <w:i/>
          <w:noProof/>
        </w:rPr>
        <w:t>et al.</w:t>
      </w:r>
      <w:r w:rsidR="00C77C15" w:rsidRPr="00C77C15">
        <w:rPr>
          <w:noProof/>
        </w:rPr>
        <w:t>, 2018)</w:t>
      </w:r>
      <w:r w:rsidR="00C77C15">
        <w:fldChar w:fldCharType="end"/>
      </w:r>
      <w:r>
        <w:t xml:space="preserve">. The probability and E-value for the matches, as well as the sequence intervals used for </w:t>
      </w:r>
      <w:r w:rsidR="0003720D">
        <w:t>the</w:t>
      </w:r>
      <w:r w:rsidR="00154625">
        <w:t xml:space="preserve"> following</w:t>
      </w:r>
      <w:r w:rsidR="0003720D">
        <w:t xml:space="preserve"> </w:t>
      </w:r>
      <w:r>
        <w:t>JackHMMER searches, are given.</w:t>
      </w:r>
    </w:p>
    <w:p w14:paraId="22373DF8" w14:textId="77777777" w:rsidR="00802E1F" w:rsidRDefault="00802E1F" w:rsidP="00802E1F">
      <w:pPr>
        <w:pStyle w:val="IUCrbodytext"/>
        <w:jc w:val="both"/>
        <w:rPr>
          <w:b/>
          <w:bCs/>
        </w:rPr>
      </w:pPr>
      <w:r>
        <w:rPr>
          <w:noProof/>
          <w:color w:val="000000" w:themeColor="text1"/>
        </w:rPr>
        <w:drawing>
          <wp:inline distT="0" distB="0" distL="0" distR="0" wp14:anchorId="0FF0CD1D" wp14:editId="26BE8731">
            <wp:extent cx="5230346" cy="3437898"/>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sp:Desktop:Desktop:EMBL_PhD:Paper_writing:valifrag_for_Nature:DipSpace_IUCRj:figures:Fig7.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230346" cy="3437898"/>
                    </a:xfrm>
                    <a:prstGeom prst="rect">
                      <a:avLst/>
                    </a:prstGeom>
                    <a:noFill/>
                    <a:ln>
                      <a:noFill/>
                    </a:ln>
                  </pic:spPr>
                </pic:pic>
              </a:graphicData>
            </a:graphic>
          </wp:inline>
        </w:drawing>
      </w:r>
    </w:p>
    <w:p w14:paraId="4F15027E" w14:textId="34275547" w:rsidR="00667A2C" w:rsidRDefault="00667A2C" w:rsidP="000F7313">
      <w:pPr>
        <w:pStyle w:val="IUCrbodytext"/>
        <w:jc w:val="both"/>
      </w:pPr>
      <w:r>
        <w:rPr>
          <w:b/>
          <w:bCs/>
        </w:rPr>
        <w:t>Fig. S5</w:t>
      </w:r>
      <w:r w:rsidR="00802E1F" w:rsidRPr="00AB0560">
        <w:rPr>
          <w:b/>
          <w:bCs/>
        </w:rPr>
        <w:t>.</w:t>
      </w:r>
      <w:r w:rsidR="00802E1F" w:rsidRPr="00AB0560">
        <w:rPr>
          <w:b/>
          <w:bCs/>
        </w:rPr>
        <w:t> </w:t>
      </w:r>
      <w:r w:rsidR="00802E1F">
        <w:rPr>
          <w:b/>
        </w:rPr>
        <w:t xml:space="preserve">Structural alignment of </w:t>
      </w:r>
      <w:r w:rsidR="00802E1F" w:rsidRPr="00825A34">
        <w:rPr>
          <w:b/>
        </w:rPr>
        <w:t>ααβ</w:t>
      </w:r>
      <w:r w:rsidR="00802E1F">
        <w:t xml:space="preserve"> </w:t>
      </w:r>
      <w:r w:rsidR="00802E1F" w:rsidRPr="00753A94">
        <w:rPr>
          <w:b/>
        </w:rPr>
        <w:t>(</w:t>
      </w:r>
      <w:r w:rsidR="00802E1F" w:rsidRPr="00753A94">
        <w:rPr>
          <w:b/>
          <w:i/>
        </w:rPr>
        <w:t>ABb</w:t>
      </w:r>
      <w:r w:rsidR="00802E1F" w:rsidRPr="00753A94">
        <w:rPr>
          <w:b/>
        </w:rPr>
        <w:t>) motifs</w:t>
      </w:r>
      <w:r w:rsidR="00802E1F">
        <w:rPr>
          <w:b/>
        </w:rPr>
        <w:t xml:space="preserve">. </w:t>
      </w:r>
      <w:r w:rsidR="00FC2383">
        <w:t>Structural superposition</w:t>
      </w:r>
      <w:r w:rsidR="00802E1F">
        <w:t xml:space="preserve"> of </w:t>
      </w:r>
      <w:r w:rsidR="00256739">
        <w:t>the motif from yeast rpS3 (PDBid</w:t>
      </w:r>
      <w:r w:rsidR="00802E1F">
        <w:t xml:space="preserve">: 4bsz, chain A) to (a) those containing the conserved GxxG loop (canonical), (b) those lacking it (non-canonical) and (c) that from </w:t>
      </w:r>
      <w:r w:rsidR="00FC2383">
        <w:t xml:space="preserve">the Small Domain of </w:t>
      </w:r>
      <w:r w:rsidR="00802E1F">
        <w:t>RNase E</w:t>
      </w:r>
      <w:r w:rsidR="00FC2383">
        <w:t xml:space="preserve"> from </w:t>
      </w:r>
      <w:r w:rsidR="00FC2383">
        <w:rPr>
          <w:i/>
        </w:rPr>
        <w:t>E. coli</w:t>
      </w:r>
      <w:r w:rsidR="00802E1F">
        <w:t>. (d) List of fragments superimposed with TMalign</w:t>
      </w:r>
      <w:r w:rsidR="00DB70A9">
        <w:t xml:space="preserve"> </w:t>
      </w:r>
      <w:r w:rsidR="00DB70A9">
        <w:fldChar w:fldCharType="begin" w:fldLock="1"/>
      </w:r>
      <w:r w:rsidR="00DB70A9">
        <w:instrText>ADDIN CSL_CITATION { "citationItems" : [ { "id" : "ITEM-1", "itemData" : { "DOI" : "10.1093/nar/gki524", "ISSN" : "1362-4962", "PMID" : "15849316", "abstract" : "We have developed TM-align, a new algorithm to identify the best structural alignment between protein pairs that combines the TM-score rotation matrix and Dynamic Programming (DP). The algorithm is 4 times faster than CE and 20 times faster than DALI and SAL. On average, the resulting structure alignments have higher accuracy and coverage than those provided by these most often-used methods. TM-align is applied to an all-against-all structure comparison of 10515 representative protein chains from the Protein Data Bank (PDB) with a sequence identity cutoff &lt;95%: 1996 distinct folds are found when a TM-score threshold of 0.5 is used. We also use TM-align to match the models predicted by TASSER for solved non-homologous proteins in PDB. For both folded and misfolded models, TM-align can almost always find close structural analogs, with an average root mean square deviation, RMSD, of 3 \u212b and 87% alignment coverage. Nevertheless, there exists a significant correlation between the correctness of the predicted structure and the structural similarity of the model to the other proteins in the PDB. This correlation could be used to assist in model selection in blind protein structure predictions. The TM-align program is freely downloadable at .", "author" : [ { "dropping-particle" : "", "family" : "Zhang", "given" : "Yang", "non-dropping-particle" : "", "parse-names" : false, "suffix" : "" }, { "dropping-particle" : "", "family" : "Skolnick", "given" : "Jeffrey", "non-dropping-particle" : "", "parse-names" : false, "suffix" : "" } ], "container-title" : "Nucleic Acids Research", "id" : "ITEM-1", "issue" : "7", "issued" : { "date-parts" : [ [ "2005", "1" ] ] }, "page" : "2302-2309", "publisher" : "Oxford University Press", "title" : "TM-align: a protein structure alignment algorithm based on the TM-score", "type" : "article-journal", "volume" : "33" }, "uris" : [ "http://www.mendeley.com/documents/?uuid=e8ef306b-b3da-4c07-ab76-ca5a74a081d8" ] } ], "mendeley" : { "formattedCitation" : "(Zhang and Skolnick, 2005)", "plainTextFormattedCitation" : "(Zhang and Skolnick, 2005)", "previouslyFormattedCitation" : "(Zhang and Skolnick, 2005)" }, "properties" : {  }, "schema" : "https://github.com/citation-style-language/schema/raw/master/csl-citation.json" }</w:instrText>
      </w:r>
      <w:r w:rsidR="00DB70A9">
        <w:fldChar w:fldCharType="separate"/>
      </w:r>
      <w:r w:rsidR="00DB70A9" w:rsidRPr="00DB70A9">
        <w:rPr>
          <w:noProof/>
        </w:rPr>
        <w:t>(Zhang and Skolnick, 2005)</w:t>
      </w:r>
      <w:r w:rsidR="00DB70A9">
        <w:fldChar w:fldCharType="end"/>
      </w:r>
      <w:r w:rsidR="00802E1F">
        <w:t>, colored accordingly. The average TM-score and corresponding standard deviation</w:t>
      </w:r>
      <w:r w:rsidR="00FC2383">
        <w:t>s</w:t>
      </w:r>
      <w:r w:rsidR="00802E1F">
        <w:t xml:space="preserve"> from the superimposition to all GxxG-containing motifs are shown.</w:t>
      </w:r>
      <w:r w:rsidR="00D07AAB">
        <w:t xml:space="preserve"> O</w:t>
      </w:r>
      <w:r w:rsidR="00D07AAB" w:rsidRPr="00971487">
        <w:t xml:space="preserve">nly crystallographic structures at a resolution better than 3.0 Å and re-refined with PDB_REDO </w:t>
      </w:r>
      <w:r w:rsidR="00D07AAB" w:rsidRPr="00971487">
        <w:fldChar w:fldCharType="begin" w:fldLock="1"/>
      </w:r>
      <w:r w:rsidR="00D07AAB" w:rsidRPr="00971487">
        <w:instrText>ADDIN CSL_CITATION { "citationItems" : [ { "id" : "ITEM-1", "itemData" : { "DOI" : "10.1107/S2052252514009324", "ISBN" : "doi:10.1107/S2052252514009324", "ISSN" : "2052-2525", "PMID" : "25075342", "abstract" : "The refinement and validation of a crystallographic structure model is the last step before the coordinates and the associated data are submitted to the Protein Data Bank (PDB). The success of the refinement procedure is typically assessed by validating the models against geometrical criteria and the diffraction data, and is an important step in ensuring the quality of the PDB public archive [Read et al. (2011), Structure , 19 , 1395\u20131412]. The PDB_REDO procedure aims for `constructive validation', aspiring to consistent and optimal refinement parameterization and pro-active model rebuilding, not only correcting errors but striving for optimal interpretation of the electron density. A web server for PDB_REDO has been implemented, allowing thorough, consistent and fully automated optimization of the refinement procedure in REFMAC and partial model rebuilding. The goal of the web server is to help practicing crystallographers to improve their model prior to submission to the PDB. For this, additional steps were implemented in the PDB_REDO pipeline, both in the refinement procedure, e.g. testing of resolution limits and k -fold cross-validation for small test sets, and as new validation criteria, e.g. the density-fit metrics implemented in EDSTATS and ligand validation as implemented in YASARA . Innovative ways to present the refinement and validation results to the user are also described, which together with auto-generated Coot scripts can guide users to subsequent model inspection and improvement. It is demonstrated that using the server can lead to substantial improvement of structure models before they are submitted to the PDB.", "author" : [ { "dropping-particle" : "", "family" : "Joosten", "given" : "Robbie P.", "non-dropping-particle" : "", "parse-names" : false, "suffix" : "" }, { "dropping-particle" : "", "family" : "Long", "given" : "Fei", "non-dropping-particle" : "", "parse-names" : false, "suffix" : "" }, { "dropping-particle" : "", "family" : "Murshudov", "given" : "Garib N.", "non-dropping-particle" : "", "parse-names" : false, "suffix" : "" }, { "dropping-particle" : "", "family" : "Perrakis", "given" : "Anastassis", "non-dropping-particle" : "", "parse-names" : false, "suffix" : "" } ], "container-title" : "IUCrJ", "id" : "ITEM-1", "issue" : "4", "issued" : { "date-parts" : [ [ "2014" ] ] }, "page" : "213-220", "title" : "The PDB_REDO server for macromolecular structure model optimization", "type" : "article-journal", "volume" : "1" }, "uris" : [ "http://www.mendeley.com/documents/?uuid=a92eb6fe-3ef1-43bc-a010-d3004432d9cf" ] } ], "mendeley" : { "formattedCitation" : "(Joosten &lt;i&gt;et al.&lt;/i&gt;, 2014)", "plainTextFormattedCitation" : "(Joosten et al., 2014)", "previouslyFormattedCitation" : "(Joosten &lt;i&gt;et al.&lt;/i&gt;, 2014)" }, "properties" : {  }, "schema" : "https://github.com/citation-style-language/schema/raw/master/csl-citation.json" }</w:instrText>
      </w:r>
      <w:r w:rsidR="00D07AAB" w:rsidRPr="00971487">
        <w:fldChar w:fldCharType="separate"/>
      </w:r>
      <w:r w:rsidR="00D07AAB" w:rsidRPr="00971487">
        <w:rPr>
          <w:noProof/>
        </w:rPr>
        <w:t xml:space="preserve">(Joosten </w:t>
      </w:r>
      <w:r w:rsidR="00D07AAB" w:rsidRPr="00971487">
        <w:rPr>
          <w:i/>
          <w:noProof/>
        </w:rPr>
        <w:t>et al.</w:t>
      </w:r>
      <w:r w:rsidR="00D07AAB" w:rsidRPr="00971487">
        <w:rPr>
          <w:noProof/>
        </w:rPr>
        <w:t>, 2014)</w:t>
      </w:r>
      <w:r w:rsidR="00D07AAB" w:rsidRPr="00971487">
        <w:fldChar w:fldCharType="end"/>
      </w:r>
      <w:r w:rsidR="00D07AAB" w:rsidRPr="00971487">
        <w:t xml:space="preserve"> were considered</w:t>
      </w:r>
      <w:r w:rsidR="00D07AAB">
        <w:t>.</w:t>
      </w:r>
    </w:p>
    <w:p w14:paraId="3D8F7852" w14:textId="77777777" w:rsidR="00802E1F" w:rsidRDefault="00802E1F" w:rsidP="00802E1F">
      <w:pPr>
        <w:pStyle w:val="IUCrbodytext"/>
        <w:jc w:val="both"/>
        <w:rPr>
          <w:b/>
        </w:rPr>
      </w:pPr>
      <w:r>
        <w:rPr>
          <w:noProof/>
          <w:color w:val="000000" w:themeColor="text1"/>
        </w:rPr>
        <w:drawing>
          <wp:inline distT="0" distB="0" distL="0" distR="0" wp14:anchorId="7770E443" wp14:editId="159F5E55">
            <wp:extent cx="5212880" cy="16044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sp:Desktop:Desktop:EMBL_PhD:Paper_writing:valifrag_for_Nature:DipSpace_IUCRj:figures:Fig7.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214845" cy="1605038"/>
                    </a:xfrm>
                    <a:prstGeom prst="rect">
                      <a:avLst/>
                    </a:prstGeom>
                    <a:noFill/>
                    <a:ln>
                      <a:noFill/>
                    </a:ln>
                  </pic:spPr>
                </pic:pic>
              </a:graphicData>
            </a:graphic>
          </wp:inline>
        </w:drawing>
      </w:r>
    </w:p>
    <w:p w14:paraId="217F48B6" w14:textId="1C43524E" w:rsidR="00EE35EC" w:rsidRDefault="00802E1F" w:rsidP="00667A2C">
      <w:pPr>
        <w:pStyle w:val="IUCrbodytext"/>
        <w:jc w:val="both"/>
      </w:pPr>
      <w:r w:rsidRPr="004050D3">
        <w:rPr>
          <w:b/>
        </w:rPr>
        <w:t>Fi</w:t>
      </w:r>
      <w:r w:rsidR="00667A2C">
        <w:rPr>
          <w:b/>
          <w:bCs/>
        </w:rPr>
        <w:t>g. S6</w:t>
      </w:r>
      <w:r w:rsidRPr="004050D3">
        <w:rPr>
          <w:b/>
          <w:bCs/>
        </w:rPr>
        <w:t>.</w:t>
      </w:r>
      <w:r w:rsidRPr="004050D3">
        <w:rPr>
          <w:b/>
          <w:bCs/>
        </w:rPr>
        <w:t> </w:t>
      </w:r>
      <w:r w:rsidRPr="004050D3">
        <w:rPr>
          <w:b/>
        </w:rPr>
        <w:t xml:space="preserve">Sequence alignment of </w:t>
      </w:r>
      <w:r>
        <w:rPr>
          <w:b/>
        </w:rPr>
        <w:t xml:space="preserve">SD sequences from </w:t>
      </w:r>
      <w:r w:rsidRPr="004050D3">
        <w:rPr>
          <w:b/>
        </w:rPr>
        <w:t>RNase G.</w:t>
      </w:r>
      <w:r w:rsidRPr="004050D3">
        <w:t xml:space="preserve"> A subset of </w:t>
      </w:r>
      <w:r>
        <w:t xml:space="preserve">the sequences from the </w:t>
      </w:r>
      <w:r w:rsidRPr="004050D3">
        <w:t xml:space="preserve">RNase G </w:t>
      </w:r>
      <w:r>
        <w:t>cluster</w:t>
      </w:r>
      <w:r w:rsidR="00C827B7">
        <w:t xml:space="preserve"> represented</w:t>
      </w:r>
      <w:r>
        <w:t xml:space="preserve"> in figure 2</w:t>
      </w:r>
      <w:r w:rsidRPr="004050D3">
        <w:t xml:space="preserve"> was selected </w:t>
      </w:r>
      <w:r>
        <w:t>and</w:t>
      </w:r>
      <w:r w:rsidRPr="004050D3">
        <w:t xml:space="preserve"> shown </w:t>
      </w:r>
      <w:r w:rsidR="00C827B7">
        <w:t>together with the HM</w:t>
      </w:r>
      <w:r>
        <w:t xml:space="preserve">M sequence profile computed for </w:t>
      </w:r>
      <w:r w:rsidR="00C827B7">
        <w:t>it</w:t>
      </w:r>
      <w:r w:rsidR="00DB70A9">
        <w:t xml:space="preserve"> with hhmake </w:t>
      </w:r>
      <w:r w:rsidR="00DB70A9">
        <w:fldChar w:fldCharType="begin" w:fldLock="1"/>
      </w:r>
      <w:r w:rsidR="00DB70A9">
        <w:instrText>ADDIN CSL_CITATION { "citationItems" : [ { "id" : "ITEM-1", "itemData" : { "DOI" : "10.1093/bioinformatics/bti125", "abstract" : "Motivation: Protein homology detection and sequence alignment are at the basis of protein structure prediction, function prediction and evolution. Results: We have generalized the alignment of protein sequences with a profile hidden Markov model (HMM) to the case of pairwise alignment of profile HMMs.We present a method for detecting distant homologous relationships between proteins based on this approach. The method (HHsearch) is benchmarked together with BLAST, PSI- BLAST, HMMER and the profile\u2013profile comparison tools PROF_SIM andCOMPASS, in an all-against-all comparison of a database of 3691 protein domains from SCOP 1.63 with pairwise sequence identities below 20%. Sensitivity: When the predicted secondary structure is included in the HMMs, HHsearch is able to detect between 2.7 and 4.2 times more homologs than PSI-BLAST or HMMER and between 1.44 and 1.9 times more than COMPASS or PROF_SIM for a rate of false positives of 10%. Approximately half of the improvement over the profile\u2013profile comparison methods is attributable to the use of profileHMMsin place of simple profiles. Alignment quality: Higher sensitivity is mirrored by an increased align- ment quality. HHsearch produced 1.2, 1.7 and 3.3 times more good alignments (\u2018balanced\u2019 score &gt;0.3) than the next best method (COM- PASS), and 1.6, 2.9 and 9.4 times more than PSI-BLAST, at the family, superfamily and fold level, respectively. Speed: HHsearch scans a query of 200 residues against 3691 domains in 33 s on an AMD64 2GHz PC. This is 10 times faster than PROF_SIM and 17 times faster than COMPASS. Availability: HHsearch can be downloaded from http://www. protevo.eb.tuebingen.mpg.de/download/ together with up-to-date versions of SCOP and PFAM. A web server is available at http:// www.protevo.eb.tuebingen.mpg.de/toolkit/index.php?view=hhpred", "author" : [ { "dropping-particle" : "", "family" : "S\u00f6ding", "given" : "Johannes", "non-dropping-particle" : "", "parse-names" : false, "suffix" : "" } ], "container-title" : "Bioinformatics (Oxford, England)", "id" : "ITEM-1", "issue" : "7", "issued" : { "date-parts" : [ [ "2005" ] ] }, "page" : "951-960", "title" : "Protein homology detection by HMM \u2013 HMM comparison", "type" : "article-journal", "volume" : "21" }, "uris" : [ "http://www.mendeley.com/documents/?uuid=5884ecfa-b783-4e92-9810-0ded820a5382" ] } ], "mendeley" : { "formattedCitation" : "(S\u00f6ding, 2005)", "plainTextFormattedCitation" : "(S\u00f6ding, 2005)", "previouslyFormattedCitation" : "(S\u00f6ding, 2005)" }, "properties" : {  }, "schema" : "https://github.com/citation-style-language/schema/raw/master/csl-citation.json" }</w:instrText>
      </w:r>
      <w:r w:rsidR="00DB70A9">
        <w:fldChar w:fldCharType="separate"/>
      </w:r>
      <w:r w:rsidR="00DB70A9" w:rsidRPr="00DB70A9">
        <w:rPr>
          <w:noProof/>
        </w:rPr>
        <w:t>(Söding, 2005)</w:t>
      </w:r>
      <w:r w:rsidR="00DB70A9">
        <w:fldChar w:fldCharType="end"/>
      </w:r>
      <w:r>
        <w:t xml:space="preserve"> (on top). The profile is</w:t>
      </w:r>
      <w:r w:rsidRPr="004050D3">
        <w:t xml:space="preserve"> colored </w:t>
      </w:r>
      <w:r w:rsidR="00C827B7">
        <w:t>according</w:t>
      </w:r>
      <w:r w:rsidRPr="004050D3">
        <w:t xml:space="preserve"> </w:t>
      </w:r>
      <w:r w:rsidR="00C827B7">
        <w:t>to</w:t>
      </w:r>
      <w:r w:rsidRPr="004050D3">
        <w:t xml:space="preserve"> the secondary stru</w:t>
      </w:r>
      <w:r>
        <w:t>cture</w:t>
      </w:r>
      <w:r w:rsidRPr="004050D3">
        <w:t xml:space="preserve"> of the RNase G consensus sequence and named based on the topology </w:t>
      </w:r>
      <w:r w:rsidR="00C827B7">
        <w:t>showed</w:t>
      </w:r>
      <w:r w:rsidRPr="004050D3">
        <w:t xml:space="preserve"> in figure 1. Conserved positions depicted by the sequence profile are marked in bold and those conserved in the profiles of KHI and KHII domains in red. The phyla to which each species belongs to are shown on the left</w:t>
      </w:r>
      <w:r>
        <w:t xml:space="preserve"> and the UniProtKB accession number on the right</w:t>
      </w:r>
      <w:r w:rsidRPr="004050D3">
        <w:t xml:space="preserve">. The position of the conserved GxxG </w:t>
      </w:r>
      <w:r w:rsidR="00EE24D3">
        <w:t>pattern</w:t>
      </w:r>
      <w:r w:rsidRPr="004050D3">
        <w:t xml:space="preserve"> within the KH motif is highlighted in grey.</w:t>
      </w:r>
    </w:p>
    <w:p w14:paraId="287E141B" w14:textId="77777777" w:rsidR="00EE35EC" w:rsidRDefault="00EE35EC" w:rsidP="00EE35EC">
      <w:pPr>
        <w:pStyle w:val="IUCrbodytext"/>
        <w:jc w:val="both"/>
        <w:rPr>
          <w:b/>
          <w:bCs/>
        </w:rPr>
      </w:pPr>
      <w:r>
        <w:rPr>
          <w:noProof/>
          <w:color w:val="000000" w:themeColor="text1"/>
        </w:rPr>
        <w:drawing>
          <wp:inline distT="0" distB="0" distL="0" distR="0" wp14:anchorId="396E0C00" wp14:editId="7907A3E6">
            <wp:extent cx="5084458" cy="29746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msp:Desktop:Desktop:EMBL_PhD:Paper_writing:valifrag_for_Nature:DipSpace_IUCRj:figures:Fig7.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84458" cy="2974683"/>
                    </a:xfrm>
                    <a:prstGeom prst="rect">
                      <a:avLst/>
                    </a:prstGeom>
                    <a:noFill/>
                    <a:ln>
                      <a:noFill/>
                    </a:ln>
                  </pic:spPr>
                </pic:pic>
              </a:graphicData>
            </a:graphic>
          </wp:inline>
        </w:drawing>
      </w:r>
    </w:p>
    <w:p w14:paraId="07D60AEE" w14:textId="3CB6A88A" w:rsidR="00EE35EC" w:rsidRDefault="00667A2C" w:rsidP="00EE35EC">
      <w:pPr>
        <w:pStyle w:val="IUCrbodytext"/>
        <w:jc w:val="both"/>
      </w:pPr>
      <w:r>
        <w:rPr>
          <w:b/>
          <w:bCs/>
        </w:rPr>
        <w:t>Fig. S7</w:t>
      </w:r>
      <w:r w:rsidR="00EE35EC" w:rsidRPr="00AB0560">
        <w:rPr>
          <w:b/>
          <w:bCs/>
        </w:rPr>
        <w:t>.</w:t>
      </w:r>
      <w:r w:rsidR="00EE35EC" w:rsidRPr="00AB0560">
        <w:rPr>
          <w:b/>
          <w:bCs/>
        </w:rPr>
        <w:t> </w:t>
      </w:r>
      <w:r w:rsidR="00EE24D3">
        <w:rPr>
          <w:b/>
          <w:bCs/>
        </w:rPr>
        <w:t>Sequence</w:t>
      </w:r>
      <w:r w:rsidR="00EE35EC">
        <w:rPr>
          <w:b/>
          <w:bCs/>
        </w:rPr>
        <w:t xml:space="preserve"> </w:t>
      </w:r>
      <w:r w:rsidR="00EE35EC">
        <w:rPr>
          <w:b/>
        </w:rPr>
        <w:t xml:space="preserve">alignment of </w:t>
      </w:r>
      <w:r w:rsidR="00EE24D3">
        <w:rPr>
          <w:b/>
        </w:rPr>
        <w:t>representative sequences of Small Domains</w:t>
      </w:r>
      <w:r w:rsidR="00EE35EC">
        <w:rPr>
          <w:b/>
        </w:rPr>
        <w:t xml:space="preserve"> from bacterial </w:t>
      </w:r>
      <w:r w:rsidR="00B03C7B">
        <w:rPr>
          <w:b/>
        </w:rPr>
        <w:t>RNases G and E</w:t>
      </w:r>
      <w:r w:rsidR="00EE35EC">
        <w:rPr>
          <w:b/>
        </w:rPr>
        <w:t xml:space="preserve">. </w:t>
      </w:r>
      <w:r w:rsidR="00EE35EC" w:rsidRPr="00CE556D">
        <w:t>Sequen</w:t>
      </w:r>
      <w:r w:rsidR="00EE35EC">
        <w:t>ces were obtained by searching bacterial sequences in UniproKB with HMMER</w:t>
      </w:r>
      <w:r w:rsidR="00DB70A9">
        <w:t xml:space="preserve"> </w:t>
      </w:r>
      <w:r w:rsidR="00DB70A9">
        <w:fldChar w:fldCharType="begin" w:fldLock="1"/>
      </w:r>
      <w:r w:rsidR="00DB70A9">
        <w:instrText>ADDIN CSL_CITATION { "citationItems" : [ { "id" : "ITEM-1", "itemData" : { "DOI" : "10.1093/nar/gkv397", "ISSN" : "0305-1048", "author" : [ { "dropping-particle" : "", "family" : "Finn", "given" : "Robert D.", "non-dropping-particle" : "", "parse-names" : false, "suffix" : "" }, { "dropping-particle" : "", "family" : "Clements", "given" : "Jody", "non-dropping-particle" : "", "parse-names" : false, "suffix" : "" }, { "dropping-particle" : "", "family" : "Arndt", "given" : "William", "non-dropping-particle" : "", "parse-names" : false, "suffix" : "" }, { "dropping-particle" : "", "family" : "Miller", "given" : "Benjamin L.", "non-dropping-particle" : "", "parse-names" : false, "suffix" : "" }, { "dropping-particle" : "", "family" : "Wheeler", "given" : "Travis J.", "non-dropping-particle" : "", "parse-names" : false, "suffix" : "" }, { "dropping-particle" : "", "family" : "Schreiber", "given" : "Fabian", "non-dropping-particle" : "", "parse-names" : false, "suffix" : "" }, { "dropping-particle" : "", "family" : "Bateman", "given" : "Alex", "non-dropping-particle" : "", "parse-names" : false, "suffix" : "" }, { "dropping-particle" : "", "family" : "Eddy", "given" : "Sean R.", "non-dropping-particle" : "", "parse-names" : false, "suffix" : "" }, { "dropping-particle" : "", "family" : "G.", "given" : "van\u00a0Ginkel", "non-dropping-particle" : "", "parse-names" : false, "suffix" : "" }, { "dropping-particle" : "", "family" : "S.P.", "given" : "Gore", "non-dropping-particle" : "", "parse-names" : false, "suffix" : "" } ], "container-title" : "Nucleic Acids Research", "id" : "ITEM-1", "issue" : "W1", "issued" : { "date-parts" : [ [ "2015", "7", "1" ] ] }, "page" : "W30-W38", "publisher" : "Oxford University Press", "title" : "HMMER web server: 2015 update", "type" : "article-journal", "volume" : "43" }, "uris" : [ "http://www.mendeley.com/documents/?uuid=642d2e00-699e-311b-a7a2-7b517d40b034" ] } ], "mendeley" : { "formattedCitation" : "(Finn &lt;i&gt;et al.&lt;/i&gt;, 2015)", "plainTextFormattedCitation" : "(Finn et al., 2015)", "previouslyFormattedCitation" : "(Finn &lt;i&gt;et al.&lt;/i&gt;, 2015)" }, "properties" : {  }, "schema" : "https://github.com/citation-style-language/schema/raw/master/csl-citation.json" }</w:instrText>
      </w:r>
      <w:r w:rsidR="00DB70A9">
        <w:fldChar w:fldCharType="separate"/>
      </w:r>
      <w:r w:rsidR="00DB70A9" w:rsidRPr="00DB70A9">
        <w:rPr>
          <w:noProof/>
        </w:rPr>
        <w:t xml:space="preserve">(Finn </w:t>
      </w:r>
      <w:r w:rsidR="00DB70A9" w:rsidRPr="00DB70A9">
        <w:rPr>
          <w:i/>
          <w:noProof/>
        </w:rPr>
        <w:t>et al.</w:t>
      </w:r>
      <w:r w:rsidR="00DB70A9" w:rsidRPr="00DB70A9">
        <w:rPr>
          <w:noProof/>
        </w:rPr>
        <w:t>, 2015)</w:t>
      </w:r>
      <w:r w:rsidR="00DB70A9">
        <w:fldChar w:fldCharType="end"/>
      </w:r>
      <w:r w:rsidR="00EE35EC">
        <w:t xml:space="preserve">. The sequence alignment of the SD from </w:t>
      </w:r>
      <w:r w:rsidR="00EE35EC">
        <w:rPr>
          <w:i/>
        </w:rPr>
        <w:t>E. coli</w:t>
      </w:r>
      <w:r w:rsidR="00EE35EC">
        <w:t xml:space="preserve"> RNase E (PDBid: 2bx2, chain L, res. 413-517) and its homologous in </w:t>
      </w:r>
      <w:r w:rsidR="00EE35EC">
        <w:rPr>
          <w:i/>
        </w:rPr>
        <w:t xml:space="preserve">T. marianensis </w:t>
      </w:r>
      <w:r w:rsidR="00EE35EC">
        <w:t xml:space="preserve">RNase G (UniprotKB: E6SKC9_THEM7, res. 416-506), which carries the GxxG </w:t>
      </w:r>
      <w:r w:rsidR="00EE24D3">
        <w:t>pattern</w:t>
      </w:r>
      <w:r w:rsidR="00EE35EC">
        <w:t xml:space="preserve"> and is longer than its </w:t>
      </w:r>
      <w:r w:rsidR="00EE35EC">
        <w:rPr>
          <w:i/>
        </w:rPr>
        <w:t>E. coli</w:t>
      </w:r>
      <w:r w:rsidR="00AF47B6">
        <w:t xml:space="preserve"> ortholog, was</w:t>
      </w:r>
      <w:r w:rsidR="00EE35EC">
        <w:t xml:space="preserve"> used as input with default settings. The aligned m</w:t>
      </w:r>
      <w:r w:rsidR="00DB70A9">
        <w:t xml:space="preserve">atches were processed with trimAL </w:t>
      </w:r>
      <w:r w:rsidR="00DB70A9">
        <w:fldChar w:fldCharType="begin" w:fldLock="1"/>
      </w:r>
      <w:r w:rsidR="00DB70A9">
        <w:instrText>ADDIN CSL_CITATION { "citationItems" : [ { "id" : "ITEM-1", "itemData" : { "DOI" : "10.1093/bioinformatics/btp348", "ISSN" : "1367-4803", "author" : [ { "dropping-particle" : "", "family" : "Capella-Gutierrez", "given" : "S.", "non-dropping-particle" : "", "parse-names" : false, "suffix" : "" }, { "dropping-particle" : "", "family" : "Silla-Martinez", "given" : "J. M.", "non-dropping-particle" : "", "parse-names" : false, "suffix" : "" }, { "dropping-particle" : "", "family" : "Gabaldon", "given" : "T.", "non-dropping-particle" : "", "parse-names" : false, "suffix" : "" } ], "container-title" : "Bioinformatics", "id" : "ITEM-1", "issue" : "15", "issued" : { "date-parts" : [ [ "2009", "8", "1" ] ] }, "page" : "1972-1973", "publisher" : "Oxford University Press", "title" : "trimAl: a tool for automated alignment trimming in large-scale phylogenetic analyses", "type" : "article-journal", "volume" : "25" }, "uris" : [ "http://www.mendeley.com/documents/?uuid=f349a97c-1814-37a2-9a0f-8b92928cb759" ] } ], "mendeley" : { "formattedCitation" : "(Capella-Gutierrez &lt;i&gt;et al.&lt;/i&gt;, 2009)", "plainTextFormattedCitation" : "(Capella-Gutierrez et al., 2009)", "previouslyFormattedCitation" : "(Capella-Gutierrez &lt;i&gt;et al.&lt;/i&gt;, 2009)" }, "properties" : {  }, "schema" : "https://github.com/citation-style-language/schema/raw/master/csl-citation.json" }</w:instrText>
      </w:r>
      <w:r w:rsidR="00DB70A9">
        <w:fldChar w:fldCharType="separate"/>
      </w:r>
      <w:r w:rsidR="00DB70A9" w:rsidRPr="00DB70A9">
        <w:rPr>
          <w:noProof/>
        </w:rPr>
        <w:t xml:space="preserve">(Capella-Gutierrez </w:t>
      </w:r>
      <w:r w:rsidR="00DB70A9" w:rsidRPr="00DB70A9">
        <w:rPr>
          <w:i/>
          <w:noProof/>
        </w:rPr>
        <w:t>et al.</w:t>
      </w:r>
      <w:r w:rsidR="00DB70A9" w:rsidRPr="00DB70A9">
        <w:rPr>
          <w:noProof/>
        </w:rPr>
        <w:t>, 2009)</w:t>
      </w:r>
      <w:r w:rsidR="00DB70A9">
        <w:fldChar w:fldCharType="end"/>
      </w:r>
      <w:r w:rsidR="00EE35EC">
        <w:t xml:space="preserve"> in order to remove columns where more than 85% of the positions represented a gap (gap score of 0.15) and a representative set of sequences extracted with HHfilter </w:t>
      </w:r>
      <w:r w:rsidR="00EE35EC">
        <w:fldChar w:fldCharType="begin" w:fldLock="1"/>
      </w:r>
      <w:r w:rsidR="00C617F6">
        <w:instrText>ADDIN CSL_CITATION { "citationItems" : [ { "id" : "ITEM-1", "itemData" : { "DOI" : "10.1038/nmeth.1818", "ISSN" : "1548-7091", "author" : [ { "dropping-particle" : "", "family" : "Remmert", "given" : "Michael", "non-dropping-particle" : "", "parse-names" : false, "suffix" : "" }, { "dropping-particle" : "", "family" : "Biegert", "given" : "Andreas", "non-dropping-particle" : "", "parse-names" : false, "suffix" : "" }, { "dropping-particle" : "", "family" : "Hauser", "given" : "Andreas", "non-dropping-particle" : "", "parse-names" : false, "suffix" : "" }, { "dropping-particle" : "", "family" : "S\u00f6ding", "given" : "Johannes", "non-dropping-particle" : "", "parse-names" : false, "suffix" : "" } ], "container-title" : "Nature Methods", "id" : "ITEM-1", "issue" : "2", "issued" : { "date-parts" : [ [ "2011", "12", "25" ] ] }, "page" : "173-175", "publisher" : "Nature Research", "title" : "HHblits: lightning-fast iterative protein sequence searching by HMM-HMM alignment", "type" : "article-journal", "volume" : "9" }, "uris" : [ "http://www.mendeley.com/documents/?uuid=1a150ac7-531c-3aae-9677-a0381b6ad64a" ] } ], "mendeley" : { "formattedCitation" : "(Remmert &lt;i&gt;et al.&lt;/i&gt;, 2011)", "plainTextFormattedCitation" : "(Remmert et al., 2011)", "previouslyFormattedCitation" : "(Remmert &lt;i&gt;et al.&lt;/i&gt;, 2011)" }, "properties" : {  }, "schema" : "https://github.com/citation-style-language/schema/raw/master/csl-citation.json" }</w:instrText>
      </w:r>
      <w:r w:rsidR="00EE35EC">
        <w:fldChar w:fldCharType="separate"/>
      </w:r>
      <w:r w:rsidR="00C617F6" w:rsidRPr="00C617F6">
        <w:rPr>
          <w:noProof/>
        </w:rPr>
        <w:t xml:space="preserve">(Remmert </w:t>
      </w:r>
      <w:r w:rsidR="00C617F6" w:rsidRPr="00C617F6">
        <w:rPr>
          <w:i/>
          <w:noProof/>
        </w:rPr>
        <w:t>et al.</w:t>
      </w:r>
      <w:r w:rsidR="00C617F6" w:rsidRPr="00C617F6">
        <w:rPr>
          <w:noProof/>
        </w:rPr>
        <w:t>, 2011)</w:t>
      </w:r>
      <w:r w:rsidR="00EE35EC">
        <w:fldChar w:fldCharType="end"/>
      </w:r>
      <w:r w:rsidR="00EE35EC">
        <w:t xml:space="preserve"> to a maximum sequence identity of 35%. The alignment was visualized with Jalview </w:t>
      </w:r>
      <w:r w:rsidR="00EE35EC">
        <w:fldChar w:fldCharType="begin" w:fldLock="1"/>
      </w:r>
      <w:r w:rsidR="00C617F6">
        <w:instrText>ADDIN CSL_CITATION { "citationItems" : [ { "id" : "ITEM-1", "itemData" : { "DOI" : "10.1093/bioinformatics/btp033", "ISSN" : "1367-4803", "author" : [ { "dropping-particle" : "", "family" : "Waterhouse", "given" : "A. M.", "non-dropping-particle" : "", "parse-names" : false, "suffix" : "" }, { "dropping-particle" : "", "family" : "Procter", "given" : "J. B.", "non-dropping-particle" : "", "parse-names" : false, "suffix" : "" }, { "dropping-particle" : "", "family" : "Martin", "given" : "D. M. A.", "non-dropping-particle" : "", "parse-names" : false, "suffix" : "" }, { "dropping-particle" : "", "family" : "Clamp", "given" : "M.", "non-dropping-particle" : "", "parse-names" : false, "suffix" : "" }, { "dropping-particle" : "", "family" : "Barton", "given" : "G. J.", "non-dropping-particle" : "", "parse-names" : false, "suffix" : "" } ], "container-title" : "Bioinformatics", "id" : "ITEM-1", "issue" : "9", "issued" : { "date-parts" : [ [ "2009", "5", "1" ] ] }, "page" : "1189-1191", "publisher" : "Oxford University Press", "title" : "Jalview Version 2--a multiple sequence alignment editor and analysis workbench", "type" : "article-journal", "volume" : "25" }, "uris" : [ "http://www.mendeley.com/documents/?uuid=01c2e830-8d36-36ee-a4f5-b90a785ad2ae" ] } ], "mendeley" : { "formattedCitation" : "(Waterhouse &lt;i&gt;et al.&lt;/i&gt;, 2009)", "plainTextFormattedCitation" : "(Waterhouse et al., 2009)", "previouslyFormattedCitation" : "(Waterhouse &lt;i&gt;et al.&lt;/i&gt;, 2009)" }, "properties" : {  }, "schema" : "https://github.com/citation-style-language/schema/raw/master/csl-citation.json" }</w:instrText>
      </w:r>
      <w:r w:rsidR="00EE35EC">
        <w:fldChar w:fldCharType="separate"/>
      </w:r>
      <w:r w:rsidR="00C617F6" w:rsidRPr="00C617F6">
        <w:rPr>
          <w:noProof/>
        </w:rPr>
        <w:t xml:space="preserve">(Waterhouse </w:t>
      </w:r>
      <w:r w:rsidR="00C617F6" w:rsidRPr="00C617F6">
        <w:rPr>
          <w:i/>
          <w:noProof/>
        </w:rPr>
        <w:t>et al.</w:t>
      </w:r>
      <w:r w:rsidR="00C617F6" w:rsidRPr="00C617F6">
        <w:rPr>
          <w:noProof/>
        </w:rPr>
        <w:t>, 2009)</w:t>
      </w:r>
      <w:r w:rsidR="00EE35EC">
        <w:fldChar w:fldCharType="end"/>
      </w:r>
      <w:r w:rsidR="00EE35EC">
        <w:t xml:space="preserve"> and colored based on the ClustalX color scheme. Only protein sequences with a known name were considered; their names, UniProtKB accession codes and residue intervals are </w:t>
      </w:r>
      <w:r w:rsidR="00B03C7B">
        <w:t>shown</w:t>
      </w:r>
      <w:r w:rsidR="00EE35EC">
        <w:t xml:space="preserve">. The secondary structure of the SD from </w:t>
      </w:r>
      <w:r w:rsidR="00EE35EC">
        <w:rPr>
          <w:i/>
        </w:rPr>
        <w:t>E. coli</w:t>
      </w:r>
      <w:r w:rsidR="00EE35EC">
        <w:t xml:space="preserve"> RNase E (PDBid: 2bx2, chain L) is represented and mapped on the top of the alignment: red boxes represent helices and blue boxes strands; those surrounded by a black line represent the KH motif. The region considered in this work as the KHIII domain is depicted and corresponds to the conserved block on the alignment.</w:t>
      </w:r>
    </w:p>
    <w:p w14:paraId="6A62393A" w14:textId="553A5603" w:rsidR="000F2EA7" w:rsidRPr="000F2EA7" w:rsidRDefault="00DD2F47" w:rsidP="000F2EA7">
      <w:pPr>
        <w:rPr>
          <w:rFonts w:ascii="Times New Roman" w:eastAsia="Times New Roman" w:hAnsi="Times New Roman" w:cs="Times New Roman"/>
          <w:sz w:val="22"/>
          <w:lang w:val="en-GB" w:eastAsia="en-GB"/>
        </w:rPr>
      </w:pPr>
      <w:r>
        <w:br w:type="page"/>
      </w:r>
    </w:p>
    <w:p w14:paraId="7FA3856B" w14:textId="70A00FF9" w:rsidR="00DD2F47" w:rsidRDefault="00DD2F47" w:rsidP="000F2EA7">
      <w:pPr>
        <w:pStyle w:val="Style3"/>
      </w:pPr>
      <w:r>
        <w:t>SUPPLEMENTARY TABLES</w:t>
      </w:r>
    </w:p>
    <w:p w14:paraId="2009E0F0" w14:textId="05AC1135" w:rsidR="005A2837" w:rsidRPr="005A2837" w:rsidRDefault="005A2837" w:rsidP="005A2837">
      <w:pPr>
        <w:pStyle w:val="IUCrbodytext"/>
      </w:pPr>
      <w:r w:rsidRPr="000F2EA7">
        <w:rPr>
          <w:b/>
        </w:rPr>
        <w:t>Table S1. List of KH</w:t>
      </w:r>
      <w:r>
        <w:rPr>
          <w:b/>
        </w:rPr>
        <w:t xml:space="preserve">II sequences added to the initial KHII set. </w:t>
      </w:r>
      <w:r>
        <w:t>Protein sequences not yet annotated to a SCOPe family were identified by HHPred searches over the PDB70 with default parameters.</w:t>
      </w:r>
    </w:p>
    <w:tbl>
      <w:tblPr>
        <w:tblW w:w="4865" w:type="dxa"/>
        <w:jc w:val="center"/>
        <w:tblBorders>
          <w:top w:val="single" w:sz="4" w:space="0" w:color="auto"/>
          <w:bottom w:val="single" w:sz="4" w:space="0" w:color="auto"/>
        </w:tblBorders>
        <w:tblLayout w:type="fixed"/>
        <w:tblLook w:val="04A0" w:firstRow="1" w:lastRow="0" w:firstColumn="1" w:lastColumn="0" w:noHBand="0" w:noVBand="1"/>
      </w:tblPr>
      <w:tblGrid>
        <w:gridCol w:w="1216"/>
        <w:gridCol w:w="1216"/>
        <w:gridCol w:w="1216"/>
        <w:gridCol w:w="1217"/>
      </w:tblGrid>
      <w:tr w:rsidR="00A75849" w:rsidRPr="000F2EA7" w14:paraId="573B3E40" w14:textId="77777777" w:rsidTr="00A75849">
        <w:trPr>
          <w:trHeight w:val="414"/>
          <w:jc w:val="center"/>
        </w:trPr>
        <w:tc>
          <w:tcPr>
            <w:tcW w:w="1216" w:type="dxa"/>
            <w:tcBorders>
              <w:top w:val="single" w:sz="4" w:space="0" w:color="auto"/>
              <w:bottom w:val="single" w:sz="4" w:space="0" w:color="auto"/>
            </w:tcBorders>
            <w:shd w:val="clear" w:color="auto" w:fill="auto"/>
            <w:vAlign w:val="center"/>
            <w:hideMark/>
          </w:tcPr>
          <w:p w14:paraId="0F1C6DE9" w14:textId="77777777" w:rsidR="00A75849" w:rsidRPr="000F2EA7" w:rsidRDefault="00A75849" w:rsidP="00C617F6">
            <w:pPr>
              <w:jc w:val="center"/>
              <w:rPr>
                <w:rFonts w:ascii="Times New Roman" w:eastAsia="Times New Roman" w:hAnsi="Times New Roman" w:cs="Times New Roman"/>
                <w:b/>
                <w:bCs/>
                <w:color w:val="000000"/>
                <w:sz w:val="18"/>
                <w:szCs w:val="18"/>
                <w:lang w:val="en-GB"/>
              </w:rPr>
            </w:pPr>
            <w:r w:rsidRPr="000F2EA7">
              <w:rPr>
                <w:rFonts w:ascii="Times New Roman" w:eastAsia="Times New Roman" w:hAnsi="Times New Roman" w:cs="Times New Roman"/>
                <w:b/>
                <w:bCs/>
                <w:color w:val="000000"/>
                <w:sz w:val="18"/>
                <w:szCs w:val="18"/>
                <w:lang w:val="en-GB"/>
              </w:rPr>
              <w:t>Protein family</w:t>
            </w:r>
          </w:p>
        </w:tc>
        <w:tc>
          <w:tcPr>
            <w:tcW w:w="1216" w:type="dxa"/>
            <w:tcBorders>
              <w:top w:val="single" w:sz="4" w:space="0" w:color="auto"/>
              <w:bottom w:val="single" w:sz="4" w:space="0" w:color="auto"/>
            </w:tcBorders>
            <w:shd w:val="clear" w:color="auto" w:fill="auto"/>
            <w:vAlign w:val="center"/>
            <w:hideMark/>
          </w:tcPr>
          <w:p w14:paraId="38A25D30" w14:textId="1860BFE9" w:rsidR="00A75849" w:rsidRPr="000F2EA7" w:rsidRDefault="00A75849" w:rsidP="00C617F6">
            <w:pPr>
              <w:jc w:val="center"/>
              <w:rPr>
                <w:rFonts w:ascii="Times New Roman" w:eastAsia="Times New Roman" w:hAnsi="Times New Roman" w:cs="Times New Roman"/>
                <w:b/>
                <w:bCs/>
                <w:color w:val="000000"/>
                <w:sz w:val="18"/>
                <w:szCs w:val="18"/>
                <w:lang w:val="en-GB"/>
              </w:rPr>
            </w:pPr>
            <w:r>
              <w:rPr>
                <w:rFonts w:ascii="Times New Roman" w:eastAsia="Times New Roman" w:hAnsi="Times New Roman" w:cs="Times New Roman"/>
                <w:b/>
                <w:bCs/>
                <w:color w:val="000000"/>
                <w:sz w:val="18"/>
                <w:szCs w:val="18"/>
                <w:lang w:val="en-GB"/>
              </w:rPr>
              <w:t>PDBid</w:t>
            </w:r>
          </w:p>
        </w:tc>
        <w:tc>
          <w:tcPr>
            <w:tcW w:w="1216" w:type="dxa"/>
            <w:tcBorders>
              <w:top w:val="single" w:sz="4" w:space="0" w:color="auto"/>
              <w:bottom w:val="single" w:sz="4" w:space="0" w:color="auto"/>
            </w:tcBorders>
            <w:shd w:val="clear" w:color="auto" w:fill="auto"/>
            <w:vAlign w:val="center"/>
            <w:hideMark/>
          </w:tcPr>
          <w:p w14:paraId="47DDBABA" w14:textId="22E404BB" w:rsidR="00A75849" w:rsidRPr="000F2EA7" w:rsidRDefault="00A75849" w:rsidP="00C617F6">
            <w:pPr>
              <w:jc w:val="center"/>
              <w:rPr>
                <w:rFonts w:ascii="Times New Roman" w:eastAsia="Times New Roman" w:hAnsi="Times New Roman" w:cs="Times New Roman"/>
                <w:b/>
                <w:bCs/>
                <w:color w:val="000000"/>
                <w:sz w:val="18"/>
                <w:szCs w:val="18"/>
                <w:lang w:val="en-GB"/>
              </w:rPr>
            </w:pPr>
            <w:r>
              <w:rPr>
                <w:rFonts w:ascii="Times New Roman" w:eastAsia="Times New Roman" w:hAnsi="Times New Roman" w:cs="Times New Roman"/>
                <w:b/>
                <w:bCs/>
                <w:color w:val="000000"/>
                <w:sz w:val="18"/>
                <w:szCs w:val="18"/>
                <w:lang w:val="en-GB"/>
              </w:rPr>
              <w:t>Chain</w:t>
            </w:r>
            <w:r w:rsidRPr="000F2EA7">
              <w:rPr>
                <w:rFonts w:ascii="Times New Roman" w:eastAsia="Times New Roman" w:hAnsi="Times New Roman" w:cs="Times New Roman"/>
                <w:b/>
                <w:bCs/>
                <w:color w:val="000000"/>
                <w:sz w:val="18"/>
                <w:szCs w:val="18"/>
                <w:lang w:val="en-GB"/>
              </w:rPr>
              <w:t xml:space="preserve"> </w:t>
            </w:r>
          </w:p>
        </w:tc>
        <w:tc>
          <w:tcPr>
            <w:tcW w:w="1217" w:type="dxa"/>
            <w:tcBorders>
              <w:top w:val="single" w:sz="4" w:space="0" w:color="auto"/>
              <w:bottom w:val="single" w:sz="4" w:space="0" w:color="auto"/>
            </w:tcBorders>
            <w:shd w:val="clear" w:color="auto" w:fill="auto"/>
            <w:vAlign w:val="center"/>
            <w:hideMark/>
          </w:tcPr>
          <w:p w14:paraId="20514591" w14:textId="77777777" w:rsidR="00A75849" w:rsidRPr="000F2EA7" w:rsidRDefault="00A75849" w:rsidP="00C617F6">
            <w:pPr>
              <w:jc w:val="center"/>
              <w:rPr>
                <w:rFonts w:ascii="Times New Roman" w:eastAsia="Times New Roman" w:hAnsi="Times New Roman" w:cs="Times New Roman"/>
                <w:b/>
                <w:bCs/>
                <w:color w:val="000000"/>
                <w:sz w:val="18"/>
                <w:szCs w:val="18"/>
                <w:lang w:val="en-GB"/>
              </w:rPr>
            </w:pPr>
            <w:r w:rsidRPr="000F2EA7">
              <w:rPr>
                <w:rFonts w:ascii="Times New Roman" w:eastAsia="Times New Roman" w:hAnsi="Times New Roman" w:cs="Times New Roman"/>
                <w:b/>
                <w:bCs/>
                <w:color w:val="000000"/>
                <w:sz w:val="18"/>
                <w:szCs w:val="18"/>
                <w:lang w:val="en-GB"/>
              </w:rPr>
              <w:t>Position</w:t>
            </w:r>
          </w:p>
        </w:tc>
      </w:tr>
      <w:tr w:rsidR="00A75849" w:rsidRPr="000F2EA7" w14:paraId="5709E1A1" w14:textId="77777777" w:rsidTr="00A75849">
        <w:trPr>
          <w:trHeight w:val="414"/>
          <w:jc w:val="center"/>
        </w:trPr>
        <w:tc>
          <w:tcPr>
            <w:tcW w:w="1216" w:type="dxa"/>
            <w:tcBorders>
              <w:top w:val="single" w:sz="4" w:space="0" w:color="auto"/>
            </w:tcBorders>
            <w:shd w:val="clear" w:color="auto" w:fill="auto"/>
            <w:vAlign w:val="center"/>
            <w:hideMark/>
          </w:tcPr>
          <w:p w14:paraId="16CFFD3C" w14:textId="544AB757"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KH-CPSF</w:t>
            </w:r>
          </w:p>
        </w:tc>
        <w:tc>
          <w:tcPr>
            <w:tcW w:w="1216" w:type="dxa"/>
            <w:tcBorders>
              <w:top w:val="single" w:sz="4" w:space="0" w:color="auto"/>
            </w:tcBorders>
            <w:shd w:val="clear" w:color="auto" w:fill="auto"/>
            <w:vAlign w:val="center"/>
            <w:hideMark/>
          </w:tcPr>
          <w:p w14:paraId="684073F7" w14:textId="40D3D337"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2xr1</w:t>
            </w:r>
          </w:p>
        </w:tc>
        <w:tc>
          <w:tcPr>
            <w:tcW w:w="1216" w:type="dxa"/>
            <w:tcBorders>
              <w:top w:val="single" w:sz="4" w:space="0" w:color="auto"/>
            </w:tcBorders>
            <w:shd w:val="clear" w:color="auto" w:fill="auto"/>
            <w:vAlign w:val="center"/>
            <w:hideMark/>
          </w:tcPr>
          <w:p w14:paraId="0BADB7AE" w14:textId="4A12278E"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A</w:t>
            </w:r>
          </w:p>
        </w:tc>
        <w:tc>
          <w:tcPr>
            <w:tcW w:w="1217" w:type="dxa"/>
            <w:tcBorders>
              <w:top w:val="single" w:sz="4" w:space="0" w:color="auto"/>
            </w:tcBorders>
            <w:shd w:val="clear" w:color="auto" w:fill="auto"/>
            <w:vAlign w:val="center"/>
            <w:hideMark/>
          </w:tcPr>
          <w:p w14:paraId="226C45BC" w14:textId="2F7D62E2"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3-67</w:t>
            </w:r>
          </w:p>
        </w:tc>
      </w:tr>
      <w:tr w:rsidR="00A75849" w:rsidRPr="000F2EA7" w14:paraId="2B49143A" w14:textId="77777777" w:rsidTr="00A75849">
        <w:trPr>
          <w:trHeight w:val="414"/>
          <w:jc w:val="center"/>
        </w:trPr>
        <w:tc>
          <w:tcPr>
            <w:tcW w:w="1216" w:type="dxa"/>
            <w:shd w:val="clear" w:color="auto" w:fill="auto"/>
            <w:vAlign w:val="center"/>
            <w:hideMark/>
          </w:tcPr>
          <w:p w14:paraId="3121CE8E" w14:textId="2D8E7AFB"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KH-CPSF</w:t>
            </w:r>
          </w:p>
        </w:tc>
        <w:tc>
          <w:tcPr>
            <w:tcW w:w="1216" w:type="dxa"/>
            <w:shd w:val="clear" w:color="auto" w:fill="auto"/>
            <w:vAlign w:val="center"/>
            <w:hideMark/>
          </w:tcPr>
          <w:p w14:paraId="4296BBEF" w14:textId="6133D256"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2xr1</w:t>
            </w:r>
          </w:p>
        </w:tc>
        <w:tc>
          <w:tcPr>
            <w:tcW w:w="1216" w:type="dxa"/>
            <w:shd w:val="clear" w:color="auto" w:fill="auto"/>
            <w:vAlign w:val="center"/>
            <w:hideMark/>
          </w:tcPr>
          <w:p w14:paraId="2BB48F2D" w14:textId="09426A82"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A</w:t>
            </w:r>
          </w:p>
        </w:tc>
        <w:tc>
          <w:tcPr>
            <w:tcW w:w="1217" w:type="dxa"/>
            <w:shd w:val="clear" w:color="auto" w:fill="auto"/>
            <w:vAlign w:val="center"/>
            <w:hideMark/>
          </w:tcPr>
          <w:p w14:paraId="48E57289" w14:textId="215B6C52"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72-138</w:t>
            </w:r>
          </w:p>
        </w:tc>
      </w:tr>
      <w:tr w:rsidR="00A75849" w:rsidRPr="000F2EA7" w14:paraId="2B8FE68A" w14:textId="77777777" w:rsidTr="00A75849">
        <w:trPr>
          <w:trHeight w:val="414"/>
          <w:jc w:val="center"/>
        </w:trPr>
        <w:tc>
          <w:tcPr>
            <w:tcW w:w="1216" w:type="dxa"/>
            <w:shd w:val="clear" w:color="auto" w:fill="auto"/>
            <w:vAlign w:val="center"/>
            <w:hideMark/>
          </w:tcPr>
          <w:p w14:paraId="2D99AD31" w14:textId="74B20036"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KH-CPSF</w:t>
            </w:r>
          </w:p>
        </w:tc>
        <w:tc>
          <w:tcPr>
            <w:tcW w:w="1216" w:type="dxa"/>
            <w:shd w:val="clear" w:color="auto" w:fill="auto"/>
            <w:vAlign w:val="center"/>
            <w:hideMark/>
          </w:tcPr>
          <w:p w14:paraId="466AE404" w14:textId="7081063A"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2ycb</w:t>
            </w:r>
          </w:p>
        </w:tc>
        <w:tc>
          <w:tcPr>
            <w:tcW w:w="1216" w:type="dxa"/>
            <w:shd w:val="clear" w:color="auto" w:fill="auto"/>
            <w:vAlign w:val="center"/>
            <w:hideMark/>
          </w:tcPr>
          <w:p w14:paraId="0DBA52FC" w14:textId="3BF1870E"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A</w:t>
            </w:r>
          </w:p>
        </w:tc>
        <w:tc>
          <w:tcPr>
            <w:tcW w:w="1217" w:type="dxa"/>
            <w:shd w:val="clear" w:color="auto" w:fill="auto"/>
            <w:vAlign w:val="center"/>
            <w:hideMark/>
          </w:tcPr>
          <w:p w14:paraId="400E45BE" w14:textId="4173A34C"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3-66</w:t>
            </w:r>
          </w:p>
        </w:tc>
      </w:tr>
      <w:tr w:rsidR="00A75849" w:rsidRPr="000F2EA7" w14:paraId="6636B44F" w14:textId="77777777" w:rsidTr="00A75849">
        <w:trPr>
          <w:trHeight w:val="414"/>
          <w:jc w:val="center"/>
        </w:trPr>
        <w:tc>
          <w:tcPr>
            <w:tcW w:w="1216" w:type="dxa"/>
            <w:shd w:val="clear" w:color="auto" w:fill="auto"/>
            <w:vAlign w:val="center"/>
            <w:hideMark/>
          </w:tcPr>
          <w:p w14:paraId="4A8BF59A" w14:textId="77777777" w:rsidR="00A75849" w:rsidRPr="000F2EA7" w:rsidRDefault="00A75849" w:rsidP="00C617F6">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KH-CPSF</w:t>
            </w:r>
          </w:p>
        </w:tc>
        <w:tc>
          <w:tcPr>
            <w:tcW w:w="1216" w:type="dxa"/>
            <w:shd w:val="clear" w:color="auto" w:fill="auto"/>
            <w:vAlign w:val="center"/>
            <w:hideMark/>
          </w:tcPr>
          <w:p w14:paraId="74FEF19C" w14:textId="6AA96221"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2ycb</w:t>
            </w:r>
          </w:p>
        </w:tc>
        <w:tc>
          <w:tcPr>
            <w:tcW w:w="1216" w:type="dxa"/>
            <w:shd w:val="clear" w:color="auto" w:fill="auto"/>
            <w:vAlign w:val="center"/>
            <w:hideMark/>
          </w:tcPr>
          <w:p w14:paraId="7387D9F1" w14:textId="03F9EFB2"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A</w:t>
            </w:r>
          </w:p>
        </w:tc>
        <w:tc>
          <w:tcPr>
            <w:tcW w:w="1217" w:type="dxa"/>
            <w:shd w:val="clear" w:color="auto" w:fill="auto"/>
            <w:vAlign w:val="center"/>
            <w:hideMark/>
          </w:tcPr>
          <w:p w14:paraId="3DC0DE86" w14:textId="0973F5FA" w:rsidR="00A75849" w:rsidRPr="000F2EA7" w:rsidRDefault="00A75849" w:rsidP="00A75849">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71-136</w:t>
            </w:r>
          </w:p>
        </w:tc>
      </w:tr>
      <w:tr w:rsidR="00A75849" w:rsidRPr="000F2EA7" w14:paraId="42BBE671" w14:textId="77777777" w:rsidTr="00A75849">
        <w:trPr>
          <w:trHeight w:val="414"/>
          <w:jc w:val="center"/>
        </w:trPr>
        <w:tc>
          <w:tcPr>
            <w:tcW w:w="1216" w:type="dxa"/>
            <w:shd w:val="clear" w:color="auto" w:fill="auto"/>
            <w:vAlign w:val="center"/>
            <w:hideMark/>
          </w:tcPr>
          <w:p w14:paraId="3E6A51D8" w14:textId="77777777" w:rsidR="00A75849" w:rsidRPr="000F2EA7" w:rsidRDefault="00A75849" w:rsidP="00C617F6">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EloR</w:t>
            </w:r>
          </w:p>
        </w:tc>
        <w:tc>
          <w:tcPr>
            <w:tcW w:w="1216" w:type="dxa"/>
            <w:shd w:val="clear" w:color="auto" w:fill="auto"/>
            <w:vAlign w:val="center"/>
            <w:hideMark/>
          </w:tcPr>
          <w:p w14:paraId="207B4998" w14:textId="41E9EF3D"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3gku</w:t>
            </w:r>
          </w:p>
        </w:tc>
        <w:tc>
          <w:tcPr>
            <w:tcW w:w="1216" w:type="dxa"/>
            <w:shd w:val="clear" w:color="auto" w:fill="auto"/>
            <w:vAlign w:val="center"/>
            <w:hideMark/>
          </w:tcPr>
          <w:p w14:paraId="34C32190" w14:textId="7BB5ABFD"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A</w:t>
            </w:r>
          </w:p>
        </w:tc>
        <w:tc>
          <w:tcPr>
            <w:tcW w:w="1217" w:type="dxa"/>
            <w:shd w:val="clear" w:color="auto" w:fill="auto"/>
            <w:vAlign w:val="center"/>
            <w:hideMark/>
          </w:tcPr>
          <w:p w14:paraId="3CEB66E2" w14:textId="617C0BDD"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57-137</w:t>
            </w:r>
          </w:p>
        </w:tc>
      </w:tr>
      <w:tr w:rsidR="00A75849" w:rsidRPr="000F2EA7" w14:paraId="63CF8C42" w14:textId="77777777" w:rsidTr="00A75849">
        <w:trPr>
          <w:trHeight w:val="414"/>
          <w:jc w:val="center"/>
        </w:trPr>
        <w:tc>
          <w:tcPr>
            <w:tcW w:w="1216" w:type="dxa"/>
            <w:shd w:val="clear" w:color="auto" w:fill="auto"/>
            <w:vAlign w:val="center"/>
            <w:hideMark/>
          </w:tcPr>
          <w:p w14:paraId="3D846640" w14:textId="1BBFB386"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EloR</w:t>
            </w:r>
          </w:p>
        </w:tc>
        <w:tc>
          <w:tcPr>
            <w:tcW w:w="1216" w:type="dxa"/>
            <w:shd w:val="clear" w:color="auto" w:fill="auto"/>
            <w:vAlign w:val="center"/>
            <w:hideMark/>
          </w:tcPr>
          <w:p w14:paraId="6D61E579" w14:textId="23B05A6D"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2pt7</w:t>
            </w:r>
          </w:p>
        </w:tc>
        <w:tc>
          <w:tcPr>
            <w:tcW w:w="1216" w:type="dxa"/>
            <w:shd w:val="clear" w:color="auto" w:fill="auto"/>
            <w:vAlign w:val="center"/>
            <w:hideMark/>
          </w:tcPr>
          <w:p w14:paraId="5FAD479E" w14:textId="22DD4DF0"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G</w:t>
            </w:r>
          </w:p>
        </w:tc>
        <w:tc>
          <w:tcPr>
            <w:tcW w:w="1217" w:type="dxa"/>
            <w:shd w:val="clear" w:color="auto" w:fill="auto"/>
            <w:vAlign w:val="center"/>
            <w:hideMark/>
          </w:tcPr>
          <w:p w14:paraId="15A1718F" w14:textId="6B81ED38" w:rsidR="00A75849" w:rsidRPr="000F2EA7" w:rsidRDefault="00A75849" w:rsidP="00C617F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115-191</w:t>
            </w:r>
          </w:p>
        </w:tc>
      </w:tr>
    </w:tbl>
    <w:p w14:paraId="2456D6F3" w14:textId="25914E70" w:rsidR="005733B5" w:rsidRDefault="005733B5" w:rsidP="00EE35EC">
      <w:pPr>
        <w:pStyle w:val="IUCrbodytext"/>
        <w:jc w:val="both"/>
        <w:rPr>
          <w:b/>
        </w:rPr>
      </w:pPr>
    </w:p>
    <w:p w14:paraId="527AD649" w14:textId="77777777" w:rsidR="005733B5" w:rsidRDefault="005733B5">
      <w:pPr>
        <w:rPr>
          <w:rFonts w:ascii="Times New Roman" w:eastAsia="Times New Roman" w:hAnsi="Times New Roman" w:cs="Times New Roman"/>
          <w:b/>
          <w:sz w:val="22"/>
          <w:lang w:val="en-GB" w:eastAsia="en-GB"/>
        </w:rPr>
      </w:pPr>
      <w:r>
        <w:rPr>
          <w:b/>
        </w:rPr>
        <w:br w:type="page"/>
      </w:r>
    </w:p>
    <w:p w14:paraId="6230A7D5" w14:textId="16BB84D6" w:rsidR="00DD2F47" w:rsidRPr="000F2EA7" w:rsidRDefault="005A2837" w:rsidP="00EE35EC">
      <w:pPr>
        <w:pStyle w:val="IUCrbodytext"/>
        <w:jc w:val="both"/>
      </w:pPr>
      <w:r>
        <w:rPr>
          <w:b/>
        </w:rPr>
        <w:t>Table S2</w:t>
      </w:r>
      <w:r w:rsidR="000F2EA7" w:rsidRPr="000F2EA7">
        <w:rPr>
          <w:b/>
        </w:rPr>
        <w:t>. List of KH-containing protein families identified by HMMER</w:t>
      </w:r>
      <w:r w:rsidR="00F76F2B">
        <w:rPr>
          <w:b/>
        </w:rPr>
        <w:t xml:space="preserve"> searches</w:t>
      </w:r>
      <w:r w:rsidR="000F2EA7" w:rsidRPr="000F2EA7">
        <w:rPr>
          <w:b/>
        </w:rPr>
        <w:t xml:space="preserve">. </w:t>
      </w:r>
      <w:r w:rsidR="00AF658A">
        <w:t>The taxonomic distribution of the families identified was obtained by BLASTp searches over the reference proteomes of bacteria, archaea and eukaryote; a</w:t>
      </w:r>
      <w:r w:rsidR="00161031">
        <w:t xml:space="preserve"> universal protein is present in all superkingdoms. The consensus KH fold annotated</w:t>
      </w:r>
      <w:r w:rsidR="00AF658A">
        <w:t xml:space="preserve"> based on our HMMER and HHPred searches (as described in the Methods section)</w:t>
      </w:r>
      <w:r w:rsidR="00161031">
        <w:t xml:space="preserve"> is shown, along with its position on the reference sequence. When more than one KH domain is </w:t>
      </w:r>
      <w:r w:rsidR="00483A82">
        <w:t>found</w:t>
      </w:r>
      <w:r w:rsidR="00161031">
        <w:t xml:space="preserve"> on the same protein, the position of all of those is given. The consensus presence of the GxxG pattern on the </w:t>
      </w:r>
      <w:r w:rsidR="00645099">
        <w:t xml:space="preserve">HMM profiles computed (as described in the Methods section) </w:t>
      </w:r>
      <w:r w:rsidR="00161031">
        <w:t>for th</w:t>
      </w:r>
      <w:r w:rsidR="008C7330">
        <w:t>e given KH domains is shown</w:t>
      </w:r>
      <w:r w:rsidR="00161031">
        <w:t xml:space="preserve">. </w:t>
      </w:r>
      <w:r w:rsidR="00483A82">
        <w:t>Reference structures were identified by HHPred searches over the PDB70.</w:t>
      </w:r>
    </w:p>
    <w:tbl>
      <w:tblPr>
        <w:tblW w:w="9267" w:type="dxa"/>
        <w:jc w:val="center"/>
        <w:tblBorders>
          <w:top w:val="single" w:sz="4" w:space="0" w:color="auto"/>
          <w:bottom w:val="single" w:sz="4" w:space="0" w:color="auto"/>
        </w:tblBorders>
        <w:tblLayout w:type="fixed"/>
        <w:tblLook w:val="04A0" w:firstRow="1" w:lastRow="0" w:firstColumn="1" w:lastColumn="0" w:noHBand="0" w:noVBand="1"/>
      </w:tblPr>
      <w:tblGrid>
        <w:gridCol w:w="1193"/>
        <w:gridCol w:w="1418"/>
        <w:gridCol w:w="1642"/>
        <w:gridCol w:w="619"/>
        <w:gridCol w:w="851"/>
        <w:gridCol w:w="1081"/>
        <w:gridCol w:w="1418"/>
        <w:gridCol w:w="1045"/>
      </w:tblGrid>
      <w:tr w:rsidR="008C7330" w:rsidRPr="000F2EA7" w14:paraId="1970A902" w14:textId="77777777" w:rsidTr="00EB27D4">
        <w:trPr>
          <w:trHeight w:val="621"/>
          <w:jc w:val="center"/>
        </w:trPr>
        <w:tc>
          <w:tcPr>
            <w:tcW w:w="1193" w:type="dxa"/>
            <w:tcBorders>
              <w:top w:val="single" w:sz="4" w:space="0" w:color="auto"/>
              <w:bottom w:val="single" w:sz="4" w:space="0" w:color="auto"/>
            </w:tcBorders>
            <w:shd w:val="clear" w:color="auto" w:fill="auto"/>
            <w:vAlign w:val="center"/>
            <w:hideMark/>
          </w:tcPr>
          <w:p w14:paraId="534D596D" w14:textId="77777777" w:rsidR="008C7330" w:rsidRPr="000F2EA7" w:rsidRDefault="008C7330" w:rsidP="000F2EA7">
            <w:pPr>
              <w:jc w:val="center"/>
              <w:rPr>
                <w:rFonts w:ascii="Times New Roman" w:eastAsia="Times New Roman" w:hAnsi="Times New Roman" w:cs="Times New Roman"/>
                <w:b/>
                <w:bCs/>
                <w:color w:val="000000"/>
                <w:sz w:val="18"/>
                <w:szCs w:val="18"/>
                <w:lang w:val="en-GB"/>
              </w:rPr>
            </w:pPr>
            <w:r w:rsidRPr="000F2EA7">
              <w:rPr>
                <w:rFonts w:ascii="Times New Roman" w:eastAsia="Times New Roman" w:hAnsi="Times New Roman" w:cs="Times New Roman"/>
                <w:b/>
                <w:bCs/>
                <w:color w:val="000000"/>
                <w:sz w:val="18"/>
                <w:szCs w:val="18"/>
                <w:lang w:val="en-GB"/>
              </w:rPr>
              <w:t>Protein family</w:t>
            </w:r>
          </w:p>
        </w:tc>
        <w:tc>
          <w:tcPr>
            <w:tcW w:w="1418" w:type="dxa"/>
            <w:tcBorders>
              <w:top w:val="single" w:sz="4" w:space="0" w:color="auto"/>
              <w:bottom w:val="single" w:sz="4" w:space="0" w:color="auto"/>
            </w:tcBorders>
            <w:shd w:val="clear" w:color="auto" w:fill="auto"/>
            <w:vAlign w:val="center"/>
            <w:hideMark/>
          </w:tcPr>
          <w:p w14:paraId="596C9E49" w14:textId="668DF4CB" w:rsidR="008C7330" w:rsidRPr="000F2EA7" w:rsidRDefault="008C7330" w:rsidP="000F2EA7">
            <w:pPr>
              <w:jc w:val="center"/>
              <w:rPr>
                <w:rFonts w:ascii="Times New Roman" w:eastAsia="Times New Roman" w:hAnsi="Times New Roman" w:cs="Times New Roman"/>
                <w:b/>
                <w:bCs/>
                <w:color w:val="000000"/>
                <w:sz w:val="18"/>
                <w:szCs w:val="18"/>
                <w:lang w:val="en-GB"/>
              </w:rPr>
            </w:pPr>
            <w:r>
              <w:rPr>
                <w:rFonts w:ascii="Times New Roman" w:eastAsia="Times New Roman" w:hAnsi="Times New Roman" w:cs="Times New Roman"/>
                <w:b/>
                <w:bCs/>
                <w:color w:val="000000"/>
                <w:sz w:val="18"/>
                <w:szCs w:val="18"/>
                <w:lang w:val="en-GB"/>
              </w:rPr>
              <w:t>Taxonomy</w:t>
            </w:r>
          </w:p>
        </w:tc>
        <w:tc>
          <w:tcPr>
            <w:tcW w:w="1642" w:type="dxa"/>
            <w:tcBorders>
              <w:top w:val="single" w:sz="4" w:space="0" w:color="auto"/>
              <w:bottom w:val="single" w:sz="4" w:space="0" w:color="auto"/>
            </w:tcBorders>
            <w:shd w:val="clear" w:color="auto" w:fill="auto"/>
            <w:vAlign w:val="center"/>
            <w:hideMark/>
          </w:tcPr>
          <w:p w14:paraId="370141BE" w14:textId="77777777" w:rsidR="008C7330" w:rsidRPr="000F2EA7" w:rsidRDefault="008C7330" w:rsidP="000F2EA7">
            <w:pPr>
              <w:jc w:val="center"/>
              <w:rPr>
                <w:rFonts w:ascii="Times New Roman" w:eastAsia="Times New Roman" w:hAnsi="Times New Roman" w:cs="Times New Roman"/>
                <w:b/>
                <w:bCs/>
                <w:color w:val="000000"/>
                <w:sz w:val="18"/>
                <w:szCs w:val="18"/>
                <w:lang w:val="en-GB"/>
              </w:rPr>
            </w:pPr>
            <w:r w:rsidRPr="000F2EA7">
              <w:rPr>
                <w:rFonts w:ascii="Times New Roman" w:eastAsia="Times New Roman" w:hAnsi="Times New Roman" w:cs="Times New Roman"/>
                <w:b/>
                <w:bCs/>
                <w:color w:val="000000"/>
                <w:sz w:val="18"/>
                <w:szCs w:val="18"/>
                <w:lang w:val="en-GB"/>
              </w:rPr>
              <w:t>Reference sequence</w:t>
            </w:r>
          </w:p>
        </w:tc>
        <w:tc>
          <w:tcPr>
            <w:tcW w:w="619" w:type="dxa"/>
            <w:tcBorders>
              <w:top w:val="single" w:sz="4" w:space="0" w:color="auto"/>
              <w:bottom w:val="single" w:sz="4" w:space="0" w:color="auto"/>
            </w:tcBorders>
            <w:shd w:val="clear" w:color="auto" w:fill="auto"/>
            <w:vAlign w:val="center"/>
            <w:hideMark/>
          </w:tcPr>
          <w:p w14:paraId="4643ED17" w14:textId="42654AFB" w:rsidR="008C7330" w:rsidRPr="000F2EA7" w:rsidRDefault="008C7330" w:rsidP="000F2EA7">
            <w:pPr>
              <w:jc w:val="center"/>
              <w:rPr>
                <w:rFonts w:ascii="Times New Roman" w:eastAsia="Times New Roman" w:hAnsi="Times New Roman" w:cs="Times New Roman"/>
                <w:b/>
                <w:bCs/>
                <w:color w:val="000000"/>
                <w:sz w:val="18"/>
                <w:szCs w:val="18"/>
                <w:lang w:val="en-GB"/>
              </w:rPr>
            </w:pPr>
            <w:r w:rsidRPr="000F2EA7">
              <w:rPr>
                <w:rFonts w:ascii="Times New Roman" w:eastAsia="Times New Roman" w:hAnsi="Times New Roman" w:cs="Times New Roman"/>
                <w:b/>
                <w:bCs/>
                <w:color w:val="000000"/>
                <w:sz w:val="18"/>
                <w:szCs w:val="18"/>
                <w:lang w:val="en-GB"/>
              </w:rPr>
              <w:t xml:space="preserve">KH fold </w:t>
            </w:r>
          </w:p>
        </w:tc>
        <w:tc>
          <w:tcPr>
            <w:tcW w:w="851" w:type="dxa"/>
            <w:tcBorders>
              <w:top w:val="single" w:sz="4" w:space="0" w:color="auto"/>
              <w:bottom w:val="single" w:sz="4" w:space="0" w:color="auto"/>
            </w:tcBorders>
            <w:shd w:val="clear" w:color="auto" w:fill="auto"/>
            <w:vAlign w:val="center"/>
            <w:hideMark/>
          </w:tcPr>
          <w:p w14:paraId="36EB67BE" w14:textId="77777777" w:rsidR="008C7330" w:rsidRPr="000F2EA7" w:rsidRDefault="008C7330" w:rsidP="000F2EA7">
            <w:pPr>
              <w:jc w:val="center"/>
              <w:rPr>
                <w:rFonts w:ascii="Times New Roman" w:eastAsia="Times New Roman" w:hAnsi="Times New Roman" w:cs="Times New Roman"/>
                <w:b/>
                <w:bCs/>
                <w:color w:val="000000"/>
                <w:sz w:val="18"/>
                <w:szCs w:val="18"/>
                <w:lang w:val="en-GB"/>
              </w:rPr>
            </w:pPr>
            <w:r w:rsidRPr="000F2EA7">
              <w:rPr>
                <w:rFonts w:ascii="Times New Roman" w:eastAsia="Times New Roman" w:hAnsi="Times New Roman" w:cs="Times New Roman"/>
                <w:b/>
                <w:bCs/>
                <w:color w:val="000000"/>
                <w:sz w:val="18"/>
                <w:szCs w:val="18"/>
                <w:lang w:val="en-GB"/>
              </w:rPr>
              <w:t>Position</w:t>
            </w:r>
          </w:p>
        </w:tc>
        <w:tc>
          <w:tcPr>
            <w:tcW w:w="1081" w:type="dxa"/>
            <w:tcBorders>
              <w:top w:val="single" w:sz="4" w:space="0" w:color="auto"/>
              <w:bottom w:val="single" w:sz="4" w:space="0" w:color="auto"/>
            </w:tcBorders>
            <w:shd w:val="clear" w:color="auto" w:fill="auto"/>
            <w:vAlign w:val="center"/>
            <w:hideMark/>
          </w:tcPr>
          <w:p w14:paraId="7FF7BC6F" w14:textId="60E71A4E" w:rsidR="008C7330" w:rsidRPr="000F2EA7" w:rsidRDefault="008C7330" w:rsidP="000F2EA7">
            <w:pPr>
              <w:jc w:val="center"/>
              <w:rPr>
                <w:rFonts w:ascii="Times New Roman" w:eastAsia="Times New Roman" w:hAnsi="Times New Roman" w:cs="Times New Roman"/>
                <w:b/>
                <w:bCs/>
                <w:color w:val="000000"/>
                <w:sz w:val="18"/>
                <w:szCs w:val="18"/>
                <w:lang w:val="en-GB"/>
              </w:rPr>
            </w:pPr>
            <w:r w:rsidRPr="000F2EA7">
              <w:rPr>
                <w:rFonts w:ascii="Times New Roman" w:eastAsia="Times New Roman" w:hAnsi="Times New Roman" w:cs="Times New Roman"/>
                <w:b/>
                <w:bCs/>
                <w:color w:val="000000"/>
                <w:sz w:val="18"/>
                <w:szCs w:val="18"/>
                <w:lang w:val="en-GB"/>
              </w:rPr>
              <w:t>Canonical KH</w:t>
            </w:r>
          </w:p>
        </w:tc>
        <w:tc>
          <w:tcPr>
            <w:tcW w:w="1418" w:type="dxa"/>
            <w:tcBorders>
              <w:top w:val="single" w:sz="4" w:space="0" w:color="auto"/>
              <w:bottom w:val="single" w:sz="4" w:space="0" w:color="auto"/>
            </w:tcBorders>
            <w:shd w:val="clear" w:color="auto" w:fill="auto"/>
            <w:vAlign w:val="center"/>
            <w:hideMark/>
          </w:tcPr>
          <w:p w14:paraId="5E04FB6A" w14:textId="09460CF5" w:rsidR="008C7330" w:rsidRPr="000F2EA7" w:rsidRDefault="008C7330" w:rsidP="000F2EA7">
            <w:pPr>
              <w:jc w:val="center"/>
              <w:rPr>
                <w:rFonts w:ascii="Times New Roman" w:eastAsia="Times New Roman" w:hAnsi="Times New Roman" w:cs="Times New Roman"/>
                <w:b/>
                <w:bCs/>
                <w:color w:val="000000"/>
                <w:sz w:val="18"/>
                <w:szCs w:val="18"/>
                <w:lang w:val="en-GB"/>
              </w:rPr>
            </w:pPr>
            <w:r>
              <w:rPr>
                <w:rFonts w:ascii="Times New Roman" w:eastAsia="Times New Roman" w:hAnsi="Times New Roman" w:cs="Times New Roman"/>
                <w:b/>
                <w:bCs/>
                <w:color w:val="000000"/>
                <w:sz w:val="18"/>
                <w:szCs w:val="18"/>
                <w:lang w:val="en-GB"/>
              </w:rPr>
              <w:t>Previously reported</w:t>
            </w:r>
          </w:p>
        </w:tc>
        <w:tc>
          <w:tcPr>
            <w:tcW w:w="1045" w:type="dxa"/>
            <w:tcBorders>
              <w:top w:val="single" w:sz="4" w:space="0" w:color="auto"/>
              <w:bottom w:val="single" w:sz="4" w:space="0" w:color="auto"/>
            </w:tcBorders>
            <w:shd w:val="clear" w:color="auto" w:fill="auto"/>
            <w:vAlign w:val="center"/>
            <w:hideMark/>
          </w:tcPr>
          <w:p w14:paraId="002DEC8D" w14:textId="77777777" w:rsidR="008C7330" w:rsidRPr="000F2EA7" w:rsidRDefault="008C7330" w:rsidP="000F2EA7">
            <w:pPr>
              <w:jc w:val="center"/>
              <w:rPr>
                <w:rFonts w:ascii="Times New Roman" w:eastAsia="Times New Roman" w:hAnsi="Times New Roman" w:cs="Times New Roman"/>
                <w:b/>
                <w:bCs/>
                <w:color w:val="000000"/>
                <w:sz w:val="18"/>
                <w:szCs w:val="18"/>
                <w:lang w:val="en-GB"/>
              </w:rPr>
            </w:pPr>
            <w:r w:rsidRPr="000F2EA7">
              <w:rPr>
                <w:rFonts w:ascii="Times New Roman" w:eastAsia="Times New Roman" w:hAnsi="Times New Roman" w:cs="Times New Roman"/>
                <w:b/>
                <w:bCs/>
                <w:color w:val="000000"/>
                <w:sz w:val="18"/>
                <w:szCs w:val="18"/>
                <w:lang w:val="en-GB"/>
              </w:rPr>
              <w:t>Reference structure</w:t>
            </w:r>
          </w:p>
        </w:tc>
      </w:tr>
      <w:tr w:rsidR="008C7330" w:rsidRPr="000F2EA7" w14:paraId="16D5CEDF" w14:textId="77777777" w:rsidTr="00EB27D4">
        <w:trPr>
          <w:trHeight w:val="621"/>
          <w:jc w:val="center"/>
        </w:trPr>
        <w:tc>
          <w:tcPr>
            <w:tcW w:w="1193" w:type="dxa"/>
            <w:tcBorders>
              <w:top w:val="single" w:sz="4" w:space="0" w:color="auto"/>
            </w:tcBorders>
            <w:shd w:val="clear" w:color="auto" w:fill="auto"/>
            <w:vAlign w:val="center"/>
            <w:hideMark/>
          </w:tcPr>
          <w:p w14:paraId="12106E0C" w14:textId="79292135" w:rsidR="008C7330" w:rsidRPr="000F2EA7" w:rsidRDefault="00532CDA"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rpS3</w:t>
            </w:r>
          </w:p>
        </w:tc>
        <w:tc>
          <w:tcPr>
            <w:tcW w:w="1418" w:type="dxa"/>
            <w:tcBorders>
              <w:top w:val="single" w:sz="4" w:space="0" w:color="auto"/>
            </w:tcBorders>
            <w:shd w:val="clear" w:color="auto" w:fill="auto"/>
            <w:vAlign w:val="center"/>
            <w:hideMark/>
          </w:tcPr>
          <w:p w14:paraId="1B5A7E4E"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Universal</w:t>
            </w:r>
          </w:p>
        </w:tc>
        <w:tc>
          <w:tcPr>
            <w:tcW w:w="1642" w:type="dxa"/>
            <w:tcBorders>
              <w:top w:val="single" w:sz="4" w:space="0" w:color="auto"/>
            </w:tcBorders>
            <w:shd w:val="clear" w:color="auto" w:fill="auto"/>
            <w:vAlign w:val="center"/>
            <w:hideMark/>
          </w:tcPr>
          <w:p w14:paraId="79AC35CC" w14:textId="6FD06ED9" w:rsidR="008C7330" w:rsidRPr="000F2EA7" w:rsidRDefault="008C7330" w:rsidP="008C7330">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RS3_</w:t>
            </w:r>
            <w:r>
              <w:rPr>
                <w:rFonts w:ascii="Times New Roman" w:eastAsia="Times New Roman" w:hAnsi="Times New Roman" w:cs="Times New Roman"/>
                <w:color w:val="000000"/>
                <w:sz w:val="18"/>
                <w:szCs w:val="18"/>
                <w:lang w:val="en-GB"/>
              </w:rPr>
              <w:t>ECOLI</w:t>
            </w:r>
          </w:p>
        </w:tc>
        <w:tc>
          <w:tcPr>
            <w:tcW w:w="619" w:type="dxa"/>
            <w:tcBorders>
              <w:top w:val="single" w:sz="4" w:space="0" w:color="auto"/>
            </w:tcBorders>
            <w:shd w:val="clear" w:color="auto" w:fill="auto"/>
            <w:vAlign w:val="center"/>
            <w:hideMark/>
          </w:tcPr>
          <w:p w14:paraId="5E98CD8A"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w:t>
            </w:r>
          </w:p>
        </w:tc>
        <w:tc>
          <w:tcPr>
            <w:tcW w:w="851" w:type="dxa"/>
            <w:tcBorders>
              <w:top w:val="single" w:sz="4" w:space="0" w:color="auto"/>
            </w:tcBorders>
            <w:shd w:val="clear" w:color="auto" w:fill="auto"/>
            <w:vAlign w:val="center"/>
            <w:hideMark/>
          </w:tcPr>
          <w:p w14:paraId="27121FD8" w14:textId="6B63ED1A" w:rsidR="008C7330" w:rsidRPr="000F2EA7" w:rsidRDefault="00645099" w:rsidP="008C7330">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17-95</w:t>
            </w:r>
          </w:p>
        </w:tc>
        <w:tc>
          <w:tcPr>
            <w:tcW w:w="1081" w:type="dxa"/>
            <w:tcBorders>
              <w:top w:val="single" w:sz="4" w:space="0" w:color="auto"/>
            </w:tcBorders>
            <w:shd w:val="clear" w:color="auto" w:fill="auto"/>
            <w:vAlign w:val="center"/>
            <w:hideMark/>
          </w:tcPr>
          <w:p w14:paraId="7D5C6CD8"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tcBorders>
              <w:top w:val="single" w:sz="4" w:space="0" w:color="auto"/>
            </w:tcBorders>
            <w:shd w:val="clear" w:color="auto" w:fill="auto"/>
            <w:vAlign w:val="center"/>
            <w:hideMark/>
          </w:tcPr>
          <w:p w14:paraId="5DC89054" w14:textId="4EB382A9" w:rsidR="008C7330" w:rsidRPr="000F2EA7" w:rsidRDefault="00675D06" w:rsidP="00675D0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Pr>
                <w:rFonts w:ascii="Times New Roman" w:eastAsia="Times New Roman" w:hAnsi="Times New Roman" w:cs="Times New Roman"/>
                <w:color w:val="000000"/>
                <w:sz w:val="18"/>
                <w:szCs w:val="18"/>
                <w:lang w:val="en-GB"/>
              </w:rPr>
              <w:instrText>ADDIN CSL_CITATION { "citationItems" : [ { "id" : "ITEM-1", "itemData" : { "DOI" : "10.1093/nar/29.3.638", "ISBN" : "1362-4962 (Electronic)", "ISSN" : "1362-4962", "PMID" : "11160884", "abstract" : "The K homology (KH) module is a widespread RNA-binding motif that has been detected by sequence similarity searches in such proteins as heterogeneous nuclear ribonucleoprotein K (hnRNP K) and ribosomal protein S3. Analysis of spatial structures of KH domains in hnRNP K and S3 reveals that they are topologically dissimilar and thus belong to different protein folds. Thus KH motif proteins provide a rare example of protein domains that share significant sequence similarity in the motif regions but possess globally distinct structures. The two distinct topologies might have arisen from an ancestral KH motif protein by N- and C-terminal extensions, or one of the existing topologies may have evolved from the other by extension, displacement and deletion. C-terminal extension (deletion) requires ss-sheet rearrangement through the insertion (removal) of a ss-strand in a manner similar to that observed in serine protease inhibitors serpins. Current analysis offers a new look on how proteins can change fold in the course of evolution.", "author" : [ { "dropping-particle" : "V.", "family" : "Grishin", "given" : "Nick", "non-dropping-particle" : "", "parse-names" : false, "suffix" : "" } ], "container-title" : "Nucleic acids research", "id" : "ITEM-1", "issue" : "3", "issued" : { "date-parts" : [ [ "2001", "2", "1" ] ] }, "page" : "638-43", "publisher" : "Oxford University Press", "title" : "KH domain: one motif, two folds.", "type" : "article-journal", "volume" : "29" }, "uris" : [ "http://www.mendeley.com/documents/?uuid=7b370bff-9c68-4280-8cdf-08186d01144c" ] } ], "mendeley" : { "formattedCitation" : "(Grishin, 2001)", "manualFormatting" : "Grishin, 2001", "plainTextFormattedCitation" : "(Grishin, 2001)", "previouslyFormattedCitation" : "(Grishin, 2001)"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675D06">
              <w:rPr>
                <w:rFonts w:ascii="Times New Roman" w:eastAsia="Times New Roman" w:hAnsi="Times New Roman" w:cs="Times New Roman"/>
                <w:noProof/>
                <w:color w:val="000000"/>
                <w:sz w:val="18"/>
                <w:szCs w:val="18"/>
                <w:lang w:val="en-GB"/>
              </w:rPr>
              <w:t>Grishin, 2001</w:t>
            </w:r>
            <w:r>
              <w:rPr>
                <w:rFonts w:ascii="Times New Roman" w:eastAsia="Times New Roman" w:hAnsi="Times New Roman" w:cs="Times New Roman"/>
                <w:color w:val="000000"/>
                <w:sz w:val="18"/>
                <w:szCs w:val="18"/>
                <w:lang w:val="en-GB"/>
              </w:rPr>
              <w:fldChar w:fldCharType="end"/>
            </w:r>
          </w:p>
        </w:tc>
        <w:tc>
          <w:tcPr>
            <w:tcW w:w="1045" w:type="dxa"/>
            <w:tcBorders>
              <w:top w:val="single" w:sz="4" w:space="0" w:color="auto"/>
            </w:tcBorders>
            <w:shd w:val="clear" w:color="auto" w:fill="auto"/>
            <w:vAlign w:val="center"/>
            <w:hideMark/>
          </w:tcPr>
          <w:p w14:paraId="7255DC13" w14:textId="76065125" w:rsidR="008C7330" w:rsidRPr="000F2EA7" w:rsidRDefault="00645099"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4v9o DC</w:t>
            </w:r>
          </w:p>
        </w:tc>
      </w:tr>
      <w:tr w:rsidR="008C7330" w:rsidRPr="000F2EA7" w14:paraId="40E83D81" w14:textId="77777777" w:rsidTr="00EB27D4">
        <w:trPr>
          <w:trHeight w:val="621"/>
          <w:jc w:val="center"/>
        </w:trPr>
        <w:tc>
          <w:tcPr>
            <w:tcW w:w="1193" w:type="dxa"/>
            <w:shd w:val="clear" w:color="auto" w:fill="auto"/>
            <w:vAlign w:val="center"/>
            <w:hideMark/>
          </w:tcPr>
          <w:p w14:paraId="236E0067"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GTPase ERA</w:t>
            </w:r>
          </w:p>
        </w:tc>
        <w:tc>
          <w:tcPr>
            <w:tcW w:w="1418" w:type="dxa"/>
            <w:shd w:val="clear" w:color="auto" w:fill="auto"/>
            <w:vAlign w:val="center"/>
            <w:hideMark/>
          </w:tcPr>
          <w:p w14:paraId="4E123C85"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w:t>
            </w:r>
          </w:p>
        </w:tc>
        <w:tc>
          <w:tcPr>
            <w:tcW w:w="1642" w:type="dxa"/>
            <w:shd w:val="clear" w:color="auto" w:fill="auto"/>
            <w:vAlign w:val="center"/>
            <w:hideMark/>
          </w:tcPr>
          <w:p w14:paraId="2CA890A3"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ERA_THET8</w:t>
            </w:r>
          </w:p>
        </w:tc>
        <w:tc>
          <w:tcPr>
            <w:tcW w:w="619" w:type="dxa"/>
            <w:shd w:val="clear" w:color="auto" w:fill="auto"/>
            <w:vAlign w:val="center"/>
            <w:hideMark/>
          </w:tcPr>
          <w:p w14:paraId="59C17A48"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w:t>
            </w:r>
          </w:p>
        </w:tc>
        <w:tc>
          <w:tcPr>
            <w:tcW w:w="851" w:type="dxa"/>
            <w:shd w:val="clear" w:color="auto" w:fill="auto"/>
            <w:vAlign w:val="center"/>
            <w:hideMark/>
          </w:tcPr>
          <w:p w14:paraId="6E7CF76B"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208-285</w:t>
            </w:r>
          </w:p>
        </w:tc>
        <w:tc>
          <w:tcPr>
            <w:tcW w:w="1081" w:type="dxa"/>
            <w:shd w:val="clear" w:color="auto" w:fill="auto"/>
            <w:vAlign w:val="center"/>
            <w:hideMark/>
          </w:tcPr>
          <w:p w14:paraId="4B2CA6DA"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0B09D117" w14:textId="446336F5" w:rsidR="008C7330" w:rsidRPr="000F2EA7" w:rsidRDefault="00675D06" w:rsidP="00675D0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Pr>
                <w:rFonts w:ascii="Times New Roman" w:eastAsia="Times New Roman" w:hAnsi="Times New Roman" w:cs="Times New Roman"/>
                <w:color w:val="000000"/>
                <w:sz w:val="18"/>
                <w:szCs w:val="18"/>
                <w:lang w:val="en-GB"/>
              </w:rPr>
              <w:instrText>ADDIN CSL_CITATION { "citationItems" : [ { "id" : "ITEM-1", "itemData" : { "DOI" : "10.1073/pnas.0904032106", "ISSN" : "1091-6490", "PMID" : "19706445", "abstract" : "ERA, composed of an N-terminal GTPase domain followed by an RNA-binding KH domain, is essential for bacterial cell viability. It binds to 16S rRNA and the 30S ribosomal subunit. However, its RNA-binding site, the functional relationship between the two domains, and its role in ribosome biogenesis remain unclear. We have determined two crystal structures of ERA, a binary complex with GDP and a ternary complex with a GTP-analog and the 1531AUCACCUCCUUA1542 sequence at the 3' end of 16S rRNA. In the ternary complex, the first nine of the 12 nucleotides are recognized by the protein. We show that GTP binding is a prerequisite for RNA recognition by ERA and that RNA recognition stimulates its GTP-hydrolyzing activity. Based on these and other data, we propose a functional cycle of ERA, suggesting that the protein serves as a chaperone for processing and maturation of 16S rRNA and a checkpoint for assembly of the 30S ribosomal subunit. The AUCA sequence is highly conserved among bacteria, archaea, and eukaryotes, whereas the CCUCC, known as the anti-Shine-Dalgarno sequence, is conserved in noneukaryotes only. Therefore, these data suggest a common mechanism for a highly conserved ERA function in all three kingdoms of life by recognizing the AUCA, with a \"twist\" for noneukaryotic ERA proteins by also recognizing the CCUCC.", "author" : [ { "dropping-particle" : "", "family" : "Tu", "given" : "Chao", "non-dropping-particle" : "", "parse-names" : false, "suffix" : "" }, { "dropping-particle" : "", "family" : "Zhou", "given" : "Xiaomei", "non-dropping-particle" : "", "parse-names" : false, "suffix" : "" }, { "dropping-particle" : "", "family" : "Tropea", "given" : "Joseph E", "non-dropping-particle" : "", "parse-names" : false, "suffix" : "" }, { "dropping-particle" : "", "family" : "Austin", "given" : "Brian P", "non-dropping-particle" : "", "parse-names" : false, "suffix" : "" }, { "dropping-particle" : "", "family" : "Waugh", "given" : "David S", "non-dropping-particle" : "", "parse-names" : false, "suffix" : "" }, { "dropping-particle" : "", "family" : "Court", "given" : "Donald L", "non-dropping-particle" : "", "parse-names" : false, "suffix" : "" }, { "dropping-particle" : "", "family" : "Ji", "given" : "Xinhua", "non-dropping-particle" : "", "parse-names" : false, "suffix" : "" } ], "container-title" : "Proceedings of the National Academy of Sciences of the United States of America", "id" : "ITEM-1", "issue" : "35", "issued" : { "date-parts" : [ [ "2009", "9", "1" ] ] }, "page" : "14843-8", "publisher" : "National Academy of Sciences", "title" : "Structure of ERA in complex with the 3' end of 16S rRNA: implications for ribosome biogenesis.", "type" : "article-journal", "volume" : "106" }, "uris" : [ "http://www.mendeley.com/documents/?uuid=6638344b-220d-30f5-b02b-5456a7c388ec" ] } ], "mendeley" : { "formattedCitation" : "(Tu &lt;i&gt;et al.&lt;/i&gt;, 2009)", "manualFormatting" : "Tu et al., 2009", "plainTextFormattedCitation" : "(Tu et al., 2009)", "previouslyFormattedCitation" : "(Tu &lt;i&gt;et al.&lt;/i&gt;, 2009)"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675D06">
              <w:rPr>
                <w:rFonts w:ascii="Times New Roman" w:eastAsia="Times New Roman" w:hAnsi="Times New Roman" w:cs="Times New Roman"/>
                <w:noProof/>
                <w:color w:val="000000"/>
                <w:sz w:val="18"/>
                <w:szCs w:val="18"/>
                <w:lang w:val="en-GB"/>
              </w:rPr>
              <w:t xml:space="preserve">Tu </w:t>
            </w:r>
            <w:r w:rsidRPr="00675D06">
              <w:rPr>
                <w:rFonts w:ascii="Times New Roman" w:eastAsia="Times New Roman" w:hAnsi="Times New Roman" w:cs="Times New Roman"/>
                <w:i/>
                <w:noProof/>
                <w:color w:val="000000"/>
                <w:sz w:val="18"/>
                <w:szCs w:val="18"/>
                <w:lang w:val="en-GB"/>
              </w:rPr>
              <w:t>et al.</w:t>
            </w:r>
            <w:r w:rsidRPr="00675D06">
              <w:rPr>
                <w:rFonts w:ascii="Times New Roman" w:eastAsia="Times New Roman" w:hAnsi="Times New Roman" w:cs="Times New Roman"/>
                <w:noProof/>
                <w:color w:val="000000"/>
                <w:sz w:val="18"/>
                <w:szCs w:val="18"/>
                <w:lang w:val="en-GB"/>
              </w:rPr>
              <w:t>, 2009</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12A7154F"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3iev A</w:t>
            </w:r>
          </w:p>
        </w:tc>
      </w:tr>
      <w:tr w:rsidR="008C7330" w:rsidRPr="000F2EA7" w14:paraId="550FC410" w14:textId="77777777" w:rsidTr="00EB27D4">
        <w:trPr>
          <w:trHeight w:val="621"/>
          <w:jc w:val="center"/>
        </w:trPr>
        <w:tc>
          <w:tcPr>
            <w:tcW w:w="1193" w:type="dxa"/>
            <w:shd w:val="clear" w:color="auto" w:fill="auto"/>
            <w:vAlign w:val="center"/>
            <w:hideMark/>
          </w:tcPr>
          <w:p w14:paraId="288C5874"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NusA</w:t>
            </w:r>
          </w:p>
        </w:tc>
        <w:tc>
          <w:tcPr>
            <w:tcW w:w="1418" w:type="dxa"/>
            <w:shd w:val="clear" w:color="auto" w:fill="auto"/>
            <w:vAlign w:val="center"/>
            <w:hideMark/>
          </w:tcPr>
          <w:p w14:paraId="2B2A24C5"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 and archaea</w:t>
            </w:r>
          </w:p>
        </w:tc>
        <w:tc>
          <w:tcPr>
            <w:tcW w:w="1642" w:type="dxa"/>
            <w:shd w:val="clear" w:color="auto" w:fill="auto"/>
            <w:vAlign w:val="center"/>
            <w:hideMark/>
          </w:tcPr>
          <w:p w14:paraId="0AD1701D"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NUSA_ECOLI</w:t>
            </w:r>
          </w:p>
        </w:tc>
        <w:tc>
          <w:tcPr>
            <w:tcW w:w="619" w:type="dxa"/>
            <w:shd w:val="clear" w:color="auto" w:fill="auto"/>
            <w:vAlign w:val="center"/>
            <w:hideMark/>
          </w:tcPr>
          <w:p w14:paraId="6741E81D" w14:textId="77777777" w:rsidR="008C7330"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w:t>
            </w:r>
          </w:p>
          <w:p w14:paraId="1FC6B425" w14:textId="66727B92"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II</w:t>
            </w:r>
          </w:p>
        </w:tc>
        <w:tc>
          <w:tcPr>
            <w:tcW w:w="851" w:type="dxa"/>
            <w:shd w:val="clear" w:color="auto" w:fill="auto"/>
            <w:vAlign w:val="center"/>
            <w:hideMark/>
          </w:tcPr>
          <w:p w14:paraId="24F9BE58"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200-276 278-341</w:t>
            </w:r>
          </w:p>
        </w:tc>
        <w:tc>
          <w:tcPr>
            <w:tcW w:w="1081" w:type="dxa"/>
            <w:shd w:val="clear" w:color="auto" w:fill="auto"/>
            <w:vAlign w:val="center"/>
            <w:hideMark/>
          </w:tcPr>
          <w:p w14:paraId="1C07F3B6"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781D5A5D" w14:textId="65497555" w:rsidR="008C7330" w:rsidRPr="000F2EA7" w:rsidRDefault="00675D06" w:rsidP="00675D0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Pr>
                <w:rFonts w:ascii="Times New Roman" w:eastAsia="Times New Roman" w:hAnsi="Times New Roman" w:cs="Times New Roman"/>
                <w:color w:val="000000"/>
                <w:sz w:val="18"/>
                <w:szCs w:val="18"/>
                <w:lang w:val="en-GB"/>
              </w:rPr>
              <w:instrText>ADDIN CSL_CITATION { "citationItems" : [ { "id" : "ITEM-1", "itemData" : { "DOI" : "10.1038/sj.emboj.7600829", "ISSN" : "0261-4189", "PMID" : "16193062", "abstract" : "NusA is a key regulator of bacterial transcriptional elongation, pausing, termination and antitermination, yet relatively little is known about the molecular basis of its activity in these fundamental processes. In Mycobacterium tuberculosis, NusA has been shown to bind with high affinity and specificity to BoxB-BoxA-BoxC antitermination sequences within the leader region of the single ribosomal RNA (rRNA) operon. We have determined high-resolution X-ray structures of a complex of NusA with two short oligo-ribonucleotides derived from the BoxC stem-loop motif and have characterised the interaction of NusA with a variety of RNAs derived from the antitermination region. These structures reveal the RNA bound in an extended conformation to a large interacting surface on both KH domains. Combining structural data with observed spectral and calorimetric changes, we now show that NusA binding destabilises secondary structure within rRNA antitermination sequences and propose a model where NusA functions as a chaperone for nascently forming RNA structures.", "author" : [ { "dropping-particle" : "", "family" : "Beuth", "given" : "Barbara", "non-dropping-particle" : "", "parse-names" : false, "suffix" : "" }, { "dropping-particle" : "", "family" : "Pennell", "given" : "Simon", "non-dropping-particle" : "", "parse-names" : false, "suffix" : "" }, { "dropping-particle" : "", "family" : "Arnvig", "given" : "Kristine B", "non-dropping-particle" : "", "parse-names" : false, "suffix" : "" }, { "dropping-particle" : "", "family" : "Martin", "given" : "Stephen R", "non-dropping-particle" : "", "parse-names" : false, "suffix" : "" }, { "dropping-particle" : "", "family" : "Taylor", "given" : "Ian A", "non-dropping-particle" : "", "parse-names" : false, "suffix" : "" } ], "container-title" : "The EMBO Journal", "id" : "ITEM-1", "issue" : "20", "issued" : { "date-parts" : [ [ "2005", "10", "19" ] ] }, "page" : "3576-3587", "title" : "Structure of a Mycobacterium tuberculosis NusA\u2013RNA complex", "type" : "article-journal", "volume" : "24" }, "uris" : [ "http://www.mendeley.com/documents/?uuid=87c2f552-2313-3b1c-9b27-340640a6f8ef" ] } ], "mendeley" : { "formattedCitation" : "(Beuth &lt;i&gt;et al.&lt;/i&gt;, 2005)", "manualFormatting" : "Beuth et al., 2005", "plainTextFormattedCitation" : "(Beuth et al., 2005)", "previouslyFormattedCitation" : "(Beuth &lt;i&gt;et al.&lt;/i&gt;, 2005)"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675D06">
              <w:rPr>
                <w:rFonts w:ascii="Times New Roman" w:eastAsia="Times New Roman" w:hAnsi="Times New Roman" w:cs="Times New Roman"/>
                <w:noProof/>
                <w:color w:val="000000"/>
                <w:sz w:val="18"/>
                <w:szCs w:val="18"/>
                <w:lang w:val="en-GB"/>
              </w:rPr>
              <w:t xml:space="preserve">Beuth </w:t>
            </w:r>
            <w:r w:rsidRPr="00675D06">
              <w:rPr>
                <w:rFonts w:ascii="Times New Roman" w:eastAsia="Times New Roman" w:hAnsi="Times New Roman" w:cs="Times New Roman"/>
                <w:i/>
                <w:noProof/>
                <w:color w:val="000000"/>
                <w:sz w:val="18"/>
                <w:szCs w:val="18"/>
                <w:lang w:val="en-GB"/>
              </w:rPr>
              <w:t>et al.</w:t>
            </w:r>
            <w:r w:rsidRPr="00675D06">
              <w:rPr>
                <w:rFonts w:ascii="Times New Roman" w:eastAsia="Times New Roman" w:hAnsi="Times New Roman" w:cs="Times New Roman"/>
                <w:noProof/>
                <w:color w:val="000000"/>
                <w:sz w:val="18"/>
                <w:szCs w:val="18"/>
                <w:lang w:val="en-GB"/>
              </w:rPr>
              <w:t>, 2005</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1920AC68"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2atw C</w:t>
            </w:r>
          </w:p>
        </w:tc>
      </w:tr>
      <w:tr w:rsidR="008C7330" w:rsidRPr="000F2EA7" w14:paraId="58E4763C" w14:textId="77777777" w:rsidTr="00EB27D4">
        <w:trPr>
          <w:trHeight w:val="621"/>
          <w:jc w:val="center"/>
        </w:trPr>
        <w:tc>
          <w:tcPr>
            <w:tcW w:w="1193" w:type="dxa"/>
            <w:shd w:val="clear" w:color="auto" w:fill="auto"/>
            <w:vAlign w:val="center"/>
            <w:hideMark/>
          </w:tcPr>
          <w:p w14:paraId="58E16D82"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KH-CPSF</w:t>
            </w:r>
          </w:p>
        </w:tc>
        <w:tc>
          <w:tcPr>
            <w:tcW w:w="1418" w:type="dxa"/>
            <w:shd w:val="clear" w:color="auto" w:fill="auto"/>
            <w:vAlign w:val="center"/>
            <w:hideMark/>
          </w:tcPr>
          <w:p w14:paraId="5B32E9F1"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Archaea</w:t>
            </w:r>
          </w:p>
        </w:tc>
        <w:tc>
          <w:tcPr>
            <w:tcW w:w="1642" w:type="dxa"/>
            <w:shd w:val="clear" w:color="auto" w:fill="auto"/>
            <w:vAlign w:val="center"/>
            <w:hideMark/>
          </w:tcPr>
          <w:p w14:paraId="4B45BAF6"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Q8PZ03_METMA</w:t>
            </w:r>
          </w:p>
        </w:tc>
        <w:tc>
          <w:tcPr>
            <w:tcW w:w="619" w:type="dxa"/>
            <w:shd w:val="clear" w:color="auto" w:fill="auto"/>
            <w:vAlign w:val="center"/>
            <w:hideMark/>
          </w:tcPr>
          <w:p w14:paraId="50FB847A" w14:textId="77777777" w:rsidR="008C7330"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w:t>
            </w:r>
          </w:p>
          <w:p w14:paraId="4D22453C" w14:textId="5C162080"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II</w:t>
            </w:r>
          </w:p>
        </w:tc>
        <w:tc>
          <w:tcPr>
            <w:tcW w:w="851" w:type="dxa"/>
            <w:shd w:val="clear" w:color="auto" w:fill="auto"/>
            <w:vAlign w:val="center"/>
            <w:hideMark/>
          </w:tcPr>
          <w:p w14:paraId="02F47FF3" w14:textId="77777777" w:rsidR="008C7330"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7-74</w:t>
            </w:r>
          </w:p>
          <w:p w14:paraId="36C6EEC8" w14:textId="78DD4698"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77-156</w:t>
            </w:r>
          </w:p>
        </w:tc>
        <w:tc>
          <w:tcPr>
            <w:tcW w:w="1081" w:type="dxa"/>
            <w:shd w:val="clear" w:color="auto" w:fill="auto"/>
            <w:vAlign w:val="center"/>
            <w:hideMark/>
          </w:tcPr>
          <w:p w14:paraId="5BEA33B3" w14:textId="77777777" w:rsidR="008C7330"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no</w:t>
            </w:r>
          </w:p>
          <w:p w14:paraId="08C33C49" w14:textId="2519BBAF"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44EC76E4" w14:textId="75C969C8" w:rsidR="008C7330" w:rsidRPr="000F2EA7" w:rsidRDefault="00675D06" w:rsidP="00675D0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Pr>
                <w:rFonts w:ascii="Times New Roman" w:eastAsia="Times New Roman" w:hAnsi="Times New Roman" w:cs="Times New Roman"/>
                <w:color w:val="000000"/>
                <w:sz w:val="18"/>
                <w:szCs w:val="18"/>
                <w:lang w:val="en-GB"/>
              </w:rPr>
              <w:instrText>ADDIN CSL_CITATION { "citationItems" : [ { "id" : "ITEM-1", "itemData" : { "DOI" : "10.1016/j.jsb.2010.09.013", "ISBN" : "1047-8477", "ISSN" : "10478477", "PMID" : "20851187", "abstract" : "Proteins of the metallo-??-lactamase (M??L) fold form a large superfamily of metallo-hydrolase/oxidoreductases. Members of this family are found in all three domains of life and are involved in a variety of biological functions related to hydrolysis, redox processes, DNA repair and uptake, and RNA processing. We classified the archaeal homologs of this superfamily based on sequence similarity and characterized a subfamily of the Cleavage and Polyadenylation Specificity Factor (CPSF) with an uncommon domain composition: in addition to an extended M??L domain, which accommodates the active site for RNA cleavage, this group has two N-terminal KH domains. Here, we present the crystal structure of a member of this group from Methanosarcina mazei. It reveals a dimerization mode of the M??L domain that has not been observed before and suggests that RNA is bound across the dimer interface, recognized by the KH domains of one monomer, and cleaved at the active site of the other. ?? 2010 Elsevier Inc.", "author" : [ { "dropping-particle" : "", "family" : "Mir-Montazeri", "given" : "Bij\u00e0n", "non-dropping-particle" : "", "parse-names" : false, "suffix" : "" }, { "dropping-particle" : "", "family" : "Ammelburg", "given" : "Moritz", "non-dropping-particle" : "", "parse-names" : false, "suffix" : "" }, { "dropping-particle" : "", "family" : "Forouzan", "given" : "Dara", "non-dropping-particle" : "", "parse-names" : false, "suffix" : "" }, { "dropping-particle" : "", "family" : "Lupas", "given" : "Andrei N", "non-dropping-particle" : "", "parse-names" : false, "suffix" : "" }, { "dropping-particle" : "", "family" : "Hartmann", "given" : "Marcus D", "non-dropping-particle" : "", "parse-names" : false, "suffix" : "" } ], "container-title" : "Journal of Structural Biology", "id" : "ITEM-1", "issue" : "1", "issued" : { "date-parts" : [ [ "2011", "1" ] ] }, "page" : "191-195", "title" : "Crystal structure of a dimeric archaeal Cleavage and Polyadenylation Specificity Factor", "type" : "article-journal", "volume" : "173" }, "uris" : [ "http://www.mendeley.com/documents/?uuid=aa1186b1-0939-3eb3-be53-becce488cfd6" ] } ], "mendeley" : { "formattedCitation" : "(Mir-Montazeri &lt;i&gt;et al.&lt;/i&gt;, 2011)", "manualFormatting" : "Mir-Montazeri et al., 2011", "plainTextFormattedCitation" : "(Mir-Montazeri et al., 2011)", "previouslyFormattedCitation" : "(Mir-Montazeri &lt;i&gt;et al.&lt;/i&gt;, 2011)"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675D06">
              <w:rPr>
                <w:rFonts w:ascii="Times New Roman" w:eastAsia="Times New Roman" w:hAnsi="Times New Roman" w:cs="Times New Roman"/>
                <w:noProof/>
                <w:color w:val="000000"/>
                <w:sz w:val="18"/>
                <w:szCs w:val="18"/>
                <w:lang w:val="en-GB"/>
              </w:rPr>
              <w:t xml:space="preserve">Mir-Montazeri </w:t>
            </w:r>
            <w:r w:rsidRPr="00675D06">
              <w:rPr>
                <w:rFonts w:ascii="Times New Roman" w:eastAsia="Times New Roman" w:hAnsi="Times New Roman" w:cs="Times New Roman"/>
                <w:i/>
                <w:noProof/>
                <w:color w:val="000000"/>
                <w:sz w:val="18"/>
                <w:szCs w:val="18"/>
                <w:lang w:val="en-GB"/>
              </w:rPr>
              <w:t>et al.</w:t>
            </w:r>
            <w:r w:rsidRPr="00675D06">
              <w:rPr>
                <w:rFonts w:ascii="Times New Roman" w:eastAsia="Times New Roman" w:hAnsi="Times New Roman" w:cs="Times New Roman"/>
                <w:noProof/>
                <w:color w:val="000000"/>
                <w:sz w:val="18"/>
                <w:szCs w:val="18"/>
                <w:lang w:val="en-GB"/>
              </w:rPr>
              <w:t>, 2011</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3E99CF69"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2xr1 A</w:t>
            </w:r>
          </w:p>
        </w:tc>
      </w:tr>
      <w:tr w:rsidR="008C7330" w:rsidRPr="000F2EA7" w14:paraId="084A8E5F" w14:textId="77777777" w:rsidTr="00EB27D4">
        <w:trPr>
          <w:trHeight w:val="621"/>
          <w:jc w:val="center"/>
        </w:trPr>
        <w:tc>
          <w:tcPr>
            <w:tcW w:w="1193" w:type="dxa"/>
            <w:shd w:val="clear" w:color="auto" w:fill="auto"/>
            <w:vAlign w:val="center"/>
            <w:hideMark/>
          </w:tcPr>
          <w:p w14:paraId="07B8E449"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EloR</w:t>
            </w:r>
          </w:p>
        </w:tc>
        <w:tc>
          <w:tcPr>
            <w:tcW w:w="1418" w:type="dxa"/>
            <w:shd w:val="clear" w:color="auto" w:fill="auto"/>
            <w:vAlign w:val="center"/>
            <w:hideMark/>
          </w:tcPr>
          <w:p w14:paraId="5B1A7B71"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w:t>
            </w:r>
          </w:p>
        </w:tc>
        <w:tc>
          <w:tcPr>
            <w:tcW w:w="1642" w:type="dxa"/>
            <w:shd w:val="clear" w:color="auto" w:fill="auto"/>
            <w:vAlign w:val="center"/>
            <w:hideMark/>
          </w:tcPr>
          <w:p w14:paraId="21FE7D5D"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JAG_BACSU</w:t>
            </w:r>
          </w:p>
        </w:tc>
        <w:tc>
          <w:tcPr>
            <w:tcW w:w="619" w:type="dxa"/>
            <w:shd w:val="clear" w:color="auto" w:fill="auto"/>
            <w:vAlign w:val="center"/>
            <w:hideMark/>
          </w:tcPr>
          <w:p w14:paraId="3B1C0E0F"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w:t>
            </w:r>
          </w:p>
        </w:tc>
        <w:tc>
          <w:tcPr>
            <w:tcW w:w="851" w:type="dxa"/>
            <w:shd w:val="clear" w:color="auto" w:fill="auto"/>
            <w:vAlign w:val="center"/>
            <w:hideMark/>
          </w:tcPr>
          <w:p w14:paraId="3E5434E9"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63-134</w:t>
            </w:r>
          </w:p>
        </w:tc>
        <w:tc>
          <w:tcPr>
            <w:tcW w:w="1081" w:type="dxa"/>
            <w:shd w:val="clear" w:color="auto" w:fill="auto"/>
            <w:vAlign w:val="center"/>
            <w:hideMark/>
          </w:tcPr>
          <w:p w14:paraId="3F7E91DB"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75AE55C6" w14:textId="04106BDF" w:rsidR="008C7330" w:rsidRPr="000F2EA7" w:rsidRDefault="00675D06" w:rsidP="00675D0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Pr>
                <w:rFonts w:ascii="Times New Roman" w:eastAsia="Times New Roman" w:hAnsi="Times New Roman" w:cs="Times New Roman"/>
                <w:color w:val="000000"/>
                <w:sz w:val="18"/>
                <w:szCs w:val="18"/>
                <w:lang w:val="en-GB"/>
              </w:rPr>
              <w:instrText>ADDIN CSL_CITATION { "citationItems" : [ { "id" : "ITEM-1", "itemData" : { "DOI" : "10.1038/sj.emboj.7601904", "ISBN" : "1460-2075 (Electronic)\\r0261-4189 (Linking)", "ISSN" : "02614189", "PMID" : "17972918", "abstract" : "Helicobacter pylori is one of the world's most successful human pathogens causing gastric ulcers and cancers. A key virulence factor of H. pylori is the Cag pathogenicity island, which encodes a type IV secretion system. HP0525 is an essential component of the Cag system and acts as an inner membrane associated ATPase. HP0525 forms double hexameric ring structures, with the C-terminal domains (CTDs) forming a closed ring and the N-terminal domains (NTDs) forming a dynamic, open ring. Here, the crystal structure of HP0525 in complex with a fragment of HP1451, a protein of previously unknown function, is reported. The HP1451 construct consists of two domains similar to nucleic acid-binding domains. Two HP1451 molecules bind to the HP0525 NTDs on opposite sides of the hexamer, locking it in the closed form and forming a partial lid over the HP0525 chamber. From the structure, it is suggested that HP1451 acts as an inhibitory factor of HP0525 to regulate Cag-mediated secretion, a suggestion confirmed by results of in vitro ATPase assay and in vivo pull-down experiments.", "author" : [ { "dropping-particle" : "", "family" : "Hare", "given" : "Stephen", "non-dropping-particle" : "", "parse-names" : false, "suffix" : "" }, { "dropping-particle" : "", "family" : "Fischer", "given" : "Wolfgang", "non-dropping-particle" : "", "parse-names" : false, "suffix" : "" }, { "dropping-particle" : "", "family" : "Williams", "given" : "Robert", "non-dropping-particle" : "", "parse-names" : false, "suffix" : "" }, { "dropping-particle" : "", "family" : "Terradot", "given" : "Laurent", "non-dropping-particle" : "", "parse-names" : false, "suffix" : "" }, { "dropping-particle" : "", "family" : "Bayliss", "given" : "Richard", "non-dropping-particle" : "", "parse-names" : false, "suffix" : "" }, { "dropping-particle" : "", "family" : "Haas", "given" : "Rainer", "non-dropping-particle" : "", "parse-names" : false, "suffix" : "" }, { "dropping-particle" : "", "family" : "Waksman", "given" : "Gabriel", "non-dropping-particle" : "", "parse-names" : false, "suffix" : "" } ], "container-title" : "EMBO Journal", "id" : "ITEM-1", "issue" : "23", "issued" : { "date-parts" : [ [ "2007", "11", "28" ] ] }, "page" : "4926-4934", "publisher" : "EMBO Press", "title" : "Identification, structure and mode of action of a new regulator of the Helicobacter pylori HP0525 ATPase", "type" : "article-journal", "volume" : "26" }, "uris" : [ "http://www.mendeley.com/documents/?uuid=21235b1d-48ff-3364-8c1e-edcf8cc85794" ] } ], "mendeley" : { "formattedCitation" : "(Hare &lt;i&gt;et al.&lt;/i&gt;, 2007)", "manualFormatting" : "Hare et al., 2007", "plainTextFormattedCitation" : "(Hare et al., 2007)", "previouslyFormattedCitation" : "(Hare &lt;i&gt;et al.&lt;/i&gt;, 2007)"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675D06">
              <w:rPr>
                <w:rFonts w:ascii="Times New Roman" w:eastAsia="Times New Roman" w:hAnsi="Times New Roman" w:cs="Times New Roman"/>
                <w:noProof/>
                <w:color w:val="000000"/>
                <w:sz w:val="18"/>
                <w:szCs w:val="18"/>
                <w:lang w:val="en-GB"/>
              </w:rPr>
              <w:t xml:space="preserve">Hare </w:t>
            </w:r>
            <w:r w:rsidRPr="00675D06">
              <w:rPr>
                <w:rFonts w:ascii="Times New Roman" w:eastAsia="Times New Roman" w:hAnsi="Times New Roman" w:cs="Times New Roman"/>
                <w:i/>
                <w:noProof/>
                <w:color w:val="000000"/>
                <w:sz w:val="18"/>
                <w:szCs w:val="18"/>
                <w:lang w:val="en-GB"/>
              </w:rPr>
              <w:t>et al.</w:t>
            </w:r>
            <w:r w:rsidRPr="00675D06">
              <w:rPr>
                <w:rFonts w:ascii="Times New Roman" w:eastAsia="Times New Roman" w:hAnsi="Times New Roman" w:cs="Times New Roman"/>
                <w:noProof/>
                <w:color w:val="000000"/>
                <w:sz w:val="18"/>
                <w:szCs w:val="18"/>
                <w:lang w:val="en-GB"/>
              </w:rPr>
              <w:t>, 2007</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3C1D7741"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3gku A</w:t>
            </w:r>
          </w:p>
        </w:tc>
      </w:tr>
      <w:tr w:rsidR="008C7330" w:rsidRPr="000F2EA7" w14:paraId="3CC8B1A9" w14:textId="77777777" w:rsidTr="00EB27D4">
        <w:trPr>
          <w:trHeight w:val="621"/>
          <w:jc w:val="center"/>
        </w:trPr>
        <w:tc>
          <w:tcPr>
            <w:tcW w:w="1193" w:type="dxa"/>
            <w:shd w:val="clear" w:color="auto" w:fill="auto"/>
            <w:vAlign w:val="center"/>
            <w:hideMark/>
          </w:tcPr>
          <w:p w14:paraId="2F447BF3" w14:textId="4B890835"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YlqC</w:t>
            </w:r>
          </w:p>
        </w:tc>
        <w:tc>
          <w:tcPr>
            <w:tcW w:w="1418" w:type="dxa"/>
            <w:shd w:val="clear" w:color="auto" w:fill="auto"/>
            <w:vAlign w:val="center"/>
            <w:hideMark/>
          </w:tcPr>
          <w:p w14:paraId="7153DDE9"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w:t>
            </w:r>
          </w:p>
        </w:tc>
        <w:tc>
          <w:tcPr>
            <w:tcW w:w="1642" w:type="dxa"/>
            <w:shd w:val="clear" w:color="auto" w:fill="auto"/>
            <w:vAlign w:val="center"/>
            <w:hideMark/>
          </w:tcPr>
          <w:p w14:paraId="39751C2C"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YLQC_BACSU</w:t>
            </w:r>
          </w:p>
        </w:tc>
        <w:tc>
          <w:tcPr>
            <w:tcW w:w="619" w:type="dxa"/>
            <w:shd w:val="clear" w:color="auto" w:fill="auto"/>
            <w:vAlign w:val="center"/>
            <w:hideMark/>
          </w:tcPr>
          <w:p w14:paraId="5CC68672"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w:t>
            </w:r>
          </w:p>
        </w:tc>
        <w:tc>
          <w:tcPr>
            <w:tcW w:w="851" w:type="dxa"/>
            <w:shd w:val="clear" w:color="auto" w:fill="auto"/>
            <w:vAlign w:val="center"/>
            <w:hideMark/>
          </w:tcPr>
          <w:p w14:paraId="4720A1AC"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5-79</w:t>
            </w:r>
          </w:p>
        </w:tc>
        <w:tc>
          <w:tcPr>
            <w:tcW w:w="1081" w:type="dxa"/>
            <w:shd w:val="clear" w:color="auto" w:fill="auto"/>
            <w:vAlign w:val="center"/>
            <w:hideMark/>
          </w:tcPr>
          <w:p w14:paraId="49E730A8"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45426975" w14:textId="4B296125"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n.a.</w:t>
            </w:r>
          </w:p>
        </w:tc>
        <w:tc>
          <w:tcPr>
            <w:tcW w:w="1045" w:type="dxa"/>
            <w:shd w:val="clear" w:color="auto" w:fill="auto"/>
            <w:vAlign w:val="center"/>
            <w:hideMark/>
          </w:tcPr>
          <w:p w14:paraId="1FD491D6"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n.a.</w:t>
            </w:r>
          </w:p>
        </w:tc>
      </w:tr>
      <w:tr w:rsidR="008C7330" w:rsidRPr="000F2EA7" w14:paraId="45F06C53" w14:textId="77777777" w:rsidTr="00EB27D4">
        <w:trPr>
          <w:trHeight w:val="621"/>
          <w:jc w:val="center"/>
        </w:trPr>
        <w:tc>
          <w:tcPr>
            <w:tcW w:w="1193" w:type="dxa"/>
            <w:shd w:val="clear" w:color="auto" w:fill="auto"/>
            <w:vAlign w:val="center"/>
            <w:hideMark/>
          </w:tcPr>
          <w:p w14:paraId="7A547CB4"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PINA</w:t>
            </w:r>
          </w:p>
        </w:tc>
        <w:tc>
          <w:tcPr>
            <w:tcW w:w="1418" w:type="dxa"/>
            <w:shd w:val="clear" w:color="auto" w:fill="auto"/>
            <w:vAlign w:val="center"/>
            <w:hideMark/>
          </w:tcPr>
          <w:p w14:paraId="1640FD34"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Archaea</w:t>
            </w:r>
          </w:p>
        </w:tc>
        <w:tc>
          <w:tcPr>
            <w:tcW w:w="1642" w:type="dxa"/>
            <w:shd w:val="clear" w:color="auto" w:fill="auto"/>
            <w:vAlign w:val="center"/>
            <w:hideMark/>
          </w:tcPr>
          <w:p w14:paraId="563E7873"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Y1533_METJA</w:t>
            </w:r>
          </w:p>
        </w:tc>
        <w:tc>
          <w:tcPr>
            <w:tcW w:w="619" w:type="dxa"/>
            <w:shd w:val="clear" w:color="auto" w:fill="auto"/>
            <w:vAlign w:val="center"/>
            <w:hideMark/>
          </w:tcPr>
          <w:p w14:paraId="359FB556"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w:t>
            </w:r>
          </w:p>
        </w:tc>
        <w:tc>
          <w:tcPr>
            <w:tcW w:w="851" w:type="dxa"/>
            <w:shd w:val="clear" w:color="auto" w:fill="auto"/>
            <w:vAlign w:val="center"/>
            <w:hideMark/>
          </w:tcPr>
          <w:p w14:paraId="4AFC6AC0"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489-572</w:t>
            </w:r>
          </w:p>
        </w:tc>
        <w:tc>
          <w:tcPr>
            <w:tcW w:w="1081" w:type="dxa"/>
            <w:shd w:val="clear" w:color="auto" w:fill="auto"/>
            <w:vAlign w:val="center"/>
            <w:hideMark/>
          </w:tcPr>
          <w:p w14:paraId="50981EAB"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76DD5491" w14:textId="462C3602" w:rsidR="008C7330" w:rsidRPr="000F2EA7" w:rsidRDefault="00675D06" w:rsidP="00675D06">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Pr>
                <w:rFonts w:ascii="Times New Roman" w:eastAsia="Times New Roman" w:hAnsi="Times New Roman" w:cs="Times New Roman"/>
                <w:color w:val="000000"/>
                <w:sz w:val="18"/>
                <w:szCs w:val="18"/>
                <w:lang w:val="en-GB"/>
              </w:rPr>
              <w:instrText>ADDIN CSL_CITATION { "citationItems" : [ { "id" : "ITEM-1", "itemData" : { "DOI" : "10.1093/nar/30.7.1427", "ISBN" : "0305-1048", "ISSN" : "13624962", "PMID" : "11917006", "abstract" : "RNA metabolism, broadly defined as the compendium of all processes that involve RNA, including transcription, processing and modification of transcripts, translation, RNA degradation and its regulation, is the central and most evolutionarily conserved part of cell physiology. A comprehensive, genome-wide census of all enzymatic and non-enzymatic protein domains involved in RNA metabolism was conducted by using sequence profile analysis and structural comparisons. Proteins related to RNA metabolism comprise from 3 to 11% of the complete protein repertoire in bacteria, archaea and eukaryotes, with the greatest fraction seen in parasitic bacteria with small genomes. Approximately one-half of protein domains involved in RNA metabolism are present in most, if not all, species from all three primary kingdoms and are traceable to the last universal common ancestor (LUCA). The principal features of LUCA's RNA metabolism system were reconstructed by parsimony-based evolutionary analysis of all relevant groups of orthologous proteins. This reconstruction shows that LUCA possessed not only the basal translation system, but also the principal forms of RNA modification, such as methylation, pseudouridylation and thiouridylation, as well as simple mechanisms for polyadenylation and RNA degradation. Some of these ancient domains form paralogous groups whose evolution can be traced back in time beyond LUCA, towards low-specificity proteins, which probably functioned as cofactors for ribozymes within the RNA world framework. The main lineage-specific innovations of RNA metabolism systems were identified. The most notable phase of innovation in RNA metabolism coincides with the advent of eukaryotes and was brought about by the merge of the archaeal and bacterial systems via mitochondrial endosymbiosis, but also involved emergence of several new, eukaryote-specific RNA-binding domains. Subsequent, vast expansions of these domains mark the origin of alternative splicing in animals and probably in plants. In addition to the reconstruction of the evolutionary history of RNA metabolism, this analysis produced numerous functional predictions, e.g. of previously undetected enzymes of RNA modification.", "author" : [ { "dropping-particle" : "", "family" : "Anantharaman", "given" : "V.", "non-dropping-particle" : "", "parse-names" : false, "suffix" : "" } ], "container-title" : "Nucleic Acids Research", "id" : "ITEM-1", "issue" : "7", "issued" : { "date-parts" : [ [ "2002", "4", "1" ] ] }, "page" : "1427-1464", "publisher" : "Oxford University Press", "title" : "Comparative genomics and evolution of proteins involved in RNA metabolism", "type" : "article-journal", "volume" : "30" }, "uris" : [ "http://www.mendeley.com/documents/?uuid=b78aaa37-7526-38b1-9e6c-030cf3378e25" ] } ], "mendeley" : { "formattedCitation" : "(Anantharaman, 2002)", "manualFormatting" : "Anantharaman, 2002", "plainTextFormattedCitation" : "(Anantharaman, 2002)", "previouslyFormattedCitation" : "(Anantharaman, 2002)"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675D06">
              <w:rPr>
                <w:rFonts w:ascii="Times New Roman" w:eastAsia="Times New Roman" w:hAnsi="Times New Roman" w:cs="Times New Roman"/>
                <w:noProof/>
                <w:color w:val="000000"/>
                <w:sz w:val="18"/>
                <w:szCs w:val="18"/>
                <w:lang w:val="en-GB"/>
              </w:rPr>
              <w:t>Anantharaman, 2002</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240245B3"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n.a.</w:t>
            </w:r>
          </w:p>
        </w:tc>
      </w:tr>
      <w:tr w:rsidR="008C7330" w:rsidRPr="000F2EA7" w14:paraId="4135EB5B" w14:textId="77777777" w:rsidTr="00EB27D4">
        <w:trPr>
          <w:trHeight w:val="621"/>
          <w:jc w:val="center"/>
        </w:trPr>
        <w:tc>
          <w:tcPr>
            <w:tcW w:w="1193" w:type="dxa"/>
            <w:shd w:val="clear" w:color="auto" w:fill="auto"/>
            <w:vAlign w:val="center"/>
            <w:hideMark/>
          </w:tcPr>
          <w:p w14:paraId="3378943B"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PNPase</w:t>
            </w:r>
          </w:p>
        </w:tc>
        <w:tc>
          <w:tcPr>
            <w:tcW w:w="1418" w:type="dxa"/>
            <w:shd w:val="clear" w:color="auto" w:fill="auto"/>
            <w:vAlign w:val="center"/>
            <w:hideMark/>
          </w:tcPr>
          <w:p w14:paraId="33DB5A60"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 and organelles</w:t>
            </w:r>
          </w:p>
        </w:tc>
        <w:tc>
          <w:tcPr>
            <w:tcW w:w="1642" w:type="dxa"/>
            <w:shd w:val="clear" w:color="auto" w:fill="auto"/>
            <w:vAlign w:val="center"/>
            <w:hideMark/>
          </w:tcPr>
          <w:p w14:paraId="0126DE89" w14:textId="08E98FB2"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PNP_ECOLI</w:t>
            </w:r>
          </w:p>
        </w:tc>
        <w:tc>
          <w:tcPr>
            <w:tcW w:w="619" w:type="dxa"/>
            <w:shd w:val="clear" w:color="auto" w:fill="auto"/>
            <w:vAlign w:val="center"/>
            <w:hideMark/>
          </w:tcPr>
          <w:p w14:paraId="4B33D016"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w:t>
            </w:r>
          </w:p>
        </w:tc>
        <w:tc>
          <w:tcPr>
            <w:tcW w:w="851" w:type="dxa"/>
            <w:shd w:val="clear" w:color="auto" w:fill="auto"/>
            <w:vAlign w:val="center"/>
            <w:hideMark/>
          </w:tcPr>
          <w:p w14:paraId="1DC2BD2E" w14:textId="44144532"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553-621</w:t>
            </w:r>
          </w:p>
        </w:tc>
        <w:tc>
          <w:tcPr>
            <w:tcW w:w="1081" w:type="dxa"/>
            <w:shd w:val="clear" w:color="auto" w:fill="auto"/>
            <w:vAlign w:val="center"/>
            <w:hideMark/>
          </w:tcPr>
          <w:p w14:paraId="52E03CD7"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7F8AE79B" w14:textId="260FB8C3" w:rsidR="008C7330" w:rsidRPr="000F2EA7" w:rsidRDefault="00675D06" w:rsidP="001217EF">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sidR="001217EF">
              <w:rPr>
                <w:rFonts w:ascii="Times New Roman" w:eastAsia="Times New Roman" w:hAnsi="Times New Roman" w:cs="Times New Roman"/>
                <w:color w:val="000000"/>
                <w:sz w:val="18"/>
                <w:szCs w:val="18"/>
                <w:lang w:val="en-GB"/>
              </w:rPr>
              <w:instrText>ADDIN CSL_CITATION { "citationItems" : [ { "id" : "ITEM-1", "itemData" : { "ISSN" : "0969-2126", "PMID" : "11080643", "abstract" : "BACKGROUND Polynucleotide phosphorylase (PNPase) is a polyribonucleotide nucleotidyl transferase (E.C.2.7.7.8) that degrades mRNA in prokaryotes. Streptomyces antibioticus PNPase also assays as a guanosine 3'-diphosphate 5'-triphosphate (pppGpp) synthetase (E.C.2.7.6.5). It may function to coordinate changes in mRNA lifetimes with pppGpp levels during the Streptomyces lifecycle. RESULTS The structure of S. antibioticus PNPase without bound RNA but with the phosphate analog tungstate bound at the PNPase catalytic sites was determined by X-ray crystallography and shows a trimeric multidomain protein with a central channel. The structural core has a novel duplicated architecture formed by association of two homologous domains. The tungstate derivative structure reveals the PNPase active site in the second of these core domains. Structure-based sequence analysis suggests that the pppGpp synthetase active site is located in the first core domain. CONCLUSIONS This is the first structure of a PNPase and shows the structural basis for the trimer assembly, the arrangement of accessory RNA binding domains, and the likely catalytic residues of the PNPase active site. A possible function of the trimer channel is as a contribution to both the processivity of degradation and the regulation of PNPase action by RNA structural elements.", "author" : [ { "dropping-particle" : "", "family" : "Symmons", "given" : "M F", "non-dropping-particle" : "", "parse-names" : false, "suffix" : "" }, { "dropping-particle" : "", "family" : "Jones", "given" : "G H", "non-dropping-particle" : "", "parse-names" : false, "suffix" : "" }, { "dropping-particle" : "", "family" : "Luisi", "given" : "B F", "non-dropping-particle" : "", "parse-names" : false, "suffix" : "" } ], "container-title" : "Structure (London, England : 1993)", "id" : "ITEM-1", "issue" : "11", "issued" : { "date-parts" : [ [ "2000", "11", "15" ] ] }, "page" : "1215-26", "title" : "A duplicated fold is the structural basis for polynucleotide phosphorylase catalytic activity, processivity, and regulation.", "type" : "article-journal", "volume" : "8" }, "uris" : [ "http://www.mendeley.com/documents/?uuid=d25d1168-2ced-352e-89d0-1d6fb41298ef" ] } ], "mendeley" : { "formattedCitation" : "(Symmons &lt;i&gt;et al.&lt;/i&gt;, 2000)", "manualFormatting" : "Symmons et al., 2000", "plainTextFormattedCitation" : "(Symmons et al., 2000)", "previouslyFormattedCitation" : "(Symmons &lt;i&gt;et al.&lt;/i&gt;, 2000)"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675D06">
              <w:rPr>
                <w:rFonts w:ascii="Times New Roman" w:eastAsia="Times New Roman" w:hAnsi="Times New Roman" w:cs="Times New Roman"/>
                <w:noProof/>
                <w:color w:val="000000"/>
                <w:sz w:val="18"/>
                <w:szCs w:val="18"/>
                <w:lang w:val="en-GB"/>
              </w:rPr>
              <w:t xml:space="preserve">Symmons </w:t>
            </w:r>
            <w:r w:rsidRPr="00675D06">
              <w:rPr>
                <w:rFonts w:ascii="Times New Roman" w:eastAsia="Times New Roman" w:hAnsi="Times New Roman" w:cs="Times New Roman"/>
                <w:i/>
                <w:noProof/>
                <w:color w:val="000000"/>
                <w:sz w:val="18"/>
                <w:szCs w:val="18"/>
                <w:lang w:val="en-GB"/>
              </w:rPr>
              <w:t>et al.</w:t>
            </w:r>
            <w:r w:rsidRPr="00675D06">
              <w:rPr>
                <w:rFonts w:ascii="Times New Roman" w:eastAsia="Times New Roman" w:hAnsi="Times New Roman" w:cs="Times New Roman"/>
                <w:noProof/>
                <w:color w:val="000000"/>
                <w:sz w:val="18"/>
                <w:szCs w:val="18"/>
                <w:lang w:val="en-GB"/>
              </w:rPr>
              <w:t>, 2000</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0EE42DE8" w14:textId="4C7CEEA6"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4nbq B</w:t>
            </w:r>
          </w:p>
        </w:tc>
      </w:tr>
      <w:tr w:rsidR="008C7330" w:rsidRPr="000F2EA7" w14:paraId="62F0F620" w14:textId="77777777" w:rsidTr="00EB27D4">
        <w:trPr>
          <w:trHeight w:val="621"/>
          <w:jc w:val="center"/>
        </w:trPr>
        <w:tc>
          <w:tcPr>
            <w:tcW w:w="1193" w:type="dxa"/>
            <w:shd w:val="clear" w:color="auto" w:fill="auto"/>
            <w:vAlign w:val="center"/>
            <w:hideMark/>
          </w:tcPr>
          <w:p w14:paraId="4C92CFC2" w14:textId="2DC4F883" w:rsidR="008C7330" w:rsidRPr="000F2EA7" w:rsidRDefault="00532CDA"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RNase Y</w:t>
            </w:r>
          </w:p>
        </w:tc>
        <w:tc>
          <w:tcPr>
            <w:tcW w:w="1418" w:type="dxa"/>
            <w:shd w:val="clear" w:color="auto" w:fill="auto"/>
            <w:vAlign w:val="center"/>
            <w:hideMark/>
          </w:tcPr>
          <w:p w14:paraId="37392D2E"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w:t>
            </w:r>
          </w:p>
        </w:tc>
        <w:tc>
          <w:tcPr>
            <w:tcW w:w="1642" w:type="dxa"/>
            <w:shd w:val="clear" w:color="auto" w:fill="auto"/>
            <w:vAlign w:val="center"/>
            <w:hideMark/>
          </w:tcPr>
          <w:p w14:paraId="2787002D"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RNY_BACSU</w:t>
            </w:r>
          </w:p>
        </w:tc>
        <w:tc>
          <w:tcPr>
            <w:tcW w:w="619" w:type="dxa"/>
            <w:shd w:val="clear" w:color="auto" w:fill="auto"/>
            <w:vAlign w:val="center"/>
            <w:hideMark/>
          </w:tcPr>
          <w:p w14:paraId="011E7640"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w:t>
            </w:r>
          </w:p>
        </w:tc>
        <w:tc>
          <w:tcPr>
            <w:tcW w:w="851" w:type="dxa"/>
            <w:shd w:val="clear" w:color="auto" w:fill="auto"/>
            <w:vAlign w:val="center"/>
            <w:hideMark/>
          </w:tcPr>
          <w:p w14:paraId="08AB15B3" w14:textId="39144CFA" w:rsidR="008C7330" w:rsidRPr="000F2EA7" w:rsidRDefault="008C7330" w:rsidP="008C7330">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208-275</w:t>
            </w:r>
          </w:p>
        </w:tc>
        <w:tc>
          <w:tcPr>
            <w:tcW w:w="1081" w:type="dxa"/>
            <w:shd w:val="clear" w:color="auto" w:fill="auto"/>
            <w:vAlign w:val="center"/>
            <w:hideMark/>
          </w:tcPr>
          <w:p w14:paraId="266C1A18"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1C31D430" w14:textId="300D5121" w:rsidR="008C7330" w:rsidRPr="000F2EA7" w:rsidRDefault="001217EF" w:rsidP="001217EF">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Pr>
                <w:rFonts w:ascii="Times New Roman" w:eastAsia="Times New Roman" w:hAnsi="Times New Roman" w:cs="Times New Roman"/>
                <w:color w:val="000000"/>
                <w:sz w:val="18"/>
                <w:szCs w:val="18"/>
                <w:lang w:val="en-GB"/>
              </w:rPr>
              <w:instrText>ADDIN CSL_CITATION { "citationItems" : [ { "id" : "ITEM-1", "itemData" : { "DOI" : "10.1128/MMBR.67.2.157-174.2003", "ISSN" : "1092-2172", "author" : [ { "dropping-particle" : "", "family" : "Condon", "given" : "C.", "non-dropping-particle" : "", "parse-names" : false, "suffix" : "" } ], "container-title" : "Microbiology and Molecular Biology Reviews", "id" : "ITEM-1", "issue" : "2", "issued" : { "date-parts" : [ [ "2003", "6", "1" ] ] }, "page" : "157-174", "title" : "RNA Processing and Degradation in Bacillus subtilis", "type" : "article-journal", "volume" : "67" }, "uris" : [ "http://www.mendeley.com/documents/?uuid=004d3b2b-876a-392c-bfcd-dd5c8ffb47f5" ] } ], "mendeley" : { "formattedCitation" : "(Condon, 2003)", "manualFormatting" : "Condon, 2003", "plainTextFormattedCitation" : "(Condon, 2003)", "previouslyFormattedCitation" : "(Condon, 2003)"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1217EF">
              <w:rPr>
                <w:rFonts w:ascii="Times New Roman" w:eastAsia="Times New Roman" w:hAnsi="Times New Roman" w:cs="Times New Roman"/>
                <w:noProof/>
                <w:color w:val="000000"/>
                <w:sz w:val="18"/>
                <w:szCs w:val="18"/>
                <w:lang w:val="en-GB"/>
              </w:rPr>
              <w:t>Condon, 2003</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3EA5FFE1"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n.a.</w:t>
            </w:r>
          </w:p>
        </w:tc>
      </w:tr>
      <w:tr w:rsidR="008C7330" w:rsidRPr="000F2EA7" w14:paraId="0A66BCF7" w14:textId="77777777" w:rsidTr="00EB27D4">
        <w:trPr>
          <w:trHeight w:val="621"/>
          <w:jc w:val="center"/>
        </w:trPr>
        <w:tc>
          <w:tcPr>
            <w:tcW w:w="1193" w:type="dxa"/>
            <w:shd w:val="clear" w:color="auto" w:fill="auto"/>
            <w:vAlign w:val="center"/>
            <w:hideMark/>
          </w:tcPr>
          <w:p w14:paraId="511F0E41" w14:textId="092C1779"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Dim2p</w:t>
            </w:r>
          </w:p>
        </w:tc>
        <w:tc>
          <w:tcPr>
            <w:tcW w:w="1418" w:type="dxa"/>
            <w:shd w:val="clear" w:color="auto" w:fill="auto"/>
            <w:vAlign w:val="center"/>
            <w:hideMark/>
          </w:tcPr>
          <w:p w14:paraId="2F72B6BF"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Archaea and eukaryota</w:t>
            </w:r>
          </w:p>
        </w:tc>
        <w:tc>
          <w:tcPr>
            <w:tcW w:w="1642" w:type="dxa"/>
            <w:shd w:val="clear" w:color="auto" w:fill="auto"/>
            <w:vAlign w:val="center"/>
            <w:hideMark/>
          </w:tcPr>
          <w:p w14:paraId="5ED97CC6"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O59282_PYRHO</w:t>
            </w:r>
          </w:p>
        </w:tc>
        <w:tc>
          <w:tcPr>
            <w:tcW w:w="619" w:type="dxa"/>
            <w:shd w:val="clear" w:color="auto" w:fill="auto"/>
            <w:vAlign w:val="center"/>
            <w:hideMark/>
          </w:tcPr>
          <w:p w14:paraId="5894AB65"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w:t>
            </w:r>
          </w:p>
        </w:tc>
        <w:tc>
          <w:tcPr>
            <w:tcW w:w="851" w:type="dxa"/>
            <w:shd w:val="clear" w:color="auto" w:fill="auto"/>
            <w:vAlign w:val="center"/>
            <w:hideMark/>
          </w:tcPr>
          <w:p w14:paraId="067E7ADC" w14:textId="77777777" w:rsidR="008C7330"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32-102</w:t>
            </w:r>
          </w:p>
          <w:p w14:paraId="5A801802" w14:textId="3D3C0FFB"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123-190</w:t>
            </w:r>
          </w:p>
        </w:tc>
        <w:tc>
          <w:tcPr>
            <w:tcW w:w="1081" w:type="dxa"/>
            <w:shd w:val="clear" w:color="auto" w:fill="auto"/>
            <w:vAlign w:val="center"/>
            <w:hideMark/>
          </w:tcPr>
          <w:p w14:paraId="443DE3A7" w14:textId="77777777" w:rsidR="008C7330"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p w14:paraId="7F25E827" w14:textId="15ADB563" w:rsidR="008C7330" w:rsidRPr="000F2EA7" w:rsidRDefault="008C7330"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6C4821CB" w14:textId="56B610DB" w:rsidR="008C7330" w:rsidRPr="000F2EA7" w:rsidRDefault="001217EF" w:rsidP="001217EF">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sidR="00EB27D4">
              <w:rPr>
                <w:rFonts w:ascii="Times New Roman" w:eastAsia="Times New Roman" w:hAnsi="Times New Roman" w:cs="Times New Roman"/>
                <w:color w:val="000000"/>
                <w:sz w:val="18"/>
                <w:szCs w:val="18"/>
                <w:lang w:val="en-GB"/>
              </w:rPr>
              <w:instrText>ADDIN CSL_CITATION { "citationItems" : [ { "id" : "ITEM-1", "itemData" : { "DOI" : "10.1261/rna.5162204", "ISSN" : "1355-8382", "PMID" : "15037774", "abstract" : "Recent proteomic analyses are revealing the dynamics of preribosome assembly. Following cleavage at processing site A(2), which generates the 20S pre-rRNA (the immediate precursor to the 18S rRNA), early RRPs (ribosomal RNA processing factors) are released in bulk from the preribosomes, and the resulting pre-40S subunits are left associated with a limited set of proteins that we refer to as the SSU RRP complex. Dim2p, a core constituent of the SSU RRP complex and conserved KH-domain containing protein, is required for pre-rRNA processing and is associated with early nucleolar and late cytoplasmic pre-rRNA species. Consistently, Dim2p shuttles between the nucle(ol)us and the cytoplasm, a trafficking that is tightly regulated by growth. The association of Dim2p with the 18S rRNA dimethyltransferase Dim1p, as well as its requirement for pre-rRNA processing at cleavage sites A(1) and A(2) and for 18S rRNA dimethylation, suggest that Dim2p may recruit Dim1p to nucleolar pre-rRNAs through its KH domain.", "author" : [ { "dropping-particle" : "", "family" : "Vanrobays", "given" : "Emmanuel", "non-dropping-particle" : "", "parse-names" : false, "suffix" : "" }, { "dropping-particle" : "", "family" : "G\u00e9lugne", "given" : "Jean-Paul", "non-dropping-particle" : "", "parse-names" : false, "suffix" : "" }, { "dropping-particle" : "", "family" : "Caizergues-Ferrer", "given" : "Mich\u00e8le", "non-dropping-particle" : "", "parse-names" : false, "suffix" : "" }, { "dropping-particle" : "", "family" : "Lafontaine", "given" : "Denis L J", "non-dropping-particle" : "", "parse-names" : false, "suffix" : "" } ], "container-title" : "RNA (New York, N.Y.)", "id" : "ITEM-1", "issue" : "4", "issued" : { "date-parts" : [ [ "2004", "4" ] ] }, "page" : "645-56", "publisher" : "Cold Spring Harbor Laboratory Press", "title" : "Dim2p, a KH-domain protein required for small ribosomal subunit synthesis.", "type" : "article-journal", "volume" : "10" }, "uris" : [ "http://www.mendeley.com/documents/?uuid=6304ef4e-0ed0-3f19-b407-7382e35f397c" ] } ], "mendeley" : { "formattedCitation" : "(Vanrobays &lt;i&gt;et al.&lt;/i&gt;, 2004)", "manualFormatting" : "Vanrobays et al., 2004", "plainTextFormattedCitation" : "(Vanrobays et al., 2004)", "previouslyFormattedCitation" : "(Vanrobays &lt;i&gt;et al.&lt;/i&gt;, 2004)"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1217EF">
              <w:rPr>
                <w:rFonts w:ascii="Times New Roman" w:eastAsia="Times New Roman" w:hAnsi="Times New Roman" w:cs="Times New Roman"/>
                <w:noProof/>
                <w:color w:val="000000"/>
                <w:sz w:val="18"/>
                <w:szCs w:val="18"/>
                <w:lang w:val="en-GB"/>
              </w:rPr>
              <w:t xml:space="preserve">Vanrobays </w:t>
            </w:r>
            <w:r w:rsidRPr="001217EF">
              <w:rPr>
                <w:rFonts w:ascii="Times New Roman" w:eastAsia="Times New Roman" w:hAnsi="Times New Roman" w:cs="Times New Roman"/>
                <w:i/>
                <w:noProof/>
                <w:color w:val="000000"/>
                <w:sz w:val="18"/>
                <w:szCs w:val="18"/>
                <w:lang w:val="en-GB"/>
              </w:rPr>
              <w:t>et al.</w:t>
            </w:r>
            <w:r w:rsidRPr="001217EF">
              <w:rPr>
                <w:rFonts w:ascii="Times New Roman" w:eastAsia="Times New Roman" w:hAnsi="Times New Roman" w:cs="Times New Roman"/>
                <w:noProof/>
                <w:color w:val="000000"/>
                <w:sz w:val="18"/>
                <w:szCs w:val="18"/>
                <w:lang w:val="en-GB"/>
              </w:rPr>
              <w:t>, 2004</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26454BE1"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3aev A</w:t>
            </w:r>
          </w:p>
        </w:tc>
      </w:tr>
      <w:tr w:rsidR="008C7330" w:rsidRPr="000F2EA7" w14:paraId="7368F057" w14:textId="77777777" w:rsidTr="00EB27D4">
        <w:trPr>
          <w:trHeight w:val="621"/>
          <w:jc w:val="center"/>
        </w:trPr>
        <w:tc>
          <w:tcPr>
            <w:tcW w:w="1193" w:type="dxa"/>
            <w:shd w:val="clear" w:color="auto" w:fill="auto"/>
            <w:vAlign w:val="center"/>
            <w:hideMark/>
          </w:tcPr>
          <w:p w14:paraId="331C0165"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RRP4</w:t>
            </w:r>
          </w:p>
        </w:tc>
        <w:tc>
          <w:tcPr>
            <w:tcW w:w="1418" w:type="dxa"/>
            <w:shd w:val="clear" w:color="auto" w:fill="auto"/>
            <w:vAlign w:val="center"/>
            <w:hideMark/>
          </w:tcPr>
          <w:p w14:paraId="546E41C7"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Archaea and eukaryota</w:t>
            </w:r>
          </w:p>
        </w:tc>
        <w:tc>
          <w:tcPr>
            <w:tcW w:w="1642" w:type="dxa"/>
            <w:shd w:val="clear" w:color="auto" w:fill="auto"/>
            <w:vAlign w:val="center"/>
            <w:hideMark/>
          </w:tcPr>
          <w:p w14:paraId="24DE5114"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RRP4_ARCFU</w:t>
            </w:r>
          </w:p>
        </w:tc>
        <w:tc>
          <w:tcPr>
            <w:tcW w:w="619" w:type="dxa"/>
            <w:shd w:val="clear" w:color="auto" w:fill="auto"/>
            <w:vAlign w:val="center"/>
            <w:hideMark/>
          </w:tcPr>
          <w:p w14:paraId="7FD92150"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w:t>
            </w:r>
          </w:p>
        </w:tc>
        <w:tc>
          <w:tcPr>
            <w:tcW w:w="851" w:type="dxa"/>
            <w:shd w:val="clear" w:color="auto" w:fill="auto"/>
            <w:vAlign w:val="center"/>
            <w:hideMark/>
          </w:tcPr>
          <w:p w14:paraId="47DFEAFB"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136-217</w:t>
            </w:r>
          </w:p>
        </w:tc>
        <w:tc>
          <w:tcPr>
            <w:tcW w:w="1081" w:type="dxa"/>
            <w:shd w:val="clear" w:color="auto" w:fill="auto"/>
            <w:vAlign w:val="center"/>
            <w:hideMark/>
          </w:tcPr>
          <w:p w14:paraId="74466ED4"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yes</w:t>
            </w:r>
          </w:p>
        </w:tc>
        <w:tc>
          <w:tcPr>
            <w:tcW w:w="1418" w:type="dxa"/>
            <w:shd w:val="clear" w:color="auto" w:fill="auto"/>
            <w:vAlign w:val="center"/>
            <w:hideMark/>
          </w:tcPr>
          <w:p w14:paraId="4D16BE70" w14:textId="2787226C" w:rsidR="008C7330" w:rsidRPr="000F2EA7" w:rsidRDefault="00EB27D4" w:rsidP="00EB27D4">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fldChar w:fldCharType="begin" w:fldLock="1"/>
            </w:r>
            <w:r>
              <w:rPr>
                <w:rFonts w:ascii="Times New Roman" w:eastAsia="Times New Roman" w:hAnsi="Times New Roman" w:cs="Times New Roman"/>
                <w:color w:val="000000"/>
                <w:sz w:val="18"/>
                <w:szCs w:val="18"/>
                <w:lang w:val="en-GB"/>
              </w:rPr>
              <w:instrText>ADDIN CSL_CITATION { "citationItems" : [ { "id" : "ITEM-1", "itemData" : { "DOI" : "10.1371/journal.pone.0008739", "ISSN" : "1932-6203", "PMID" : "20090900", "abstract" : "BACKGROUND The exosome complex is an essential RNA 3'-end processing and degradation machinery. In archaeal organisms, the exosome consists of a catalytic ring and an RNA-binding ring, both of which were previously reported to assume three-fold symmetry. METHODOLOGY/PRINCIPAL FINDINGS Here we report an asymmetric 2.9 A Sulfolobus solfataricus archaeal exosome structure in which the three-fold symmetry is broken due to combined rigid body and thermal motions mainly within the RNA-binding ring. Since increased conformational flexibility was also observed in the RNA-binding ring of the related bacterial PNPase, we speculate that this may reflect an evolutionarily conserved mechanism to accommodate diverse RNA substrates for degradation. CONCLUSION/SIGNIFICANCE This study clearly shows the dynamic structures within the RNA-binding domains, which provides additional insights on mechanism of asymmetric RNA binding and processing.", "author" : [ { "dropping-particle" : "", "family" : "Lu", "given" : "Changrui", "non-dropping-particle" : "", "parse-names" : false, "suffix" : "" }, { "dropping-particle" : "", "family" : "Ding", "given" : "Fang", "non-dropping-particle" : "", "parse-names" : false, "suffix" : "" }, { "dropping-particle" : "", "family" : "Ke", "given" : "Ailong", "non-dropping-particle" : "", "parse-names" : false, "suffix" : "" } ], "container-title" : "PloS one", "id" : "ITEM-1", "issue" : "1", "issued" : { "date-parts" : [ [ "2010", "1", "15" ] ] }, "page" : "e8739", "publisher" : "Public Library of Science", "title" : "Crystal structure of the S. solfataricus archaeal exosome reveals conformational flexibility in the RNA-binding ring.", "type" : "article-journal", "volume" : "5" }, "uris" : [ "http://www.mendeley.com/documents/?uuid=811c7b7c-5a18-374c-9744-d3b983bf738e" ] } ], "mendeley" : { "formattedCitation" : "(Lu &lt;i&gt;et al.&lt;/i&gt;, 2010)", "plainTextFormattedCitation" : "(Lu et al., 2010)", "previouslyFormattedCitation" : "(Lu &lt;i&gt;et al.&lt;/i&gt;, 2010)" }, "properties" : {  }, "schema" : "https://github.com/citation-style-language/schema/raw/master/csl-citation.json" }</w:instrText>
            </w:r>
            <w:r>
              <w:rPr>
                <w:rFonts w:ascii="Times New Roman" w:eastAsia="Times New Roman" w:hAnsi="Times New Roman" w:cs="Times New Roman"/>
                <w:color w:val="000000"/>
                <w:sz w:val="18"/>
                <w:szCs w:val="18"/>
                <w:lang w:val="en-GB"/>
              </w:rPr>
              <w:fldChar w:fldCharType="separate"/>
            </w:r>
            <w:r w:rsidRPr="00EB27D4">
              <w:rPr>
                <w:rFonts w:ascii="Times New Roman" w:eastAsia="Times New Roman" w:hAnsi="Times New Roman" w:cs="Times New Roman"/>
                <w:noProof/>
                <w:color w:val="000000"/>
                <w:sz w:val="18"/>
                <w:szCs w:val="18"/>
                <w:lang w:val="en-GB"/>
              </w:rPr>
              <w:t xml:space="preserve">Lu </w:t>
            </w:r>
            <w:r w:rsidRPr="00EB27D4">
              <w:rPr>
                <w:rFonts w:ascii="Times New Roman" w:eastAsia="Times New Roman" w:hAnsi="Times New Roman" w:cs="Times New Roman"/>
                <w:i/>
                <w:noProof/>
                <w:color w:val="000000"/>
                <w:sz w:val="18"/>
                <w:szCs w:val="18"/>
                <w:lang w:val="en-GB"/>
              </w:rPr>
              <w:t>et al.</w:t>
            </w:r>
            <w:r w:rsidRPr="00EB27D4">
              <w:rPr>
                <w:rFonts w:ascii="Times New Roman" w:eastAsia="Times New Roman" w:hAnsi="Times New Roman" w:cs="Times New Roman"/>
                <w:noProof/>
                <w:color w:val="000000"/>
                <w:sz w:val="18"/>
                <w:szCs w:val="18"/>
                <w:lang w:val="en-GB"/>
              </w:rPr>
              <w:t>, 2010</w:t>
            </w:r>
            <w:r>
              <w:rPr>
                <w:rFonts w:ascii="Times New Roman" w:eastAsia="Times New Roman" w:hAnsi="Times New Roman" w:cs="Times New Roman"/>
                <w:color w:val="000000"/>
                <w:sz w:val="18"/>
                <w:szCs w:val="18"/>
                <w:lang w:val="en-GB"/>
              </w:rPr>
              <w:fldChar w:fldCharType="end"/>
            </w:r>
          </w:p>
        </w:tc>
        <w:tc>
          <w:tcPr>
            <w:tcW w:w="1045" w:type="dxa"/>
            <w:shd w:val="clear" w:color="auto" w:fill="auto"/>
            <w:vAlign w:val="center"/>
            <w:hideMark/>
          </w:tcPr>
          <w:p w14:paraId="7C94BF9A"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2z0s A</w:t>
            </w:r>
          </w:p>
        </w:tc>
      </w:tr>
      <w:tr w:rsidR="008C7330" w:rsidRPr="000F2EA7" w14:paraId="34BF2E08" w14:textId="77777777" w:rsidTr="00EB27D4">
        <w:trPr>
          <w:trHeight w:val="621"/>
          <w:jc w:val="center"/>
        </w:trPr>
        <w:tc>
          <w:tcPr>
            <w:tcW w:w="1193" w:type="dxa"/>
            <w:shd w:val="clear" w:color="auto" w:fill="auto"/>
            <w:vAlign w:val="center"/>
            <w:hideMark/>
          </w:tcPr>
          <w:p w14:paraId="71FD922B"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YbeZ</w:t>
            </w:r>
          </w:p>
        </w:tc>
        <w:tc>
          <w:tcPr>
            <w:tcW w:w="1418" w:type="dxa"/>
            <w:shd w:val="clear" w:color="auto" w:fill="auto"/>
            <w:vAlign w:val="center"/>
            <w:hideMark/>
          </w:tcPr>
          <w:p w14:paraId="27DD7F7F"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w:t>
            </w:r>
          </w:p>
        </w:tc>
        <w:tc>
          <w:tcPr>
            <w:tcW w:w="1642" w:type="dxa"/>
            <w:shd w:val="clear" w:color="auto" w:fill="auto"/>
            <w:vAlign w:val="center"/>
            <w:hideMark/>
          </w:tcPr>
          <w:p w14:paraId="7770F8FC"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PHOL_ECOLI</w:t>
            </w:r>
          </w:p>
        </w:tc>
        <w:tc>
          <w:tcPr>
            <w:tcW w:w="619" w:type="dxa"/>
            <w:shd w:val="clear" w:color="auto" w:fill="auto"/>
            <w:vAlign w:val="center"/>
            <w:hideMark/>
          </w:tcPr>
          <w:p w14:paraId="440CD12F"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w:t>
            </w:r>
          </w:p>
        </w:tc>
        <w:tc>
          <w:tcPr>
            <w:tcW w:w="851" w:type="dxa"/>
            <w:shd w:val="clear" w:color="auto" w:fill="auto"/>
            <w:vAlign w:val="center"/>
            <w:hideMark/>
          </w:tcPr>
          <w:p w14:paraId="3AC1D8CF"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3-89</w:t>
            </w:r>
          </w:p>
        </w:tc>
        <w:tc>
          <w:tcPr>
            <w:tcW w:w="1081" w:type="dxa"/>
            <w:shd w:val="clear" w:color="auto" w:fill="auto"/>
            <w:vAlign w:val="center"/>
            <w:hideMark/>
          </w:tcPr>
          <w:p w14:paraId="39A743C8"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no</w:t>
            </w:r>
          </w:p>
        </w:tc>
        <w:tc>
          <w:tcPr>
            <w:tcW w:w="1418" w:type="dxa"/>
            <w:shd w:val="clear" w:color="auto" w:fill="auto"/>
            <w:vAlign w:val="center"/>
            <w:hideMark/>
          </w:tcPr>
          <w:p w14:paraId="60E02D8A"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n.a.</w:t>
            </w:r>
          </w:p>
        </w:tc>
        <w:tc>
          <w:tcPr>
            <w:tcW w:w="1045" w:type="dxa"/>
            <w:shd w:val="clear" w:color="auto" w:fill="auto"/>
            <w:vAlign w:val="center"/>
            <w:hideMark/>
          </w:tcPr>
          <w:p w14:paraId="133FF7D4"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n.a.</w:t>
            </w:r>
          </w:p>
        </w:tc>
      </w:tr>
      <w:tr w:rsidR="008C7330" w:rsidRPr="000F2EA7" w14:paraId="1FF922FB" w14:textId="77777777" w:rsidTr="00EB27D4">
        <w:trPr>
          <w:trHeight w:val="621"/>
          <w:jc w:val="center"/>
        </w:trPr>
        <w:tc>
          <w:tcPr>
            <w:tcW w:w="1193" w:type="dxa"/>
            <w:shd w:val="clear" w:color="auto" w:fill="auto"/>
            <w:vAlign w:val="center"/>
            <w:hideMark/>
          </w:tcPr>
          <w:p w14:paraId="2555B64F"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RNase E</w:t>
            </w:r>
          </w:p>
        </w:tc>
        <w:tc>
          <w:tcPr>
            <w:tcW w:w="1418" w:type="dxa"/>
            <w:shd w:val="clear" w:color="auto" w:fill="auto"/>
            <w:vAlign w:val="center"/>
            <w:hideMark/>
          </w:tcPr>
          <w:p w14:paraId="643FC086" w14:textId="7A110330" w:rsidR="008C7330" w:rsidRPr="000F2EA7" w:rsidRDefault="008C7330" w:rsidP="00485A59">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w:t>
            </w:r>
            <w:r w:rsidR="00430BB1">
              <w:rPr>
                <w:rFonts w:ascii="Times New Roman" w:eastAsia="Times New Roman" w:hAnsi="Times New Roman" w:cs="Times New Roman"/>
                <w:color w:val="000000"/>
                <w:sz w:val="18"/>
                <w:szCs w:val="18"/>
                <w:lang w:val="en-GB"/>
              </w:rPr>
              <w:t xml:space="preserve"> </w:t>
            </w:r>
            <w:r w:rsidR="00485A59">
              <w:rPr>
                <w:rFonts w:ascii="Times New Roman" w:eastAsia="Times New Roman" w:hAnsi="Times New Roman" w:cs="Times New Roman"/>
                <w:color w:val="000000"/>
                <w:sz w:val="18"/>
                <w:szCs w:val="18"/>
                <w:lang w:val="en-GB"/>
              </w:rPr>
              <w:t>and chloroplasts</w:t>
            </w:r>
          </w:p>
        </w:tc>
        <w:tc>
          <w:tcPr>
            <w:tcW w:w="1642" w:type="dxa"/>
            <w:shd w:val="clear" w:color="auto" w:fill="auto"/>
            <w:vAlign w:val="center"/>
            <w:hideMark/>
          </w:tcPr>
          <w:p w14:paraId="7CC9CDFC"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RNE_ECOLI</w:t>
            </w:r>
          </w:p>
        </w:tc>
        <w:tc>
          <w:tcPr>
            <w:tcW w:w="619" w:type="dxa"/>
            <w:shd w:val="clear" w:color="auto" w:fill="auto"/>
            <w:vAlign w:val="center"/>
            <w:hideMark/>
          </w:tcPr>
          <w:p w14:paraId="64F03FAB"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III</w:t>
            </w:r>
          </w:p>
        </w:tc>
        <w:tc>
          <w:tcPr>
            <w:tcW w:w="851" w:type="dxa"/>
            <w:shd w:val="clear" w:color="auto" w:fill="auto"/>
            <w:vAlign w:val="center"/>
            <w:hideMark/>
          </w:tcPr>
          <w:p w14:paraId="6FC77E87"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413-517</w:t>
            </w:r>
          </w:p>
        </w:tc>
        <w:tc>
          <w:tcPr>
            <w:tcW w:w="1081" w:type="dxa"/>
            <w:shd w:val="clear" w:color="auto" w:fill="auto"/>
            <w:vAlign w:val="center"/>
            <w:hideMark/>
          </w:tcPr>
          <w:p w14:paraId="534DE11A"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no</w:t>
            </w:r>
          </w:p>
        </w:tc>
        <w:tc>
          <w:tcPr>
            <w:tcW w:w="1418" w:type="dxa"/>
            <w:shd w:val="clear" w:color="auto" w:fill="auto"/>
            <w:vAlign w:val="center"/>
            <w:hideMark/>
          </w:tcPr>
          <w:p w14:paraId="6DC17730" w14:textId="1D7074BC" w:rsidR="008C7330" w:rsidRPr="000F2EA7" w:rsidRDefault="006934C7" w:rsidP="000F2EA7">
            <w:pPr>
              <w:jc w:val="center"/>
              <w:rPr>
                <w:rFonts w:ascii="Times New Roman" w:eastAsia="Times New Roman" w:hAnsi="Times New Roman" w:cs="Times New Roman"/>
                <w:color w:val="000000"/>
                <w:sz w:val="18"/>
                <w:szCs w:val="18"/>
                <w:lang w:val="en-GB"/>
              </w:rPr>
            </w:pPr>
            <w:r>
              <w:rPr>
                <w:rFonts w:ascii="Times New Roman" w:eastAsia="Times New Roman" w:hAnsi="Times New Roman" w:cs="Times New Roman"/>
                <w:color w:val="000000"/>
                <w:sz w:val="18"/>
                <w:szCs w:val="18"/>
                <w:lang w:val="en-GB"/>
              </w:rPr>
              <w:t>n.a.</w:t>
            </w:r>
          </w:p>
        </w:tc>
        <w:tc>
          <w:tcPr>
            <w:tcW w:w="1045" w:type="dxa"/>
            <w:shd w:val="clear" w:color="auto" w:fill="auto"/>
            <w:vAlign w:val="center"/>
            <w:hideMark/>
          </w:tcPr>
          <w:p w14:paraId="320656FD"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2bx2 L</w:t>
            </w:r>
          </w:p>
        </w:tc>
      </w:tr>
      <w:tr w:rsidR="008C7330" w:rsidRPr="000F2EA7" w14:paraId="0D3FF9E3" w14:textId="77777777" w:rsidTr="00EB27D4">
        <w:trPr>
          <w:trHeight w:val="621"/>
          <w:jc w:val="center"/>
        </w:trPr>
        <w:tc>
          <w:tcPr>
            <w:tcW w:w="1193" w:type="dxa"/>
            <w:shd w:val="clear" w:color="auto" w:fill="auto"/>
            <w:vAlign w:val="center"/>
            <w:hideMark/>
          </w:tcPr>
          <w:p w14:paraId="33BFC3FC"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RNase G</w:t>
            </w:r>
          </w:p>
        </w:tc>
        <w:tc>
          <w:tcPr>
            <w:tcW w:w="1418" w:type="dxa"/>
            <w:shd w:val="clear" w:color="auto" w:fill="auto"/>
            <w:vAlign w:val="center"/>
            <w:hideMark/>
          </w:tcPr>
          <w:p w14:paraId="5ECE7B5A" w14:textId="79B44F61" w:rsidR="008C7330" w:rsidRPr="000F2EA7" w:rsidRDefault="008C7330" w:rsidP="00485A59">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Bacteria</w:t>
            </w:r>
            <w:r w:rsidR="00430BB1">
              <w:rPr>
                <w:rFonts w:ascii="Times New Roman" w:eastAsia="Times New Roman" w:hAnsi="Times New Roman" w:cs="Times New Roman"/>
                <w:color w:val="000000"/>
                <w:sz w:val="18"/>
                <w:szCs w:val="18"/>
                <w:lang w:val="en-GB"/>
              </w:rPr>
              <w:t xml:space="preserve"> </w:t>
            </w:r>
            <w:r w:rsidR="00485A59">
              <w:rPr>
                <w:rFonts w:ascii="Times New Roman" w:eastAsia="Times New Roman" w:hAnsi="Times New Roman" w:cs="Times New Roman"/>
                <w:color w:val="000000"/>
                <w:sz w:val="18"/>
                <w:szCs w:val="18"/>
                <w:lang w:val="en-GB"/>
              </w:rPr>
              <w:t>and chloroplasts</w:t>
            </w:r>
          </w:p>
        </w:tc>
        <w:tc>
          <w:tcPr>
            <w:tcW w:w="1642" w:type="dxa"/>
            <w:shd w:val="clear" w:color="auto" w:fill="auto"/>
            <w:vAlign w:val="center"/>
            <w:hideMark/>
          </w:tcPr>
          <w:p w14:paraId="325F1F9C"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RNG_ECO57</w:t>
            </w:r>
          </w:p>
        </w:tc>
        <w:tc>
          <w:tcPr>
            <w:tcW w:w="619" w:type="dxa"/>
            <w:shd w:val="clear" w:color="auto" w:fill="auto"/>
            <w:vAlign w:val="center"/>
            <w:hideMark/>
          </w:tcPr>
          <w:p w14:paraId="064C7D71"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III</w:t>
            </w:r>
          </w:p>
        </w:tc>
        <w:tc>
          <w:tcPr>
            <w:tcW w:w="851" w:type="dxa"/>
            <w:shd w:val="clear" w:color="auto" w:fill="auto"/>
            <w:vAlign w:val="center"/>
            <w:hideMark/>
          </w:tcPr>
          <w:p w14:paraId="3F74FC64"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413-488</w:t>
            </w:r>
          </w:p>
        </w:tc>
        <w:tc>
          <w:tcPr>
            <w:tcW w:w="1081" w:type="dxa"/>
            <w:shd w:val="clear" w:color="auto" w:fill="auto"/>
            <w:vAlign w:val="center"/>
            <w:hideMark/>
          </w:tcPr>
          <w:p w14:paraId="060365D8"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no</w:t>
            </w:r>
          </w:p>
        </w:tc>
        <w:tc>
          <w:tcPr>
            <w:tcW w:w="1418" w:type="dxa"/>
            <w:shd w:val="clear" w:color="auto" w:fill="auto"/>
            <w:vAlign w:val="center"/>
            <w:hideMark/>
          </w:tcPr>
          <w:p w14:paraId="4B66B6F5"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n.a.</w:t>
            </w:r>
          </w:p>
        </w:tc>
        <w:tc>
          <w:tcPr>
            <w:tcW w:w="1045" w:type="dxa"/>
            <w:shd w:val="clear" w:color="auto" w:fill="auto"/>
            <w:vAlign w:val="center"/>
            <w:hideMark/>
          </w:tcPr>
          <w:p w14:paraId="3E85A447" w14:textId="77777777" w:rsidR="008C7330" w:rsidRPr="000F2EA7" w:rsidRDefault="008C7330" w:rsidP="000F2EA7">
            <w:pPr>
              <w:jc w:val="center"/>
              <w:rPr>
                <w:rFonts w:ascii="Times New Roman" w:eastAsia="Times New Roman" w:hAnsi="Times New Roman" w:cs="Times New Roman"/>
                <w:color w:val="000000"/>
                <w:sz w:val="18"/>
                <w:szCs w:val="18"/>
                <w:lang w:val="en-GB"/>
              </w:rPr>
            </w:pPr>
            <w:r w:rsidRPr="000F2EA7">
              <w:rPr>
                <w:rFonts w:ascii="Times New Roman" w:eastAsia="Times New Roman" w:hAnsi="Times New Roman" w:cs="Times New Roman"/>
                <w:color w:val="000000"/>
                <w:sz w:val="18"/>
                <w:szCs w:val="18"/>
                <w:lang w:val="en-GB"/>
              </w:rPr>
              <w:t>n.a.</w:t>
            </w:r>
          </w:p>
        </w:tc>
      </w:tr>
    </w:tbl>
    <w:p w14:paraId="6ABFE710" w14:textId="6EF50D8C" w:rsidR="00265370" w:rsidRDefault="00265370">
      <w:pPr>
        <w:rPr>
          <w:rFonts w:ascii="Times New Roman" w:eastAsia="Times New Roman" w:hAnsi="Times New Roman" w:cs="Times New Roman"/>
          <w:sz w:val="22"/>
          <w:lang w:val="en-GB" w:eastAsia="en-GB"/>
        </w:rPr>
      </w:pPr>
    </w:p>
    <w:p w14:paraId="3D843D51" w14:textId="77777777" w:rsidR="00483A82" w:rsidRDefault="00483A82" w:rsidP="000F2EA7">
      <w:pPr>
        <w:widowControl w:val="0"/>
        <w:autoSpaceDE w:val="0"/>
        <w:autoSpaceDN w:val="0"/>
        <w:adjustRightInd w:val="0"/>
        <w:spacing w:after="120" w:line="360" w:lineRule="auto"/>
        <w:ind w:left="480" w:hanging="480"/>
        <w:rPr>
          <w:b/>
          <w:bCs/>
        </w:rPr>
      </w:pPr>
    </w:p>
    <w:p w14:paraId="7BEBBDBD" w14:textId="77777777" w:rsidR="00C617F6" w:rsidRDefault="00C617F6" w:rsidP="000F2EA7">
      <w:pPr>
        <w:widowControl w:val="0"/>
        <w:autoSpaceDE w:val="0"/>
        <w:autoSpaceDN w:val="0"/>
        <w:adjustRightInd w:val="0"/>
        <w:spacing w:after="120" w:line="360" w:lineRule="auto"/>
        <w:ind w:left="480" w:hanging="480"/>
        <w:rPr>
          <w:b/>
          <w:bCs/>
        </w:rPr>
      </w:pPr>
    </w:p>
    <w:p w14:paraId="7276656B" w14:textId="431D9F40" w:rsidR="00A75849" w:rsidRPr="00A75849" w:rsidRDefault="00A75849" w:rsidP="00A75849">
      <w:pPr>
        <w:pStyle w:val="IUCrbodytext"/>
        <w:rPr>
          <w:b/>
        </w:rPr>
      </w:pPr>
      <w:r w:rsidRPr="00A75849">
        <w:rPr>
          <w:b/>
        </w:rPr>
        <w:t>References</w:t>
      </w:r>
    </w:p>
    <w:p w14:paraId="552F5DA9" w14:textId="58202C24" w:rsidR="00EB27D4" w:rsidRPr="00EB27D4" w:rsidRDefault="00901598" w:rsidP="00EB27D4">
      <w:pPr>
        <w:widowControl w:val="0"/>
        <w:autoSpaceDE w:val="0"/>
        <w:autoSpaceDN w:val="0"/>
        <w:adjustRightInd w:val="0"/>
        <w:ind w:left="480" w:hanging="480"/>
        <w:rPr>
          <w:rFonts w:ascii="Times New Roman" w:hAnsi="Times New Roman"/>
          <w:noProof/>
          <w:sz w:val="18"/>
        </w:rPr>
      </w:pPr>
      <w:r w:rsidRPr="00DB70A9">
        <w:rPr>
          <w:b/>
          <w:bCs/>
          <w:sz w:val="18"/>
          <w:szCs w:val="18"/>
        </w:rPr>
        <w:fldChar w:fldCharType="begin" w:fldLock="1"/>
      </w:r>
      <w:r w:rsidRPr="00DB70A9">
        <w:rPr>
          <w:b/>
          <w:bCs/>
          <w:sz w:val="18"/>
          <w:szCs w:val="18"/>
        </w:rPr>
        <w:instrText xml:space="preserve">ADDIN Mendeley Bibliography CSL_BIBLIOGRAPHY </w:instrText>
      </w:r>
      <w:r w:rsidRPr="00DB70A9">
        <w:rPr>
          <w:b/>
          <w:bCs/>
          <w:sz w:val="18"/>
          <w:szCs w:val="18"/>
        </w:rPr>
        <w:fldChar w:fldCharType="separate"/>
      </w:r>
      <w:r w:rsidR="00EB27D4" w:rsidRPr="00EB27D4">
        <w:rPr>
          <w:rFonts w:ascii="Times New Roman" w:hAnsi="Times New Roman"/>
          <w:noProof/>
          <w:sz w:val="18"/>
        </w:rPr>
        <w:t xml:space="preserve">Alva,V. </w:t>
      </w:r>
      <w:r w:rsidR="00EB27D4" w:rsidRPr="00EB27D4">
        <w:rPr>
          <w:rFonts w:ascii="Times New Roman" w:hAnsi="Times New Roman"/>
          <w:i/>
          <w:iCs/>
          <w:noProof/>
          <w:sz w:val="18"/>
        </w:rPr>
        <w:t>et al.</w:t>
      </w:r>
      <w:r w:rsidR="00EB27D4" w:rsidRPr="00EB27D4">
        <w:rPr>
          <w:rFonts w:ascii="Times New Roman" w:hAnsi="Times New Roman"/>
          <w:noProof/>
          <w:sz w:val="18"/>
        </w:rPr>
        <w:t xml:space="preserve"> (2016) The MPI bioinformatics Toolkit as an integrative platform for advanced protein sequence and structure analysis. </w:t>
      </w:r>
      <w:r w:rsidR="00EB27D4" w:rsidRPr="00EB27D4">
        <w:rPr>
          <w:rFonts w:ascii="Times New Roman" w:hAnsi="Times New Roman"/>
          <w:i/>
          <w:iCs/>
          <w:noProof/>
          <w:sz w:val="18"/>
        </w:rPr>
        <w:t>Nucleic Acids Res.</w:t>
      </w:r>
      <w:r w:rsidR="00EB27D4" w:rsidRPr="00EB27D4">
        <w:rPr>
          <w:rFonts w:ascii="Times New Roman" w:hAnsi="Times New Roman"/>
          <w:noProof/>
          <w:sz w:val="18"/>
        </w:rPr>
        <w:t xml:space="preserve">, </w:t>
      </w:r>
      <w:r w:rsidR="00EB27D4" w:rsidRPr="00EB27D4">
        <w:rPr>
          <w:rFonts w:ascii="Times New Roman" w:hAnsi="Times New Roman"/>
          <w:b/>
          <w:bCs/>
          <w:noProof/>
          <w:sz w:val="18"/>
        </w:rPr>
        <w:t>44</w:t>
      </w:r>
      <w:r w:rsidR="00EB27D4" w:rsidRPr="00EB27D4">
        <w:rPr>
          <w:rFonts w:ascii="Times New Roman" w:hAnsi="Times New Roman"/>
          <w:noProof/>
          <w:sz w:val="18"/>
        </w:rPr>
        <w:t>, W410–W415.</w:t>
      </w:r>
    </w:p>
    <w:p w14:paraId="1528F975"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Anantharaman,V. (2002) Comparative genomics and evolution of proteins involved in RNA metabolism. </w:t>
      </w:r>
      <w:r w:rsidRPr="00EB27D4">
        <w:rPr>
          <w:rFonts w:ascii="Times New Roman" w:hAnsi="Times New Roman"/>
          <w:i/>
          <w:iCs/>
          <w:noProof/>
          <w:sz w:val="18"/>
        </w:rPr>
        <w:t>Nucleic Acids Res.</w:t>
      </w:r>
      <w:r w:rsidRPr="00EB27D4">
        <w:rPr>
          <w:rFonts w:ascii="Times New Roman" w:hAnsi="Times New Roman"/>
          <w:noProof/>
          <w:sz w:val="18"/>
        </w:rPr>
        <w:t xml:space="preserve">, </w:t>
      </w:r>
      <w:r w:rsidRPr="00EB27D4">
        <w:rPr>
          <w:rFonts w:ascii="Times New Roman" w:hAnsi="Times New Roman"/>
          <w:b/>
          <w:bCs/>
          <w:noProof/>
          <w:sz w:val="18"/>
        </w:rPr>
        <w:t>30</w:t>
      </w:r>
      <w:r w:rsidRPr="00EB27D4">
        <w:rPr>
          <w:rFonts w:ascii="Times New Roman" w:hAnsi="Times New Roman"/>
          <w:noProof/>
          <w:sz w:val="18"/>
        </w:rPr>
        <w:t>, 1427–1464.</w:t>
      </w:r>
    </w:p>
    <w:p w14:paraId="5FF6C7E8"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Beuth,B. </w:t>
      </w:r>
      <w:r w:rsidRPr="00EB27D4">
        <w:rPr>
          <w:rFonts w:ascii="Times New Roman" w:hAnsi="Times New Roman"/>
          <w:i/>
          <w:iCs/>
          <w:noProof/>
          <w:sz w:val="18"/>
        </w:rPr>
        <w:t>et al.</w:t>
      </w:r>
      <w:r w:rsidRPr="00EB27D4">
        <w:rPr>
          <w:rFonts w:ascii="Times New Roman" w:hAnsi="Times New Roman"/>
          <w:noProof/>
          <w:sz w:val="18"/>
        </w:rPr>
        <w:t xml:space="preserve"> (2005) Structure of a Mycobacterium tuberculosis NusA–RNA complex. </w:t>
      </w:r>
      <w:r w:rsidRPr="00EB27D4">
        <w:rPr>
          <w:rFonts w:ascii="Times New Roman" w:hAnsi="Times New Roman"/>
          <w:i/>
          <w:iCs/>
          <w:noProof/>
          <w:sz w:val="18"/>
        </w:rPr>
        <w:t>EMBO J.</w:t>
      </w:r>
      <w:r w:rsidRPr="00EB27D4">
        <w:rPr>
          <w:rFonts w:ascii="Times New Roman" w:hAnsi="Times New Roman"/>
          <w:noProof/>
          <w:sz w:val="18"/>
        </w:rPr>
        <w:t xml:space="preserve">, </w:t>
      </w:r>
      <w:r w:rsidRPr="00EB27D4">
        <w:rPr>
          <w:rFonts w:ascii="Times New Roman" w:hAnsi="Times New Roman"/>
          <w:b/>
          <w:bCs/>
          <w:noProof/>
          <w:sz w:val="18"/>
        </w:rPr>
        <w:t>24</w:t>
      </w:r>
      <w:r w:rsidRPr="00EB27D4">
        <w:rPr>
          <w:rFonts w:ascii="Times New Roman" w:hAnsi="Times New Roman"/>
          <w:noProof/>
          <w:sz w:val="18"/>
        </w:rPr>
        <w:t>, 3576–3587.</w:t>
      </w:r>
    </w:p>
    <w:p w14:paraId="195FF749"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Callaghan,A.J. </w:t>
      </w:r>
      <w:r w:rsidRPr="00EB27D4">
        <w:rPr>
          <w:rFonts w:ascii="Times New Roman" w:hAnsi="Times New Roman"/>
          <w:i/>
          <w:iCs/>
          <w:noProof/>
          <w:sz w:val="18"/>
        </w:rPr>
        <w:t>et al.</w:t>
      </w:r>
      <w:r w:rsidRPr="00EB27D4">
        <w:rPr>
          <w:rFonts w:ascii="Times New Roman" w:hAnsi="Times New Roman"/>
          <w:noProof/>
          <w:sz w:val="18"/>
        </w:rPr>
        <w:t xml:space="preserve"> (2005) Structure of Escherichia coli RNase E catalytic domain and implications for RNA turnover. </w:t>
      </w:r>
      <w:r w:rsidRPr="00EB27D4">
        <w:rPr>
          <w:rFonts w:ascii="Times New Roman" w:hAnsi="Times New Roman"/>
          <w:i/>
          <w:iCs/>
          <w:noProof/>
          <w:sz w:val="18"/>
        </w:rPr>
        <w:t>Nature</w:t>
      </w:r>
      <w:r w:rsidRPr="00EB27D4">
        <w:rPr>
          <w:rFonts w:ascii="Times New Roman" w:hAnsi="Times New Roman"/>
          <w:noProof/>
          <w:sz w:val="18"/>
        </w:rPr>
        <w:t xml:space="preserve">, </w:t>
      </w:r>
      <w:r w:rsidRPr="00EB27D4">
        <w:rPr>
          <w:rFonts w:ascii="Times New Roman" w:hAnsi="Times New Roman"/>
          <w:b/>
          <w:bCs/>
          <w:noProof/>
          <w:sz w:val="18"/>
        </w:rPr>
        <w:t>437</w:t>
      </w:r>
      <w:r w:rsidRPr="00EB27D4">
        <w:rPr>
          <w:rFonts w:ascii="Times New Roman" w:hAnsi="Times New Roman"/>
          <w:noProof/>
          <w:sz w:val="18"/>
        </w:rPr>
        <w:t>, 1187–1191.</w:t>
      </w:r>
    </w:p>
    <w:p w14:paraId="119E637E"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Capella-Gutierrez,S. </w:t>
      </w:r>
      <w:r w:rsidRPr="00EB27D4">
        <w:rPr>
          <w:rFonts w:ascii="Times New Roman" w:hAnsi="Times New Roman"/>
          <w:i/>
          <w:iCs/>
          <w:noProof/>
          <w:sz w:val="18"/>
        </w:rPr>
        <w:t>et al.</w:t>
      </w:r>
      <w:r w:rsidRPr="00EB27D4">
        <w:rPr>
          <w:rFonts w:ascii="Times New Roman" w:hAnsi="Times New Roman"/>
          <w:noProof/>
          <w:sz w:val="18"/>
        </w:rPr>
        <w:t xml:space="preserve"> (2009) trimAl: a tool for automated alignment trimming in large-scale phylogenetic analyses. </w:t>
      </w:r>
      <w:r w:rsidRPr="00EB27D4">
        <w:rPr>
          <w:rFonts w:ascii="Times New Roman" w:hAnsi="Times New Roman"/>
          <w:i/>
          <w:iCs/>
          <w:noProof/>
          <w:sz w:val="18"/>
        </w:rPr>
        <w:t>Bioinformatics</w:t>
      </w:r>
      <w:r w:rsidRPr="00EB27D4">
        <w:rPr>
          <w:rFonts w:ascii="Times New Roman" w:hAnsi="Times New Roman"/>
          <w:noProof/>
          <w:sz w:val="18"/>
        </w:rPr>
        <w:t xml:space="preserve">, </w:t>
      </w:r>
      <w:r w:rsidRPr="00EB27D4">
        <w:rPr>
          <w:rFonts w:ascii="Times New Roman" w:hAnsi="Times New Roman"/>
          <w:b/>
          <w:bCs/>
          <w:noProof/>
          <w:sz w:val="18"/>
        </w:rPr>
        <w:t>25</w:t>
      </w:r>
      <w:r w:rsidRPr="00EB27D4">
        <w:rPr>
          <w:rFonts w:ascii="Times New Roman" w:hAnsi="Times New Roman"/>
          <w:noProof/>
          <w:sz w:val="18"/>
        </w:rPr>
        <w:t>, 1972–1973.</w:t>
      </w:r>
    </w:p>
    <w:p w14:paraId="045BA68E"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Condon,C. (2003) RNA Processing and Degradation in Bacillus subtilis. </w:t>
      </w:r>
      <w:r w:rsidRPr="00EB27D4">
        <w:rPr>
          <w:rFonts w:ascii="Times New Roman" w:hAnsi="Times New Roman"/>
          <w:i/>
          <w:iCs/>
          <w:noProof/>
          <w:sz w:val="18"/>
        </w:rPr>
        <w:t>Microbiol. Mol. Biol. Rev.</w:t>
      </w:r>
      <w:r w:rsidRPr="00EB27D4">
        <w:rPr>
          <w:rFonts w:ascii="Times New Roman" w:hAnsi="Times New Roman"/>
          <w:noProof/>
          <w:sz w:val="18"/>
        </w:rPr>
        <w:t xml:space="preserve">, </w:t>
      </w:r>
      <w:r w:rsidRPr="00EB27D4">
        <w:rPr>
          <w:rFonts w:ascii="Times New Roman" w:hAnsi="Times New Roman"/>
          <w:b/>
          <w:bCs/>
          <w:noProof/>
          <w:sz w:val="18"/>
        </w:rPr>
        <w:t>67</w:t>
      </w:r>
      <w:r w:rsidRPr="00EB27D4">
        <w:rPr>
          <w:rFonts w:ascii="Times New Roman" w:hAnsi="Times New Roman"/>
          <w:noProof/>
          <w:sz w:val="18"/>
        </w:rPr>
        <w:t>, 157–174.</w:t>
      </w:r>
    </w:p>
    <w:p w14:paraId="4B113787"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Finn,R.D. </w:t>
      </w:r>
      <w:r w:rsidRPr="00EB27D4">
        <w:rPr>
          <w:rFonts w:ascii="Times New Roman" w:hAnsi="Times New Roman"/>
          <w:i/>
          <w:iCs/>
          <w:noProof/>
          <w:sz w:val="18"/>
        </w:rPr>
        <w:t>et al.</w:t>
      </w:r>
      <w:r w:rsidRPr="00EB27D4">
        <w:rPr>
          <w:rFonts w:ascii="Times New Roman" w:hAnsi="Times New Roman"/>
          <w:noProof/>
          <w:sz w:val="18"/>
        </w:rPr>
        <w:t xml:space="preserve"> (2015) HMMER web server: 2015 update. </w:t>
      </w:r>
      <w:r w:rsidRPr="00EB27D4">
        <w:rPr>
          <w:rFonts w:ascii="Times New Roman" w:hAnsi="Times New Roman"/>
          <w:i/>
          <w:iCs/>
          <w:noProof/>
          <w:sz w:val="18"/>
        </w:rPr>
        <w:t>Nucleic Acids Res.</w:t>
      </w:r>
      <w:r w:rsidRPr="00EB27D4">
        <w:rPr>
          <w:rFonts w:ascii="Times New Roman" w:hAnsi="Times New Roman"/>
          <w:noProof/>
          <w:sz w:val="18"/>
        </w:rPr>
        <w:t xml:space="preserve">, </w:t>
      </w:r>
      <w:r w:rsidRPr="00EB27D4">
        <w:rPr>
          <w:rFonts w:ascii="Times New Roman" w:hAnsi="Times New Roman"/>
          <w:b/>
          <w:bCs/>
          <w:noProof/>
          <w:sz w:val="18"/>
        </w:rPr>
        <w:t>43</w:t>
      </w:r>
      <w:r w:rsidRPr="00EB27D4">
        <w:rPr>
          <w:rFonts w:ascii="Times New Roman" w:hAnsi="Times New Roman"/>
          <w:noProof/>
          <w:sz w:val="18"/>
        </w:rPr>
        <w:t>, W30–W38.</w:t>
      </w:r>
    </w:p>
    <w:p w14:paraId="6E8C1ABE"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Frickey,T. and Lupas,A. (2004) CLANS: A Java application for visualizing protein families based on pairwise similarity. </w:t>
      </w:r>
      <w:r w:rsidRPr="00EB27D4">
        <w:rPr>
          <w:rFonts w:ascii="Times New Roman" w:hAnsi="Times New Roman"/>
          <w:i/>
          <w:iCs/>
          <w:noProof/>
          <w:sz w:val="18"/>
        </w:rPr>
        <w:t>Bioinformatics</w:t>
      </w:r>
      <w:r w:rsidRPr="00EB27D4">
        <w:rPr>
          <w:rFonts w:ascii="Times New Roman" w:hAnsi="Times New Roman"/>
          <w:noProof/>
          <w:sz w:val="18"/>
        </w:rPr>
        <w:t xml:space="preserve">, </w:t>
      </w:r>
      <w:r w:rsidRPr="00EB27D4">
        <w:rPr>
          <w:rFonts w:ascii="Times New Roman" w:hAnsi="Times New Roman"/>
          <w:b/>
          <w:bCs/>
          <w:noProof/>
          <w:sz w:val="18"/>
        </w:rPr>
        <w:t>20</w:t>
      </w:r>
      <w:r w:rsidRPr="00EB27D4">
        <w:rPr>
          <w:rFonts w:ascii="Times New Roman" w:hAnsi="Times New Roman"/>
          <w:noProof/>
          <w:sz w:val="18"/>
        </w:rPr>
        <w:t>, 3702–3704.</w:t>
      </w:r>
    </w:p>
    <w:p w14:paraId="0FEAF006"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Grishin,N. V. (2001) KH domain: one motif, two folds. </w:t>
      </w:r>
      <w:r w:rsidRPr="00EB27D4">
        <w:rPr>
          <w:rFonts w:ascii="Times New Roman" w:hAnsi="Times New Roman"/>
          <w:i/>
          <w:iCs/>
          <w:noProof/>
          <w:sz w:val="18"/>
        </w:rPr>
        <w:t>Nucleic Acids Res.</w:t>
      </w:r>
      <w:r w:rsidRPr="00EB27D4">
        <w:rPr>
          <w:rFonts w:ascii="Times New Roman" w:hAnsi="Times New Roman"/>
          <w:noProof/>
          <w:sz w:val="18"/>
        </w:rPr>
        <w:t xml:space="preserve">, </w:t>
      </w:r>
      <w:r w:rsidRPr="00EB27D4">
        <w:rPr>
          <w:rFonts w:ascii="Times New Roman" w:hAnsi="Times New Roman"/>
          <w:b/>
          <w:bCs/>
          <w:noProof/>
          <w:sz w:val="18"/>
        </w:rPr>
        <w:t>29</w:t>
      </w:r>
      <w:r w:rsidRPr="00EB27D4">
        <w:rPr>
          <w:rFonts w:ascii="Times New Roman" w:hAnsi="Times New Roman"/>
          <w:noProof/>
          <w:sz w:val="18"/>
        </w:rPr>
        <w:t>, 638–43.</w:t>
      </w:r>
    </w:p>
    <w:p w14:paraId="4306D98A"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Hare,S. </w:t>
      </w:r>
      <w:r w:rsidRPr="00EB27D4">
        <w:rPr>
          <w:rFonts w:ascii="Times New Roman" w:hAnsi="Times New Roman"/>
          <w:i/>
          <w:iCs/>
          <w:noProof/>
          <w:sz w:val="18"/>
        </w:rPr>
        <w:t>et al.</w:t>
      </w:r>
      <w:r w:rsidRPr="00EB27D4">
        <w:rPr>
          <w:rFonts w:ascii="Times New Roman" w:hAnsi="Times New Roman"/>
          <w:noProof/>
          <w:sz w:val="18"/>
        </w:rPr>
        <w:t xml:space="preserve"> (2007) Identification, structure and mode of action of a new regulator of the Helicobacter pylori HP0525 ATPase. </w:t>
      </w:r>
      <w:r w:rsidRPr="00EB27D4">
        <w:rPr>
          <w:rFonts w:ascii="Times New Roman" w:hAnsi="Times New Roman"/>
          <w:i/>
          <w:iCs/>
          <w:noProof/>
          <w:sz w:val="18"/>
        </w:rPr>
        <w:t>EMBO J.</w:t>
      </w:r>
      <w:r w:rsidRPr="00EB27D4">
        <w:rPr>
          <w:rFonts w:ascii="Times New Roman" w:hAnsi="Times New Roman"/>
          <w:noProof/>
          <w:sz w:val="18"/>
        </w:rPr>
        <w:t xml:space="preserve">, </w:t>
      </w:r>
      <w:r w:rsidRPr="00EB27D4">
        <w:rPr>
          <w:rFonts w:ascii="Times New Roman" w:hAnsi="Times New Roman"/>
          <w:b/>
          <w:bCs/>
          <w:noProof/>
          <w:sz w:val="18"/>
        </w:rPr>
        <w:t>26</w:t>
      </w:r>
      <w:r w:rsidRPr="00EB27D4">
        <w:rPr>
          <w:rFonts w:ascii="Times New Roman" w:hAnsi="Times New Roman"/>
          <w:noProof/>
          <w:sz w:val="18"/>
        </w:rPr>
        <w:t>, 4926–4934.</w:t>
      </w:r>
    </w:p>
    <w:p w14:paraId="78D46848"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Joosten,R.P. </w:t>
      </w:r>
      <w:r w:rsidRPr="00EB27D4">
        <w:rPr>
          <w:rFonts w:ascii="Times New Roman" w:hAnsi="Times New Roman"/>
          <w:i/>
          <w:iCs/>
          <w:noProof/>
          <w:sz w:val="18"/>
        </w:rPr>
        <w:t>et al.</w:t>
      </w:r>
      <w:r w:rsidRPr="00EB27D4">
        <w:rPr>
          <w:rFonts w:ascii="Times New Roman" w:hAnsi="Times New Roman"/>
          <w:noProof/>
          <w:sz w:val="18"/>
        </w:rPr>
        <w:t xml:space="preserve"> (2014) The PDB_REDO server for macromolecular structure model optimization. </w:t>
      </w:r>
      <w:r w:rsidRPr="00EB27D4">
        <w:rPr>
          <w:rFonts w:ascii="Times New Roman" w:hAnsi="Times New Roman"/>
          <w:i/>
          <w:iCs/>
          <w:noProof/>
          <w:sz w:val="18"/>
        </w:rPr>
        <w:t>IUCrJ</w:t>
      </w:r>
      <w:r w:rsidRPr="00EB27D4">
        <w:rPr>
          <w:rFonts w:ascii="Times New Roman" w:hAnsi="Times New Roman"/>
          <w:noProof/>
          <w:sz w:val="18"/>
        </w:rPr>
        <w:t xml:space="preserve">, </w:t>
      </w:r>
      <w:r w:rsidRPr="00EB27D4">
        <w:rPr>
          <w:rFonts w:ascii="Times New Roman" w:hAnsi="Times New Roman"/>
          <w:b/>
          <w:bCs/>
          <w:noProof/>
          <w:sz w:val="18"/>
        </w:rPr>
        <w:t>1</w:t>
      </w:r>
      <w:r w:rsidRPr="00EB27D4">
        <w:rPr>
          <w:rFonts w:ascii="Times New Roman" w:hAnsi="Times New Roman"/>
          <w:noProof/>
          <w:sz w:val="18"/>
        </w:rPr>
        <w:t>, 213–220.</w:t>
      </w:r>
    </w:p>
    <w:p w14:paraId="07B19A9B"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Lu,C. </w:t>
      </w:r>
      <w:r w:rsidRPr="00EB27D4">
        <w:rPr>
          <w:rFonts w:ascii="Times New Roman" w:hAnsi="Times New Roman"/>
          <w:i/>
          <w:iCs/>
          <w:noProof/>
          <w:sz w:val="18"/>
        </w:rPr>
        <w:t>et al.</w:t>
      </w:r>
      <w:r w:rsidRPr="00EB27D4">
        <w:rPr>
          <w:rFonts w:ascii="Times New Roman" w:hAnsi="Times New Roman"/>
          <w:noProof/>
          <w:sz w:val="18"/>
        </w:rPr>
        <w:t xml:space="preserve"> (2010) Crystal structure of the S. solfataricus archaeal exosome reveals conformational flexibility in the RNA-binding ring. </w:t>
      </w:r>
      <w:r w:rsidRPr="00EB27D4">
        <w:rPr>
          <w:rFonts w:ascii="Times New Roman" w:hAnsi="Times New Roman"/>
          <w:i/>
          <w:iCs/>
          <w:noProof/>
          <w:sz w:val="18"/>
        </w:rPr>
        <w:t>PLoS One</w:t>
      </w:r>
      <w:r w:rsidRPr="00EB27D4">
        <w:rPr>
          <w:rFonts w:ascii="Times New Roman" w:hAnsi="Times New Roman"/>
          <w:noProof/>
          <w:sz w:val="18"/>
        </w:rPr>
        <w:t xml:space="preserve">, </w:t>
      </w:r>
      <w:r w:rsidRPr="00EB27D4">
        <w:rPr>
          <w:rFonts w:ascii="Times New Roman" w:hAnsi="Times New Roman"/>
          <w:b/>
          <w:bCs/>
          <w:noProof/>
          <w:sz w:val="18"/>
        </w:rPr>
        <w:t>5</w:t>
      </w:r>
      <w:r w:rsidRPr="00EB27D4">
        <w:rPr>
          <w:rFonts w:ascii="Times New Roman" w:hAnsi="Times New Roman"/>
          <w:noProof/>
          <w:sz w:val="18"/>
        </w:rPr>
        <w:t>, e8739.</w:t>
      </w:r>
    </w:p>
    <w:p w14:paraId="4384D6F1"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Mir-Montazeri,B. </w:t>
      </w:r>
      <w:r w:rsidRPr="00EB27D4">
        <w:rPr>
          <w:rFonts w:ascii="Times New Roman" w:hAnsi="Times New Roman"/>
          <w:i/>
          <w:iCs/>
          <w:noProof/>
          <w:sz w:val="18"/>
        </w:rPr>
        <w:t>et al.</w:t>
      </w:r>
      <w:r w:rsidRPr="00EB27D4">
        <w:rPr>
          <w:rFonts w:ascii="Times New Roman" w:hAnsi="Times New Roman"/>
          <w:noProof/>
          <w:sz w:val="18"/>
        </w:rPr>
        <w:t xml:space="preserve"> (2011) Crystal structure of a dimeric archaeal Cleavage and Polyadenylation Specificity Factor. </w:t>
      </w:r>
      <w:r w:rsidRPr="00EB27D4">
        <w:rPr>
          <w:rFonts w:ascii="Times New Roman" w:hAnsi="Times New Roman"/>
          <w:i/>
          <w:iCs/>
          <w:noProof/>
          <w:sz w:val="18"/>
        </w:rPr>
        <w:t>J. Struct. Biol.</w:t>
      </w:r>
      <w:r w:rsidRPr="00EB27D4">
        <w:rPr>
          <w:rFonts w:ascii="Times New Roman" w:hAnsi="Times New Roman"/>
          <w:noProof/>
          <w:sz w:val="18"/>
        </w:rPr>
        <w:t xml:space="preserve">, </w:t>
      </w:r>
      <w:r w:rsidRPr="00EB27D4">
        <w:rPr>
          <w:rFonts w:ascii="Times New Roman" w:hAnsi="Times New Roman"/>
          <w:b/>
          <w:bCs/>
          <w:noProof/>
          <w:sz w:val="18"/>
        </w:rPr>
        <w:t>173</w:t>
      </w:r>
      <w:r w:rsidRPr="00EB27D4">
        <w:rPr>
          <w:rFonts w:ascii="Times New Roman" w:hAnsi="Times New Roman"/>
          <w:noProof/>
          <w:sz w:val="18"/>
        </w:rPr>
        <w:t>, 191–195.</w:t>
      </w:r>
    </w:p>
    <w:p w14:paraId="5A36C2F3"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Pei,J. and Grishin,N. V. (2014) PROMALS3D: Multiple Protein Sequence Alignment Enhanced with Evolutionary and Three-Dimensional Structural Information. In, </w:t>
      </w:r>
      <w:r w:rsidRPr="00EB27D4">
        <w:rPr>
          <w:rFonts w:ascii="Times New Roman" w:hAnsi="Times New Roman"/>
          <w:i/>
          <w:iCs/>
          <w:noProof/>
          <w:sz w:val="18"/>
        </w:rPr>
        <w:t>Methods in molecular biology (Clifton, N.J.)</w:t>
      </w:r>
      <w:r w:rsidRPr="00EB27D4">
        <w:rPr>
          <w:rFonts w:ascii="Times New Roman" w:hAnsi="Times New Roman"/>
          <w:noProof/>
          <w:sz w:val="18"/>
        </w:rPr>
        <w:t>., pp. 263–271.</w:t>
      </w:r>
    </w:p>
    <w:p w14:paraId="01E1D799"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Remmert,M. </w:t>
      </w:r>
      <w:r w:rsidRPr="00EB27D4">
        <w:rPr>
          <w:rFonts w:ascii="Times New Roman" w:hAnsi="Times New Roman"/>
          <w:i/>
          <w:iCs/>
          <w:noProof/>
          <w:sz w:val="18"/>
        </w:rPr>
        <w:t>et al.</w:t>
      </w:r>
      <w:r w:rsidRPr="00EB27D4">
        <w:rPr>
          <w:rFonts w:ascii="Times New Roman" w:hAnsi="Times New Roman"/>
          <w:noProof/>
          <w:sz w:val="18"/>
        </w:rPr>
        <w:t xml:space="preserve"> (2011) HHblits: lightning-fast iterative protein sequence searching by HMM-HMM alignment. </w:t>
      </w:r>
      <w:r w:rsidRPr="00EB27D4">
        <w:rPr>
          <w:rFonts w:ascii="Times New Roman" w:hAnsi="Times New Roman"/>
          <w:i/>
          <w:iCs/>
          <w:noProof/>
          <w:sz w:val="18"/>
        </w:rPr>
        <w:t>Nat. Methods</w:t>
      </w:r>
      <w:r w:rsidRPr="00EB27D4">
        <w:rPr>
          <w:rFonts w:ascii="Times New Roman" w:hAnsi="Times New Roman"/>
          <w:noProof/>
          <w:sz w:val="18"/>
        </w:rPr>
        <w:t xml:space="preserve">, </w:t>
      </w:r>
      <w:r w:rsidRPr="00EB27D4">
        <w:rPr>
          <w:rFonts w:ascii="Times New Roman" w:hAnsi="Times New Roman"/>
          <w:b/>
          <w:bCs/>
          <w:noProof/>
          <w:sz w:val="18"/>
        </w:rPr>
        <w:t>9</w:t>
      </w:r>
      <w:r w:rsidRPr="00EB27D4">
        <w:rPr>
          <w:rFonts w:ascii="Times New Roman" w:hAnsi="Times New Roman"/>
          <w:noProof/>
          <w:sz w:val="18"/>
        </w:rPr>
        <w:t>, 173–175.</w:t>
      </w:r>
    </w:p>
    <w:p w14:paraId="5018AA99"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Söding,J. (2005) Protein homology detection by HMM – HMM comparison. </w:t>
      </w:r>
      <w:r w:rsidRPr="00EB27D4">
        <w:rPr>
          <w:rFonts w:ascii="Times New Roman" w:hAnsi="Times New Roman"/>
          <w:i/>
          <w:iCs/>
          <w:noProof/>
          <w:sz w:val="18"/>
        </w:rPr>
        <w:t>Bioinformatics</w:t>
      </w:r>
      <w:r w:rsidRPr="00EB27D4">
        <w:rPr>
          <w:rFonts w:ascii="Times New Roman" w:hAnsi="Times New Roman"/>
          <w:noProof/>
          <w:sz w:val="18"/>
        </w:rPr>
        <w:t xml:space="preserve">, </w:t>
      </w:r>
      <w:r w:rsidRPr="00EB27D4">
        <w:rPr>
          <w:rFonts w:ascii="Times New Roman" w:hAnsi="Times New Roman"/>
          <w:b/>
          <w:bCs/>
          <w:noProof/>
          <w:sz w:val="18"/>
        </w:rPr>
        <w:t>21</w:t>
      </w:r>
      <w:r w:rsidRPr="00EB27D4">
        <w:rPr>
          <w:rFonts w:ascii="Times New Roman" w:hAnsi="Times New Roman"/>
          <w:noProof/>
          <w:sz w:val="18"/>
        </w:rPr>
        <w:t>, 951–960.</w:t>
      </w:r>
    </w:p>
    <w:p w14:paraId="5D559B41"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Symmons,M.F. </w:t>
      </w:r>
      <w:r w:rsidRPr="00EB27D4">
        <w:rPr>
          <w:rFonts w:ascii="Times New Roman" w:hAnsi="Times New Roman"/>
          <w:i/>
          <w:iCs/>
          <w:noProof/>
          <w:sz w:val="18"/>
        </w:rPr>
        <w:t>et al.</w:t>
      </w:r>
      <w:r w:rsidRPr="00EB27D4">
        <w:rPr>
          <w:rFonts w:ascii="Times New Roman" w:hAnsi="Times New Roman"/>
          <w:noProof/>
          <w:sz w:val="18"/>
        </w:rPr>
        <w:t xml:space="preserve"> (2000) A duplicated fold is the structural basis for polynucleotide phosphorylase catalytic activity, processivity, and regulation. </w:t>
      </w:r>
      <w:r w:rsidRPr="00EB27D4">
        <w:rPr>
          <w:rFonts w:ascii="Times New Roman" w:hAnsi="Times New Roman"/>
          <w:i/>
          <w:iCs/>
          <w:noProof/>
          <w:sz w:val="18"/>
        </w:rPr>
        <w:t>Structure</w:t>
      </w:r>
      <w:r w:rsidRPr="00EB27D4">
        <w:rPr>
          <w:rFonts w:ascii="Times New Roman" w:hAnsi="Times New Roman"/>
          <w:noProof/>
          <w:sz w:val="18"/>
        </w:rPr>
        <w:t xml:space="preserve">, </w:t>
      </w:r>
      <w:r w:rsidRPr="00EB27D4">
        <w:rPr>
          <w:rFonts w:ascii="Times New Roman" w:hAnsi="Times New Roman"/>
          <w:b/>
          <w:bCs/>
          <w:noProof/>
          <w:sz w:val="18"/>
        </w:rPr>
        <w:t>8</w:t>
      </w:r>
      <w:r w:rsidRPr="00EB27D4">
        <w:rPr>
          <w:rFonts w:ascii="Times New Roman" w:hAnsi="Times New Roman"/>
          <w:noProof/>
          <w:sz w:val="18"/>
        </w:rPr>
        <w:t>, 1215–26.</w:t>
      </w:r>
    </w:p>
    <w:p w14:paraId="3831FE21"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Tu,C. </w:t>
      </w:r>
      <w:r w:rsidRPr="00EB27D4">
        <w:rPr>
          <w:rFonts w:ascii="Times New Roman" w:hAnsi="Times New Roman"/>
          <w:i/>
          <w:iCs/>
          <w:noProof/>
          <w:sz w:val="18"/>
        </w:rPr>
        <w:t>et al.</w:t>
      </w:r>
      <w:r w:rsidRPr="00EB27D4">
        <w:rPr>
          <w:rFonts w:ascii="Times New Roman" w:hAnsi="Times New Roman"/>
          <w:noProof/>
          <w:sz w:val="18"/>
        </w:rPr>
        <w:t xml:space="preserve"> (2009) Structure of ERA in complex with the 3’ end of 16S rRNA: implications for ribosome biogenesis. </w:t>
      </w:r>
      <w:r w:rsidRPr="00EB27D4">
        <w:rPr>
          <w:rFonts w:ascii="Times New Roman" w:hAnsi="Times New Roman"/>
          <w:i/>
          <w:iCs/>
          <w:noProof/>
          <w:sz w:val="18"/>
        </w:rPr>
        <w:t>Proc. Natl. Acad. Sci. U. S. A.</w:t>
      </w:r>
      <w:r w:rsidRPr="00EB27D4">
        <w:rPr>
          <w:rFonts w:ascii="Times New Roman" w:hAnsi="Times New Roman"/>
          <w:noProof/>
          <w:sz w:val="18"/>
        </w:rPr>
        <w:t xml:space="preserve">, </w:t>
      </w:r>
      <w:r w:rsidRPr="00EB27D4">
        <w:rPr>
          <w:rFonts w:ascii="Times New Roman" w:hAnsi="Times New Roman"/>
          <w:b/>
          <w:bCs/>
          <w:noProof/>
          <w:sz w:val="18"/>
        </w:rPr>
        <w:t>106</w:t>
      </w:r>
      <w:r w:rsidRPr="00EB27D4">
        <w:rPr>
          <w:rFonts w:ascii="Times New Roman" w:hAnsi="Times New Roman"/>
          <w:noProof/>
          <w:sz w:val="18"/>
        </w:rPr>
        <w:t>, 14843–8.</w:t>
      </w:r>
    </w:p>
    <w:p w14:paraId="70EF18F1"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Vanrobays,E. </w:t>
      </w:r>
      <w:r w:rsidRPr="00EB27D4">
        <w:rPr>
          <w:rFonts w:ascii="Times New Roman" w:hAnsi="Times New Roman"/>
          <w:i/>
          <w:iCs/>
          <w:noProof/>
          <w:sz w:val="18"/>
        </w:rPr>
        <w:t>et al.</w:t>
      </w:r>
      <w:r w:rsidRPr="00EB27D4">
        <w:rPr>
          <w:rFonts w:ascii="Times New Roman" w:hAnsi="Times New Roman"/>
          <w:noProof/>
          <w:sz w:val="18"/>
        </w:rPr>
        <w:t xml:space="preserve"> (2004) Dim2p, a KH-domain protein required for small ribosomal subunit synthesis. </w:t>
      </w:r>
      <w:r w:rsidRPr="00EB27D4">
        <w:rPr>
          <w:rFonts w:ascii="Times New Roman" w:hAnsi="Times New Roman"/>
          <w:i/>
          <w:iCs/>
          <w:noProof/>
          <w:sz w:val="18"/>
        </w:rPr>
        <w:t>RNA</w:t>
      </w:r>
      <w:r w:rsidRPr="00EB27D4">
        <w:rPr>
          <w:rFonts w:ascii="Times New Roman" w:hAnsi="Times New Roman"/>
          <w:noProof/>
          <w:sz w:val="18"/>
        </w:rPr>
        <w:t xml:space="preserve">, </w:t>
      </w:r>
      <w:r w:rsidRPr="00EB27D4">
        <w:rPr>
          <w:rFonts w:ascii="Times New Roman" w:hAnsi="Times New Roman"/>
          <w:b/>
          <w:bCs/>
          <w:noProof/>
          <w:sz w:val="18"/>
        </w:rPr>
        <w:t>10</w:t>
      </w:r>
      <w:r w:rsidRPr="00EB27D4">
        <w:rPr>
          <w:rFonts w:ascii="Times New Roman" w:hAnsi="Times New Roman"/>
          <w:noProof/>
          <w:sz w:val="18"/>
        </w:rPr>
        <w:t>, 645–56.</w:t>
      </w:r>
    </w:p>
    <w:p w14:paraId="1F9CD767"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Wang,S. </w:t>
      </w:r>
      <w:r w:rsidRPr="00EB27D4">
        <w:rPr>
          <w:rFonts w:ascii="Times New Roman" w:hAnsi="Times New Roman"/>
          <w:i/>
          <w:iCs/>
          <w:noProof/>
          <w:sz w:val="18"/>
        </w:rPr>
        <w:t>et al.</w:t>
      </w:r>
      <w:r w:rsidRPr="00EB27D4">
        <w:rPr>
          <w:rFonts w:ascii="Times New Roman" w:hAnsi="Times New Roman"/>
          <w:noProof/>
          <w:sz w:val="18"/>
        </w:rPr>
        <w:t xml:space="preserve"> (2017) Accurate De Novo Prediction of Protein Contact Map by Ultra-Deep Learning Model. </w:t>
      </w:r>
      <w:r w:rsidRPr="00EB27D4">
        <w:rPr>
          <w:rFonts w:ascii="Times New Roman" w:hAnsi="Times New Roman"/>
          <w:i/>
          <w:iCs/>
          <w:noProof/>
          <w:sz w:val="18"/>
        </w:rPr>
        <w:t>PLOS Comput. Biol.</w:t>
      </w:r>
      <w:r w:rsidRPr="00EB27D4">
        <w:rPr>
          <w:rFonts w:ascii="Times New Roman" w:hAnsi="Times New Roman"/>
          <w:noProof/>
          <w:sz w:val="18"/>
        </w:rPr>
        <w:t xml:space="preserve">, </w:t>
      </w:r>
      <w:r w:rsidRPr="00EB27D4">
        <w:rPr>
          <w:rFonts w:ascii="Times New Roman" w:hAnsi="Times New Roman"/>
          <w:b/>
          <w:bCs/>
          <w:noProof/>
          <w:sz w:val="18"/>
        </w:rPr>
        <w:t>13</w:t>
      </w:r>
      <w:r w:rsidRPr="00EB27D4">
        <w:rPr>
          <w:rFonts w:ascii="Times New Roman" w:hAnsi="Times New Roman"/>
          <w:noProof/>
          <w:sz w:val="18"/>
        </w:rPr>
        <w:t>, e1005324.</w:t>
      </w:r>
    </w:p>
    <w:p w14:paraId="5F005C03"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Waterhouse,A.M. </w:t>
      </w:r>
      <w:r w:rsidRPr="00EB27D4">
        <w:rPr>
          <w:rFonts w:ascii="Times New Roman" w:hAnsi="Times New Roman"/>
          <w:i/>
          <w:iCs/>
          <w:noProof/>
          <w:sz w:val="18"/>
        </w:rPr>
        <w:t>et al.</w:t>
      </w:r>
      <w:r w:rsidRPr="00EB27D4">
        <w:rPr>
          <w:rFonts w:ascii="Times New Roman" w:hAnsi="Times New Roman"/>
          <w:noProof/>
          <w:sz w:val="18"/>
        </w:rPr>
        <w:t xml:space="preserve"> (2009) Jalview Version 2--a multiple sequence alignment editor and analysis workbench. </w:t>
      </w:r>
      <w:r w:rsidRPr="00EB27D4">
        <w:rPr>
          <w:rFonts w:ascii="Times New Roman" w:hAnsi="Times New Roman"/>
          <w:i/>
          <w:iCs/>
          <w:noProof/>
          <w:sz w:val="18"/>
        </w:rPr>
        <w:t>Bioinformatics</w:t>
      </w:r>
      <w:r w:rsidRPr="00EB27D4">
        <w:rPr>
          <w:rFonts w:ascii="Times New Roman" w:hAnsi="Times New Roman"/>
          <w:noProof/>
          <w:sz w:val="18"/>
        </w:rPr>
        <w:t xml:space="preserve">, </w:t>
      </w:r>
      <w:r w:rsidRPr="00EB27D4">
        <w:rPr>
          <w:rFonts w:ascii="Times New Roman" w:hAnsi="Times New Roman"/>
          <w:b/>
          <w:bCs/>
          <w:noProof/>
          <w:sz w:val="18"/>
        </w:rPr>
        <w:t>25</w:t>
      </w:r>
      <w:r w:rsidRPr="00EB27D4">
        <w:rPr>
          <w:rFonts w:ascii="Times New Roman" w:hAnsi="Times New Roman"/>
          <w:noProof/>
          <w:sz w:val="18"/>
        </w:rPr>
        <w:t>, 1189–1191.</w:t>
      </w:r>
    </w:p>
    <w:p w14:paraId="2BD6D7E0"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Zhai,B. </w:t>
      </w:r>
      <w:r w:rsidRPr="00EB27D4">
        <w:rPr>
          <w:rFonts w:ascii="Times New Roman" w:hAnsi="Times New Roman"/>
          <w:i/>
          <w:iCs/>
          <w:noProof/>
          <w:sz w:val="18"/>
        </w:rPr>
        <w:t>et al.</w:t>
      </w:r>
      <w:r w:rsidRPr="00EB27D4">
        <w:rPr>
          <w:rFonts w:ascii="Times New Roman" w:hAnsi="Times New Roman"/>
          <w:noProof/>
          <w:sz w:val="18"/>
        </w:rPr>
        <w:t xml:space="preserve"> (2017) Structure and Function of a Novel ATPase that Interacts with Holliday Junction Resolvase Hjc and Promotes Branch Migration. </w:t>
      </w:r>
      <w:r w:rsidRPr="00EB27D4">
        <w:rPr>
          <w:rFonts w:ascii="Times New Roman" w:hAnsi="Times New Roman"/>
          <w:i/>
          <w:iCs/>
          <w:noProof/>
          <w:sz w:val="18"/>
        </w:rPr>
        <w:t>J. Mol. Biol.</w:t>
      </w:r>
      <w:r w:rsidRPr="00EB27D4">
        <w:rPr>
          <w:rFonts w:ascii="Times New Roman" w:hAnsi="Times New Roman"/>
          <w:noProof/>
          <w:sz w:val="18"/>
        </w:rPr>
        <w:t xml:space="preserve">, </w:t>
      </w:r>
      <w:r w:rsidRPr="00EB27D4">
        <w:rPr>
          <w:rFonts w:ascii="Times New Roman" w:hAnsi="Times New Roman"/>
          <w:b/>
          <w:bCs/>
          <w:noProof/>
          <w:sz w:val="18"/>
        </w:rPr>
        <w:t>429</w:t>
      </w:r>
      <w:r w:rsidRPr="00EB27D4">
        <w:rPr>
          <w:rFonts w:ascii="Times New Roman" w:hAnsi="Times New Roman"/>
          <w:noProof/>
          <w:sz w:val="18"/>
        </w:rPr>
        <w:t>, 1009–1029.</w:t>
      </w:r>
    </w:p>
    <w:p w14:paraId="6C247EB8"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Zhang,Y. and Skolnick,J. (2005) TM-align: a protein structure alignment algorithm based on the TM-score. </w:t>
      </w:r>
      <w:r w:rsidRPr="00EB27D4">
        <w:rPr>
          <w:rFonts w:ascii="Times New Roman" w:hAnsi="Times New Roman"/>
          <w:i/>
          <w:iCs/>
          <w:noProof/>
          <w:sz w:val="18"/>
        </w:rPr>
        <w:t>Nucleic Acids Res.</w:t>
      </w:r>
      <w:r w:rsidRPr="00EB27D4">
        <w:rPr>
          <w:rFonts w:ascii="Times New Roman" w:hAnsi="Times New Roman"/>
          <w:noProof/>
          <w:sz w:val="18"/>
        </w:rPr>
        <w:t xml:space="preserve">, </w:t>
      </w:r>
      <w:r w:rsidRPr="00EB27D4">
        <w:rPr>
          <w:rFonts w:ascii="Times New Roman" w:hAnsi="Times New Roman"/>
          <w:b/>
          <w:bCs/>
          <w:noProof/>
          <w:sz w:val="18"/>
        </w:rPr>
        <w:t>33</w:t>
      </w:r>
      <w:r w:rsidRPr="00EB27D4">
        <w:rPr>
          <w:rFonts w:ascii="Times New Roman" w:hAnsi="Times New Roman"/>
          <w:noProof/>
          <w:sz w:val="18"/>
        </w:rPr>
        <w:t>, 2302–2309.</w:t>
      </w:r>
    </w:p>
    <w:p w14:paraId="4F1E4A96" w14:textId="77777777" w:rsidR="00EB27D4" w:rsidRPr="00EB27D4" w:rsidRDefault="00EB27D4" w:rsidP="00EB27D4">
      <w:pPr>
        <w:widowControl w:val="0"/>
        <w:autoSpaceDE w:val="0"/>
        <w:autoSpaceDN w:val="0"/>
        <w:adjustRightInd w:val="0"/>
        <w:ind w:left="480" w:hanging="480"/>
        <w:rPr>
          <w:rFonts w:ascii="Times New Roman" w:hAnsi="Times New Roman"/>
          <w:noProof/>
          <w:sz w:val="18"/>
        </w:rPr>
      </w:pPr>
      <w:r w:rsidRPr="00EB27D4">
        <w:rPr>
          <w:rFonts w:ascii="Times New Roman" w:hAnsi="Times New Roman"/>
          <w:noProof/>
          <w:sz w:val="18"/>
        </w:rPr>
        <w:t xml:space="preserve">Zimmermann,L. </w:t>
      </w:r>
      <w:r w:rsidRPr="00EB27D4">
        <w:rPr>
          <w:rFonts w:ascii="Times New Roman" w:hAnsi="Times New Roman"/>
          <w:i/>
          <w:iCs/>
          <w:noProof/>
          <w:sz w:val="18"/>
        </w:rPr>
        <w:t>et al.</w:t>
      </w:r>
      <w:r w:rsidRPr="00EB27D4">
        <w:rPr>
          <w:rFonts w:ascii="Times New Roman" w:hAnsi="Times New Roman"/>
          <w:noProof/>
          <w:sz w:val="18"/>
        </w:rPr>
        <w:t xml:space="preserve"> (2018) A completely reimplemented MPI Bioinformatics Toolkit with a new HHpred server at its core. </w:t>
      </w:r>
      <w:r w:rsidRPr="00EB27D4">
        <w:rPr>
          <w:rFonts w:ascii="Times New Roman" w:hAnsi="Times New Roman"/>
          <w:i/>
          <w:iCs/>
          <w:noProof/>
          <w:sz w:val="18"/>
        </w:rPr>
        <w:t>J. Mol. Biol.</w:t>
      </w:r>
    </w:p>
    <w:p w14:paraId="0BCDC87F" w14:textId="3A6972D2" w:rsidR="00265370" w:rsidRPr="00D00A89" w:rsidRDefault="00901598" w:rsidP="00EB27D4">
      <w:pPr>
        <w:widowControl w:val="0"/>
        <w:autoSpaceDE w:val="0"/>
        <w:autoSpaceDN w:val="0"/>
        <w:adjustRightInd w:val="0"/>
        <w:ind w:left="480" w:hanging="480"/>
        <w:rPr>
          <w:b/>
          <w:bCs/>
        </w:rPr>
      </w:pPr>
      <w:r w:rsidRPr="00DB70A9">
        <w:rPr>
          <w:b/>
          <w:bCs/>
          <w:sz w:val="18"/>
          <w:szCs w:val="18"/>
        </w:rPr>
        <w:fldChar w:fldCharType="end"/>
      </w:r>
    </w:p>
    <w:p w14:paraId="7614972D" w14:textId="77777777" w:rsidR="00265370" w:rsidRPr="00D00A89" w:rsidRDefault="00265370" w:rsidP="00D00A89">
      <w:pPr>
        <w:pStyle w:val="IUCrbodytext"/>
        <w:jc w:val="both"/>
        <w:rPr>
          <w:b/>
          <w:bCs/>
        </w:rPr>
      </w:pPr>
    </w:p>
    <w:p w14:paraId="4B4D6154" w14:textId="77777777" w:rsidR="00D00A89" w:rsidRPr="00D00A89" w:rsidRDefault="00D00A89" w:rsidP="00D00A89">
      <w:pPr>
        <w:pStyle w:val="IUCrbodytext"/>
        <w:jc w:val="both"/>
        <w:rPr>
          <w:b/>
          <w:bCs/>
        </w:rPr>
      </w:pPr>
    </w:p>
    <w:sectPr w:rsidR="00D00A89" w:rsidRPr="00D00A89" w:rsidSect="00667A2C">
      <w:pgSz w:w="11900" w:h="16840"/>
      <w:pgMar w:top="1440" w:right="1800" w:bottom="1276"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Arial Bold">
    <w:altName w:val="Arial"/>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 w:name="Lucida Grande">
    <w:panose1 w:val="020B0600040502020204"/>
    <w:charset w:val="00"/>
    <w:family w:val="auto"/>
    <w:pitch w:val="variable"/>
    <w:sig w:usb0="E1000AEF" w:usb1="5000A1FF" w:usb2="00000000" w:usb3="00000000" w:csb0="000001B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DD598B"/>
    <w:multiLevelType w:val="singleLevel"/>
    <w:tmpl w:val="BFE06586"/>
    <w:lvl w:ilvl="0">
      <w:start w:val="1"/>
      <w:numFmt w:val="decimal"/>
      <w:pStyle w:val="figurelegendthesis"/>
      <w:lvlText w:val="Figure %1"/>
      <w:lvlJc w:val="left"/>
      <w:pPr>
        <w:tabs>
          <w:tab w:val="num" w:pos="1440"/>
        </w:tabs>
      </w:pPr>
      <w:rPr>
        <w:rFonts w:ascii="Arial" w:hAnsi="Arial" w:cs="Symbol" w:hint="default"/>
        <w:b/>
        <w:i w:val="0"/>
        <w:sz w:val="22"/>
        <w:szCs w:val="22"/>
      </w:rPr>
    </w:lvl>
  </w:abstractNum>
  <w:abstractNum w:abstractNumId="1">
    <w:nsid w:val="1BDE3EF3"/>
    <w:multiLevelType w:val="hybridMultilevel"/>
    <w:tmpl w:val="8E8040A4"/>
    <w:lvl w:ilvl="0" w:tplc="41B2AA50">
      <w:start w:val="1"/>
      <w:numFmt w:val="decimal"/>
      <w:pStyle w:val="table"/>
      <w:lvlText w:val="Table %1."/>
      <w:lvlJc w:val="left"/>
      <w:pPr>
        <w:ind w:left="0" w:firstLine="0"/>
      </w:pPr>
      <w:rPr>
        <w:rFonts w:ascii="Arial" w:hAnsi="Arial" w:hint="default"/>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C6B08F4"/>
    <w:multiLevelType w:val="hybridMultilevel"/>
    <w:tmpl w:val="673493FC"/>
    <w:lvl w:ilvl="0" w:tplc="C752426C">
      <w:start w:val="1"/>
      <w:numFmt w:val="decimal"/>
      <w:pStyle w:val="Style11"/>
      <w:lvlText w:val="Table A.%1"/>
      <w:lvlJc w:val="left"/>
      <w:pPr>
        <w:ind w:left="0" w:firstLine="0"/>
      </w:pPr>
      <w:rPr>
        <w:rFonts w:ascii="Arial Bold" w:hAnsi="Arial Bold" w:hint="default"/>
        <w:b/>
        <w:bCs/>
        <w:i w:val="0"/>
        <w:i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18C24DA"/>
    <w:multiLevelType w:val="multilevel"/>
    <w:tmpl w:val="42C023E2"/>
    <w:lvl w:ilvl="0">
      <w:start w:val="1"/>
      <w:numFmt w:val="upperLetter"/>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nsid w:val="620D5250"/>
    <w:multiLevelType w:val="hybridMultilevel"/>
    <w:tmpl w:val="73A03C8A"/>
    <w:lvl w:ilvl="0" w:tplc="070E1DA4">
      <w:start w:val="1"/>
      <w:numFmt w:val="decimal"/>
      <w:pStyle w:val="Style10"/>
      <w:lvlText w:val="Table B.%1"/>
      <w:lvlJc w:val="left"/>
      <w:pPr>
        <w:tabs>
          <w:tab w:val="num" w:pos="0"/>
        </w:tabs>
        <w:ind w:left="0" w:firstLine="0"/>
      </w:pPr>
      <w:rPr>
        <w:rFonts w:ascii="Arial Bold" w:hAnsi="Arial Bold" w:hint="default"/>
        <w:b w:val="0"/>
        <w:bCs w:val="0"/>
        <w:i w:val="0"/>
        <w:iCs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4B3704D"/>
    <w:multiLevelType w:val="singleLevel"/>
    <w:tmpl w:val="37484C32"/>
    <w:lvl w:ilvl="0">
      <w:start w:val="1"/>
      <w:numFmt w:val="decimal"/>
      <w:pStyle w:val="Style7"/>
      <w:lvlText w:val="Table A.%1"/>
      <w:lvlJc w:val="left"/>
      <w:pPr>
        <w:tabs>
          <w:tab w:val="num" w:pos="1440"/>
        </w:tabs>
        <w:ind w:left="0" w:firstLine="0"/>
      </w:pPr>
      <w:rPr>
        <w:rFonts w:ascii="Times New Roman" w:hAnsi="Times New Roman" w:cs="Times New Roman" w:hint="default"/>
        <w:b/>
        <w:bCs/>
        <w:i w:val="0"/>
        <w:iCs w:val="0"/>
        <w:sz w:val="24"/>
        <w:szCs w:val="24"/>
      </w:rPr>
    </w:lvl>
  </w:abstractNum>
  <w:abstractNum w:abstractNumId="6">
    <w:nsid w:val="75FC184F"/>
    <w:multiLevelType w:val="multilevel"/>
    <w:tmpl w:val="6CB0183A"/>
    <w:lvl w:ilvl="0">
      <w:start w:val="1"/>
      <w:numFmt w:val="decimal"/>
      <w:pStyle w:val="Style3"/>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Style4"/>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6"/>
  </w:num>
  <w:num w:numId="2">
    <w:abstractNumId w:val="6"/>
  </w:num>
  <w:num w:numId="3">
    <w:abstractNumId w:val="6"/>
  </w:num>
  <w:num w:numId="4">
    <w:abstractNumId w:val="6"/>
  </w:num>
  <w:num w:numId="5">
    <w:abstractNumId w:val="6"/>
  </w:num>
  <w:num w:numId="6">
    <w:abstractNumId w:val="3"/>
  </w:num>
  <w:num w:numId="7">
    <w:abstractNumId w:val="5"/>
  </w:num>
  <w:num w:numId="8">
    <w:abstractNumId w:val="0"/>
  </w:num>
  <w:num w:numId="9">
    <w:abstractNumId w:val="1"/>
  </w:num>
  <w:num w:numId="10">
    <w:abstractNumId w:val="5"/>
  </w:num>
  <w:num w:numId="11">
    <w:abstractNumId w:val="4"/>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trackRevisions/>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DE1"/>
    <w:rsid w:val="00001B4B"/>
    <w:rsid w:val="0003720D"/>
    <w:rsid w:val="00055599"/>
    <w:rsid w:val="0008147A"/>
    <w:rsid w:val="000C4414"/>
    <w:rsid w:val="000F2EA7"/>
    <w:rsid w:val="000F7313"/>
    <w:rsid w:val="001217EF"/>
    <w:rsid w:val="00154625"/>
    <w:rsid w:val="00161031"/>
    <w:rsid w:val="00170B46"/>
    <w:rsid w:val="001745C1"/>
    <w:rsid w:val="002420A3"/>
    <w:rsid w:val="00256739"/>
    <w:rsid w:val="0025729A"/>
    <w:rsid w:val="00265370"/>
    <w:rsid w:val="002936C0"/>
    <w:rsid w:val="002A205A"/>
    <w:rsid w:val="002E70AB"/>
    <w:rsid w:val="00300329"/>
    <w:rsid w:val="00334AD6"/>
    <w:rsid w:val="003A03FD"/>
    <w:rsid w:val="003A7B19"/>
    <w:rsid w:val="003D433C"/>
    <w:rsid w:val="003D4DE1"/>
    <w:rsid w:val="004050D3"/>
    <w:rsid w:val="00430BB1"/>
    <w:rsid w:val="00450F50"/>
    <w:rsid w:val="004772E9"/>
    <w:rsid w:val="00483A82"/>
    <w:rsid w:val="00485A59"/>
    <w:rsid w:val="00532CDA"/>
    <w:rsid w:val="00546BB9"/>
    <w:rsid w:val="00551D8F"/>
    <w:rsid w:val="00561693"/>
    <w:rsid w:val="005733B5"/>
    <w:rsid w:val="005A2837"/>
    <w:rsid w:val="005B33EB"/>
    <w:rsid w:val="005F1CA4"/>
    <w:rsid w:val="00645099"/>
    <w:rsid w:val="00654EFA"/>
    <w:rsid w:val="00667A2C"/>
    <w:rsid w:val="006758EF"/>
    <w:rsid w:val="00675D06"/>
    <w:rsid w:val="006934C7"/>
    <w:rsid w:val="006C6D09"/>
    <w:rsid w:val="006D1658"/>
    <w:rsid w:val="006F3606"/>
    <w:rsid w:val="00747826"/>
    <w:rsid w:val="00783284"/>
    <w:rsid w:val="007B4A91"/>
    <w:rsid w:val="007E5945"/>
    <w:rsid w:val="00802E1F"/>
    <w:rsid w:val="00847EAD"/>
    <w:rsid w:val="00871997"/>
    <w:rsid w:val="00883B43"/>
    <w:rsid w:val="008C7330"/>
    <w:rsid w:val="00901598"/>
    <w:rsid w:val="00913988"/>
    <w:rsid w:val="009571C8"/>
    <w:rsid w:val="00984F6D"/>
    <w:rsid w:val="009A0152"/>
    <w:rsid w:val="009E365B"/>
    <w:rsid w:val="009F4787"/>
    <w:rsid w:val="00A17EF2"/>
    <w:rsid w:val="00A62FB4"/>
    <w:rsid w:val="00A71149"/>
    <w:rsid w:val="00A75849"/>
    <w:rsid w:val="00A97736"/>
    <w:rsid w:val="00AF47B6"/>
    <w:rsid w:val="00AF658A"/>
    <w:rsid w:val="00B03C7B"/>
    <w:rsid w:val="00B07206"/>
    <w:rsid w:val="00B14600"/>
    <w:rsid w:val="00BC35D3"/>
    <w:rsid w:val="00BE7DD0"/>
    <w:rsid w:val="00BF3548"/>
    <w:rsid w:val="00BF5069"/>
    <w:rsid w:val="00BF5424"/>
    <w:rsid w:val="00C617F6"/>
    <w:rsid w:val="00C77C15"/>
    <w:rsid w:val="00C827B7"/>
    <w:rsid w:val="00D00A89"/>
    <w:rsid w:val="00D0131D"/>
    <w:rsid w:val="00D07AAB"/>
    <w:rsid w:val="00D2059C"/>
    <w:rsid w:val="00D42D47"/>
    <w:rsid w:val="00D624D0"/>
    <w:rsid w:val="00D84878"/>
    <w:rsid w:val="00DA061D"/>
    <w:rsid w:val="00DB70A9"/>
    <w:rsid w:val="00DD2F47"/>
    <w:rsid w:val="00DD6FD3"/>
    <w:rsid w:val="00E51C1C"/>
    <w:rsid w:val="00EB27D4"/>
    <w:rsid w:val="00EC2EE1"/>
    <w:rsid w:val="00EE24D3"/>
    <w:rsid w:val="00EE35EC"/>
    <w:rsid w:val="00F06A16"/>
    <w:rsid w:val="00F60A2E"/>
    <w:rsid w:val="00F76F2B"/>
    <w:rsid w:val="00F77B5B"/>
    <w:rsid w:val="00F978B7"/>
    <w:rsid w:val="00FA1DCE"/>
    <w:rsid w:val="00FB46DF"/>
    <w:rsid w:val="00FC2383"/>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70506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aliases w:val="appendix"/>
    <w:basedOn w:val="Normal"/>
    <w:next w:val="Normal"/>
    <w:link w:val="Heading1Char"/>
    <w:uiPriority w:val="9"/>
    <w:qFormat/>
    <w:rsid w:val="00F77B5B"/>
    <w:pPr>
      <w:keepNext/>
      <w:keepLines/>
      <w:spacing w:before="480" w:line="360" w:lineRule="auto"/>
      <w:outlineLvl w:val="0"/>
    </w:pPr>
    <w:rPr>
      <w:rFonts w:asciiTheme="majorHAnsi" w:eastAsiaTheme="majorEastAsia" w:hAnsiTheme="majorHAnsi" w:cstheme="majorBidi"/>
      <w:b/>
      <w:bCs/>
      <w:color w:val="345A8A" w:themeColor="accent1" w:themeShade="B5"/>
      <w:sz w:val="32"/>
      <w:szCs w:val="3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1">
    <w:name w:val="Body Text1"/>
    <w:basedOn w:val="Normal"/>
    <w:uiPriority w:val="3"/>
    <w:qFormat/>
    <w:rsid w:val="00984F6D"/>
    <w:pPr>
      <w:tabs>
        <w:tab w:val="left" w:pos="993"/>
      </w:tabs>
      <w:overflowPunct w:val="0"/>
      <w:autoSpaceDE w:val="0"/>
      <w:autoSpaceDN w:val="0"/>
      <w:adjustRightInd w:val="0"/>
      <w:spacing w:before="240" w:after="120" w:line="360" w:lineRule="auto"/>
      <w:ind w:firstLine="426"/>
      <w:jc w:val="both"/>
      <w:textAlignment w:val="baseline"/>
    </w:pPr>
    <w:rPr>
      <w:rFonts w:ascii="Times New Roman" w:hAnsi="Times New Roman" w:cs="Times New Roman"/>
    </w:rPr>
  </w:style>
  <w:style w:type="paragraph" w:customStyle="1" w:styleId="initialsuheading">
    <w:name w:val="initial_suheading"/>
    <w:basedOn w:val="BodyText1"/>
    <w:autoRedefine/>
    <w:uiPriority w:val="3"/>
    <w:qFormat/>
    <w:rsid w:val="00984F6D"/>
    <w:rPr>
      <w:b/>
      <w:sz w:val="30"/>
      <w:szCs w:val="30"/>
    </w:rPr>
  </w:style>
  <w:style w:type="paragraph" w:customStyle="1" w:styleId="equations">
    <w:name w:val="equations"/>
    <w:basedOn w:val="Normal"/>
    <w:uiPriority w:val="3"/>
    <w:qFormat/>
    <w:rsid w:val="00984F6D"/>
    <w:pPr>
      <w:jc w:val="center"/>
    </w:pPr>
    <w:rPr>
      <w:rFonts w:ascii="Cambria Math" w:eastAsia="Times New Roman" w:hAnsi="Cambria Math" w:cs="Times New Roman"/>
      <w:i/>
      <w:sz w:val="22"/>
      <w:szCs w:val="22"/>
      <w:lang w:val="en-GB" w:eastAsia="en-GB"/>
    </w:rPr>
  </w:style>
  <w:style w:type="paragraph" w:customStyle="1" w:styleId="Style1">
    <w:name w:val="Style1"/>
    <w:basedOn w:val="Normal"/>
    <w:uiPriority w:val="3"/>
    <w:qFormat/>
    <w:rsid w:val="00747826"/>
    <w:pPr>
      <w:overflowPunct w:val="0"/>
      <w:autoSpaceDE w:val="0"/>
      <w:autoSpaceDN w:val="0"/>
      <w:adjustRightInd w:val="0"/>
      <w:spacing w:before="240" w:after="120" w:line="360" w:lineRule="auto"/>
      <w:textAlignment w:val="baseline"/>
    </w:pPr>
    <w:rPr>
      <w:rFonts w:ascii="Arial" w:eastAsia="Times New Roman" w:hAnsi="Arial" w:cs="Times New Roman"/>
      <w:b/>
      <w:color w:val="0D6666"/>
      <w:sz w:val="40"/>
      <w:szCs w:val="40"/>
      <w:lang w:val="en-GB"/>
    </w:rPr>
  </w:style>
  <w:style w:type="paragraph" w:customStyle="1" w:styleId="Style2">
    <w:name w:val="Style2"/>
    <w:basedOn w:val="Normal"/>
    <w:uiPriority w:val="3"/>
    <w:qFormat/>
    <w:rsid w:val="00747826"/>
    <w:pPr>
      <w:overflowPunct w:val="0"/>
      <w:autoSpaceDE w:val="0"/>
      <w:autoSpaceDN w:val="0"/>
      <w:adjustRightInd w:val="0"/>
      <w:spacing w:before="240" w:after="120" w:line="360" w:lineRule="auto"/>
      <w:textAlignment w:val="baseline"/>
    </w:pPr>
    <w:rPr>
      <w:rFonts w:ascii="Arial" w:eastAsia="Times New Roman" w:hAnsi="Arial" w:cs="Times New Roman"/>
      <w:b/>
      <w:i/>
      <w:color w:val="A6A6A6" w:themeColor="background1" w:themeShade="A6"/>
      <w:sz w:val="30"/>
      <w:szCs w:val="30"/>
      <w:lang w:val="en-GB"/>
    </w:rPr>
  </w:style>
  <w:style w:type="paragraph" w:customStyle="1" w:styleId="Chapter">
    <w:name w:val="Chapter"/>
    <w:basedOn w:val="Normal"/>
    <w:uiPriority w:val="3"/>
    <w:qFormat/>
    <w:rsid w:val="00BC35D3"/>
    <w:pPr>
      <w:overflowPunct w:val="0"/>
      <w:autoSpaceDE w:val="0"/>
      <w:autoSpaceDN w:val="0"/>
      <w:adjustRightInd w:val="0"/>
      <w:spacing w:before="240" w:after="120" w:line="360" w:lineRule="auto"/>
      <w:textAlignment w:val="baseline"/>
    </w:pPr>
    <w:rPr>
      <w:rFonts w:ascii="Arial" w:eastAsia="Times New Roman" w:hAnsi="Arial" w:cs="Times New Roman"/>
      <w:b/>
      <w:i/>
      <w:color w:val="A6A6A6" w:themeColor="background1" w:themeShade="A6"/>
      <w:sz w:val="44"/>
      <w:szCs w:val="44"/>
      <w:lang w:val="en-GB"/>
    </w:rPr>
  </w:style>
  <w:style w:type="paragraph" w:customStyle="1" w:styleId="Heading2">
    <w:name w:val="Heading_2"/>
    <w:basedOn w:val="Normal"/>
    <w:autoRedefine/>
    <w:uiPriority w:val="3"/>
    <w:qFormat/>
    <w:rsid w:val="00551D8F"/>
    <w:pPr>
      <w:numPr>
        <w:ilvl w:val="1"/>
        <w:numId w:val="5"/>
      </w:numPr>
      <w:tabs>
        <w:tab w:val="left" w:pos="993"/>
      </w:tabs>
      <w:overflowPunct w:val="0"/>
      <w:autoSpaceDE w:val="0"/>
      <w:autoSpaceDN w:val="0"/>
      <w:adjustRightInd w:val="0"/>
      <w:spacing w:before="240" w:after="120" w:line="360" w:lineRule="auto"/>
      <w:textAlignment w:val="baseline"/>
    </w:pPr>
    <w:rPr>
      <w:rFonts w:ascii="Arial" w:eastAsia="Times New Roman" w:hAnsi="Arial" w:cs="Times New Roman"/>
      <w:b/>
      <w:lang w:val="en-GB"/>
    </w:rPr>
  </w:style>
  <w:style w:type="paragraph" w:customStyle="1" w:styleId="Style3">
    <w:name w:val="Style3"/>
    <w:basedOn w:val="Heading2"/>
    <w:qFormat/>
    <w:rsid w:val="00551D8F"/>
    <w:pPr>
      <w:numPr>
        <w:ilvl w:val="0"/>
      </w:numPr>
    </w:pPr>
    <w:rPr>
      <w:sz w:val="28"/>
      <w:szCs w:val="28"/>
    </w:rPr>
  </w:style>
  <w:style w:type="paragraph" w:customStyle="1" w:styleId="Style4">
    <w:name w:val="Style4"/>
    <w:basedOn w:val="Heading2"/>
    <w:qFormat/>
    <w:rsid w:val="002E70AB"/>
    <w:pPr>
      <w:numPr>
        <w:ilvl w:val="2"/>
      </w:numPr>
    </w:pPr>
  </w:style>
  <w:style w:type="paragraph" w:customStyle="1" w:styleId="Style5">
    <w:name w:val="Style5"/>
    <w:basedOn w:val="Heading2"/>
    <w:qFormat/>
    <w:rsid w:val="00551D8F"/>
    <w:pPr>
      <w:numPr>
        <w:ilvl w:val="0"/>
        <w:numId w:val="0"/>
      </w:numPr>
    </w:pPr>
    <w:rPr>
      <w:b w:val="0"/>
      <w:u w:val="single"/>
    </w:rPr>
  </w:style>
  <w:style w:type="paragraph" w:customStyle="1" w:styleId="Style6">
    <w:name w:val="Style6"/>
    <w:basedOn w:val="Style4"/>
    <w:qFormat/>
    <w:rsid w:val="00551D8F"/>
    <w:pPr>
      <w:numPr>
        <w:ilvl w:val="0"/>
        <w:numId w:val="0"/>
      </w:numPr>
    </w:pPr>
    <w:rPr>
      <w:b w:val="0"/>
      <w:u w:val="single"/>
    </w:rPr>
  </w:style>
  <w:style w:type="character" w:customStyle="1" w:styleId="Heading1Char">
    <w:name w:val="Heading 1 Char"/>
    <w:aliases w:val="appendix Char"/>
    <w:basedOn w:val="DefaultParagraphFont"/>
    <w:link w:val="Heading1"/>
    <w:uiPriority w:val="9"/>
    <w:rsid w:val="00F77B5B"/>
    <w:rPr>
      <w:rFonts w:asciiTheme="majorHAnsi" w:eastAsiaTheme="majorEastAsia" w:hAnsiTheme="majorHAnsi" w:cstheme="majorBidi"/>
      <w:b/>
      <w:bCs/>
      <w:color w:val="345A8A" w:themeColor="accent1" w:themeShade="B5"/>
      <w:sz w:val="32"/>
      <w:szCs w:val="32"/>
      <w:lang w:val="en-GB"/>
    </w:rPr>
  </w:style>
  <w:style w:type="paragraph" w:customStyle="1" w:styleId="Style7">
    <w:name w:val="Style7"/>
    <w:basedOn w:val="Normal"/>
    <w:uiPriority w:val="3"/>
    <w:qFormat/>
    <w:rsid w:val="005B33EB"/>
    <w:pPr>
      <w:numPr>
        <w:numId w:val="10"/>
      </w:numPr>
      <w:tabs>
        <w:tab w:val="left" w:pos="964"/>
      </w:tabs>
      <w:spacing w:before="240" w:after="120" w:line="360" w:lineRule="auto"/>
      <w:jc w:val="both"/>
    </w:pPr>
    <w:rPr>
      <w:rFonts w:ascii="Times New Roman" w:eastAsia="Times New Roman" w:hAnsi="Times New Roman" w:cs="Times New Roman"/>
      <w:sz w:val="22"/>
      <w:szCs w:val="22"/>
      <w:lang w:val="en-GB"/>
    </w:rPr>
  </w:style>
  <w:style w:type="paragraph" w:customStyle="1" w:styleId="figurelegendthesis">
    <w:name w:val="figure_legend_thesis"/>
    <w:basedOn w:val="Normal"/>
    <w:uiPriority w:val="3"/>
    <w:qFormat/>
    <w:rsid w:val="00A97736"/>
    <w:pPr>
      <w:numPr>
        <w:numId w:val="8"/>
      </w:numPr>
      <w:tabs>
        <w:tab w:val="left" w:pos="964"/>
      </w:tabs>
      <w:spacing w:before="120" w:after="120" w:line="360" w:lineRule="auto"/>
      <w:jc w:val="both"/>
    </w:pPr>
    <w:rPr>
      <w:rFonts w:ascii="Times New Roman" w:hAnsi="Times New Roman" w:cs="Times New Roman"/>
      <w:sz w:val="22"/>
      <w:szCs w:val="22"/>
      <w:lang w:val="en-GB"/>
    </w:rPr>
  </w:style>
  <w:style w:type="paragraph" w:customStyle="1" w:styleId="table">
    <w:name w:val="table"/>
    <w:basedOn w:val="Normal"/>
    <w:uiPriority w:val="3"/>
    <w:qFormat/>
    <w:rsid w:val="009E365B"/>
    <w:pPr>
      <w:numPr>
        <w:numId w:val="9"/>
      </w:numPr>
      <w:tabs>
        <w:tab w:val="left" w:pos="964"/>
      </w:tabs>
      <w:spacing w:before="240" w:after="120" w:line="360" w:lineRule="auto"/>
      <w:jc w:val="both"/>
    </w:pPr>
    <w:rPr>
      <w:rFonts w:ascii="Times New Roman" w:eastAsia="Times New Roman" w:hAnsi="Times New Roman" w:cs="Times New Roman"/>
      <w:sz w:val="22"/>
      <w:szCs w:val="20"/>
      <w:lang w:val="en-GB"/>
    </w:rPr>
  </w:style>
  <w:style w:type="paragraph" w:customStyle="1" w:styleId="Style8">
    <w:name w:val="Style8"/>
    <w:basedOn w:val="Style7"/>
    <w:uiPriority w:val="3"/>
    <w:qFormat/>
    <w:rsid w:val="005B33EB"/>
    <w:pPr>
      <w:numPr>
        <w:numId w:val="0"/>
      </w:numPr>
      <w:tabs>
        <w:tab w:val="clear" w:pos="964"/>
      </w:tabs>
      <w:spacing w:before="0" w:after="0"/>
    </w:pPr>
  </w:style>
  <w:style w:type="paragraph" w:customStyle="1" w:styleId="Style10">
    <w:name w:val="Style10"/>
    <w:basedOn w:val="Style7"/>
    <w:uiPriority w:val="3"/>
    <w:qFormat/>
    <w:rsid w:val="003A03FD"/>
    <w:pPr>
      <w:numPr>
        <w:numId w:val="11"/>
      </w:numPr>
      <w:tabs>
        <w:tab w:val="clear" w:pos="964"/>
      </w:tabs>
      <w:spacing w:before="0" w:after="0"/>
    </w:pPr>
    <w:rPr>
      <w:szCs w:val="24"/>
    </w:rPr>
  </w:style>
  <w:style w:type="paragraph" w:customStyle="1" w:styleId="Style11">
    <w:name w:val="Style11"/>
    <w:basedOn w:val="Style7"/>
    <w:uiPriority w:val="3"/>
    <w:qFormat/>
    <w:rsid w:val="001745C1"/>
    <w:pPr>
      <w:numPr>
        <w:numId w:val="12"/>
      </w:numPr>
      <w:tabs>
        <w:tab w:val="clear" w:pos="964"/>
      </w:tabs>
      <w:spacing w:before="0" w:after="0"/>
      <w:jc w:val="left"/>
    </w:pPr>
    <w:rPr>
      <w:szCs w:val="24"/>
    </w:rPr>
  </w:style>
  <w:style w:type="paragraph" w:customStyle="1" w:styleId="fig">
    <w:name w:val="fig"/>
    <w:basedOn w:val="Normal"/>
    <w:qFormat/>
    <w:rsid w:val="003D4DE1"/>
    <w:pPr>
      <w:spacing w:before="290" w:after="360" w:line="200" w:lineRule="exact"/>
      <w:jc w:val="both"/>
    </w:pPr>
    <w:rPr>
      <w:rFonts w:ascii="Times New Roman" w:eastAsia="Times New Roman" w:hAnsi="Times New Roman" w:cs="Times New Roman"/>
      <w:sz w:val="13"/>
      <w:szCs w:val="13"/>
    </w:rPr>
  </w:style>
  <w:style w:type="paragraph" w:customStyle="1" w:styleId="IUCrbodytext">
    <w:name w:val="IUCr body text"/>
    <w:basedOn w:val="BodyText"/>
    <w:link w:val="IUCrbodytextChar"/>
    <w:qFormat/>
    <w:rsid w:val="00D00A89"/>
    <w:pPr>
      <w:spacing w:line="360" w:lineRule="auto"/>
    </w:pPr>
    <w:rPr>
      <w:rFonts w:ascii="Times New Roman" w:eastAsia="Times New Roman" w:hAnsi="Times New Roman" w:cs="Times New Roman"/>
      <w:sz w:val="22"/>
      <w:lang w:val="en-GB" w:eastAsia="en-GB"/>
    </w:rPr>
  </w:style>
  <w:style w:type="paragraph" w:customStyle="1" w:styleId="IUCrfigurecaption">
    <w:name w:val="IUCr figure caption"/>
    <w:next w:val="IUCrbodytext"/>
    <w:uiPriority w:val="1"/>
    <w:qFormat/>
    <w:rsid w:val="00D00A89"/>
    <w:pPr>
      <w:tabs>
        <w:tab w:val="left" w:pos="964"/>
        <w:tab w:val="num" w:pos="1440"/>
      </w:tabs>
      <w:spacing w:before="120" w:after="120" w:line="360" w:lineRule="auto"/>
    </w:pPr>
    <w:rPr>
      <w:rFonts w:ascii="Times New Roman" w:eastAsia="Times New Roman" w:hAnsi="Times New Roman" w:cs="Times New Roman"/>
      <w:sz w:val="22"/>
      <w:szCs w:val="20"/>
      <w:lang w:val="en-GB"/>
    </w:rPr>
  </w:style>
  <w:style w:type="character" w:customStyle="1" w:styleId="IUCrbodytextChar">
    <w:name w:val="IUCr body text Char"/>
    <w:basedOn w:val="BodyTextChar"/>
    <w:link w:val="IUCrbodytext"/>
    <w:rsid w:val="00D00A89"/>
    <w:rPr>
      <w:rFonts w:ascii="Times New Roman" w:eastAsia="Times New Roman" w:hAnsi="Times New Roman" w:cs="Times New Roman"/>
      <w:sz w:val="22"/>
      <w:lang w:val="en-GB" w:eastAsia="en-GB"/>
    </w:rPr>
  </w:style>
  <w:style w:type="paragraph" w:styleId="BodyText">
    <w:name w:val="Body Text"/>
    <w:basedOn w:val="Normal"/>
    <w:link w:val="BodyTextChar"/>
    <w:uiPriority w:val="99"/>
    <w:semiHidden/>
    <w:unhideWhenUsed/>
    <w:rsid w:val="00D00A89"/>
    <w:pPr>
      <w:spacing w:after="120"/>
    </w:pPr>
  </w:style>
  <w:style w:type="character" w:customStyle="1" w:styleId="BodyTextChar">
    <w:name w:val="Body Text Char"/>
    <w:basedOn w:val="DefaultParagraphFont"/>
    <w:link w:val="BodyText"/>
    <w:uiPriority w:val="99"/>
    <w:semiHidden/>
    <w:rsid w:val="00D00A89"/>
  </w:style>
  <w:style w:type="paragraph" w:styleId="BalloonText">
    <w:name w:val="Balloon Text"/>
    <w:basedOn w:val="Normal"/>
    <w:link w:val="BalloonTextChar"/>
    <w:uiPriority w:val="99"/>
    <w:semiHidden/>
    <w:unhideWhenUsed/>
    <w:rsid w:val="00DD6F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D6FD3"/>
    <w:rPr>
      <w:rFonts w:ascii="Lucida Grande" w:hAnsi="Lucida Grande" w:cs="Lucida Grande"/>
      <w:sz w:val="18"/>
      <w:szCs w:val="18"/>
    </w:rPr>
  </w:style>
  <w:style w:type="paragraph" w:styleId="TOCHeading">
    <w:name w:val="TOC Heading"/>
    <w:basedOn w:val="Heading1"/>
    <w:next w:val="Normal"/>
    <w:uiPriority w:val="39"/>
    <w:unhideWhenUsed/>
    <w:qFormat/>
    <w:rsid w:val="000F2EA7"/>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semiHidden/>
    <w:unhideWhenUsed/>
    <w:rsid w:val="000F2EA7"/>
    <w:pPr>
      <w:spacing w:before="120"/>
    </w:pPr>
    <w:rPr>
      <w:b/>
      <w:caps/>
      <w:sz w:val="22"/>
      <w:szCs w:val="22"/>
    </w:rPr>
  </w:style>
  <w:style w:type="paragraph" w:styleId="TOC2">
    <w:name w:val="toc 2"/>
    <w:basedOn w:val="Normal"/>
    <w:next w:val="Normal"/>
    <w:autoRedefine/>
    <w:uiPriority w:val="39"/>
    <w:semiHidden/>
    <w:unhideWhenUsed/>
    <w:rsid w:val="000F2EA7"/>
    <w:pPr>
      <w:ind w:left="240"/>
    </w:pPr>
    <w:rPr>
      <w:smallCaps/>
      <w:sz w:val="22"/>
      <w:szCs w:val="22"/>
    </w:rPr>
  </w:style>
  <w:style w:type="paragraph" w:styleId="TOC3">
    <w:name w:val="toc 3"/>
    <w:basedOn w:val="Normal"/>
    <w:next w:val="Normal"/>
    <w:autoRedefine/>
    <w:uiPriority w:val="39"/>
    <w:semiHidden/>
    <w:unhideWhenUsed/>
    <w:rsid w:val="000F2EA7"/>
    <w:pPr>
      <w:ind w:left="480"/>
    </w:pPr>
    <w:rPr>
      <w:i/>
      <w:sz w:val="22"/>
      <w:szCs w:val="22"/>
    </w:rPr>
  </w:style>
  <w:style w:type="paragraph" w:styleId="TOC4">
    <w:name w:val="toc 4"/>
    <w:basedOn w:val="Normal"/>
    <w:next w:val="Normal"/>
    <w:autoRedefine/>
    <w:uiPriority w:val="39"/>
    <w:semiHidden/>
    <w:unhideWhenUsed/>
    <w:rsid w:val="000F2EA7"/>
    <w:pPr>
      <w:ind w:left="720"/>
    </w:pPr>
    <w:rPr>
      <w:sz w:val="18"/>
      <w:szCs w:val="18"/>
    </w:rPr>
  </w:style>
  <w:style w:type="paragraph" w:styleId="TOC5">
    <w:name w:val="toc 5"/>
    <w:basedOn w:val="Normal"/>
    <w:next w:val="Normal"/>
    <w:autoRedefine/>
    <w:uiPriority w:val="39"/>
    <w:semiHidden/>
    <w:unhideWhenUsed/>
    <w:rsid w:val="000F2EA7"/>
    <w:pPr>
      <w:ind w:left="960"/>
    </w:pPr>
    <w:rPr>
      <w:sz w:val="18"/>
      <w:szCs w:val="18"/>
    </w:rPr>
  </w:style>
  <w:style w:type="paragraph" w:styleId="TOC6">
    <w:name w:val="toc 6"/>
    <w:basedOn w:val="Normal"/>
    <w:next w:val="Normal"/>
    <w:autoRedefine/>
    <w:uiPriority w:val="39"/>
    <w:semiHidden/>
    <w:unhideWhenUsed/>
    <w:rsid w:val="000F2EA7"/>
    <w:pPr>
      <w:ind w:left="1200"/>
    </w:pPr>
    <w:rPr>
      <w:sz w:val="18"/>
      <w:szCs w:val="18"/>
    </w:rPr>
  </w:style>
  <w:style w:type="paragraph" w:styleId="TOC7">
    <w:name w:val="toc 7"/>
    <w:basedOn w:val="Normal"/>
    <w:next w:val="Normal"/>
    <w:autoRedefine/>
    <w:uiPriority w:val="39"/>
    <w:semiHidden/>
    <w:unhideWhenUsed/>
    <w:rsid w:val="000F2EA7"/>
    <w:pPr>
      <w:ind w:left="1440"/>
    </w:pPr>
    <w:rPr>
      <w:sz w:val="18"/>
      <w:szCs w:val="18"/>
    </w:rPr>
  </w:style>
  <w:style w:type="paragraph" w:styleId="TOC8">
    <w:name w:val="toc 8"/>
    <w:basedOn w:val="Normal"/>
    <w:next w:val="Normal"/>
    <w:autoRedefine/>
    <w:uiPriority w:val="39"/>
    <w:semiHidden/>
    <w:unhideWhenUsed/>
    <w:rsid w:val="000F2EA7"/>
    <w:pPr>
      <w:ind w:left="1680"/>
    </w:pPr>
    <w:rPr>
      <w:sz w:val="18"/>
      <w:szCs w:val="18"/>
    </w:rPr>
  </w:style>
  <w:style w:type="paragraph" w:styleId="TOC9">
    <w:name w:val="toc 9"/>
    <w:basedOn w:val="Normal"/>
    <w:next w:val="Normal"/>
    <w:autoRedefine/>
    <w:uiPriority w:val="39"/>
    <w:semiHidden/>
    <w:unhideWhenUsed/>
    <w:rsid w:val="000F2EA7"/>
    <w:pPr>
      <w:ind w:left="1920"/>
    </w:pPr>
    <w:rPr>
      <w:sz w:val="18"/>
      <w:szCs w:val="18"/>
    </w:rPr>
  </w:style>
  <w:style w:type="table" w:styleId="TableGrid">
    <w:name w:val="Table Grid"/>
    <w:basedOn w:val="TableNormal"/>
    <w:uiPriority w:val="59"/>
    <w:rsid w:val="00A7584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609902">
      <w:bodyDiv w:val="1"/>
      <w:marLeft w:val="0"/>
      <w:marRight w:val="0"/>
      <w:marTop w:val="0"/>
      <w:marBottom w:val="0"/>
      <w:divBdr>
        <w:top w:val="none" w:sz="0" w:space="0" w:color="auto"/>
        <w:left w:val="none" w:sz="0" w:space="0" w:color="auto"/>
        <w:bottom w:val="none" w:sz="0" w:space="0" w:color="auto"/>
        <w:right w:val="none" w:sz="0" w:space="0" w:color="auto"/>
      </w:divBdr>
    </w:div>
    <w:div w:id="7792529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E1B5D2-A22E-0448-AFF0-F418360A5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Pages>
  <Words>12176</Words>
  <Characters>71232</Characters>
  <Application>Microsoft Macintosh Word</Application>
  <DocSecurity>0</DocSecurity>
  <Lines>1656</Lines>
  <Paragraphs>473</Paragraphs>
  <ScaleCrop>false</ScaleCrop>
  <Company/>
  <LinksUpToDate>false</LinksUpToDate>
  <CharactersWithSpaces>82935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joana</dc:creator>
  <cp:keywords/>
  <dc:description/>
  <cp:lastModifiedBy>Microsoft Office User</cp:lastModifiedBy>
  <cp:revision>8</cp:revision>
  <cp:lastPrinted>2018-01-22T09:31:00Z</cp:lastPrinted>
  <dcterms:created xsi:type="dcterms:W3CDTF">2018-01-24T14:02:00Z</dcterms:created>
  <dcterms:modified xsi:type="dcterms:W3CDTF">2018-05-11T15:00:00Z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c830e0d4-b722-30cb-a97e-f47a4f67acd5</vt:lpwstr>
  </property>
  <property fmtid="{D5CDD505-2E9C-101B-9397-08002B2CF9AE}" pid="4" name="Mendeley Citation Style_1">
    <vt:lpwstr>http://www.zotero.org/styles/bioinformatics</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http://www.zotero.org/styles/bioinformatics</vt:lpwstr>
  </property>
  <property fmtid="{D5CDD505-2E9C-101B-9397-08002B2CF9AE}" pid="12" name="Mendeley Recent Style Name 3_1">
    <vt:lpwstr>Bioinformatics</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