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D02F9" w14:textId="2FEF080E" w:rsidR="009C6836" w:rsidRPr="00CA7E49" w:rsidRDefault="00352BA6" w:rsidP="00CA7E49">
      <w:pPr>
        <w:jc w:val="center"/>
        <w:rPr>
          <w:b/>
          <w:sz w:val="36"/>
          <w:szCs w:val="36"/>
        </w:rPr>
      </w:pPr>
      <w:r w:rsidRPr="00CA7E49">
        <w:rPr>
          <w:b/>
          <w:sz w:val="36"/>
          <w:szCs w:val="36"/>
        </w:rPr>
        <w:t>Supplementary materials for SCANVIS</w:t>
      </w:r>
    </w:p>
    <w:p w14:paraId="7CDC3EEC" w14:textId="778EA634" w:rsidR="00CA7E49" w:rsidRDefault="00CA7E49"/>
    <w:p w14:paraId="368B0ADC" w14:textId="77777777" w:rsidR="00A30B5D" w:rsidRDefault="00A30B5D"/>
    <w:p w14:paraId="4A116AD6" w14:textId="54E7CC54" w:rsidR="00180D20" w:rsidRDefault="00352BA6">
      <w:r w:rsidRPr="00C55A11">
        <w:rPr>
          <w:b/>
        </w:rPr>
        <w:t>Figure S1</w:t>
      </w:r>
      <w:r>
        <w:t xml:space="preserve">: </w:t>
      </w:r>
      <w:proofErr w:type="spellStart"/>
      <w:r w:rsidR="00CA7E49">
        <w:t>Barplot</w:t>
      </w:r>
      <w:proofErr w:type="spellEnd"/>
      <w:r w:rsidR="00CA7E49">
        <w:t xml:space="preserve"> showing the number of samples for each tissue/cancer type in the </w:t>
      </w:r>
      <w:r w:rsidR="0090015A">
        <w:t>TCGA (black outline bars)</w:t>
      </w:r>
      <w:r w:rsidR="00CA7E49">
        <w:t xml:space="preserve"> and </w:t>
      </w:r>
      <w:proofErr w:type="spellStart"/>
      <w:r w:rsidR="0090015A">
        <w:t>GTEx</w:t>
      </w:r>
      <w:proofErr w:type="spellEnd"/>
      <w:r w:rsidR="00CA7E49">
        <w:t xml:space="preserve"> </w:t>
      </w:r>
      <w:r w:rsidR="0090015A">
        <w:t xml:space="preserve">cohorts </w:t>
      </w:r>
      <w:r w:rsidR="00CA7E49">
        <w:t xml:space="preserve">used for this study with the </w:t>
      </w:r>
      <w:r w:rsidR="00CD5143">
        <w:t xml:space="preserve">largest group (BRCA/TCGA) having 1220 samples and the </w:t>
      </w:r>
      <w:r w:rsidR="00CA7E49">
        <w:t>smallest group (HNSC</w:t>
      </w:r>
      <w:r w:rsidR="00CD5143">
        <w:t>/TCGA</w:t>
      </w:r>
      <w:r w:rsidR="00CA7E49">
        <w:t>) having 2</w:t>
      </w:r>
      <w:r w:rsidR="00CD5143">
        <w:t>4</w:t>
      </w:r>
      <w:r w:rsidR="00CA7E49">
        <w:t xml:space="preserve"> samples</w:t>
      </w:r>
      <w:r w:rsidR="00AF123D">
        <w:t>.</w:t>
      </w:r>
    </w:p>
    <w:p w14:paraId="0DFE805A" w14:textId="6E41593C" w:rsidR="00A30B5D" w:rsidRPr="00180D20" w:rsidRDefault="0090015A" w:rsidP="0027279E">
      <w:pPr>
        <w:jc w:val="center"/>
      </w:pPr>
      <w:r>
        <w:rPr>
          <w:noProof/>
        </w:rPr>
        <w:drawing>
          <wp:inline distT="0" distB="0" distL="0" distR="0" wp14:anchorId="5C0936D3" wp14:editId="0C0FDD53">
            <wp:extent cx="3648211" cy="3408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.samples.barplot.20190401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/>
                    <a:stretch/>
                  </pic:blipFill>
                  <pic:spPr bwMode="auto">
                    <a:xfrm>
                      <a:off x="0" y="0"/>
                      <a:ext cx="3661691" cy="342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53FC" w14:textId="77777777" w:rsidR="00644CE5" w:rsidRDefault="00644CE5" w:rsidP="004726E4">
      <w:pPr>
        <w:rPr>
          <w:b/>
        </w:rPr>
      </w:pPr>
    </w:p>
    <w:p w14:paraId="3FB033DF" w14:textId="3242E609" w:rsidR="002F2E05" w:rsidRDefault="00AC13C7" w:rsidP="004726E4">
      <w:r w:rsidRPr="00C55A11">
        <w:rPr>
          <w:b/>
        </w:rPr>
        <w:t>Figure S</w:t>
      </w:r>
      <w:r>
        <w:rPr>
          <w:b/>
        </w:rPr>
        <w:t>2</w:t>
      </w:r>
      <w:r>
        <w:t xml:space="preserve">: </w:t>
      </w:r>
      <w:r w:rsidR="0027279E">
        <w:t xml:space="preserve">RRS variances in decreasing order (left) of the </w:t>
      </w:r>
      <w:r w:rsidR="00C249B7">
        <w:t>first 1</w:t>
      </w:r>
      <w:r w:rsidR="0027279E">
        <w:t>00K SJs</w:t>
      </w:r>
      <w:r w:rsidR="002F2E05">
        <w:t xml:space="preserve"> </w:t>
      </w:r>
      <w:r w:rsidR="00C249B7">
        <w:t xml:space="preserve">(from millions) </w:t>
      </w:r>
      <w:r w:rsidR="0027279E">
        <w:t>with the 5000</w:t>
      </w:r>
      <w:r w:rsidR="0027279E" w:rsidRPr="0027279E">
        <w:rPr>
          <w:vertAlign w:val="superscript"/>
        </w:rPr>
        <w:t>th</w:t>
      </w:r>
      <w:r w:rsidR="0027279E">
        <w:t xml:space="preserve"> SJ </w:t>
      </w:r>
      <w:r w:rsidR="00316F75">
        <w:t>(</w:t>
      </w:r>
      <w:r w:rsidR="0027279E">
        <w:t>red</w:t>
      </w:r>
      <w:r w:rsidR="002B7CE4">
        <w:t xml:space="preserve"> dots</w:t>
      </w:r>
      <w:r w:rsidR="00316F75">
        <w:t>) located close to the exponential curve elbow</w:t>
      </w:r>
      <w:r w:rsidR="0027279E">
        <w:t xml:space="preserve">. </w:t>
      </w:r>
      <w:r w:rsidR="00C249B7">
        <w:t xml:space="preserve">Boxplots show </w:t>
      </w:r>
      <w:r w:rsidR="002B7CE4">
        <w:t xml:space="preserve">SVM </w:t>
      </w:r>
      <w:r>
        <w:t xml:space="preserve">AUC scores </w:t>
      </w:r>
      <w:r w:rsidR="00316F75">
        <w:t>from</w:t>
      </w:r>
      <w:r>
        <w:t xml:space="preserve"> models </w:t>
      </w:r>
      <w:r w:rsidR="00C249B7">
        <w:t xml:space="preserve">built </w:t>
      </w:r>
      <w:r w:rsidR="00560BE0">
        <w:t>with</w:t>
      </w:r>
      <w:r w:rsidR="00C249B7">
        <w:t xml:space="preserve"> the top 5000 variable SJs where </w:t>
      </w:r>
      <w:r w:rsidR="00546006">
        <w:t xml:space="preserve">tissue/cancer types </w:t>
      </w:r>
      <w:r w:rsidR="00C249B7">
        <w:t xml:space="preserve">were predicted </w:t>
      </w:r>
      <w:r>
        <w:t>over 20 iterations of 10-fold cross-validations for TCGA (</w:t>
      </w:r>
      <w:r w:rsidR="0027279E">
        <w:t>middle</w:t>
      </w:r>
      <w:r>
        <w:t>) and GTEX</w:t>
      </w:r>
      <w:r w:rsidR="000A791B">
        <w:t xml:space="preserve"> </w:t>
      </w:r>
      <w:r>
        <w:t>(right)</w:t>
      </w:r>
      <w:r w:rsidR="002F2E05">
        <w:rPr>
          <w:noProof/>
        </w:rPr>
        <w:drawing>
          <wp:inline distT="0" distB="0" distL="0" distR="0" wp14:anchorId="7B899A65" wp14:editId="7CC72DFA">
            <wp:extent cx="1862051" cy="22038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Jvar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/>
                  </pic:blipFill>
                  <pic:spPr bwMode="auto">
                    <a:xfrm>
                      <a:off x="0" y="0"/>
                      <a:ext cx="1863401" cy="220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E05">
        <w:rPr>
          <w:noProof/>
        </w:rPr>
        <w:drawing>
          <wp:inline distT="0" distB="0" distL="0" distR="0" wp14:anchorId="03C7F0A9" wp14:editId="407849BC">
            <wp:extent cx="4080337" cy="2305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Cs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t="1" b="48524"/>
                    <a:stretch/>
                  </pic:blipFill>
                  <pic:spPr bwMode="auto">
                    <a:xfrm>
                      <a:off x="0" y="0"/>
                      <a:ext cx="4158014" cy="234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E388" w14:textId="4565370E" w:rsidR="00180D20" w:rsidRPr="00E8468F" w:rsidRDefault="00180D20" w:rsidP="0027279E">
      <w:pPr>
        <w:jc w:val="right"/>
      </w:pPr>
    </w:p>
    <w:p w14:paraId="6E1F6785" w14:textId="7888CEE5" w:rsidR="00CD5143" w:rsidRDefault="00352BA6" w:rsidP="00352BA6">
      <w:r w:rsidRPr="00C55A11">
        <w:rPr>
          <w:b/>
        </w:rPr>
        <w:lastRenderedPageBreak/>
        <w:t>Figure S</w:t>
      </w:r>
      <w:r w:rsidR="00E57DAC">
        <w:rPr>
          <w:b/>
        </w:rPr>
        <w:t>3</w:t>
      </w:r>
      <w:r>
        <w:t xml:space="preserve">: </w:t>
      </w:r>
      <w:r w:rsidR="00F836F6">
        <w:t>PCA</w:t>
      </w:r>
      <w:r w:rsidR="009A3DE4">
        <w:t xml:space="preserve"> </w:t>
      </w:r>
      <w:bookmarkStart w:id="0" w:name="_GoBack"/>
      <w:bookmarkEnd w:id="0"/>
      <w:r w:rsidR="00F836F6">
        <w:t xml:space="preserve">(left) and </w:t>
      </w:r>
      <w:r w:rsidR="00CD5143">
        <w:t>t-SNE</w:t>
      </w:r>
      <w:r w:rsidR="00071A7F">
        <w:t xml:space="preserve"> </w:t>
      </w:r>
      <w:r w:rsidR="00B72B96">
        <w:t>(</w:t>
      </w:r>
      <w:r w:rsidR="00F836F6">
        <w:t>right</w:t>
      </w:r>
      <w:r w:rsidR="00B72B96">
        <w:t xml:space="preserve">) </w:t>
      </w:r>
      <w:r w:rsidR="00CE4165">
        <w:t xml:space="preserve">plots </w:t>
      </w:r>
      <w:r w:rsidR="00F836F6">
        <w:t xml:space="preserve">for </w:t>
      </w:r>
      <w:proofErr w:type="spellStart"/>
      <w:r w:rsidR="00F836F6">
        <w:t>GTEx</w:t>
      </w:r>
      <w:proofErr w:type="spellEnd"/>
      <w:r w:rsidR="00F836F6">
        <w:t xml:space="preserve"> (top) and </w:t>
      </w:r>
      <w:r>
        <w:t>TCGA</w:t>
      </w:r>
      <w:r w:rsidR="00CE4165">
        <w:t xml:space="preserve"> </w:t>
      </w:r>
      <w:r w:rsidR="00AF123D">
        <w:t>(</w:t>
      </w:r>
      <w:r w:rsidR="00F836F6">
        <w:t>bottom</w:t>
      </w:r>
      <w:r w:rsidR="00AF123D">
        <w:t>)</w:t>
      </w:r>
      <w:r>
        <w:t xml:space="preserve"> </w:t>
      </w:r>
      <w:r w:rsidR="00CD5143">
        <w:t xml:space="preserve">samples using SCANVIS </w:t>
      </w:r>
      <w:r w:rsidR="00CE4165">
        <w:t>RRS</w:t>
      </w:r>
      <w:r w:rsidR="00CD5143">
        <w:t xml:space="preserve"> scores on the top 5000 most variable splice junctions</w:t>
      </w:r>
      <w:r w:rsidR="00F836F6">
        <w:t xml:space="preserve"> for each cohort</w:t>
      </w:r>
    </w:p>
    <w:p w14:paraId="1DDE8F8B" w14:textId="48CCD0B1" w:rsidR="00C80556" w:rsidRDefault="00C80556" w:rsidP="00071A7F"/>
    <w:p w14:paraId="68282CAF" w14:textId="0EDD3049" w:rsidR="00C80556" w:rsidRDefault="0090015A" w:rsidP="00644CE5">
      <w:r>
        <w:rPr>
          <w:noProof/>
        </w:rPr>
        <w:drawing>
          <wp:inline distT="0" distB="0" distL="0" distR="0" wp14:anchorId="56922694" wp14:editId="107F7FC0">
            <wp:extent cx="6722096" cy="6315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A_tSNE_figures.S3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13509" b="19378"/>
                    <a:stretch/>
                  </pic:blipFill>
                  <pic:spPr bwMode="auto">
                    <a:xfrm>
                      <a:off x="0" y="0"/>
                      <a:ext cx="6728196" cy="63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A289" w14:textId="77777777" w:rsidR="00C80556" w:rsidRDefault="00C80556" w:rsidP="00CD5143"/>
    <w:p w14:paraId="376442B8" w14:textId="43042EF8" w:rsidR="00352BA6" w:rsidRDefault="00352BA6" w:rsidP="00352BA6"/>
    <w:p w14:paraId="128ABAFC" w14:textId="4453315C" w:rsidR="00383D19" w:rsidRDefault="00383D19" w:rsidP="00B72B96"/>
    <w:p w14:paraId="0A04206C" w14:textId="77777777" w:rsidR="00AC13C7" w:rsidRDefault="00AC13C7" w:rsidP="00352BA6"/>
    <w:p w14:paraId="76FA2EBD" w14:textId="77777777" w:rsidR="00644CE5" w:rsidRDefault="00644CE5" w:rsidP="00BD0239">
      <w:pPr>
        <w:rPr>
          <w:b/>
        </w:rPr>
      </w:pPr>
    </w:p>
    <w:p w14:paraId="0BAF98D0" w14:textId="77777777" w:rsidR="00644CE5" w:rsidRDefault="00644CE5" w:rsidP="00BD0239">
      <w:pPr>
        <w:rPr>
          <w:b/>
        </w:rPr>
      </w:pPr>
    </w:p>
    <w:p w14:paraId="3D506161" w14:textId="3EF265D3" w:rsidR="00CE4165" w:rsidRDefault="00CE4165" w:rsidP="00BD0239">
      <w:r w:rsidRPr="00C55A11">
        <w:rPr>
          <w:b/>
        </w:rPr>
        <w:lastRenderedPageBreak/>
        <w:t>Figure S</w:t>
      </w:r>
      <w:r w:rsidR="00E57DAC">
        <w:rPr>
          <w:b/>
        </w:rPr>
        <w:t>4</w:t>
      </w:r>
      <w:r>
        <w:t xml:space="preserve">: </w:t>
      </w:r>
      <w:r w:rsidR="00BD0239">
        <w:t>PCA</w:t>
      </w:r>
      <w:r w:rsidR="0080763D">
        <w:t xml:space="preserve"> </w:t>
      </w:r>
      <w:r w:rsidR="00BD0239">
        <w:t xml:space="preserve">(left) and t-SNE (right) plots computed using the 1528 junctions in the intersection of the top 5000 variable junctions from each cohort. Point types differentiate TCGA and </w:t>
      </w:r>
      <w:proofErr w:type="spellStart"/>
      <w:r w:rsidR="00BD0239">
        <w:t>GTEx</w:t>
      </w:r>
      <w:proofErr w:type="spellEnd"/>
      <w:r w:rsidR="00BD0239">
        <w:t xml:space="preserve"> samples to highlight any obvious cohort separation. Top figures show all </w:t>
      </w:r>
      <w:proofErr w:type="spellStart"/>
      <w:r w:rsidR="00BD0239">
        <w:t>GTEx</w:t>
      </w:r>
      <w:proofErr w:type="spellEnd"/>
      <w:r w:rsidR="00BD0239">
        <w:t xml:space="preserve"> and TCGA samples</w:t>
      </w:r>
      <w:r w:rsidR="00754784">
        <w:t xml:space="preserve"> and no clear</w:t>
      </w:r>
      <w:r w:rsidR="00BD0239">
        <w:t xml:space="preserve"> cohort separation</w:t>
      </w:r>
      <w:r w:rsidR="0080763D">
        <w:t>.</w:t>
      </w:r>
      <w:r w:rsidR="00BD0239">
        <w:t xml:space="preserve"> The bottom figures show </w:t>
      </w:r>
      <w:r>
        <w:t xml:space="preserve">thyroid </w:t>
      </w:r>
      <w:r w:rsidR="00754784">
        <w:t xml:space="preserve">and skin tissue </w:t>
      </w:r>
      <w:r>
        <w:t>samples</w:t>
      </w:r>
      <w:r w:rsidR="00754784">
        <w:t>, with thyroid samples</w:t>
      </w:r>
      <w:r>
        <w:t xml:space="preserve"> clustering together across cohorts</w:t>
      </w:r>
      <w:r w:rsidR="00754784">
        <w:t xml:space="preserve"> and</w:t>
      </w:r>
      <w:r w:rsidR="00BD0239">
        <w:t xml:space="preserve"> TCGA melanomas separating from normal </w:t>
      </w:r>
      <w:proofErr w:type="spellStart"/>
      <w:r w:rsidR="00BD0239">
        <w:t>GTEx</w:t>
      </w:r>
      <w:proofErr w:type="spellEnd"/>
      <w:r w:rsidR="00BD0239">
        <w:t xml:space="preserve"> skin samples.</w:t>
      </w:r>
    </w:p>
    <w:p w14:paraId="20DEFB96" w14:textId="77777777" w:rsidR="00BF300F" w:rsidRDefault="00BF300F" w:rsidP="00BD0239"/>
    <w:p w14:paraId="52B34356" w14:textId="16FA599D" w:rsidR="00CD5143" w:rsidRDefault="00644CE5">
      <w:r>
        <w:rPr>
          <w:noProof/>
        </w:rPr>
        <w:drawing>
          <wp:inline distT="0" distB="0" distL="0" distR="0" wp14:anchorId="5CBA2400" wp14:editId="52E186EF">
            <wp:extent cx="6180330" cy="59186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A_tSNE_figures.S4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3293" b="18400"/>
                    <a:stretch/>
                  </pic:blipFill>
                  <pic:spPr bwMode="auto">
                    <a:xfrm>
                      <a:off x="0" y="0"/>
                      <a:ext cx="6182853" cy="592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4CE5">
        <w:rPr>
          <w:noProof/>
        </w:rPr>
        <w:t xml:space="preserve"> </w:t>
      </w:r>
    </w:p>
    <w:p w14:paraId="131B58B9" w14:textId="77777777" w:rsidR="0097570D" w:rsidRDefault="0097570D" w:rsidP="00E57DAC">
      <w:pPr>
        <w:rPr>
          <w:b/>
        </w:rPr>
      </w:pPr>
    </w:p>
    <w:p w14:paraId="539E849B" w14:textId="77777777" w:rsidR="0097570D" w:rsidRDefault="0097570D" w:rsidP="00E57DAC">
      <w:pPr>
        <w:rPr>
          <w:b/>
        </w:rPr>
      </w:pPr>
    </w:p>
    <w:p w14:paraId="7C4074C9" w14:textId="77777777" w:rsidR="0097570D" w:rsidRDefault="0097570D" w:rsidP="00E57DAC">
      <w:pPr>
        <w:rPr>
          <w:b/>
        </w:rPr>
      </w:pPr>
    </w:p>
    <w:p w14:paraId="0F009CC0" w14:textId="77777777" w:rsidR="0097570D" w:rsidRDefault="0097570D" w:rsidP="00E57DAC">
      <w:pPr>
        <w:rPr>
          <w:b/>
        </w:rPr>
      </w:pPr>
    </w:p>
    <w:p w14:paraId="3FCB935B" w14:textId="77777777" w:rsidR="0097570D" w:rsidRDefault="0097570D" w:rsidP="00E57DAC">
      <w:pPr>
        <w:rPr>
          <w:b/>
        </w:rPr>
      </w:pPr>
    </w:p>
    <w:p w14:paraId="7C381956" w14:textId="27300A88" w:rsidR="00E57DAC" w:rsidRDefault="00E57DAC" w:rsidP="00E57DAC">
      <w:r w:rsidRPr="00C55A11">
        <w:rPr>
          <w:b/>
        </w:rPr>
        <w:lastRenderedPageBreak/>
        <w:t>Figure S</w:t>
      </w:r>
      <w:r>
        <w:rPr>
          <w:b/>
        </w:rPr>
        <w:t>5</w:t>
      </w:r>
      <w:r>
        <w:t xml:space="preserve">: </w:t>
      </w:r>
      <w:r w:rsidR="0097570D">
        <w:t xml:space="preserve">IGV snapshots of </w:t>
      </w:r>
      <w:r>
        <w:t xml:space="preserve">the gene PLEKHA6 as annotated by </w:t>
      </w:r>
      <w:proofErr w:type="spellStart"/>
      <w:r w:rsidR="0097570D">
        <w:t>gencode</w:t>
      </w:r>
      <w:proofErr w:type="spellEnd"/>
      <w:r w:rsidR="0097570D">
        <w:t xml:space="preserve"> 24 and 26 with reference to </w:t>
      </w:r>
      <w:r>
        <w:t>the human reference genome GRCh38</w:t>
      </w:r>
      <w:r w:rsidR="0097570D">
        <w:t xml:space="preserve">. The three Novel Exons detected by SCANVIS with reference to hg19 (manuscript Figure 1) are actually annotated exons in the more recent human annotations </w:t>
      </w:r>
      <w:r>
        <w:t xml:space="preserve"> where novel exons were detected by SCANVIS in reference hg19</w:t>
      </w:r>
      <w:r w:rsidR="0097570D">
        <w:t>. This is a good proof of principle that the SCANVIS Novel Exon detection system functions well.</w:t>
      </w:r>
    </w:p>
    <w:p w14:paraId="7910C138" w14:textId="77777777" w:rsidR="0097570D" w:rsidRDefault="0097570D" w:rsidP="00E57DAC">
      <w:pPr>
        <w:rPr>
          <w:b/>
        </w:rPr>
      </w:pPr>
    </w:p>
    <w:p w14:paraId="38464E56" w14:textId="3535FB00" w:rsidR="00E57DAC" w:rsidRDefault="0097570D" w:rsidP="0097570D">
      <w:pPr>
        <w:jc w:val="center"/>
      </w:pPr>
      <w:r>
        <w:rPr>
          <w:noProof/>
        </w:rPr>
        <w:drawing>
          <wp:inline distT="0" distB="0" distL="0" distR="0" wp14:anchorId="72EAF488" wp14:editId="3AB3F4D3">
            <wp:extent cx="4267200" cy="32975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EKHA6.hg19_vs_GRCh38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685" cy="33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AC" w:rsidSect="002B0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BA6"/>
    <w:rsid w:val="00071A7F"/>
    <w:rsid w:val="000A791B"/>
    <w:rsid w:val="000E310B"/>
    <w:rsid w:val="00180D20"/>
    <w:rsid w:val="001C257D"/>
    <w:rsid w:val="0027279E"/>
    <w:rsid w:val="002B04CF"/>
    <w:rsid w:val="002B7CE4"/>
    <w:rsid w:val="002F2E05"/>
    <w:rsid w:val="00316F75"/>
    <w:rsid w:val="00337F52"/>
    <w:rsid w:val="00352BA6"/>
    <w:rsid w:val="00383D19"/>
    <w:rsid w:val="003C6216"/>
    <w:rsid w:val="003E356B"/>
    <w:rsid w:val="00436989"/>
    <w:rsid w:val="004726E4"/>
    <w:rsid w:val="00541BE3"/>
    <w:rsid w:val="00546006"/>
    <w:rsid w:val="00560BE0"/>
    <w:rsid w:val="00644CE5"/>
    <w:rsid w:val="00754784"/>
    <w:rsid w:val="007B6509"/>
    <w:rsid w:val="0080763D"/>
    <w:rsid w:val="008B41F2"/>
    <w:rsid w:val="008B6E09"/>
    <w:rsid w:val="0090015A"/>
    <w:rsid w:val="0092188D"/>
    <w:rsid w:val="0097570D"/>
    <w:rsid w:val="009A3DE4"/>
    <w:rsid w:val="00A073B5"/>
    <w:rsid w:val="00A30B5D"/>
    <w:rsid w:val="00AC0B10"/>
    <w:rsid w:val="00AC13C7"/>
    <w:rsid w:val="00AF123D"/>
    <w:rsid w:val="00B3180D"/>
    <w:rsid w:val="00B41A85"/>
    <w:rsid w:val="00B72B96"/>
    <w:rsid w:val="00BD0239"/>
    <w:rsid w:val="00BF300F"/>
    <w:rsid w:val="00C249B7"/>
    <w:rsid w:val="00C55A11"/>
    <w:rsid w:val="00C80556"/>
    <w:rsid w:val="00C830F1"/>
    <w:rsid w:val="00CA7E49"/>
    <w:rsid w:val="00CD5143"/>
    <w:rsid w:val="00CE4165"/>
    <w:rsid w:val="00CF2F69"/>
    <w:rsid w:val="00D47CAD"/>
    <w:rsid w:val="00D84EC6"/>
    <w:rsid w:val="00E024B3"/>
    <w:rsid w:val="00E57DAC"/>
    <w:rsid w:val="00E8468F"/>
    <w:rsid w:val="00E85FAC"/>
    <w:rsid w:val="00EC60C6"/>
    <w:rsid w:val="00F378F5"/>
    <w:rsid w:val="00F836F6"/>
    <w:rsid w:val="00FB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72B6B"/>
  <w15:chartTrackingRefBased/>
  <w15:docId w15:val="{3FF6DF1D-549C-594D-AC31-737E4C020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38</cp:revision>
  <cp:lastPrinted>2019-04-11T20:34:00Z</cp:lastPrinted>
  <dcterms:created xsi:type="dcterms:W3CDTF">2019-02-15T20:18:00Z</dcterms:created>
  <dcterms:modified xsi:type="dcterms:W3CDTF">2019-05-14T18:09:00Z</dcterms:modified>
</cp:coreProperties>
</file>