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pPr>
      <w:r>
        <w:t>KinomeX: a web application for predicting kinome-wide polypharmacology effect of small molecules</w:t>
      </w:r>
    </w:p>
    <w:p>
      <w:pPr>
        <w:pStyle w:val="42"/>
      </w:pPr>
      <w:r>
        <w:t>Zhaojun Li</w:t>
      </w:r>
      <w:r>
        <w:rPr>
          <w:vertAlign w:val="superscript"/>
        </w:rPr>
        <w:t>1†</w:t>
      </w:r>
      <w:r>
        <w:t>, Xutong Li</w:t>
      </w:r>
      <w:r>
        <w:rPr>
          <w:vertAlign w:val="superscript"/>
        </w:rPr>
        <w:t>2,3†</w:t>
      </w:r>
      <w:r>
        <w:t>, Xiaohong Liu</w:t>
      </w:r>
      <w:r>
        <w:rPr>
          <w:vertAlign w:val="superscript"/>
        </w:rPr>
        <w:t>2,4</w:t>
      </w:r>
      <w:r>
        <w:t>, Zunyun Fu</w:t>
      </w:r>
      <w:r>
        <w:rPr>
          <w:vertAlign w:val="superscript"/>
        </w:rPr>
        <w:t>2,3</w:t>
      </w:r>
      <w:r>
        <w:t>, Zhaoping Xiong</w:t>
      </w:r>
      <w:r>
        <w:rPr>
          <w:vertAlign w:val="superscript"/>
        </w:rPr>
        <w:t>2,4</w:t>
      </w:r>
      <w:r>
        <w:t>, Xiaolong Wu</w:t>
      </w:r>
      <w:r>
        <w:rPr>
          <w:vertAlign w:val="superscript"/>
        </w:rPr>
        <w:t>2,3</w:t>
      </w:r>
      <w:r>
        <w:t>, Xiaoqin Tan</w:t>
      </w:r>
      <w:r>
        <w:rPr>
          <w:vertAlign w:val="superscript"/>
        </w:rPr>
        <w:t>2,3</w:t>
      </w:r>
      <w:r>
        <w:t xml:space="preserve">, </w:t>
      </w:r>
      <w:r>
        <w:rPr>
          <w:rFonts w:hint="eastAsia"/>
          <w:lang w:eastAsia="zh-CN"/>
        </w:rPr>
        <w:t>Jihui</w:t>
      </w:r>
      <w:r>
        <w:t xml:space="preserve"> </w:t>
      </w:r>
      <w:r>
        <w:rPr>
          <w:rFonts w:hint="eastAsia"/>
          <w:lang w:eastAsia="zh-CN"/>
        </w:rPr>
        <w:t>Zhao</w:t>
      </w:r>
      <w:r>
        <w:rPr>
          <w:vertAlign w:val="superscript"/>
        </w:rPr>
        <w:t>2,4</w:t>
      </w:r>
      <w:r>
        <w:rPr>
          <w:rFonts w:hint="eastAsia"/>
          <w:lang w:eastAsia="zh-CN"/>
        </w:rPr>
        <w:t xml:space="preserve">, </w:t>
      </w:r>
      <w:r>
        <w:t>Feisheng Zhong</w:t>
      </w:r>
      <w:r>
        <w:rPr>
          <w:vertAlign w:val="superscript"/>
        </w:rPr>
        <w:t>2,3</w:t>
      </w:r>
      <w:r>
        <w:t>, Xiaozhe Wan</w:t>
      </w:r>
      <w:r>
        <w:rPr>
          <w:vertAlign w:val="superscript"/>
        </w:rPr>
        <w:t>2,3</w:t>
      </w:r>
      <w:r>
        <w:t>, Xiaomin Luo</w:t>
      </w:r>
      <w:r>
        <w:rPr>
          <w:vertAlign w:val="superscript"/>
        </w:rPr>
        <w:t>2</w:t>
      </w:r>
      <w:r>
        <w:t>, Kaixian Chen</w:t>
      </w:r>
      <w:r>
        <w:rPr>
          <w:vertAlign w:val="superscript"/>
        </w:rPr>
        <w:t>2,4</w:t>
      </w:r>
      <w:r>
        <w:t>, Hualiang Jiang</w:t>
      </w:r>
      <w:r>
        <w:rPr>
          <w:vertAlign w:val="superscript"/>
        </w:rPr>
        <w:t>2,4,*</w:t>
      </w:r>
      <w:r>
        <w:t>, and Mingyue Zheng</w:t>
      </w:r>
      <w:r>
        <w:rPr>
          <w:vertAlign w:val="superscript"/>
        </w:rPr>
        <w:t>2,*</w:t>
      </w:r>
    </w:p>
    <w:p>
      <w:pPr>
        <w:pStyle w:val="43"/>
      </w:pPr>
      <w:r>
        <w:rPr>
          <w:vertAlign w:val="superscript"/>
        </w:rPr>
        <w:t>1</w:t>
      </w:r>
      <w:r>
        <w:t xml:space="preserve"> School of Information Management, Dezhou University, Dezhou 253023, China, </w:t>
      </w:r>
      <w:r>
        <w:rPr>
          <w:vertAlign w:val="superscript"/>
        </w:rPr>
        <w:t>2</w:t>
      </w:r>
      <w:r>
        <w:t xml:space="preserve"> Drug Discovery and Design Center, State Key Laboratory of Drug Research, Shanghai Institute of Materia Medica, Chinese Academy of Sciences, 555 Zuchongzhi Road, Shanghai 201203, China, </w:t>
      </w:r>
      <w:r>
        <w:rPr>
          <w:vertAlign w:val="superscript"/>
        </w:rPr>
        <w:t>3</w:t>
      </w:r>
      <w:r>
        <w:t xml:space="preserve"> University of Chinese Academy of Sciences, 19 Yuquan Road, Beijing 100049, China, </w:t>
      </w:r>
      <w:r>
        <w:rPr>
          <w:vertAlign w:val="superscript"/>
        </w:rPr>
        <w:t>4</w:t>
      </w:r>
      <w:r>
        <w:t xml:space="preserve"> School of Life Science and Technology, ShanghaiTech University, Shanghai 200031, China</w:t>
      </w:r>
    </w:p>
    <w:p>
      <w:pPr>
        <w:pStyle w:val="47"/>
      </w:pPr>
      <w:r>
        <w:t>*To whom correspondence should be addressed.</w:t>
      </w:r>
    </w:p>
    <w:p>
      <w:pPr>
        <w:pStyle w:val="47"/>
      </w:pPr>
      <w:r>
        <w:rPr>
          <w:rFonts w:hint="eastAsia"/>
        </w:rPr>
        <w:t>†</w:t>
      </w:r>
      <w:r>
        <w:t>These authors contributed equally.</w:t>
      </w:r>
    </w:p>
    <w:p>
      <w:pPr>
        <w:widowControl/>
        <w:jc w:val="center"/>
      </w:pPr>
    </w:p>
    <w:p>
      <w:pPr>
        <w:pStyle w:val="12"/>
      </w:pPr>
      <w:r>
        <w:t>Table of Contents</w:t>
      </w:r>
    </w:p>
    <w:p>
      <w:pPr>
        <w:pStyle w:val="12"/>
        <w:tabs>
          <w:tab w:val="right" w:leader="dot" w:pos="8296"/>
        </w:tabs>
        <w:rPr>
          <w:rFonts w:asciiTheme="minorHAnsi" w:hAnsiTheme="minorHAnsi" w:cstheme="minorBidi"/>
          <w:b w:val="0"/>
          <w:sz w:val="20"/>
          <w:szCs w:val="20"/>
        </w:rPr>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"_Toc7509228" </w:instrText>
      </w:r>
      <w:r>
        <w:fldChar w:fldCharType="separate"/>
      </w:r>
      <w:r>
        <w:rPr>
          <w:rStyle w:val="18"/>
          <w:sz w:val="20"/>
          <w:szCs w:val="20"/>
        </w:rPr>
        <w:t>1 Methods</w:t>
      </w:r>
      <w:r>
        <w:rPr>
          <w:sz w:val="20"/>
          <w:szCs w:val="20"/>
        </w:rPr>
        <w:tab/>
      </w:r>
      <w:r>
        <w:rPr>
          <w:sz w:val="20"/>
          <w:szCs w:val="20"/>
        </w:rPr>
        <w:fldChar w:fldCharType="begin"/>
      </w:r>
      <w:r>
        <w:rPr>
          <w:sz w:val="20"/>
          <w:szCs w:val="20"/>
        </w:rPr>
        <w:instrText xml:space="preserve"> PAGEREF _Toc7509228 \h </w:instrText>
      </w:r>
      <w:r>
        <w:rPr>
          <w:sz w:val="20"/>
          <w:szCs w:val="20"/>
        </w:rPr>
        <w:fldChar w:fldCharType="separate"/>
      </w:r>
      <w:r>
        <w:rPr>
          <w:sz w:val="20"/>
          <w:szCs w:val="20"/>
        </w:rPr>
        <w:t>2</w:t>
      </w:r>
      <w:r>
        <w:rPr>
          <w:sz w:val="20"/>
          <w:szCs w:val="20"/>
        </w:rPr>
        <w:fldChar w:fldCharType="end"/>
      </w:r>
      <w:r>
        <w:rPr>
          <w:sz w:val="20"/>
          <w:szCs w:val="20"/>
        </w:rPr>
        <w:fldChar w:fldCharType="end"/>
      </w:r>
    </w:p>
    <w:p>
      <w:pPr>
        <w:pStyle w:val="13"/>
        <w:tabs>
          <w:tab w:val="right" w:leader="dot" w:pos="8296"/>
        </w:tabs>
        <w:rPr>
          <w:sz w:val="20"/>
          <w:szCs w:val="20"/>
        </w:rPr>
      </w:pPr>
      <w:r>
        <w:fldChar w:fldCharType="begin"/>
      </w:r>
      <w:r>
        <w:instrText xml:space="preserve"> HYPERLINK \l "_Toc7509229" </w:instrText>
      </w:r>
      <w:r>
        <w:fldChar w:fldCharType="separate"/>
      </w:r>
      <w:r>
        <w:rPr>
          <w:rStyle w:val="18"/>
          <w:sz w:val="20"/>
          <w:szCs w:val="20"/>
        </w:rPr>
        <w:t>1.1 The scheme of model building and evaluation</w:t>
      </w:r>
      <w:r>
        <w:rPr>
          <w:sz w:val="20"/>
          <w:szCs w:val="20"/>
        </w:rPr>
        <w:tab/>
      </w:r>
      <w:r>
        <w:rPr>
          <w:sz w:val="20"/>
          <w:szCs w:val="20"/>
        </w:rPr>
        <w:fldChar w:fldCharType="begin"/>
      </w:r>
      <w:r>
        <w:rPr>
          <w:sz w:val="20"/>
          <w:szCs w:val="20"/>
        </w:rPr>
        <w:instrText xml:space="preserve"> PAGEREF _Toc7509229 \h </w:instrText>
      </w:r>
      <w:r>
        <w:rPr>
          <w:sz w:val="20"/>
          <w:szCs w:val="20"/>
        </w:rPr>
        <w:fldChar w:fldCharType="separate"/>
      </w:r>
      <w:r>
        <w:rPr>
          <w:sz w:val="20"/>
          <w:szCs w:val="20"/>
        </w:rPr>
        <w:t>2</w:t>
      </w:r>
      <w:r>
        <w:rPr>
          <w:sz w:val="20"/>
          <w:szCs w:val="20"/>
        </w:rPr>
        <w:fldChar w:fldCharType="end"/>
      </w:r>
      <w:r>
        <w:rPr>
          <w:sz w:val="20"/>
          <w:szCs w:val="20"/>
        </w:rPr>
        <w:fldChar w:fldCharType="end"/>
      </w:r>
    </w:p>
    <w:p>
      <w:pPr>
        <w:pStyle w:val="8"/>
        <w:tabs>
          <w:tab w:val="right" w:leader="dot" w:pos="8296"/>
        </w:tabs>
        <w:rPr>
          <w:rFonts w:cstheme="minorBidi"/>
          <w:kern w:val="2"/>
          <w:sz w:val="20"/>
          <w:szCs w:val="20"/>
        </w:rPr>
      </w:pPr>
      <w:r>
        <w:fldChar w:fldCharType="begin"/>
      </w:r>
      <w:r>
        <w:instrText xml:space="preserve"> HYPERLINK \l "_Toc7509230" </w:instrText>
      </w:r>
      <w:r>
        <w:fldChar w:fldCharType="separate"/>
      </w:r>
      <w:r>
        <w:rPr>
          <w:rStyle w:val="18"/>
          <w:sz w:val="20"/>
          <w:szCs w:val="20"/>
        </w:rPr>
        <w:t>Supplementary figure 1. The scheme of model building and evaluation.</w:t>
      </w:r>
      <w:r>
        <w:rPr>
          <w:sz w:val="20"/>
          <w:szCs w:val="20"/>
        </w:rPr>
        <w:tab/>
      </w:r>
      <w:r>
        <w:rPr>
          <w:sz w:val="20"/>
          <w:szCs w:val="20"/>
        </w:rPr>
        <w:fldChar w:fldCharType="begin"/>
      </w:r>
      <w:r>
        <w:rPr>
          <w:sz w:val="20"/>
          <w:szCs w:val="20"/>
        </w:rPr>
        <w:instrText xml:space="preserve"> PAGEREF _Toc7509230 \h </w:instrText>
      </w:r>
      <w:r>
        <w:rPr>
          <w:sz w:val="20"/>
          <w:szCs w:val="20"/>
        </w:rPr>
        <w:fldChar w:fldCharType="separate"/>
      </w:r>
      <w:r>
        <w:rPr>
          <w:sz w:val="20"/>
          <w:szCs w:val="20"/>
        </w:rPr>
        <w:t>2</w:t>
      </w:r>
      <w:r>
        <w:rPr>
          <w:sz w:val="20"/>
          <w:szCs w:val="20"/>
        </w:rPr>
        <w:fldChar w:fldCharType="end"/>
      </w:r>
      <w:r>
        <w:rPr>
          <w:sz w:val="20"/>
          <w:szCs w:val="20"/>
        </w:rPr>
        <w:fldChar w:fldCharType="end"/>
      </w:r>
    </w:p>
    <w:p>
      <w:pPr>
        <w:pStyle w:val="13"/>
        <w:tabs>
          <w:tab w:val="right" w:leader="dot" w:pos="8296"/>
        </w:tabs>
        <w:rPr>
          <w:sz w:val="20"/>
          <w:szCs w:val="20"/>
        </w:rPr>
      </w:pPr>
      <w:r>
        <w:fldChar w:fldCharType="begin"/>
      </w:r>
      <w:r>
        <w:instrText xml:space="preserve"> HYPERLINK \l "_Toc7509231" </w:instrText>
      </w:r>
      <w:r>
        <w:fldChar w:fldCharType="separate"/>
      </w:r>
      <w:r>
        <w:rPr>
          <w:rStyle w:val="18"/>
          <w:sz w:val="20"/>
          <w:szCs w:val="20"/>
        </w:rPr>
        <w:t>1.2 Definitions of sub-family selectivity</w:t>
      </w:r>
      <w:r>
        <w:rPr>
          <w:sz w:val="20"/>
          <w:szCs w:val="20"/>
        </w:rPr>
        <w:tab/>
      </w:r>
      <w:r>
        <w:rPr>
          <w:sz w:val="20"/>
          <w:szCs w:val="20"/>
        </w:rPr>
        <w:fldChar w:fldCharType="begin"/>
      </w:r>
      <w:r>
        <w:rPr>
          <w:sz w:val="20"/>
          <w:szCs w:val="20"/>
        </w:rPr>
        <w:instrText xml:space="preserve"> PAGEREF _Toc7509231 \h </w:instrText>
      </w:r>
      <w:r>
        <w:rPr>
          <w:sz w:val="20"/>
          <w:szCs w:val="20"/>
        </w:rPr>
        <w:fldChar w:fldCharType="separate"/>
      </w:r>
      <w:r>
        <w:rPr>
          <w:sz w:val="20"/>
          <w:szCs w:val="20"/>
        </w:rPr>
        <w:t>2</w:t>
      </w:r>
      <w:r>
        <w:rPr>
          <w:sz w:val="20"/>
          <w:szCs w:val="20"/>
        </w:rPr>
        <w:fldChar w:fldCharType="end"/>
      </w:r>
      <w:r>
        <w:rPr>
          <w:sz w:val="20"/>
          <w:szCs w:val="20"/>
        </w:rPr>
        <w:fldChar w:fldCharType="end"/>
      </w:r>
    </w:p>
    <w:p>
      <w:pPr>
        <w:pStyle w:val="12"/>
        <w:tabs>
          <w:tab w:val="right" w:leader="dot" w:pos="8296"/>
        </w:tabs>
        <w:rPr>
          <w:rFonts w:asciiTheme="minorHAnsi" w:hAnsiTheme="minorHAnsi" w:cstheme="minorBidi"/>
          <w:b w:val="0"/>
          <w:sz w:val="20"/>
          <w:szCs w:val="20"/>
        </w:rPr>
      </w:pPr>
      <w:r>
        <w:fldChar w:fldCharType="begin"/>
      </w:r>
      <w:r>
        <w:instrText xml:space="preserve"> HYPERLINK \l "_Toc7509232" </w:instrText>
      </w:r>
      <w:r>
        <w:fldChar w:fldCharType="separate"/>
      </w:r>
      <w:r>
        <w:rPr>
          <w:rStyle w:val="18"/>
          <w:sz w:val="20"/>
          <w:szCs w:val="20"/>
        </w:rPr>
        <w:t>2 Datasets</w:t>
      </w:r>
      <w:r>
        <w:rPr>
          <w:sz w:val="20"/>
          <w:szCs w:val="20"/>
        </w:rPr>
        <w:tab/>
      </w:r>
      <w:r>
        <w:rPr>
          <w:sz w:val="20"/>
          <w:szCs w:val="20"/>
        </w:rPr>
        <w:fldChar w:fldCharType="begin"/>
      </w:r>
      <w:r>
        <w:rPr>
          <w:sz w:val="20"/>
          <w:szCs w:val="20"/>
        </w:rPr>
        <w:instrText xml:space="preserve"> PAGEREF _Toc7509232 \h </w:instrText>
      </w:r>
      <w:r>
        <w:rPr>
          <w:sz w:val="20"/>
          <w:szCs w:val="20"/>
        </w:rPr>
        <w:fldChar w:fldCharType="separate"/>
      </w:r>
      <w:r>
        <w:rPr>
          <w:sz w:val="20"/>
          <w:szCs w:val="20"/>
        </w:rPr>
        <w:t>2</w:t>
      </w:r>
      <w:r>
        <w:rPr>
          <w:sz w:val="20"/>
          <w:szCs w:val="20"/>
        </w:rPr>
        <w:fldChar w:fldCharType="end"/>
      </w:r>
      <w:r>
        <w:rPr>
          <w:sz w:val="20"/>
          <w:szCs w:val="20"/>
        </w:rPr>
        <w:fldChar w:fldCharType="end"/>
      </w:r>
    </w:p>
    <w:p>
      <w:pPr>
        <w:pStyle w:val="13"/>
        <w:tabs>
          <w:tab w:val="right" w:leader="dot" w:pos="8296"/>
        </w:tabs>
        <w:rPr>
          <w:sz w:val="20"/>
          <w:szCs w:val="20"/>
        </w:rPr>
      </w:pPr>
      <w:r>
        <w:fldChar w:fldCharType="begin"/>
      </w:r>
      <w:r>
        <w:instrText xml:space="preserve"> HYPERLINK \l "_Toc7509233" </w:instrText>
      </w:r>
      <w:r>
        <w:fldChar w:fldCharType="separate"/>
      </w:r>
      <w:r>
        <w:rPr>
          <w:rStyle w:val="18"/>
          <w:sz w:val="20"/>
          <w:szCs w:val="20"/>
        </w:rPr>
        <w:t>2.1 Modelling dataset</w:t>
      </w:r>
      <w:r>
        <w:rPr>
          <w:sz w:val="20"/>
          <w:szCs w:val="20"/>
        </w:rPr>
        <w:tab/>
      </w:r>
      <w:r>
        <w:rPr>
          <w:sz w:val="20"/>
          <w:szCs w:val="20"/>
        </w:rPr>
        <w:fldChar w:fldCharType="begin"/>
      </w:r>
      <w:r>
        <w:rPr>
          <w:sz w:val="20"/>
          <w:szCs w:val="20"/>
        </w:rPr>
        <w:instrText xml:space="preserve"> PAGEREF _Toc7509233 \h </w:instrText>
      </w:r>
      <w:r>
        <w:rPr>
          <w:sz w:val="20"/>
          <w:szCs w:val="20"/>
        </w:rPr>
        <w:fldChar w:fldCharType="separate"/>
      </w:r>
      <w:r>
        <w:rPr>
          <w:sz w:val="20"/>
          <w:szCs w:val="20"/>
        </w:rPr>
        <w:t>2</w:t>
      </w:r>
      <w:r>
        <w:rPr>
          <w:sz w:val="20"/>
          <w:szCs w:val="20"/>
        </w:rPr>
        <w:fldChar w:fldCharType="end"/>
      </w:r>
      <w:r>
        <w:rPr>
          <w:sz w:val="20"/>
          <w:szCs w:val="20"/>
        </w:rPr>
        <w:fldChar w:fldCharType="end"/>
      </w:r>
    </w:p>
    <w:p>
      <w:pPr>
        <w:pStyle w:val="8"/>
        <w:tabs>
          <w:tab w:val="right" w:leader="dot" w:pos="8296"/>
        </w:tabs>
        <w:rPr>
          <w:rFonts w:cstheme="minorBidi"/>
          <w:kern w:val="2"/>
          <w:sz w:val="20"/>
          <w:szCs w:val="20"/>
        </w:rPr>
      </w:pPr>
      <w:r>
        <w:fldChar w:fldCharType="begin"/>
      </w:r>
      <w:r>
        <w:instrText xml:space="preserve"> HYPERLINK \l "_Toc7509234" </w:instrText>
      </w:r>
      <w:r>
        <w:fldChar w:fldCharType="separate"/>
      </w:r>
      <w:r>
        <w:rPr>
          <w:rStyle w:val="18"/>
          <w:sz w:val="20"/>
          <w:szCs w:val="20"/>
        </w:rPr>
        <w:t>Supplementary table 1. The information of predictable kinases.</w:t>
      </w:r>
      <w:r>
        <w:rPr>
          <w:sz w:val="20"/>
          <w:szCs w:val="20"/>
        </w:rPr>
        <w:tab/>
      </w:r>
      <w:r>
        <w:rPr>
          <w:sz w:val="20"/>
          <w:szCs w:val="20"/>
        </w:rPr>
        <w:fldChar w:fldCharType="begin"/>
      </w:r>
      <w:r>
        <w:rPr>
          <w:sz w:val="20"/>
          <w:szCs w:val="20"/>
        </w:rPr>
        <w:instrText xml:space="preserve"> PAGEREF _Toc7509234 \h </w:instrText>
      </w:r>
      <w:r>
        <w:rPr>
          <w:sz w:val="20"/>
          <w:szCs w:val="20"/>
        </w:rPr>
        <w:fldChar w:fldCharType="separate"/>
      </w:r>
      <w:r>
        <w:rPr>
          <w:sz w:val="20"/>
          <w:szCs w:val="20"/>
        </w:rPr>
        <w:t>3</w:t>
      </w:r>
      <w:r>
        <w:rPr>
          <w:sz w:val="20"/>
          <w:szCs w:val="20"/>
        </w:rPr>
        <w:fldChar w:fldCharType="end"/>
      </w:r>
      <w:r>
        <w:rPr>
          <w:sz w:val="20"/>
          <w:szCs w:val="20"/>
        </w:rPr>
        <w:fldChar w:fldCharType="end"/>
      </w:r>
    </w:p>
    <w:p>
      <w:pPr>
        <w:pStyle w:val="13"/>
        <w:tabs>
          <w:tab w:val="right" w:leader="dot" w:pos="8296"/>
        </w:tabs>
        <w:rPr>
          <w:sz w:val="20"/>
          <w:szCs w:val="20"/>
        </w:rPr>
      </w:pPr>
      <w:r>
        <w:fldChar w:fldCharType="begin"/>
      </w:r>
      <w:r>
        <w:instrText xml:space="preserve"> HYPERLINK \l "_Toc7509235" </w:instrText>
      </w:r>
      <w:r>
        <w:fldChar w:fldCharType="separate"/>
      </w:r>
      <w:r>
        <w:rPr>
          <w:rStyle w:val="18"/>
          <w:sz w:val="20"/>
          <w:szCs w:val="20"/>
        </w:rPr>
        <w:t>2.2 External testing dataset</w:t>
      </w:r>
      <w:r>
        <w:rPr>
          <w:sz w:val="20"/>
          <w:szCs w:val="20"/>
        </w:rPr>
        <w:tab/>
      </w:r>
      <w:r>
        <w:rPr>
          <w:sz w:val="20"/>
          <w:szCs w:val="20"/>
        </w:rPr>
        <w:fldChar w:fldCharType="begin"/>
      </w:r>
      <w:r>
        <w:rPr>
          <w:sz w:val="20"/>
          <w:szCs w:val="20"/>
        </w:rPr>
        <w:instrText xml:space="preserve"> PAGEREF _Toc7509235 \h </w:instrText>
      </w:r>
      <w:r>
        <w:rPr>
          <w:sz w:val="20"/>
          <w:szCs w:val="20"/>
        </w:rPr>
        <w:fldChar w:fldCharType="separate"/>
      </w:r>
      <w:r>
        <w:rPr>
          <w:sz w:val="20"/>
          <w:szCs w:val="20"/>
        </w:rPr>
        <w:t>12</w:t>
      </w:r>
      <w:r>
        <w:rPr>
          <w:sz w:val="20"/>
          <w:szCs w:val="20"/>
        </w:rPr>
        <w:fldChar w:fldCharType="end"/>
      </w:r>
      <w:r>
        <w:rPr>
          <w:sz w:val="20"/>
          <w:szCs w:val="20"/>
        </w:rPr>
        <w:fldChar w:fldCharType="end"/>
      </w:r>
    </w:p>
    <w:p>
      <w:pPr>
        <w:pStyle w:val="12"/>
        <w:tabs>
          <w:tab w:val="right" w:leader="dot" w:pos="8296"/>
        </w:tabs>
        <w:rPr>
          <w:rFonts w:asciiTheme="minorHAnsi" w:hAnsiTheme="minorHAnsi" w:cstheme="minorBidi"/>
          <w:b w:val="0"/>
          <w:sz w:val="20"/>
          <w:szCs w:val="20"/>
        </w:rPr>
      </w:pPr>
      <w:r>
        <w:fldChar w:fldCharType="begin"/>
      </w:r>
      <w:r>
        <w:instrText xml:space="preserve"> HYPERLINK \l "_Toc7509236" </w:instrText>
      </w:r>
      <w:r>
        <w:fldChar w:fldCharType="separate"/>
      </w:r>
      <w:r>
        <w:rPr>
          <w:rStyle w:val="18"/>
          <w:sz w:val="20"/>
          <w:szCs w:val="20"/>
        </w:rPr>
        <w:t>3 Model performance</w:t>
      </w:r>
      <w:r>
        <w:rPr>
          <w:sz w:val="20"/>
          <w:szCs w:val="20"/>
        </w:rPr>
        <w:tab/>
      </w:r>
      <w:r>
        <w:rPr>
          <w:sz w:val="20"/>
          <w:szCs w:val="20"/>
        </w:rPr>
        <w:fldChar w:fldCharType="begin"/>
      </w:r>
      <w:r>
        <w:rPr>
          <w:sz w:val="20"/>
          <w:szCs w:val="20"/>
        </w:rPr>
        <w:instrText xml:space="preserve"> PAGEREF _Toc7509236 \h </w:instrText>
      </w:r>
      <w:r>
        <w:rPr>
          <w:sz w:val="20"/>
          <w:szCs w:val="20"/>
        </w:rPr>
        <w:fldChar w:fldCharType="separate"/>
      </w:r>
      <w:r>
        <w:rPr>
          <w:sz w:val="20"/>
          <w:szCs w:val="20"/>
        </w:rPr>
        <w:t>12</w:t>
      </w:r>
      <w:r>
        <w:rPr>
          <w:sz w:val="20"/>
          <w:szCs w:val="20"/>
        </w:rPr>
        <w:fldChar w:fldCharType="end"/>
      </w:r>
      <w:r>
        <w:rPr>
          <w:sz w:val="20"/>
          <w:szCs w:val="20"/>
        </w:rPr>
        <w:fldChar w:fldCharType="end"/>
      </w:r>
    </w:p>
    <w:p>
      <w:pPr>
        <w:pStyle w:val="8"/>
        <w:tabs>
          <w:tab w:val="right" w:leader="dot" w:pos="8296"/>
        </w:tabs>
        <w:rPr>
          <w:rFonts w:cstheme="minorBidi"/>
          <w:kern w:val="2"/>
          <w:sz w:val="20"/>
          <w:szCs w:val="20"/>
        </w:rPr>
      </w:pPr>
      <w:r>
        <w:fldChar w:fldCharType="begin"/>
      </w:r>
      <w:r>
        <w:instrText xml:space="preserve"> HYPERLINK \l "_Toc7509237" </w:instrText>
      </w:r>
      <w:r>
        <w:fldChar w:fldCharType="separate"/>
      </w:r>
      <w:r>
        <w:rPr>
          <w:rStyle w:val="18"/>
          <w:sz w:val="20"/>
          <w:szCs w:val="20"/>
          <w:lang w:val="en-GB"/>
        </w:rPr>
        <w:t>Supplementary figure 2. Prediction performance comparison between MTDNN and RF</w:t>
      </w:r>
      <w:r>
        <w:rPr>
          <w:rStyle w:val="18"/>
          <w:sz w:val="20"/>
          <w:szCs w:val="20"/>
        </w:rPr>
        <w:t>s</w:t>
      </w:r>
      <w:bookmarkStart w:id="30" w:name="_GoBack"/>
      <w:bookmarkEnd w:id="30"/>
      <w:r>
        <w:rPr>
          <w:rStyle w:val="18"/>
          <w:sz w:val="20"/>
          <w:szCs w:val="20"/>
          <w:lang w:val="en-GB"/>
        </w:rPr>
        <w:t>.</w:t>
      </w:r>
      <w:r>
        <w:rPr>
          <w:sz w:val="20"/>
          <w:szCs w:val="20"/>
        </w:rPr>
        <w:tab/>
      </w:r>
      <w:r>
        <w:rPr>
          <w:sz w:val="20"/>
          <w:szCs w:val="20"/>
        </w:rPr>
        <w:fldChar w:fldCharType="begin"/>
      </w:r>
      <w:r>
        <w:rPr>
          <w:sz w:val="20"/>
          <w:szCs w:val="20"/>
        </w:rPr>
        <w:instrText xml:space="preserve"> PAGEREF _Toc7509237 \h </w:instrText>
      </w:r>
      <w:r>
        <w:rPr>
          <w:sz w:val="20"/>
          <w:szCs w:val="20"/>
        </w:rPr>
        <w:fldChar w:fldCharType="separate"/>
      </w:r>
      <w:r>
        <w:rPr>
          <w:sz w:val="20"/>
          <w:szCs w:val="20"/>
        </w:rPr>
        <w:t>12</w:t>
      </w:r>
      <w:r>
        <w:rPr>
          <w:sz w:val="20"/>
          <w:szCs w:val="20"/>
        </w:rPr>
        <w:fldChar w:fldCharType="end"/>
      </w:r>
      <w:r>
        <w:rPr>
          <w:sz w:val="20"/>
          <w:szCs w:val="20"/>
        </w:rPr>
        <w:fldChar w:fldCharType="end"/>
      </w:r>
    </w:p>
    <w:p>
      <w:pPr>
        <w:pStyle w:val="8"/>
        <w:tabs>
          <w:tab w:val="right" w:leader="dot" w:pos="8296"/>
        </w:tabs>
        <w:rPr>
          <w:rFonts w:cstheme="minorBidi"/>
          <w:kern w:val="2"/>
          <w:sz w:val="20"/>
          <w:szCs w:val="20"/>
        </w:rPr>
      </w:pPr>
      <w:r>
        <w:fldChar w:fldCharType="begin"/>
      </w:r>
      <w:r>
        <w:instrText xml:space="preserve"> HYPERLINK \l "_Toc7509238" </w:instrText>
      </w:r>
      <w:r>
        <w:fldChar w:fldCharType="separate"/>
      </w:r>
      <w:r>
        <w:rPr>
          <w:rStyle w:val="18"/>
          <w:sz w:val="20"/>
          <w:szCs w:val="20"/>
          <w:lang w:val="en-GB"/>
        </w:rPr>
        <w:t>Supplementary table 2. Prediction performance comparison between MTDNN and RF</w:t>
      </w:r>
      <w:r>
        <w:rPr>
          <w:rStyle w:val="18"/>
          <w:sz w:val="20"/>
          <w:szCs w:val="20"/>
        </w:rPr>
        <w:t>s</w:t>
      </w:r>
      <w:r>
        <w:rPr>
          <w:rStyle w:val="18"/>
          <w:sz w:val="20"/>
          <w:szCs w:val="20"/>
          <w:lang w:val="en-GB"/>
        </w:rPr>
        <w:t>.</w:t>
      </w:r>
      <w:r>
        <w:rPr>
          <w:sz w:val="20"/>
          <w:szCs w:val="20"/>
        </w:rPr>
        <w:tab/>
      </w:r>
      <w:r>
        <w:rPr>
          <w:sz w:val="20"/>
          <w:szCs w:val="20"/>
        </w:rPr>
        <w:fldChar w:fldCharType="begin"/>
      </w:r>
      <w:r>
        <w:rPr>
          <w:sz w:val="20"/>
          <w:szCs w:val="20"/>
        </w:rPr>
        <w:instrText xml:space="preserve"> PAGEREF _Toc7509238 \h </w:instrText>
      </w:r>
      <w:r>
        <w:rPr>
          <w:sz w:val="20"/>
          <w:szCs w:val="20"/>
        </w:rPr>
        <w:fldChar w:fldCharType="separate"/>
      </w:r>
      <w:r>
        <w:rPr>
          <w:sz w:val="20"/>
          <w:szCs w:val="20"/>
        </w:rPr>
        <w:t>13</w:t>
      </w:r>
      <w:r>
        <w:rPr>
          <w:sz w:val="20"/>
          <w:szCs w:val="20"/>
        </w:rPr>
        <w:fldChar w:fldCharType="end"/>
      </w:r>
      <w:r>
        <w:rPr>
          <w:sz w:val="20"/>
          <w:szCs w:val="20"/>
        </w:rPr>
        <w:fldChar w:fldCharType="end"/>
      </w:r>
    </w:p>
    <w:p>
      <w:pPr>
        <w:pStyle w:val="12"/>
        <w:tabs>
          <w:tab w:val="right" w:leader="dot" w:pos="8296"/>
        </w:tabs>
        <w:rPr>
          <w:rFonts w:asciiTheme="minorHAnsi" w:hAnsiTheme="minorHAnsi" w:cstheme="minorBidi"/>
          <w:b w:val="0"/>
          <w:sz w:val="20"/>
          <w:szCs w:val="20"/>
        </w:rPr>
      </w:pPr>
      <w:r>
        <w:fldChar w:fldCharType="begin"/>
      </w:r>
      <w:r>
        <w:instrText xml:space="preserve"> HYPERLINK \l "_Toc7509239" </w:instrText>
      </w:r>
      <w:r>
        <w:fldChar w:fldCharType="separate"/>
      </w:r>
      <w:r>
        <w:rPr>
          <w:rStyle w:val="18"/>
          <w:sz w:val="20"/>
          <w:szCs w:val="20"/>
        </w:rPr>
        <w:t>4 Case study</w:t>
      </w:r>
      <w:r>
        <w:rPr>
          <w:sz w:val="20"/>
          <w:szCs w:val="20"/>
        </w:rPr>
        <w:tab/>
      </w:r>
      <w:r>
        <w:rPr>
          <w:sz w:val="20"/>
          <w:szCs w:val="20"/>
        </w:rPr>
        <w:fldChar w:fldCharType="begin"/>
      </w:r>
      <w:r>
        <w:rPr>
          <w:sz w:val="20"/>
          <w:szCs w:val="20"/>
        </w:rPr>
        <w:instrText xml:space="preserve"> PAGEREF _Toc7509239 \h </w:instrText>
      </w:r>
      <w:r>
        <w:rPr>
          <w:sz w:val="20"/>
          <w:szCs w:val="20"/>
        </w:rPr>
        <w:fldChar w:fldCharType="separate"/>
      </w:r>
      <w:r>
        <w:rPr>
          <w:sz w:val="20"/>
          <w:szCs w:val="20"/>
        </w:rPr>
        <w:t>22</w:t>
      </w:r>
      <w:r>
        <w:rPr>
          <w:sz w:val="20"/>
          <w:szCs w:val="20"/>
        </w:rPr>
        <w:fldChar w:fldCharType="end"/>
      </w:r>
      <w:r>
        <w:rPr>
          <w:sz w:val="20"/>
          <w:szCs w:val="20"/>
        </w:rPr>
        <w:fldChar w:fldCharType="end"/>
      </w:r>
    </w:p>
    <w:p>
      <w:pPr>
        <w:pStyle w:val="8"/>
        <w:tabs>
          <w:tab w:val="right" w:leader="dot" w:pos="8296"/>
        </w:tabs>
        <w:rPr>
          <w:rFonts w:cstheme="minorBidi"/>
          <w:kern w:val="2"/>
          <w:sz w:val="20"/>
          <w:szCs w:val="20"/>
        </w:rPr>
      </w:pPr>
      <w:r>
        <w:fldChar w:fldCharType="begin"/>
      </w:r>
      <w:r>
        <w:instrText xml:space="preserve"> HYPERLINK \l "_Toc7509240" </w:instrText>
      </w:r>
      <w:r>
        <w:fldChar w:fldCharType="separate"/>
      </w:r>
      <w:r>
        <w:rPr>
          <w:rStyle w:val="18"/>
          <w:sz w:val="20"/>
          <w:szCs w:val="20"/>
        </w:rPr>
        <w:t>Supplementary figure 3. Kinome map and selectivity of the predicted and experimental bioactivities of NVP-BHG712..</w:t>
      </w:r>
      <w:r>
        <w:rPr>
          <w:sz w:val="20"/>
          <w:szCs w:val="20"/>
        </w:rPr>
        <w:tab/>
      </w:r>
      <w:r>
        <w:rPr>
          <w:sz w:val="20"/>
          <w:szCs w:val="20"/>
        </w:rPr>
        <w:fldChar w:fldCharType="begin"/>
      </w:r>
      <w:r>
        <w:rPr>
          <w:sz w:val="20"/>
          <w:szCs w:val="20"/>
        </w:rPr>
        <w:instrText xml:space="preserve"> PAGEREF _Toc7509240 \h </w:instrText>
      </w:r>
      <w:r>
        <w:rPr>
          <w:sz w:val="20"/>
          <w:szCs w:val="20"/>
        </w:rPr>
        <w:fldChar w:fldCharType="separate"/>
      </w:r>
      <w:r>
        <w:rPr>
          <w:sz w:val="20"/>
          <w:szCs w:val="20"/>
        </w:rPr>
        <w:t>23</w:t>
      </w:r>
      <w:r>
        <w:rPr>
          <w:sz w:val="20"/>
          <w:szCs w:val="20"/>
        </w:rPr>
        <w:fldChar w:fldCharType="end"/>
      </w:r>
      <w:r>
        <w:rPr>
          <w:sz w:val="20"/>
          <w:szCs w:val="20"/>
        </w:rPr>
        <w:fldChar w:fldCharType="end"/>
      </w:r>
    </w:p>
    <w:p>
      <w:pPr>
        <w:pStyle w:val="8"/>
        <w:tabs>
          <w:tab w:val="right" w:leader="dot" w:pos="8296"/>
        </w:tabs>
        <w:rPr>
          <w:rFonts w:cstheme="minorBidi"/>
          <w:kern w:val="2"/>
          <w:sz w:val="20"/>
          <w:szCs w:val="20"/>
        </w:rPr>
      </w:pPr>
      <w:r>
        <w:fldChar w:fldCharType="begin"/>
      </w:r>
      <w:r>
        <w:instrText xml:space="preserve"> HYPERLINK \l "_Toc7509241" </w:instrText>
      </w:r>
      <w:r>
        <w:fldChar w:fldCharType="separate"/>
      </w:r>
      <w:r>
        <w:rPr>
          <w:rStyle w:val="18"/>
          <w:sz w:val="20"/>
          <w:szCs w:val="20"/>
        </w:rPr>
        <w:t>Supplementary table 3. The predicted activity probability and experimental %activity of NVP-BHG712.</w:t>
      </w:r>
      <w:r>
        <w:rPr>
          <w:sz w:val="20"/>
          <w:szCs w:val="20"/>
        </w:rPr>
        <w:tab/>
      </w:r>
      <w:r>
        <w:rPr>
          <w:sz w:val="20"/>
          <w:szCs w:val="20"/>
        </w:rPr>
        <w:fldChar w:fldCharType="begin"/>
      </w:r>
      <w:r>
        <w:rPr>
          <w:sz w:val="20"/>
          <w:szCs w:val="20"/>
        </w:rPr>
        <w:instrText xml:space="preserve"> PAGEREF _Toc7509241 \h </w:instrText>
      </w:r>
      <w:r>
        <w:rPr>
          <w:sz w:val="20"/>
          <w:szCs w:val="20"/>
        </w:rPr>
        <w:fldChar w:fldCharType="separate"/>
      </w:r>
      <w:r>
        <w:rPr>
          <w:sz w:val="20"/>
          <w:szCs w:val="20"/>
        </w:rPr>
        <w:t>24</w:t>
      </w:r>
      <w:r>
        <w:rPr>
          <w:sz w:val="20"/>
          <w:szCs w:val="20"/>
        </w:rPr>
        <w:fldChar w:fldCharType="end"/>
      </w:r>
      <w:r>
        <w:rPr>
          <w:sz w:val="20"/>
          <w:szCs w:val="20"/>
        </w:rPr>
        <w:fldChar w:fldCharType="end"/>
      </w:r>
    </w:p>
    <w:p>
      <w:pPr>
        <w:pStyle w:val="12"/>
        <w:tabs>
          <w:tab w:val="right" w:leader="dot" w:pos="8296"/>
        </w:tabs>
        <w:rPr>
          <w:rFonts w:asciiTheme="minorHAnsi" w:hAnsiTheme="minorHAnsi" w:cstheme="minorBidi"/>
          <w:b w:val="0"/>
          <w:sz w:val="20"/>
          <w:szCs w:val="20"/>
        </w:rPr>
      </w:pPr>
      <w:r>
        <w:fldChar w:fldCharType="begin"/>
      </w:r>
      <w:r>
        <w:instrText xml:space="preserve"> HYPERLINK \l "_Toc7509242" </w:instrText>
      </w:r>
      <w:r>
        <w:fldChar w:fldCharType="separate"/>
      </w:r>
      <w:r>
        <w:rPr>
          <w:rStyle w:val="18"/>
          <w:sz w:val="20"/>
          <w:szCs w:val="20"/>
        </w:rPr>
        <w:t>5 Computational methods</w:t>
      </w:r>
      <w:r>
        <w:rPr>
          <w:sz w:val="20"/>
          <w:szCs w:val="20"/>
        </w:rPr>
        <w:tab/>
      </w:r>
      <w:r>
        <w:rPr>
          <w:sz w:val="20"/>
          <w:szCs w:val="20"/>
        </w:rPr>
        <w:fldChar w:fldCharType="begin"/>
      </w:r>
      <w:r>
        <w:rPr>
          <w:sz w:val="20"/>
          <w:szCs w:val="20"/>
        </w:rPr>
        <w:instrText xml:space="preserve"> PAGEREF _Toc7509242 \h </w:instrText>
      </w:r>
      <w:r>
        <w:rPr>
          <w:sz w:val="20"/>
          <w:szCs w:val="20"/>
        </w:rPr>
        <w:fldChar w:fldCharType="separate"/>
      </w:r>
      <w:r>
        <w:rPr>
          <w:sz w:val="20"/>
          <w:szCs w:val="20"/>
        </w:rPr>
        <w:t>31</w:t>
      </w:r>
      <w:r>
        <w:rPr>
          <w:sz w:val="20"/>
          <w:szCs w:val="20"/>
        </w:rPr>
        <w:fldChar w:fldCharType="end"/>
      </w:r>
      <w:r>
        <w:rPr>
          <w:sz w:val="20"/>
          <w:szCs w:val="20"/>
        </w:rPr>
        <w:fldChar w:fldCharType="end"/>
      </w:r>
    </w:p>
    <w:p>
      <w:pPr>
        <w:pStyle w:val="12"/>
        <w:tabs>
          <w:tab w:val="right" w:leader="dot" w:pos="8296"/>
        </w:tabs>
        <w:rPr>
          <w:rFonts w:asciiTheme="minorHAnsi" w:hAnsiTheme="minorHAnsi" w:cstheme="minorBidi"/>
          <w:b w:val="0"/>
          <w:sz w:val="21"/>
          <w:szCs w:val="22"/>
        </w:rPr>
      </w:pPr>
      <w:r>
        <w:fldChar w:fldCharType="begin"/>
      </w:r>
      <w:r>
        <w:instrText xml:space="preserve"> HYPERLINK \l "_Toc7509243" </w:instrText>
      </w:r>
      <w:r>
        <w:fldChar w:fldCharType="separate"/>
      </w:r>
      <w:r>
        <w:rPr>
          <w:rStyle w:val="18"/>
          <w:sz w:val="20"/>
          <w:szCs w:val="20"/>
        </w:rPr>
        <w:t>References</w:t>
      </w:r>
      <w:r>
        <w:rPr>
          <w:sz w:val="20"/>
          <w:szCs w:val="20"/>
        </w:rPr>
        <w:tab/>
      </w:r>
      <w:r>
        <w:rPr>
          <w:sz w:val="20"/>
          <w:szCs w:val="20"/>
        </w:rPr>
        <w:fldChar w:fldCharType="begin"/>
      </w:r>
      <w:r>
        <w:rPr>
          <w:sz w:val="20"/>
          <w:szCs w:val="20"/>
        </w:rPr>
        <w:instrText xml:space="preserve"> PAGEREF _Toc7509243 \h </w:instrText>
      </w:r>
      <w:r>
        <w:rPr>
          <w:sz w:val="20"/>
          <w:szCs w:val="20"/>
        </w:rPr>
        <w:fldChar w:fldCharType="separate"/>
      </w:r>
      <w:r>
        <w:rPr>
          <w:sz w:val="20"/>
          <w:szCs w:val="20"/>
        </w:rPr>
        <w:t>31</w:t>
      </w:r>
      <w:r>
        <w:rPr>
          <w:sz w:val="20"/>
          <w:szCs w:val="20"/>
        </w:rPr>
        <w:fldChar w:fldCharType="end"/>
      </w:r>
      <w:r>
        <w:rPr>
          <w:sz w:val="20"/>
          <w:szCs w:val="20"/>
        </w:rPr>
        <w:fldChar w:fldCharType="end"/>
      </w:r>
    </w:p>
    <w:p>
      <w:pPr>
        <w:rPr>
          <w:rFonts w:ascii="Times New Roman" w:hAnsi="Times New Roman" w:cs="Times New Roman"/>
          <w:b/>
          <w:sz w:val="22"/>
        </w:rPr>
      </w:pPr>
      <w:r>
        <w:fldChar w:fldCharType="end"/>
      </w:r>
    </w:p>
    <w:p>
      <w:pPr>
        <w:widowControl/>
        <w:jc w:val="distribute"/>
        <w:rPr>
          <w:rFonts w:ascii="Times New Roman" w:hAnsi="Times New Roman" w:cs="Times New Roman"/>
          <w:b/>
          <w:sz w:val="22"/>
        </w:rPr>
      </w:pPr>
    </w:p>
    <w:p>
      <w:pPr>
        <w:widowControl/>
        <w:jc w:val="distribute"/>
        <w:rPr>
          <w:rFonts w:ascii="Times New Roman" w:hAnsi="Times New Roman" w:cs="Times New Roman"/>
          <w:b/>
          <w:sz w:val="22"/>
        </w:rPr>
      </w:pPr>
    </w:p>
    <w:p>
      <w:pPr>
        <w:widowControl/>
        <w:jc w:val="left"/>
        <w:rPr>
          <w:rFonts w:ascii="Times New Roman" w:hAnsi="Times New Roman" w:cs="Times New Roman"/>
          <w:b/>
          <w:sz w:val="22"/>
        </w:rPr>
      </w:pPr>
      <w:r>
        <w:rPr>
          <w:rFonts w:ascii="Times New Roman" w:hAnsi="Times New Roman" w:cs="Times New Roman"/>
          <w:b/>
          <w:sz w:val="22"/>
        </w:rPr>
        <w:br w:type="page"/>
      </w:r>
    </w:p>
    <w:p>
      <w:pPr>
        <w:pStyle w:val="2"/>
        <w:numPr>
          <w:ilvl w:val="0"/>
          <w:numId w:val="0"/>
        </w:numPr>
        <w:ind w:left="357" w:hanging="357"/>
        <w:rPr>
          <w:lang w:eastAsia="zh-CN"/>
        </w:rPr>
      </w:pPr>
      <w:bookmarkStart w:id="0" w:name="_Toc7509228"/>
      <w:bookmarkStart w:id="1" w:name="_Toc2712877"/>
      <w:bookmarkStart w:id="2" w:name="_Toc2697473"/>
      <w:r>
        <w:rPr>
          <w:rFonts w:hint="eastAsia"/>
          <w:lang w:eastAsia="zh-CN"/>
        </w:rPr>
        <w:t>1 Methods</w:t>
      </w:r>
      <w:bookmarkEnd w:id="0"/>
    </w:p>
    <w:p>
      <w:pPr>
        <w:pStyle w:val="3"/>
        <w:tabs>
          <w:tab w:val="clear" w:pos="720"/>
        </w:tabs>
      </w:pPr>
      <w:bookmarkStart w:id="3" w:name="_Toc7509229"/>
      <w:r>
        <w:rPr>
          <w:rFonts w:hint="eastAsia"/>
        </w:rPr>
        <w:t xml:space="preserve">1.1 The scheme </w:t>
      </w:r>
      <w:r>
        <w:t>of model building and evaluation</w:t>
      </w:r>
      <w:bookmarkEnd w:id="3"/>
    </w:p>
    <w:p>
      <w:r>
        <w:rPr>
          <w:rFonts w:hint="eastAsia"/>
        </w:rPr>
        <w:drawing>
          <wp:inline distT="0" distB="0" distL="0" distR="0">
            <wp:extent cx="5274310" cy="508063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5080635"/>
                    </a:xfrm>
                    <a:prstGeom prst="rect">
                      <a:avLst/>
                    </a:prstGeom>
                  </pic:spPr>
                </pic:pic>
              </a:graphicData>
            </a:graphic>
          </wp:inline>
        </w:drawing>
      </w:r>
    </w:p>
    <w:p>
      <w:pPr>
        <w:pStyle w:val="4"/>
      </w:pPr>
      <w:bookmarkStart w:id="4" w:name="_Toc7509230"/>
      <w:r>
        <w:t>Supplementary f</w:t>
      </w:r>
      <w:r>
        <w:rPr>
          <w:rFonts w:hint="eastAsia"/>
        </w:rPr>
        <w:t xml:space="preserve">igure 1. </w:t>
      </w:r>
      <w:r>
        <w:rPr>
          <w:rFonts w:hint="eastAsia"/>
          <w:b w:val="0"/>
        </w:rPr>
        <w:t xml:space="preserve">The scheme </w:t>
      </w:r>
      <w:r>
        <w:rPr>
          <w:b w:val="0"/>
        </w:rPr>
        <w:t>of model building and evaluation.</w:t>
      </w:r>
      <w:bookmarkEnd w:id="4"/>
    </w:p>
    <w:p>
      <w:pPr>
        <w:pStyle w:val="3"/>
        <w:tabs>
          <w:tab w:val="clear" w:pos="720"/>
        </w:tabs>
      </w:pPr>
      <w:bookmarkStart w:id="5" w:name="_Toc7509231"/>
      <w:r>
        <w:rPr>
          <w:rFonts w:hint="eastAsia"/>
        </w:rPr>
        <w:t>1.2</w:t>
      </w:r>
      <w:r>
        <w:t xml:space="preserve"> Definitions </w:t>
      </w:r>
      <w:r>
        <w:rPr>
          <w:rFonts w:hint="eastAsia"/>
        </w:rPr>
        <w:t>of</w:t>
      </w:r>
      <w:r>
        <w:t xml:space="preserve"> </w:t>
      </w:r>
      <w:r>
        <w:rPr>
          <w:rFonts w:hint="eastAsia"/>
        </w:rPr>
        <w:t>sub-family</w:t>
      </w:r>
      <w:r>
        <w:t xml:space="preserve"> </w:t>
      </w:r>
      <w:r>
        <w:rPr>
          <w:rFonts w:hint="eastAsia"/>
        </w:rPr>
        <w:t>selectivity</w:t>
      </w:r>
      <w:bookmarkEnd w:id="5"/>
    </w:p>
    <w:p>
      <w:pPr>
        <w:pStyle w:val="5"/>
      </w:pPr>
      <w:r>
        <w:rPr>
          <w:rFonts w:hint="eastAsia"/>
          <w:lang w:eastAsia="zh-CN"/>
        </w:rPr>
        <w:t>W</w:t>
      </w:r>
      <w:r>
        <w:rPr>
          <w:rFonts w:hint="eastAsia"/>
        </w:rPr>
        <w:t>e defined the odds ratio (OR) as a measure of group-specific selectivity</w:t>
      </w:r>
      <w:r>
        <w:t xml:space="preserve"> </w:t>
      </w:r>
      <w:r>
        <w:fldChar w:fldCharType="begin"/>
      </w:r>
      <w:r>
        <w:instrText xml:space="preserve"> ADDIN EN.CITE &lt;EndNote&gt;&lt;Cite&gt;&lt;Author&gt;Bland&lt;/Author&gt;&lt;Year&gt;2000&lt;/Year&gt;&lt;RecNum&gt;247&lt;/RecNum&gt;&lt;DisplayText&gt;(Bland, et al., 2000)&lt;/DisplayText&gt;&lt;record&gt;&lt;rec-number&gt;247&lt;/rec-number&gt;&lt;foreign-keys&gt;&lt;key app="EN" db-id="2ap5efrtjztv2weadtq59xsufax9x2dr9dww" timestamp="1547607565"&gt;247&lt;/key&gt;&lt;/foreign-keys&gt;&lt;ref-type name="Journal Article"&gt;17&lt;/ref-type&gt;&lt;contributors&gt;&lt;authors&gt;&lt;author&gt;Bland, J M,&lt;/author&gt;&lt;author&gt;Altman, D G,&lt;/author&gt;&lt;/authors&gt;&lt;/contributors&gt;&lt;titles&gt;&lt;title&gt;Statistics notes. The odds ratio&lt;/title&gt;&lt;secondary-title&gt;Bmj&lt;/secondary-title&gt;&lt;/titles&gt;&lt;periodical&gt;&lt;full-title&gt;Bmj&lt;/full-title&gt;&lt;/periodical&gt;&lt;pages&gt;1468-1468&lt;/pages&gt;&lt;volume&gt;320&lt;/volume&gt;&lt;number&gt;7247&lt;/number&gt;&lt;keywords&gt;&lt;keyword&gt;Odds Ratio&lt;/keyword&gt;&lt;/keywords&gt;&lt;dates&gt;&lt;year&gt;2000&lt;/year&gt;&lt;/dates&gt;&lt;urls&gt;&lt;/urls&gt;&lt;/record&gt;&lt;/Cite&gt;&lt;/EndNote&gt;</w:instrText>
      </w:r>
      <w:r>
        <w:fldChar w:fldCharType="separate"/>
      </w:r>
      <w:r>
        <w:t>(Bland, et al., 2000)</w:t>
      </w:r>
      <w:r>
        <w:fldChar w:fldCharType="end"/>
      </w:r>
      <w:r>
        <w:rPr>
          <w:rFonts w:hint="eastAsia"/>
        </w:rPr>
        <w:t>. For example, to calculate the strength of the association between an inhibitor for the group of TK, the OR statistic can be calculated as:</w:t>
      </w:r>
    </w:p>
    <w:p>
      <w:pPr>
        <w:pStyle w:val="30"/>
        <w:ind w:firstLine="720"/>
        <w:jc w:val="center"/>
      </w:pPr>
      <w:r>
        <w:rPr>
          <w:rFonts w:hint="eastAsia"/>
        </w:rPr>
        <w:t>OR = (N</w:t>
      </w:r>
      <w:r>
        <w:rPr>
          <w:rFonts w:hint="eastAsia"/>
          <w:vertAlign w:val="subscript"/>
        </w:rPr>
        <w:t>TP</w:t>
      </w:r>
      <w:r>
        <w:rPr>
          <w:rFonts w:hint="eastAsia"/>
        </w:rPr>
        <w:t>/N</w:t>
      </w:r>
      <w:r>
        <w:rPr>
          <w:rFonts w:hint="eastAsia"/>
          <w:vertAlign w:val="subscript"/>
        </w:rPr>
        <w:t>OP</w:t>
      </w:r>
      <w:r>
        <w:rPr>
          <w:rFonts w:hint="eastAsia"/>
        </w:rPr>
        <w:t>)/(N</w:t>
      </w:r>
      <w:r>
        <w:rPr>
          <w:rFonts w:hint="eastAsia"/>
          <w:vertAlign w:val="subscript"/>
        </w:rPr>
        <w:t>TN</w:t>
      </w:r>
      <w:r>
        <w:rPr>
          <w:rFonts w:hint="eastAsia"/>
        </w:rPr>
        <w:t>/N</w:t>
      </w:r>
      <w:r>
        <w:rPr>
          <w:rFonts w:hint="eastAsia"/>
          <w:vertAlign w:val="subscript"/>
        </w:rPr>
        <w:t>ON</w:t>
      </w:r>
      <w:r>
        <w:rPr>
          <w:rFonts w:hint="eastAsia"/>
        </w:rPr>
        <w:t>)   ,</w:t>
      </w:r>
    </w:p>
    <w:p>
      <w:pPr>
        <w:rPr>
          <w:rFonts w:ascii="Times New Roman" w:hAnsi="Times New Roman" w:cs="Times New Roman"/>
          <w:sz w:val="16"/>
          <w:szCs w:val="16"/>
          <w:lang w:eastAsia="en-US"/>
        </w:rPr>
      </w:pPr>
      <w:r>
        <w:rPr>
          <w:rFonts w:ascii="Times New Roman" w:hAnsi="Times New Roman" w:cs="Times New Roman"/>
          <w:sz w:val="16"/>
          <w:szCs w:val="16"/>
        </w:rPr>
        <w:t>where N</w:t>
      </w:r>
      <w:r>
        <w:rPr>
          <w:rFonts w:ascii="Times New Roman" w:hAnsi="Times New Roman" w:cs="Times New Roman"/>
          <w:sz w:val="16"/>
          <w:szCs w:val="16"/>
          <w:vertAlign w:val="subscript"/>
        </w:rPr>
        <w:t>TP</w:t>
      </w:r>
      <w:r>
        <w:rPr>
          <w:rFonts w:ascii="Times New Roman" w:hAnsi="Times New Roman" w:cs="Times New Roman"/>
          <w:sz w:val="16"/>
          <w:szCs w:val="16"/>
        </w:rPr>
        <w:t xml:space="preserve"> refers to the number of positive interactions of the inhibitor within the TK family and N</w:t>
      </w:r>
      <w:r>
        <w:rPr>
          <w:rFonts w:ascii="Times New Roman" w:hAnsi="Times New Roman" w:cs="Times New Roman"/>
          <w:sz w:val="16"/>
          <w:szCs w:val="16"/>
          <w:vertAlign w:val="subscript"/>
        </w:rPr>
        <w:t>OP</w:t>
      </w:r>
      <w:r>
        <w:rPr>
          <w:rFonts w:ascii="Times New Roman" w:hAnsi="Times New Roman" w:cs="Times New Roman"/>
          <w:sz w:val="16"/>
          <w:szCs w:val="16"/>
        </w:rPr>
        <w:t xml:space="preserve"> refers to the number of its positive interactions with kinases other than TK. Similarly, N</w:t>
      </w:r>
      <w:r>
        <w:rPr>
          <w:rFonts w:ascii="Times New Roman" w:hAnsi="Times New Roman" w:cs="Times New Roman"/>
          <w:sz w:val="16"/>
          <w:szCs w:val="16"/>
          <w:vertAlign w:val="subscript"/>
        </w:rPr>
        <w:t>TN</w:t>
      </w:r>
      <w:r>
        <w:rPr>
          <w:rFonts w:ascii="Times New Roman" w:hAnsi="Times New Roman" w:cs="Times New Roman"/>
          <w:sz w:val="16"/>
          <w:szCs w:val="16"/>
        </w:rPr>
        <w:t xml:space="preserve"> and N</w:t>
      </w:r>
      <w:r>
        <w:rPr>
          <w:rFonts w:ascii="Times New Roman" w:hAnsi="Times New Roman" w:cs="Times New Roman"/>
          <w:sz w:val="16"/>
          <w:szCs w:val="16"/>
          <w:vertAlign w:val="subscript"/>
        </w:rPr>
        <w:t xml:space="preserve">ON </w:t>
      </w:r>
      <w:r>
        <w:rPr>
          <w:rFonts w:ascii="Times New Roman" w:hAnsi="Times New Roman" w:cs="Times New Roman"/>
          <w:sz w:val="16"/>
          <w:szCs w:val="16"/>
        </w:rPr>
        <w:t>are defined as the number of negative interactions for TK and other kinases, respectively. If the OR is significantly greater than 1.0, the kinases inhibited by this inhibitor can be considered to be enriched in the TK group, indicating that the inhibitor is TK-selective</w:t>
      </w:r>
    </w:p>
    <w:p>
      <w:pPr>
        <w:pStyle w:val="2"/>
        <w:numPr>
          <w:ilvl w:val="0"/>
          <w:numId w:val="0"/>
        </w:numPr>
        <w:ind w:left="357" w:hanging="357"/>
      </w:pPr>
      <w:bookmarkStart w:id="6" w:name="_Toc7509232"/>
      <w:r>
        <w:t>2 Datasets</w:t>
      </w:r>
      <w:bookmarkEnd w:id="1"/>
      <w:bookmarkEnd w:id="2"/>
      <w:bookmarkEnd w:id="6"/>
    </w:p>
    <w:p>
      <w:pPr>
        <w:pStyle w:val="3"/>
        <w:tabs>
          <w:tab w:val="clear" w:pos="720"/>
        </w:tabs>
      </w:pPr>
      <w:bookmarkStart w:id="7" w:name="_Toc2712878"/>
      <w:bookmarkStart w:id="8" w:name="_Toc7509233"/>
      <w:bookmarkStart w:id="9" w:name="_Toc2697474"/>
      <w:r>
        <w:t>2.1 Modelling dataset</w:t>
      </w:r>
      <w:bookmarkEnd w:id="7"/>
      <w:bookmarkEnd w:id="8"/>
      <w:bookmarkEnd w:id="9"/>
    </w:p>
    <w:p>
      <w:pPr>
        <w:pStyle w:val="5"/>
      </w:pPr>
      <w:r>
        <w:t>We merged Kinase SARfari database version 6.00 (</w:t>
      </w:r>
      <w:r>
        <w:rPr>
          <w:rStyle w:val="18"/>
          <w:rFonts w:hint="eastAsia"/>
        </w:rPr>
        <w:t>https://chembl.gitbook.io/chembl-interface-documentation/legacy-resources#kinase-sarfari</w:t>
      </w:r>
      <w:r>
        <w:t xml:space="preserve">) and the Metz dataset </w:t>
      </w:r>
      <w:r>
        <w:fldChar w:fldCharType="begin"/>
      </w:r>
      <w:r>
        <w:instrText xml:space="preserve"> ADDIN EN.CITE &lt;EndNote&gt;&lt;Cite&gt;&lt;Author&gt;Metz&lt;/Author&gt;&lt;Year&gt;2011&lt;/Year&gt;&lt;RecNum&gt;37&lt;/RecNum&gt;&lt;DisplayText&gt;(Metz, et al., 2011)&lt;/DisplayText&gt;&lt;record&gt;&lt;rec-number&gt;37&lt;/rec-number&gt;&lt;foreign-keys&gt;&lt;key app="EN" db-id="2ap5efrtjztv2weadtq59xsufax9x2dr9dww" timestamp="1546859684"&gt;37&lt;/key&gt;&lt;/foreign-keys&gt;&lt;ref-type name="Journal Article"&gt;17&lt;/ref-type&gt;&lt;contributors&gt;&lt;authors&gt;&lt;author&gt;Metz, James T,&lt;/author&gt;&lt;author&gt;Johnson, Eric F,&lt;/author&gt;&lt;author&gt;Soni, Niru B,&lt;/author&gt;&lt;author&gt;Merta, Philip J,&lt;/author&gt;&lt;author&gt;Lemma, Kifle&lt;/author&gt;&lt;author&gt;Hajduk, Philip J,&lt;/author&gt;&lt;/authors&gt;&lt;/contributors&gt;&lt;titles&gt;&lt;title&gt;Navigating the kinome&lt;/title&gt;&lt;secondary-title&gt;Nature Chemical Biology&lt;/secondary-title&gt;&lt;/titles&gt;&lt;periodical&gt;&lt;full-title&gt;Nature Chemical Biology&lt;/full-title&gt;&lt;/periodical&gt;&lt;pages&gt;200-202&lt;/pages&gt;&lt;volume&gt;7&lt;/volume&gt;&lt;number&gt;4&lt;/number&gt;&lt;dates&gt;&lt;year&gt;2011&lt;/year&gt;&lt;/dates&gt;&lt;urls&gt;&lt;/urls&gt;&lt;/record&gt;&lt;/Cite&gt;&lt;/EndNote&gt;</w:instrText>
      </w:r>
      <w:r>
        <w:fldChar w:fldCharType="separate"/>
      </w:r>
      <w:r>
        <w:t>(Metz, et al., 2011)</w:t>
      </w:r>
      <w:r>
        <w:fldChar w:fldCharType="end"/>
      </w:r>
      <w:r>
        <w:t xml:space="preserve"> to generate the model. The inhibition activity in the merged dataset was converted to two classes: active (pKi/pKd/pIC50 ≥ 6) and inactive (pKi/pKd/pIC50＜6). After the deletion of mutant kinases and kinases without both active and inactive data points, the final dataset contains over 170,000 bioactivity data points composed of 391 kinases (Supplementary table 1) and ~32,000 compounds. The dataset is divided into 80% training and 20% testing datasets by random selection of compounds. The information of kinases and numbers of positive and negative samples for each kinase in modelling dataset are shown in supplementary table 1, and the exact modelling dataset can be downloaded from </w:t>
      </w:r>
      <w:r>
        <w:fldChar w:fldCharType="begin"/>
      </w:r>
      <w:r>
        <w:instrText xml:space="preserve"> HYPERLINK "https://kinome.dddc.ac.cn/en/page/about/" </w:instrText>
      </w:r>
      <w:r>
        <w:fldChar w:fldCharType="separate"/>
      </w:r>
      <w:r>
        <w:rPr>
          <w:rStyle w:val="18"/>
          <w:rFonts w:hint="eastAsia"/>
        </w:rPr>
        <w:t>https://kinome.dddc.ac.cn/en/page/about/</w:t>
      </w:r>
      <w:r>
        <w:rPr>
          <w:rStyle w:val="18"/>
          <w:rFonts w:hint="eastAsia"/>
        </w:rPr>
        <w:fldChar w:fldCharType="end"/>
      </w:r>
      <w:r>
        <w:t>.</w:t>
      </w:r>
    </w:p>
    <w:p>
      <w:pPr>
        <w:pStyle w:val="4"/>
      </w:pPr>
    </w:p>
    <w:p>
      <w:pPr>
        <w:pStyle w:val="4"/>
      </w:pPr>
      <w:bookmarkStart w:id="10" w:name="_Toc7509234"/>
      <w:r>
        <w:t xml:space="preserve">Supplementary table 1. </w:t>
      </w:r>
      <w:r>
        <w:rPr>
          <w:b w:val="0"/>
        </w:rPr>
        <w:t>The information of predictable kinases.</w:t>
      </w:r>
      <w:bookmarkEnd w:id="10"/>
    </w:p>
    <w:tbl>
      <w:tblPr>
        <w:tblStyle w:val="20"/>
        <w:tblW w:w="8534"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62"/>
        <w:gridCol w:w="1162"/>
        <w:gridCol w:w="1344"/>
        <w:gridCol w:w="1622"/>
        <w:gridCol w:w="1622"/>
        <w:gridCol w:w="162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00" w:hRule="atLeast"/>
          <w:jc w:val="center"/>
        </w:trPr>
        <w:tc>
          <w:tcPr>
            <w:tcW w:w="1162" w:type="dxa"/>
            <w:tcBorders>
              <w:top w:val="single" w:color="auto" w:sz="4" w:space="0"/>
              <w:bottom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UniProt ID</w:t>
            </w:r>
          </w:p>
        </w:tc>
        <w:tc>
          <w:tcPr>
            <w:tcW w:w="1162" w:type="dxa"/>
            <w:tcBorders>
              <w:top w:val="single" w:color="auto" w:sz="4" w:space="0"/>
              <w:bottom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Name</w:t>
            </w:r>
          </w:p>
        </w:tc>
        <w:tc>
          <w:tcPr>
            <w:tcW w:w="1344" w:type="dxa"/>
            <w:tcBorders>
              <w:top w:val="single" w:color="auto" w:sz="4" w:space="0"/>
              <w:bottom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Classification</w:t>
            </w:r>
          </w:p>
        </w:tc>
        <w:tc>
          <w:tcPr>
            <w:tcW w:w="1622" w:type="dxa"/>
            <w:tcBorders>
              <w:top w:val="single" w:color="auto" w:sz="4" w:space="0"/>
              <w:bottom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Organism</w:t>
            </w:r>
          </w:p>
        </w:tc>
        <w:tc>
          <w:tcPr>
            <w:tcW w:w="1622" w:type="dxa"/>
            <w:tcBorders>
              <w:top w:val="single" w:color="auto" w:sz="4" w:space="0"/>
              <w:bottom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number of positive samples</w:t>
            </w:r>
          </w:p>
        </w:tc>
        <w:tc>
          <w:tcPr>
            <w:tcW w:w="1622" w:type="dxa"/>
            <w:tcBorders>
              <w:top w:val="single" w:color="auto" w:sz="4" w:space="0"/>
              <w:bottom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number of negative samples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tcBorders>
              <w:top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Q9HAZ1</w:t>
            </w:r>
          </w:p>
        </w:tc>
        <w:tc>
          <w:tcPr>
            <w:tcW w:w="1162" w:type="dxa"/>
            <w:tcBorders>
              <w:top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hCLK4</w:t>
            </w:r>
          </w:p>
        </w:tc>
        <w:tc>
          <w:tcPr>
            <w:tcW w:w="1344" w:type="dxa"/>
            <w:tcBorders>
              <w:top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tcBorders>
              <w:top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tcBorders>
              <w:top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568</w:t>
            </w:r>
          </w:p>
        </w:tc>
        <w:tc>
          <w:tcPr>
            <w:tcW w:w="1622" w:type="dxa"/>
            <w:tcBorders>
              <w:top w:val="single" w:color="auto" w:sz="4" w:space="0"/>
            </w:tcBorders>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P49760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hCLK2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259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693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P36894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hBMPR1A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Q59H18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hTNNI3K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P80192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hMAP3K9</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Q9UQ88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hPITSLREb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Q9Y4K4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hMAP4K5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247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O00506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hSTK25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Q14164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hIKBKE</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P27361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hERK1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Q96RR4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Q9H1R3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hMYLK2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P26618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mPDGFRa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P15056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hBRAF</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345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Q9UKE5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hTNIK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Q13470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hTNK1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Q13627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hDYRK1A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337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P42679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hMATK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P11799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gMYLK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Gallus gallus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P57059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hSNF1LK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O14733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hMKK7</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Q96L34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hMARK4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Q9H3Y6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hSRMS</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Q9Y616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hIRAK3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Q9BYT3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hSTK33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P50613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hCDK7</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O15530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hPDPK1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O95747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hOXSR1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Q13882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hPTK6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Q13554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hCAMK2B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Q9WUI1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mMAPK11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P22694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hPKAb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P00516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bPRKG1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Bos taurus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O94804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hSTK10</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O14757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hChk1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1096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O75385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hULK1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P04409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bPKCa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Bos taurus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P52333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hJAK3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P70618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rp38a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P05771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hPKCb1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267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O75914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hPAK3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P35916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hVEGFR3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P49840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hGSK3a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522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Q92918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hMAP4K1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P48730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hCSNK1D</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CK1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Q9H2X6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hHIPK2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207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Q8NFD2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hANKK1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P42681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hTXK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P08631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hHCK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194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P53350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hPLK1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300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P53779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hJNK3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Q64725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rSYK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Q6DT37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hCDC42BPG</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P36896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hALK4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Q9BXA7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hTSSK1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Q9JI10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mSTK3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Q92772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hCDKL2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Q06187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hBTK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Q9NR20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hDYRK4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Q9Y6E0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hSTK24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P16234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hPDGFRa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310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Q96SB4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hSRPK1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P05480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mSRC</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Q8TDX7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hNEK7</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O75676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hMSK2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Q8TD08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hERK7</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Q13043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Q15831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hSTK11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Q13131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hPRKAA1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P19525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hEIF2AK2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O14920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hIKBKB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Q96PY6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hNEK1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Q8MMZ8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eimPKG</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Eimeria tenella</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254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P51817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hPRKX</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202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Q9UHD2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hTBK1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Q13237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hPRKG2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P22455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hFGFR4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Q02750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hMEK1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Q8N5S9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Q9UPE1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hMSSK1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P05131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bPKAb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Bos taurus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P36888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hFLT3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P20786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rPDGFRa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Q9H4B4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hPLK3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P04629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hNTRK1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270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O43283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hMAP3K13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Q9UPZ9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hICK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Q8IVH8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hMAP4K3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P30530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hAXL</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Q13555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hCAMK2G</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P33981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hMPS1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Q86Z02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hHIPK1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Q9BWU1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hCDC2L6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O14578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hCIT</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P11802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597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P07949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hRET</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Q9WUD9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rSRC</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Q9C098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hDCAMKL3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P21802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hFGFR2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P09215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rPKCd</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Q96NX5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hCAMK1G</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P63086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rERK2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Q5S007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hLRRK2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O60674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hJAK2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Q00537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hPCTK2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Q8IW41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hMAPKAPK5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Q16620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hNTRK2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P49759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hCLK1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P06493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837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P16591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hFER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P23443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hRPS6KB1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279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Q9H422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hHIPK3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P49674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hCSNK1E</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CK1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P27037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hACVR2A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Q9UIK4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hDAPK2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Q16513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hPKN2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Q02779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hMAP3K10</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P78368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hCSNK1G2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CK1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Q13546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hRIPK1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O43293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hDAPK3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263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XP_341554.1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rPKCt</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Q9UQM7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hCAMK2A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P41743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hPKCi</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Q13705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hACVR2B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Q05655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hPKCd</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Q15139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hPKD1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Q8IVW4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hCDKL3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Q15303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hHER4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Q16566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P06239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hLCK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1192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P54753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hEPHB3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P51451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hBLK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208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O15264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hp38d</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240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P63319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rPKCg</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Q00534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O76039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hCDKL5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P08922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hROS1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O00141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hSGK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O94768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hSTK17B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P22612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hPKAg</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Q15569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hTESK1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P21709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hEPHA1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Q9P289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hMST4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Q15835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hGRK1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Q06418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hTYRO3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Q9UKI8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hTLK1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Q7KZI7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hMARK2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Q16644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hMAPKAPK3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P00533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hEGFR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1789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2248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O75116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hROCK2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686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P34947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hGRK5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P07333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hCSF1R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628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Q00536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hPCTK1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P11362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hFGFR1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476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Q9Y5S2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hCDC42BPB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Q99640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hPKMYT1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P00517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bPKAa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Bos taurus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Q9HC98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hNEK6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Q9Y463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hDYRK1B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P54762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hEPHB1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Q16816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hPHKG1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P09619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hPDGFRb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502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P08069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hIGF1R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581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P15735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hPHKG2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Q9UEW8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hSTK39</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P06241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hFYN</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Q9NYL2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hZAK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P24941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1712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P41240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Q96Q40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hALS2CR7</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O75716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hSTK16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Q9P0L2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hMARK1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Q04771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hALK2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293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Q04912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hMST1R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Q8TDC3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hBRSK1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P00523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gSRC</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Gallus gallus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P11309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hPIM1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Q9Y2H1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hSTK38L</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Q13976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hPRKG1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Q9NZJ5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hPEK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P32298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hGRK4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P0C264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hSgK110</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Q6PHR2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hULK3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Q9H2K8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hTAOK3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Q9UQB9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hAURc</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P14616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hINSRR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P49187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rJNK3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Q6P3R8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hNEK5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P68400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hCSNK2A1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P04626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hHER2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759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O00444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hPLK4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P47811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mp38a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P31749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hAKT1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773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P36507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hMEK2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Q01279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mEGFR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P51617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hIRAK1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P50750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hCDK9</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Q8NEV4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hMYO3A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Q08881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hITK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453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O15111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hCHUK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Q92630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hDYRK2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Q9H2G2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hSLK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P00519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hABL1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739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P04049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hRAF1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256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Q13557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hCAMK2D</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P30291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hWEE1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238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Q8IYT8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hULK2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Q2M2I8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hAAK1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P05129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hPKCg</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241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P42684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hABL2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P12931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hSRC</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1470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P29320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hEPHA3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Q9Y2K2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hQSK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O96017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hChk2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264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XP_620754.3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mULK3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O96013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hPAK4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P53671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hLIMK2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Q8NE63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hHIPK4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P68403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rPKCb1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P54760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hEPHB4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196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Q86V86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hPIM3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P48729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hCSNK1A1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CK1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P53778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hp38g</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250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Q96GD4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hAURb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767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P05132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mPKAa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P06240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mLCK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P00520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mABL1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Q8N4C8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hMINK1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Q16539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hp38a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2196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P29317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hEPHA2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Q9BZL6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hPKD2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Q9NSY1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hBMP2K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Q8WTQ7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hGRK7</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Q61851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mFGFR3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Q16659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hERK3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P19784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hCSNK2A2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Q8IY84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hNIM1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Q8WXR4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hMYO3B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Q00526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Q9UEE5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hSTK17A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193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Q9P286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hPAK7</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P70336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rROCK2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P43405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hSYK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270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P35968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hVEGFR2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2619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2223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P35969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mVGFR1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Q9UBS0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hRPS6KB2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P31751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hAKT2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P49336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hCDK8</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O00238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hBMPR1B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Q99759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Q12851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hMAP4K2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249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O60285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hNUAK1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Q96RG2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hPASK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P11440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mCDC2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Q9HBH9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hMKNK2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P49137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249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P07332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hFES</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Q9P1W9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hPIM2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195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P27448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hMARK3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P21127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hPITSLREa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Q86UE8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hTLK2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Q9NYY3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hPLK2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Q99558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hMAP3K14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P07948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hLYN</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Q13177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hPAK2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Q13153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hPAK1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O43353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hRIPK2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P09769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hFGR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P52564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hMKK6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P45984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hJNK2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Q9NQU5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hPAK6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O14965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hAURa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978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P07947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hYES1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Q9Y2H9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hMAST1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P46734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hMKK3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Q9H0K1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hSNF1LK2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P51957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hNEK4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P35590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hTIE1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Q5VT25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hCDC42BPA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Q9Y243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hAKT3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Q9Y6R4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O00311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hCDC7</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Q04759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hPKCt</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473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Q8TDR2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hSTK35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Q60737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mCSNK2A1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P06213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hINSR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197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O94806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hPKD3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Q99683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Q60751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rIGF1R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Q9BUB5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hMKNK1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Q6ZN16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hMAP3K15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P16277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mBLK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P90584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plPfmrk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Plasmodium falciparum</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P29597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hTYK2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P41241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mCSK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P17612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hPKAa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P09217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rPKCz</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P11275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rCAMK2A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Q07912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hTNK2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Q9HCP0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hCSNK1G1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CK1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Q7L7X3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hTAOK1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Q02156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hPKCe</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Q13164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hERK5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Q9Y6M4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hCSNK1G3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CK1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O95382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P53355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hDAPK1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P21803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mFGFR2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P37023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hALK1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P49761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hCLK3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Q8N752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hCSNK1A1L</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CK1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P16056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mMET</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P54646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hPRKAA2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O00418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hEEF2K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Q9H093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hNUAK2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Q15208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hSTK38</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P17948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hVEGFR1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P49841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hGSK3b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1291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Q05397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hFAK1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195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Q9UBE8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hNLK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Q14012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O95819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hMAP4K4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P29322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hEPHA8</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Q56UN5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hYSK4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Q64617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rPKCh</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P45985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hMKK4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P51812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hRSK2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194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P53667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hLIMK1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O15197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hEPHB6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P06494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rERBB2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P28482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hERK2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O15146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hMUSK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Q16584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hMAP3K11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P51813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hBMX</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O43781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hDYRK3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O15075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hDCAMKL1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O95835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hLATS1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Q9Y2U5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hMAP3K2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Q8N568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hDCAMKL2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O75582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hMSK1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99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Q96PF2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hTSSK2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P08581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hMET</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Q02111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mPKCt</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P29376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hLTK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P17252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hPKCa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P15208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mINSR</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Q13464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hROCK1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562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Q9NY57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hSTK32B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Q14289</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hFAK2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P49185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rJNK1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Q13188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STE</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208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Q08345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hDDR1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Q96KB5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hPBK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P25098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hADRBK1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P09216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rPKCe</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P10721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hKIT</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496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Q00535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hCDK5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491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P29323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hEPHB2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Q86UX6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hSTK32C</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P51955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hNEK2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Q15746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hMYLK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P45983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hJNK1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501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O14976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hGAK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Q02763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hTIE2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416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Q86YV6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hSgK085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Q9NWZ3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hIRAK4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Q15375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hEPHA7</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Q13873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hBMPR2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P22607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hFGFR3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Q9BQI3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hHRI</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P05696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rPKCa</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89</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Q16512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hPKN1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P05622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mPDGFRb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P42685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hFRK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170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Q09013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hDMPK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P18266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rGSK3b</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CMGC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Rattus norvegicus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Q8IU85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hCAMK1D</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Q9UM73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hALK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214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704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P54764</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hEPHA4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6</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Q14680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hMELK</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CAMK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163</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Q9NRP7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hSTK36</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Other</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4</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P16092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mFGFR1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P35918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mVEGFR2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135</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Q4JIM5</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mABL2</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P36897</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hTGFbR1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TKL</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262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Q05513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hPKCz</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121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P31750</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mAKT1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AGC</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P54756</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hEPHA5</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Q03142</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mFGFR4</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11</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P43403</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hZAP70</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80</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Q16288</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hNTRK3</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Homo sapiens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197</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 w:hRule="atLeast"/>
          <w:jc w:val="center"/>
        </w:trPr>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P00521</w:t>
            </w:r>
          </w:p>
        </w:tc>
        <w:tc>
          <w:tcPr>
            <w:tcW w:w="116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mlvABL1</w:t>
            </w:r>
          </w:p>
        </w:tc>
        <w:tc>
          <w:tcPr>
            <w:tcW w:w="1344"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TK</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Mus musculus</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2</w:t>
            </w:r>
          </w:p>
        </w:tc>
        <w:tc>
          <w:tcPr>
            <w:tcW w:w="1622" w:type="dxa"/>
            <w:shd w:val="clear" w:color="auto" w:fill="auto"/>
            <w:vAlign w:val="center"/>
          </w:tcPr>
          <w:p>
            <w:pPr>
              <w:widowControl/>
              <w:jc w:val="center"/>
              <w:textAlignment w:val="center"/>
            </w:pPr>
            <w:r>
              <w:rPr>
                <w:rFonts w:ascii="Times New Roman" w:hAnsi="Times New Roman" w:eastAsia="宋体" w:cs="Times New Roman"/>
                <w:color w:val="4C4C4C"/>
                <w:kern w:val="0"/>
                <w:sz w:val="16"/>
                <w:szCs w:val="16"/>
                <w:lang w:bidi="ar"/>
              </w:rPr>
              <w:t>51</w:t>
            </w:r>
          </w:p>
        </w:tc>
      </w:tr>
    </w:tbl>
    <w:p>
      <w:pPr>
        <w:spacing w:line="360" w:lineRule="auto"/>
        <w:rPr>
          <w:rFonts w:ascii="Times New Roman" w:hAnsi="Times New Roman" w:cs="Times New Roman"/>
          <w:lang w:val="en-GB"/>
        </w:rPr>
      </w:pPr>
    </w:p>
    <w:p>
      <w:pPr>
        <w:pStyle w:val="3"/>
        <w:tabs>
          <w:tab w:val="clear" w:pos="720"/>
        </w:tabs>
      </w:pPr>
      <w:bookmarkStart w:id="11" w:name="_Toc2697475"/>
      <w:bookmarkStart w:id="12" w:name="_Toc2712879"/>
      <w:bookmarkStart w:id="13" w:name="_Toc7509235"/>
      <w:r>
        <w:t xml:space="preserve">2.2 </w:t>
      </w:r>
      <w:r>
        <w:rPr>
          <w:rFonts w:hint="eastAsia"/>
        </w:rPr>
        <w:t>External test</w:t>
      </w:r>
      <w:r>
        <w:t>ing data</w:t>
      </w:r>
      <w:r>
        <w:rPr>
          <w:rFonts w:hint="eastAsia"/>
        </w:rPr>
        <w:t>set</w:t>
      </w:r>
      <w:bookmarkEnd w:id="11"/>
      <w:bookmarkEnd w:id="12"/>
      <w:bookmarkEnd w:id="13"/>
    </w:p>
    <w:p>
      <w:pPr>
        <w:pStyle w:val="5"/>
      </w:pPr>
      <w:r>
        <w:t>Four different external datasets with diverse experimental methods and value types were used to evaluate the model. (1) Davis dataset. Published by Davis et al.</w:t>
      </w:r>
      <w:r>
        <w:fldChar w:fldCharType="begin"/>
      </w:r>
      <w:r>
        <w:instrText xml:space="preserve"> ADDIN EN.CITE &lt;EndNote&gt;&lt;Cite&gt;&lt;Author&gt;Davis&lt;/Author&gt;&lt;Year&gt;2011&lt;/Year&gt;&lt;RecNum&gt;45&lt;/RecNum&gt;&lt;DisplayText&gt;(Davis, et al., 2011)&lt;/DisplayText&gt;&lt;record&gt;&lt;rec-number&gt;45&lt;/rec-number&gt;&lt;foreign-keys&gt;&lt;key app="EN" db-id="2ap5efrtjztv2weadtq59xsufax9x2dr9dww" timestamp="1546864721"&gt;45&lt;/key&gt;&lt;/foreign-keys&gt;&lt;ref-type name="Journal Article"&gt;17&lt;/ref-type&gt;&lt;contributors&gt;&lt;authors&gt;&lt;author&gt;Davis, Mindy I,&lt;/author&gt;&lt;author&gt;Hunt, Jeremy P,&lt;/author&gt;&lt;author&gt;Sanna, Herrgard&lt;/author&gt;&lt;author&gt;Pietro, Ciceri&lt;/author&gt;&lt;author&gt;Wodicka, Lisa M,&lt;/author&gt;&lt;author&gt;Gabriel, Pallares&lt;/author&gt;&lt;author&gt;Michael, Hocker&lt;/author&gt;&lt;author&gt;Treiber, Daniel K,&lt;/author&gt;&lt;author&gt;Zarrinkar, Patrick P,&lt;/author&gt;&lt;/authors&gt;&lt;/contributors&gt;&lt;titles&gt;&lt;title&gt;Comprehensive analysis of kinase inhibitor selectivity&lt;/title&gt;&lt;secondary-title&gt;Nature Biotechnology&lt;/secondary-title&gt;&lt;/titles&gt;&lt;periodical&gt;&lt;full-title&gt;Nature Biotechnology&lt;/full-title&gt;&lt;/periodical&gt;&lt;pages&gt;1046-1051&lt;/pages&gt;&lt;volume&gt;29&lt;/volume&gt;&lt;number&gt;11&lt;/number&gt;&lt;dates&gt;&lt;year&gt;2011&lt;/year&gt;&lt;/dates&gt;&lt;urls&gt;&lt;/urls&gt;&lt;/record&gt;&lt;/Cite&gt;&lt;/EndNote&gt;</w:instrText>
      </w:r>
      <w:r>
        <w:fldChar w:fldCharType="separate"/>
      </w:r>
      <w:r>
        <w:t>(Davis, et al., 2011)</w:t>
      </w:r>
      <w:r>
        <w:fldChar w:fldCharType="end"/>
      </w:r>
      <w:r>
        <w:t>, Davis dataset contains 72 known inhibitors against a panel of 442 kinase assays, resulting in a total of 9,424 Kd values for all potential protein-ligand pairs. (2) Anastassiadis dataset. Anastassiadis et al.</w:t>
      </w:r>
      <w:r>
        <w:fldChar w:fldCharType="begin"/>
      </w:r>
      <w:r>
        <w:instrText xml:space="preserve"> ADDIN EN.CITE &lt;EndNote&gt;&lt;Cite&gt;&lt;Author&gt;Theonie&lt;/Author&gt;&lt;Year&gt;2011&lt;/Year&gt;&lt;RecNum&gt;46&lt;/RecNum&gt;&lt;DisplayText&gt;(Theonie, et al., 2011)&lt;/DisplayText&gt;&lt;record&gt;&lt;rec-number&gt;46&lt;/rec-number&gt;&lt;foreign-keys&gt;&lt;key app="EN" db-id="2ap5efrtjztv2weadtq59xsufax9x2dr9dww" timestamp="1546864780"&gt;46&lt;/key&gt;&lt;/foreign-keys&gt;&lt;ref-type name="Journal Article"&gt;17&lt;/ref-type&gt;&lt;contributors&gt;&lt;authors&gt;&lt;author&gt;Theonie, Anastassiadis&lt;/author&gt;&lt;author&gt;Deacon, Sean W,&lt;/author&gt;&lt;author&gt;Karthik, Devarajan&lt;/author&gt;&lt;author&gt;Haiching, Ma&lt;/author&gt;&lt;author&gt;Peterson, Jeffrey R,&lt;/author&gt;&lt;/authors&gt;&lt;/contributors&gt;&lt;titles&gt;&lt;title&gt;Comprehensive assay of kinase catalytic activity reveals features of kinase inhibitor selectivity&lt;/title&gt;&lt;secondary-title&gt;Nature Biotechnology&lt;/secondary-title&gt;&lt;/titles&gt;&lt;periodical&gt;&lt;full-title&gt;Nature Biotechnology&lt;/full-title&gt;&lt;/periodical&gt;&lt;pages&gt;1039-1045&lt;/pages&gt;&lt;volume&gt;29&lt;/volume&gt;&lt;number&gt;11&lt;/number&gt;&lt;dates&gt;&lt;year&gt;2011&lt;/year&gt;&lt;/dates&gt;&lt;urls&gt;&lt;/urls&gt;&lt;/record&gt;&lt;/Cite&gt;&lt;/EndNote&gt;</w:instrText>
      </w:r>
      <w:r>
        <w:fldChar w:fldCharType="separate"/>
      </w:r>
      <w:r>
        <w:t>(Theonie, et al., 2011)</w:t>
      </w:r>
      <w:r>
        <w:fldChar w:fldCharType="end"/>
      </w:r>
      <w:r>
        <w:t xml:space="preserve"> reported the </w:t>
      </w:r>
      <w:bookmarkStart w:id="14" w:name="OLE_LINK1"/>
      <w:bookmarkStart w:id="15" w:name="OLE_LINK2"/>
      <w:r>
        <w:t>inhibitory percentage inhibition</w:t>
      </w:r>
      <w:bookmarkEnd w:id="14"/>
      <w:bookmarkEnd w:id="15"/>
      <w:r>
        <w:t xml:space="preserve"> values of 178 compounds tested against 300 kinases at 0.5 μM. (3) Published Kinase Inhibitor Set 1(PKIS1)</w:t>
      </w:r>
      <w:r>
        <w:fldChar w:fldCharType="begin"/>
      </w:r>
      <w:r>
        <w:instrText xml:space="preserve"> ADDIN EN.CITE &lt;EndNote&gt;&lt;Cite&gt;&lt;Author&gt;Elkins&lt;/Author&gt;&lt;Year&gt;2015&lt;/Year&gt;&lt;RecNum&gt;33&lt;/RecNum&gt;&lt;DisplayText&gt;(Elkins, et al., 2015)&lt;/DisplayText&gt;&lt;record&gt;&lt;rec-number&gt;33&lt;/rec-number&gt;&lt;foreign-keys&gt;&lt;key app="EN" db-id="dwpta5vzsdsz0oefarqx0raor0rdvawxvv2w" timestamp="1548234188"&gt;33&lt;/key&gt;&lt;/foreign-keys&gt;&lt;ref-type name="Journal Article"&gt;17&lt;/ref-type&gt;&lt;contributors&gt;&lt;authors&gt;&lt;author&gt;Elkins, Jonathan M&lt;/author&gt;&lt;author&gt;Fedele, Vita&lt;/author&gt;&lt;author&gt;Szklarz, Marta&lt;/author&gt;&lt;author&gt;Azeez, Kamal R Abdul&lt;/author&gt;&lt;author&gt;Salah, Eidarus&lt;/author&gt;&lt;author&gt;Mikolajczyk, Jowita&lt;/author&gt;&lt;author&gt;Romanov, Sergei&lt;/author&gt;&lt;author&gt;Sepetov, Nikolai&lt;/author&gt;&lt;author&gt;Huang, Xi Ping&lt;/author&gt;&lt;author&gt;Roth, Bryan L&lt;/author&gt;&lt;/authors&gt;&lt;/contributors&gt;&lt;titles&gt;&lt;title&gt;Comprehensive characterization of the Published Kinase Inhibitor Set&lt;/title&gt;&lt;secondary-title&gt;Nature Biotechnology&lt;/secondary-title&gt;&lt;/titles&gt;&lt;periodical&gt;&lt;full-title&gt;Nature Biotechnology&lt;/full-title&gt;&lt;/periodical&gt;&lt;pages&gt;95&lt;/pages&gt;&lt;volume&gt;34&lt;/volume&gt;&lt;number&gt;1&lt;/number&gt;&lt;dates&gt;&lt;year&gt;2015&lt;/year&gt;&lt;/dates&gt;&lt;urls&gt;&lt;/urls&gt;&lt;/record&gt;&lt;/Cite&gt;&lt;/EndNote&gt;</w:instrText>
      </w:r>
      <w:r>
        <w:fldChar w:fldCharType="separate"/>
      </w:r>
      <w:r>
        <w:t>(Elkins, et al., 2015)</w:t>
      </w:r>
      <w:r>
        <w:fldChar w:fldCharType="end"/>
      </w:r>
      <w:r>
        <w:t xml:space="preserve">. PKIS1 is a collection of 367 kinase inhibitors representing 31 diverse chemotypes, and their inhibitory percentage values evaluated against 232 kinases at 1 μM were collected. </w:t>
      </w:r>
      <w:r>
        <w:rPr>
          <w:rFonts w:hint="eastAsia"/>
        </w:rPr>
        <w:t>(</w:t>
      </w:r>
      <w:r>
        <w:t>4) Published Kinase Inhibitor Set 2 (PKIS2)</w:t>
      </w:r>
      <w:r>
        <w:fldChar w:fldCharType="begin"/>
      </w:r>
      <w:r>
        <w:instrText xml:space="preserve"> ADDIN EN.CITE &lt;EndNote&gt;&lt;Cite&gt;&lt;Author&gt;Drewry&lt;/Author&gt;&lt;Year&gt;2017&lt;/Year&gt;&lt;RecNum&gt;34&lt;/RecNum&gt;&lt;DisplayText&gt;(Drewry, et al., 2017)&lt;/DisplayText&gt;&lt;record&gt;&lt;rec-number&gt;34&lt;/rec-number&gt;&lt;foreign-keys&gt;&lt;key app="EN" db-id="dwpta5vzsdsz0oefarqx0raor0rdvawxvv2w" timestamp="1548234188"&gt;34&lt;/key&gt;&lt;/foreign-keys&gt;&lt;ref-type name="Journal Article"&gt;17&lt;/ref-type&gt;&lt;contributors&gt;&lt;authors&gt;&lt;author&gt;Drewry, David H.&lt;/author&gt;&lt;author&gt;Wells, Carrow I.&lt;/author&gt;&lt;author&gt;Andrews, David M.&lt;/author&gt;&lt;author&gt;Angell, Richard&lt;/author&gt;&lt;author&gt;Al-Ali, Hassan&lt;/author&gt;&lt;author&gt;Axtman, Alison D.&lt;/author&gt;&lt;author&gt;Capuzzi, Stephen J.&lt;/author&gt;&lt;author&gt;Elkins, Jonathan M.&lt;/author&gt;&lt;author&gt;Ettmayer, Peter&lt;/author&gt;&lt;author&gt;Frederiksen, Mathias&lt;/author&gt;&lt;/authors&gt;&lt;/contributors&gt;&lt;titles&gt;&lt;title&gt;Progress towards a public chemogenomic set for protein kinases and a call for contributions&lt;/title&gt;&lt;secondary-title&gt;Plos One&lt;/secondary-title&gt;&lt;/titles&gt;&lt;periodical&gt;&lt;full-title&gt;Plos One&lt;/full-title&gt;&lt;/periodical&gt;&lt;pages&gt;e0181585&lt;/pages&gt;&lt;volume&gt;12&lt;/volume&gt;&lt;number&gt;8&lt;/number&gt;&lt;dates&gt;&lt;year&gt;2017&lt;/year&gt;&lt;/dates&gt;&lt;urls&gt;&lt;/urls&gt;&lt;/record&gt;&lt;/Cite&gt;&lt;/EndNote&gt;</w:instrText>
      </w:r>
      <w:r>
        <w:fldChar w:fldCharType="separate"/>
      </w:r>
      <w:r>
        <w:t>(Drewry, et al., 2017)</w:t>
      </w:r>
      <w:r>
        <w:fldChar w:fldCharType="end"/>
      </w:r>
      <w:r>
        <w:t>. PKIS2 is composed of 645 small-molecule inhibitors representing 86 diverse chemotypes, which were all profiled at a concentration of 1 μM against a broader panel of 392 kinases. For the dataset of Anastassiadis et al., the activity threshold is set by converting the single point activity with the equation previously defined</w:t>
      </w:r>
      <w:r>
        <w:fldChar w:fldCharType="begin"/>
      </w:r>
      <w:r>
        <w:instrText xml:space="preserve"> ADDIN EN.CITE &lt;EndNote&gt;&lt;Cite&gt;&lt;Author&gt;Sutherland&lt;/Author&gt;&lt;Year&gt;2013&lt;/Year&gt;&lt;RecNum&gt;36&lt;/RecNum&gt;&lt;DisplayText&gt;(Sutherland, et al., 2013)&lt;/DisplayText&gt;&lt;record&gt;&lt;rec-number&gt;36&lt;/rec-number&gt;&lt;foreign-keys&gt;&lt;key app="EN" db-id="dwpta5vzsdsz0oefarqx0raor0rdvawxvv2w" timestamp="1548234189"&gt;36&lt;/key&gt;&lt;/foreign-keys&gt;&lt;ref-type name="Journal Article"&gt;17&lt;/ref-type&gt;&lt;contributors&gt;&lt;authors&gt;&lt;author&gt;Sutherland, Jeffrey J.&lt;/author&gt;&lt;author&gt;Gao, Cen&lt;/author&gt;&lt;author&gt;Cahya, Suntara&lt;/author&gt;&lt;author&gt;Vieth, Michal&lt;/author&gt;&lt;/authors&gt;&lt;/contributors&gt;&lt;titles&gt;&lt;title&gt;What general conclusions can we draw from kinase profiling data sets?&lt;/title&gt;&lt;secondary-title&gt;Biochimica Et Biophysica Acta&lt;/secondary-title&gt;&lt;/titles&gt;&lt;periodical&gt;&lt;full-title&gt;Biochimica Et Biophysica Acta&lt;/full-title&gt;&lt;/periodical&gt;&lt;pages&gt;1425-1433&lt;/pages&gt;&lt;volume&gt;1834&lt;/volume&gt;&lt;number&gt;7&lt;/number&gt;&lt;keywords&gt;&lt;keyword&gt;INHIBITOR SELECTIVITY&lt;/keyword&gt;&lt;keyword&gt;DRUG DISCOVERY&lt;/keyword&gt;&lt;keyword&gt;KINOME&lt;/keyword&gt;&lt;keyword&gt;SPACE&lt;/keyword&gt;&lt;keyword&gt;POLYPHARMACOLOGY&lt;/keyword&gt;&lt;keyword&gt;PHARMACOLOGY&lt;/keyword&gt;&lt;keyword&gt;MEDICINES&lt;/keyword&gt;&lt;keyword&gt;NETWORKS&lt;/keyword&gt;&lt;keyword&gt;TARGETS&lt;/keyword&gt;&lt;keyword&gt;BIOLOGY&lt;/keyword&gt;&lt;/keywords&gt;&lt;dates&gt;&lt;year&gt;2013&lt;/year&gt;&lt;/dates&gt;&lt;urls&gt;&lt;/urls&gt;&lt;/record&gt;&lt;/Cite&gt;&lt;/EndNote&gt;</w:instrText>
      </w:r>
      <w:r>
        <w:fldChar w:fldCharType="separate"/>
      </w:r>
      <w:r>
        <w:t>(Sutherland, et al., 2013)</w:t>
      </w:r>
      <w:r>
        <w:fldChar w:fldCharType="end"/>
      </w:r>
      <w:r>
        <w:t>. For datasets PKIS1 and PKIS2, an inhibition rate over 50% at 1 µM was defined as signifying activity</w:t>
      </w:r>
      <w:r>
        <w:fldChar w:fldCharType="begin"/>
      </w:r>
      <w:r>
        <w:instrText xml:space="preserve"> ADDIN EN.CITE &lt;EndNote&gt;&lt;Cite&gt;&lt;Author&gt;Posy&lt;/Author&gt;&lt;Year&gt;2011&lt;/Year&gt;&lt;RecNum&gt;35&lt;/RecNum&gt;&lt;DisplayText&gt;(Posy, et al., 2011)&lt;/DisplayText&gt;&lt;record&gt;&lt;rec-number&gt;35&lt;/rec-number&gt;&lt;foreign-keys&gt;&lt;key app="EN" db-id="dwpta5vzsdsz0oefarqx0raor0rdvawxvv2w" timestamp="1548234188"&gt;35&lt;/key&gt;&lt;/foreign-keys&gt;&lt;ref-type name="Journal Article"&gt;17&lt;/ref-type&gt;&lt;contributors&gt;&lt;authors&gt;&lt;author&gt;Posy, Shana L,&lt;/author&gt;&lt;author&gt;Hermsmeier, Mark A,&lt;/author&gt;&lt;author&gt;Wayne, Vaccaro&lt;/author&gt;&lt;author&gt;Karl-Heinz, Ott&lt;/author&gt;&lt;author&gt;Gordon, Todderud&lt;/author&gt;&lt;author&gt;Lippy, Jonathan S,&lt;/author&gt;&lt;author&gt;Trainor, George L,&lt;/author&gt;&lt;author&gt;Loughney, Deborah A,&lt;/author&gt;&lt;author&gt;Johnson, Stephen R,&lt;/author&gt;&lt;/authors&gt;&lt;/contributors&gt;&lt;titles&gt;&lt;title&gt;Trends in kinase selectivity: insights for target class-focused library screening&lt;/title&gt;&lt;secondary-title&gt;Journal of Medicinal Chemistry&lt;/secondary-title&gt;&lt;/titles&gt;&lt;periodical&gt;&lt;full-title&gt;Journal of Medicinal Chemistry&lt;/full-title&gt;&lt;/periodical&gt;&lt;pages&gt;54-66&lt;/pages&gt;&lt;volume&gt;54&lt;/volume&gt;&lt;number&gt;1&lt;/number&gt;&lt;keywords&gt;&lt;keyword&gt;Phosphotransferases&lt;/keyword&gt;&lt;keyword&gt;Receptor, Epidermal Growth Factor&lt;/keyword&gt;&lt;keyword&gt;Protein Kinase Inhibitors&lt;/keyword&gt;&lt;keyword&gt;Protein Binding&lt;/keyword&gt;&lt;keyword&gt;Sequence Homology, Amino Acid&lt;/keyword&gt;&lt;keyword&gt;Quantitative Structure-Activity Relationship&lt;/keyword&gt;&lt;keyword&gt;fms-Like Tyrosine Kinase 3&lt;/keyword&gt;&lt;keyword&gt;High-Throughput Screening Assays&lt;/keyword&gt;&lt;keyword&gt;Small Molecule Libraries&lt;/keyword&gt;&lt;keyword&gt;Cyclin-Dependent Kinase 2&lt;/keyword&gt;&lt;/keywords&gt;&lt;dates&gt;&lt;year&gt;2011&lt;/year&gt;&lt;/dates&gt;&lt;urls&gt;&lt;/urls&gt;&lt;/record&gt;&lt;/Cite&gt;&lt;/EndNote&gt;</w:instrText>
      </w:r>
      <w:r>
        <w:fldChar w:fldCharType="separate"/>
      </w:r>
      <w:r>
        <w:t>(Posy, et al., 2011)</w:t>
      </w:r>
      <w:r>
        <w:fldChar w:fldCharType="end"/>
      </w:r>
      <w:r>
        <w:t>. Note that all compound-kinase pairs included in our training dataset were removed from these external datasets before further evaluations.</w:t>
      </w:r>
    </w:p>
    <w:p>
      <w:pPr>
        <w:pStyle w:val="2"/>
        <w:numPr>
          <w:ilvl w:val="0"/>
          <w:numId w:val="0"/>
        </w:numPr>
        <w:ind w:left="357" w:hanging="357"/>
      </w:pPr>
      <w:bookmarkStart w:id="16" w:name="_Toc7509236"/>
      <w:bookmarkStart w:id="17" w:name="_Toc2712880"/>
      <w:bookmarkStart w:id="18" w:name="_Toc2697476"/>
      <w:r>
        <w:t>3 Model performance</w:t>
      </w:r>
      <w:bookmarkEnd w:id="16"/>
      <w:bookmarkEnd w:id="17"/>
      <w:bookmarkEnd w:id="18"/>
    </w:p>
    <w:p>
      <w:pPr>
        <w:pStyle w:val="5"/>
      </w:pPr>
      <w:r>
        <w:t xml:space="preserve">Extensive computational and experimental validations have been performed. The model shows excellent prediction ability with an auROC of 0.90 on an internal test dataset and impressive performance on four external datasets. To verify the generalizability and transfer learning effect of our MTDNN model, a parallel comparison with previously reported models was carried out. Here, we chose the </w:t>
      </w:r>
      <w:r>
        <w:rPr>
          <w:lang w:val="en-GB"/>
        </w:rPr>
        <w:t>random forest models (RFs)</w:t>
      </w:r>
      <w:r>
        <w:t xml:space="preserve"> build by Merget et al. </w:t>
      </w:r>
      <w:r>
        <w:fldChar w:fldCharType="begin"/>
      </w:r>
      <w:r>
        <w:instrText xml:space="preserve"> ADDIN EN.CITE &lt;EndNote&gt;&lt;Cite&gt;&lt;Author&gt;Merget&lt;/Author&gt;&lt;Year&gt;2016&lt;/Year&gt;&lt;RecNum&gt;469&lt;/RecNum&gt;&lt;DisplayText&gt;(Merget, et al., 2016)&lt;/DisplayText&gt;&lt;record&gt;&lt;rec-number&gt;469&lt;/rec-number&gt;&lt;foreign-keys&gt;&lt;key app="EN" db-id="2ap5efrtjztv2weadtq59xsufax9x2dr9dww" timestamp="1551672481"&gt;469&lt;/key&gt;&lt;/foreign-keys&gt;&lt;ref-type name="Journal Article"&gt;17&lt;/ref-type&gt;&lt;contributors&gt;&lt;authors&gt;&lt;author&gt;Merget, Benjamin&lt;/author&gt;&lt;author&gt;Turk, Samo&lt;/author&gt;&lt;author&gt;Eid, Sameh&lt;/author&gt;&lt;author&gt;Rippmann, Friedrich&lt;/author&gt;&lt;author&gt;Fulle, Simone&lt;/author&gt;&lt;/authors&gt;&lt;/contributors&gt;&lt;titles&gt;&lt;title&gt;Profiling prediction of kinase inhibitors: toward the virtual assay&lt;/title&gt;&lt;secondary-title&gt;Journal of medicinal chemistry&lt;/secondary-title&gt;&lt;/titles&gt;&lt;periodical&gt;&lt;full-title&gt;Journal of Medicinal Chemistry&lt;/full-title&gt;&lt;/periodical&gt;&lt;pages&gt;474-485&lt;/pages&gt;&lt;volume&gt;60&lt;/volume&gt;&lt;number&gt;1&lt;/number&gt;&lt;dates&gt;&lt;year&gt;2016&lt;/year&gt;&lt;/dates&gt;&lt;isbn&gt;0022-2623&lt;/isbn&gt;&lt;urls&gt;&lt;/urls&gt;&lt;/record&gt;&lt;/Cite&gt;&lt;/EndNote&gt;</w:instrText>
      </w:r>
      <w:r>
        <w:fldChar w:fldCharType="separate"/>
      </w:r>
      <w:r>
        <w:t>(Merget, et al., 2016)</w:t>
      </w:r>
      <w:r>
        <w:fldChar w:fldCharType="end"/>
      </w:r>
      <w:r>
        <w:t xml:space="preserve"> (</w:t>
      </w:r>
      <w:r>
        <w:fldChar w:fldCharType="begin"/>
      </w:r>
      <w:r>
        <w:instrText xml:space="preserve"> HYPERLINK "https://github.com/Team-SKI/Publications" </w:instrText>
      </w:r>
      <w:r>
        <w:fldChar w:fldCharType="separate"/>
      </w:r>
      <w:r>
        <w:rPr>
          <w:rStyle w:val="18"/>
        </w:rPr>
        <w:t>https://github.com/Team-SKI/Publications</w:t>
      </w:r>
      <w:r>
        <w:rPr>
          <w:rStyle w:val="18"/>
        </w:rPr>
        <w:fldChar w:fldCharType="end"/>
      </w:r>
      <w:r>
        <w:t>)</w:t>
      </w:r>
      <w:r>
        <w:rPr>
          <w:lang w:val="en-GB"/>
        </w:rPr>
        <w:t>.</w:t>
      </w:r>
      <w:r>
        <w:t xml:space="preserve"> </w:t>
      </w:r>
      <w:r>
        <w:rPr>
          <w:lang w:val="en-GB"/>
        </w:rPr>
        <w:t>As shown in supplementary figure 2, the MTDNN showed consistently higher average auROC values than those of the RFs on all four external datasets and achieved more high-quality predictions than RFs.</w:t>
      </w:r>
      <w:r>
        <w:t xml:space="preserve"> Moreover, the decent predictive capability of MTDNN for the kinases with insufficient activity data can be shown in supplementary table 2.</w:t>
      </w:r>
      <w:r>
        <w:rPr>
          <w:rFonts w:hint="eastAsia"/>
          <w:lang w:eastAsia="zh-CN"/>
        </w:rPr>
        <w:t xml:space="preserve"> T</w:t>
      </w:r>
      <w:r>
        <w:rPr>
          <w:lang w:eastAsia="zh-CN"/>
        </w:rPr>
        <w:t xml:space="preserve">he details of the validation can be found in </w:t>
      </w:r>
      <w:r>
        <w:fldChar w:fldCharType="begin"/>
      </w:r>
      <w:r>
        <w:instrText xml:space="preserve"> HYPERLINK "https://kinome.dddc.ac.cn/en/page/about/" </w:instrText>
      </w:r>
      <w:r>
        <w:fldChar w:fldCharType="separate"/>
      </w:r>
      <w:r>
        <w:rPr>
          <w:rStyle w:val="18"/>
          <w:rFonts w:hint="eastAsia"/>
        </w:rPr>
        <w:t>https://kinome.dddc.ac.cn/en/page/about/</w:t>
      </w:r>
      <w:r>
        <w:rPr>
          <w:rStyle w:val="18"/>
          <w:rFonts w:hint="eastAsia"/>
        </w:rPr>
        <w:fldChar w:fldCharType="end"/>
      </w:r>
      <w:r>
        <w:t>.</w:t>
      </w:r>
    </w:p>
    <w:p>
      <w:pPr>
        <w:pStyle w:val="5"/>
        <w:rPr>
          <w:rFonts w:eastAsia="Times New Roman"/>
          <w:szCs w:val="21"/>
          <w:lang w:val="en-GB"/>
        </w:rPr>
      </w:pPr>
    </w:p>
    <w:p>
      <w:pPr>
        <w:spacing w:line="360" w:lineRule="auto"/>
        <w:rPr>
          <w:rFonts w:ascii="Times New Roman" w:hAnsi="Times New Roman" w:cs="Times New Roman"/>
          <w:b/>
        </w:rPr>
      </w:pPr>
      <w:r>
        <w:rPr>
          <w:rFonts w:ascii="Times New Roman" w:hAnsi="Times New Roman" w:cs="Times New Roman"/>
          <w:b/>
        </w:rPr>
        <w:drawing>
          <wp:inline distT="0" distB="0" distL="114300" distR="114300">
            <wp:extent cx="5162550" cy="328993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62550" cy="3290151"/>
                    </a:xfrm>
                    <a:prstGeom prst="rect">
                      <a:avLst/>
                    </a:prstGeom>
                  </pic:spPr>
                </pic:pic>
              </a:graphicData>
            </a:graphic>
          </wp:inline>
        </w:drawing>
      </w:r>
    </w:p>
    <w:p>
      <w:pPr>
        <w:pStyle w:val="4"/>
        <w:rPr>
          <w:lang w:val="en-GB"/>
        </w:rPr>
      </w:pPr>
      <w:bookmarkStart w:id="19" w:name="_Toc7509237"/>
      <w:r>
        <w:rPr>
          <w:lang w:val="en-GB"/>
        </w:rPr>
        <w:t xml:space="preserve">Supplementary figure 2. </w:t>
      </w:r>
      <w:r>
        <w:rPr>
          <w:b w:val="0"/>
          <w:lang w:val="en-GB"/>
        </w:rPr>
        <w:t>Prediction performance comparison between MTDNN and RF of Merget et al. Barplots of auROCs for kinases, grouped by underlying external datasets and coloured by method (RF in red and MTDNN in blue).</w:t>
      </w:r>
      <w:bookmarkEnd w:id="19"/>
    </w:p>
    <w:p>
      <w:pPr>
        <w:pStyle w:val="5"/>
        <w:rPr>
          <w:rFonts w:eastAsia="Times New Roman"/>
          <w:szCs w:val="21"/>
          <w:lang w:val="en-GB"/>
        </w:rPr>
      </w:pPr>
    </w:p>
    <w:p>
      <w:pPr>
        <w:pStyle w:val="5"/>
        <w:rPr>
          <w:rFonts w:eastAsia="Times New Roman"/>
          <w:szCs w:val="21"/>
          <w:lang w:val="en-GB"/>
        </w:rPr>
      </w:pPr>
    </w:p>
    <w:p>
      <w:pPr>
        <w:pStyle w:val="5"/>
        <w:rPr>
          <w:rFonts w:eastAsia="Times New Roman"/>
          <w:szCs w:val="21"/>
          <w:lang w:val="en-GB"/>
        </w:rPr>
      </w:pPr>
    </w:p>
    <w:p>
      <w:pPr>
        <w:pStyle w:val="5"/>
        <w:rPr>
          <w:rFonts w:eastAsia="Times New Roman"/>
          <w:szCs w:val="21"/>
          <w:lang w:val="en-GB"/>
        </w:rPr>
      </w:pPr>
    </w:p>
    <w:p>
      <w:pPr>
        <w:pStyle w:val="5"/>
        <w:rPr>
          <w:rFonts w:eastAsia="Times New Roman"/>
          <w:szCs w:val="21"/>
          <w:lang w:val="en-GB"/>
        </w:rPr>
      </w:pPr>
    </w:p>
    <w:p>
      <w:pPr>
        <w:pStyle w:val="4"/>
        <w:rPr>
          <w:lang w:val="en-GB"/>
        </w:rPr>
      </w:pPr>
      <w:bookmarkStart w:id="20" w:name="_Toc7509238"/>
      <w:r>
        <w:rPr>
          <w:lang w:val="en-GB"/>
        </w:rPr>
        <w:t xml:space="preserve">Supplementary table 2. </w:t>
      </w:r>
      <w:r>
        <w:rPr>
          <w:b w:val="0"/>
          <w:lang w:val="en-GB"/>
        </w:rPr>
        <w:t>Prediction performance comparison between MTDNN and RF</w:t>
      </w:r>
      <w:r>
        <w:rPr>
          <w:b w:val="0"/>
        </w:rPr>
        <w:t>s</w:t>
      </w:r>
      <w:r>
        <w:rPr>
          <w:b w:val="0"/>
          <w:lang w:val="en-GB"/>
        </w:rPr>
        <w:t xml:space="preserve"> of Merget et al.</w:t>
      </w:r>
      <w:bookmarkEnd w:id="20"/>
      <w:r>
        <w:rPr>
          <w:b w:val="0"/>
          <w:lang w:val="en-GB"/>
        </w:rPr>
        <w:t xml:space="preserve"> </w:t>
      </w:r>
    </w:p>
    <w:p>
      <w:pPr>
        <w:pStyle w:val="5"/>
        <w:rPr>
          <w:rFonts w:eastAsia="Times New Roman"/>
          <w:szCs w:val="21"/>
          <w:lang w:val="en-GB"/>
        </w:rPr>
      </w:pPr>
    </w:p>
    <w:tbl>
      <w:tblPr>
        <w:tblStyle w:val="20"/>
        <w:tblW w:w="9513" w:type="dxa"/>
        <w:jc w:val="center"/>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13"/>
        <w:gridCol w:w="850"/>
        <w:gridCol w:w="850"/>
        <w:gridCol w:w="850"/>
        <w:gridCol w:w="850"/>
        <w:gridCol w:w="850"/>
        <w:gridCol w:w="850"/>
        <w:gridCol w:w="850"/>
        <w:gridCol w:w="850"/>
        <w:gridCol w:w="850"/>
        <w:gridCol w:w="85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vMerge w:val="restart"/>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Kinase</w:t>
            </w:r>
          </w:p>
        </w:tc>
        <w:tc>
          <w:tcPr>
            <w:tcW w:w="1700" w:type="dxa"/>
            <w:gridSpan w:val="2"/>
            <w:vMerge w:val="restart"/>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Size of training dataset</w:t>
            </w:r>
          </w:p>
        </w:tc>
        <w:tc>
          <w:tcPr>
            <w:tcW w:w="6800" w:type="dxa"/>
            <w:gridSpan w:val="8"/>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auROC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73" w:hRule="atLeast"/>
          <w:jc w:val="center"/>
        </w:trPr>
        <w:tc>
          <w:tcPr>
            <w:tcW w:w="1013" w:type="dxa"/>
            <w:vMerge w:val="continue"/>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1700" w:type="dxa"/>
            <w:gridSpan w:val="2"/>
            <w:vMerge w:val="continue"/>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p>
        </w:tc>
        <w:tc>
          <w:tcPr>
            <w:tcW w:w="1700" w:type="dxa"/>
            <w:gridSpan w:val="2"/>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Davis dataset</w:t>
            </w:r>
          </w:p>
        </w:tc>
        <w:tc>
          <w:tcPr>
            <w:tcW w:w="1700" w:type="dxa"/>
            <w:gridSpan w:val="2"/>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Anastassiadis dataset</w:t>
            </w:r>
          </w:p>
        </w:tc>
        <w:tc>
          <w:tcPr>
            <w:tcW w:w="1700" w:type="dxa"/>
            <w:gridSpan w:val="2"/>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PKIS1</w:t>
            </w:r>
          </w:p>
        </w:tc>
        <w:tc>
          <w:tcPr>
            <w:tcW w:w="1700" w:type="dxa"/>
            <w:gridSpan w:val="2"/>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PKIS2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83" w:hRule="atLeast"/>
          <w:jc w:val="center"/>
        </w:trPr>
        <w:tc>
          <w:tcPr>
            <w:tcW w:w="1013" w:type="dxa"/>
            <w:vMerge w:val="continue"/>
            <w:tcBorders>
              <w:bottom w:val="single" w:color="auto" w:sz="4" w:space="0"/>
            </w:tcBorders>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Active sample</w:t>
            </w: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Inactive sample</w:t>
            </w: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RF</w:t>
            </w: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MTDNN</w:t>
            </w: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RF</w:t>
            </w: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MTDNN</w:t>
            </w: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RF</w:t>
            </w: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MTDNN</w:t>
            </w: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RF</w:t>
            </w:r>
          </w:p>
        </w:tc>
        <w:tc>
          <w:tcPr>
            <w:tcW w:w="850"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MTDNN</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Q9HAZ1</w:t>
            </w:r>
          </w:p>
        </w:tc>
        <w:tc>
          <w:tcPr>
            <w:tcW w:w="850"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446</w:t>
            </w:r>
          </w:p>
        </w:tc>
        <w:tc>
          <w:tcPr>
            <w:tcW w:w="850"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399</w:t>
            </w:r>
          </w:p>
        </w:tc>
        <w:tc>
          <w:tcPr>
            <w:tcW w:w="850"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0.6206</w:t>
            </w:r>
          </w:p>
        </w:tc>
        <w:tc>
          <w:tcPr>
            <w:tcW w:w="850"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0.6736</w:t>
            </w:r>
          </w:p>
        </w:tc>
        <w:tc>
          <w:tcPr>
            <w:tcW w:w="850"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0.5952</w:t>
            </w:r>
          </w:p>
        </w:tc>
        <w:tc>
          <w:tcPr>
            <w:tcW w:w="850"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0.7245</w:t>
            </w:r>
          </w:p>
        </w:tc>
        <w:tc>
          <w:tcPr>
            <w:tcW w:w="850" w:type="dxa"/>
            <w:tcBorders>
              <w:top w:val="single" w:color="auto" w:sz="4" w:space="0"/>
              <w:bottom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tcBorders>
              <w:top w:val="single" w:color="auto" w:sz="4" w:space="0"/>
              <w:bottom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0.6543</w:t>
            </w:r>
          </w:p>
        </w:tc>
        <w:tc>
          <w:tcPr>
            <w:tcW w:w="850"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P49760</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203</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537</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0.7071</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0.5438</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0.6599</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0.5179</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0.7767</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0.5159</w:t>
            </w:r>
          </w:p>
        </w:tc>
        <w:tc>
          <w:tcPr>
            <w:tcW w:w="850"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P36894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0.8071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Q59H18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0.8083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P80192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0.6738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Q9UQ88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0.8368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0.3783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Q9Y4K4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0.6773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O00506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0.7482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Q14164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P27361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Q96RR4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0.7477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Q9H1R3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0.8199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P26618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P15056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0.4469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Q9UKE5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0.6119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Q13470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0.7642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Q13627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P42679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0.9245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0.5227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P11799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P57059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0.7930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O14733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0.3761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0.2979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Q96L34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Q9H3Y6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0.3412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Q9Y616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Q9BYT3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0.7662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P50613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0.8306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O15530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0.7059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O95747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0.9846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0.7415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Q13882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Q13554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0.7523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0.4563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Q9WUI1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P22694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0.8816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P00516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O94804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O14757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O75385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0.7552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P04409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P52333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0.7914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P70618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P05771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0.9024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O75914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0.8980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P35916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P49840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Q92918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0.6716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P48730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0.7696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Q9H2X6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0.7933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Q8NFD2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0.7793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P42681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P08631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P53350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P53779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0.5628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0.4702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Q64725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Q6DT37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0.7564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0.4668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P36896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0.8294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Q9BXA7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Q9JI10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Q92772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0.5653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Q06187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0.2027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Q9NR20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391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0.6687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Q9Y6E0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0.7440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P16234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Q96SB4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0.5333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P05480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Q8TDX7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0.6500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0.8000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O75676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0.9103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Q8TD08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0.6993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Q13043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Q15831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0.6672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Q13131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0.7909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P19525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0.7833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O14920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0.8117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Q96PY6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0.4382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Q8MMZ8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P51817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Q9UHD2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Q13237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P22455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0.9352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0.6054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Q02750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Q8N5S9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0.7544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Q9UPE1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P05131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P36888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P20786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Q9H4B4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0.5181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P04629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0.9436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0.5099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O43283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0.4669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0.7060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Q9UPZ9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0.6374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Q8IVH8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0.7051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P30530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0.8093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Q13555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0.7868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P33981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Q86Z02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0.6270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Q9BWU1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0.7167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O14578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0.8929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P11802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P07949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Q9WUD9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Q9C098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P21802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P09215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Q96NX5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0.8444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P63086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Q5S007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O60674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0.8125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Q00537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0.6503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Q8IW41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0.4996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Q16620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P49759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0.6917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P06493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1302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0.8673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P16591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0.9472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P23443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Q9H422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0.6290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P49674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0.7372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P27037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0.7083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Q9UIK4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0.6414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Q16513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0.7804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Q02779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0.8239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P78368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Q13546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0.2474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0.4294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O43293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0.7420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XP_341554.1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Q9UQM7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0.4763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P41743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0.9630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Q13705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0.6333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Q05655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Q15139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0.4700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Q8IVW4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0.8231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Q15303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0.9069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Q16566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0.9941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P06239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P54753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0.4046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P51451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0.9094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O15264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0.8175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0.9299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P63319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Q00534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0.8096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O76039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0.5972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P08922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O00141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O94768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0.9054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P22612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348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0.8864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Q15569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0.7568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P21709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0.5859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Q9P289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Q15835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0.4298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0.4008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Q06418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Q9UKI8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0.6526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Q7KZI7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Q16644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556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0.4055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P00533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O75116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0.9005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P34947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0.7649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P07333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Q00536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0.8061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P11362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0.9652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Q9Y5S2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Q99640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0.9756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0.4650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P00517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Q9HC98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0.5705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0.6842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Q9Y463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P54762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0.7211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Q16816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P09619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P08069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0.9339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P15735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Q9UEW8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0.5776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0.7394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P06241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0.7699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Q9NYL2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0.6688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P24941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P41240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Q96Q40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0.5151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0.3539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O75716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0.7202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Q9P0L2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0.9474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Q04771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0.4938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Q04912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0.9873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Q8TDC3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P00523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P11309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Q9Y2H1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0.9878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Q13976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Q9NZJ5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P32298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0.8795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P0C264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Q6PHR2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0.4704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0.7633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0.3870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Q9H2K8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0.8319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Q9UQB9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0.9677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P14616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P49187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Q6P3R8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0.9125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P68400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599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P04626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0.9460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O00444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0.8636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P47811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P31749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0.9697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0.9423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0.9341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P36507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0.6449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Q01279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P51617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0.6791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P50750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0.7376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Q8NEV4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0.9231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Q08881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0.9613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O15111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Q92630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Q9H2G2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0.6996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P00519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P04049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0.9057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Q13557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P30291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Q8IYT8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0.7954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Q2M2I8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0.8256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P05129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830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0.9751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P42684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P12931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P29320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Q9Y2K2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0.7387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0.5632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O96017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XP_620754.3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O96013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0.6972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P53671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0.6538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Q8NE63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P68403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P54760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0.4608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Q86V86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0.8004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P48729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P53778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0.7647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0.3878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Q96GD4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P05132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P06240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P00520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Q8N4C8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Q16539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P29317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Q9BZL6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0.4688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Q9NSY1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0.7238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Q8WTQ7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Q61851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Q16659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0.5238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P19784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0.6395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Q8IY84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Q8WXR4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0.7544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Q00526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Q9UEE5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0.5499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0.7916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Q9P286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P70336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P43405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0.6599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0.9375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P35968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P35969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Q9UBS0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0.8231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P31751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P49336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0.9242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O00238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0.7062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Q99759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0.7306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Q12851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O60285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Q96RG2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0.9918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P11440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Q9HBH9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0.6629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P49137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0.9968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P07332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Q9P1W9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P27448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P21127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0.7263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0.4262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Q86UE8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0.8509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Q9NYY3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0.5639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Q99558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P07948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0.8539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Q13177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0.6297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Q13153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0.8960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O43353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0.6265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P09769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P52564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0.7537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P45984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0.9437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Q9NQU5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O14965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0.9821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P07947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Q9Y2H9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0.8323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0.4549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P46734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0.7893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Q9H0K1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P51957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0.6689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P35590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0.7876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Q5VT25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0.9040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0.6976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Q9Y243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0.7291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Q9Y6R4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0.6496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O00311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322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Q04759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0.9417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Q8TDR2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0.5375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Q60737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P06213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O94806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0.6207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Q99683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0.8882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Q60751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Q9BUB5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0.3496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Q6ZN16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0.7464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P16277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P90584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P29597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0.8722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P41241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P17612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P09217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P11275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Q07912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Q9HCP0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Q7L7X3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0.7780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Q02156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0.8559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Q13164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0.7588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Q9Y6M4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0.4757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O95382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P53355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P21803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P37023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P49761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0.5941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Q8N752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P16056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P54646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0.7614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O00418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306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Q9H093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0.6863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Q15208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0.6292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P17948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P49841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Q05397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0.6777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Q9UBE8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0.6544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0.4346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Q14012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0.7399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0.7083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O95819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277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P29322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0.8384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0.6888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Q56UN5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0.5752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0.6213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Q64617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P45985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0.8393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P51812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625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0.5870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0.8419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P53667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0.6286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O15197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0.7826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P06494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P28482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488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O15146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Q16584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0.7579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P51813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0.7531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0.5126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O43781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318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0.8853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O15075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0.7611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O95835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0.7833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Q9Y2U5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0.5128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0.7333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Q8N568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0.8062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O75582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0.9531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Q96PF2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363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0.7451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P08581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0.6043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0.9044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Q02111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P29376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0.8429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0.6359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0.8747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P17252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0.5439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0.4722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0.9190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P15208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Q13464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Q9NY57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0.4785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Q14289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P49185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Q13188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0.6905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Q08345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0.7407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Q96KB5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425</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0.6128</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P25098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0.6012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P09216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P10721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0.8308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0.4876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0.7054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0.5761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0.6604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0.7359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Q00535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399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0.9400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P29323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Q86UX6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1.0000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0.4613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P51955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0.9157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Q15746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0.6538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0.6980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P45983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0.9932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0.6456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O14976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0.4762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0.7822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Q02763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245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0.8249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Q86YV6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0.6212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Q9NWZ3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546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0.6840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0.8403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Q15375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0.6706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0.5911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Q13873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0.5079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P22607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0.6693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0.9375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0.7637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0.6384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Q9BQI3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0.3934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0.5298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P05696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74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Q16512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0.5909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0.8690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0.5882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0.7524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P05622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316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P42685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0.8889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0.6465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0.7814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Q09013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0.5527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0.9969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0.9260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P18266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Q8IU85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0.7333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Q9UM73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551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0.7273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0.8472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0.7958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0.8824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0.9447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0.5468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0.6136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P54764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0.7941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0.5714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0.7586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0.5167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0.6982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Q14680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323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0.7155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0.7410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0.5179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0.7681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Q9NRP7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0.7053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0.4567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P16092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P35918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92</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Q4JIM5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P36897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202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0.3750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0.4000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0.9704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0.6234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Q05513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95</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854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0.9896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0.8000</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P31750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P54756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0.5556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0.8294</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0.7857</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0.5000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0.6306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Q03142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13</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P43403</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60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109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0.6576</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0.7778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0.9968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0.6626</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0.4968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0.6217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Q16288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151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402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0.6647</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0.8519</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0.6162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0.7002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0.6578</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0.8922</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0.5350</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0.7277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jc w:val="center"/>
        </w:trPr>
        <w:tc>
          <w:tcPr>
            <w:tcW w:w="1013"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P00521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1</w:t>
            </w:r>
          </w:p>
        </w:tc>
        <w:tc>
          <w:tcPr>
            <w:tcW w:w="850"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1A1A1A" w:themeColor="background1" w:themeShade="1A"/>
                <w:sz w:val="16"/>
                <w:szCs w:val="16"/>
              </w:rPr>
            </w:pPr>
            <w:r>
              <w:rPr>
                <w:rFonts w:ascii="Times New Roman" w:hAnsi="Times New Roman" w:eastAsia="宋体" w:cs="Times New Roman"/>
                <w:color w:val="1A1A1A" w:themeColor="background1" w:themeShade="1A"/>
                <w:kern w:val="0"/>
                <w:sz w:val="16"/>
                <w:szCs w:val="16"/>
                <w:lang w:bidi="ar"/>
              </w:rPr>
              <w:t>39</w:t>
            </w: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c>
          <w:tcPr>
            <w:tcW w:w="850" w:type="dxa"/>
            <w:shd w:val="clear" w:color="auto" w:fill="auto"/>
            <w:tcMar>
              <w:top w:w="15" w:type="dxa"/>
              <w:left w:w="15" w:type="dxa"/>
              <w:right w:w="15" w:type="dxa"/>
            </w:tcMar>
            <w:vAlign w:val="center"/>
          </w:tcPr>
          <w:p>
            <w:pPr>
              <w:jc w:val="center"/>
              <w:rPr>
                <w:rFonts w:ascii="Times New Roman" w:hAnsi="Times New Roman" w:eastAsia="宋体" w:cs="Times New Roman"/>
                <w:color w:val="1A1A1A" w:themeColor="background1" w:themeShade="1A"/>
                <w:sz w:val="16"/>
                <w:szCs w:val="16"/>
              </w:rPr>
            </w:pPr>
          </w:p>
        </w:tc>
      </w:tr>
    </w:tbl>
    <w:p>
      <w:pPr>
        <w:pStyle w:val="30"/>
      </w:pPr>
      <w:r>
        <w:rPr>
          <w:vertAlign w:val="superscript"/>
        </w:rPr>
        <w:t xml:space="preserve">a </w:t>
      </w:r>
      <w:r>
        <w:t>A null value indicates that the kinase is not in the dataset.</w:t>
      </w:r>
    </w:p>
    <w:p>
      <w:pPr>
        <w:pStyle w:val="30"/>
      </w:pPr>
    </w:p>
    <w:p>
      <w:pPr>
        <w:pStyle w:val="30"/>
      </w:pPr>
    </w:p>
    <w:p>
      <w:pPr>
        <w:pStyle w:val="30"/>
      </w:pPr>
    </w:p>
    <w:p>
      <w:pPr>
        <w:pStyle w:val="30"/>
      </w:pPr>
    </w:p>
    <w:p>
      <w:pPr>
        <w:pStyle w:val="30"/>
      </w:pPr>
    </w:p>
    <w:p>
      <w:pPr>
        <w:pStyle w:val="2"/>
        <w:numPr>
          <w:ilvl w:val="0"/>
          <w:numId w:val="0"/>
        </w:numPr>
        <w:ind w:left="357" w:hanging="357"/>
      </w:pPr>
      <w:bookmarkStart w:id="21" w:name="_Toc2712881"/>
      <w:bookmarkStart w:id="22" w:name="_Toc2697477"/>
      <w:bookmarkStart w:id="23" w:name="_Toc7509239"/>
      <w:r>
        <w:t xml:space="preserve">4 </w:t>
      </w:r>
      <w:r>
        <w:rPr>
          <w:rFonts w:hint="eastAsia"/>
        </w:rPr>
        <w:t>Case study</w:t>
      </w:r>
      <w:bookmarkEnd w:id="21"/>
      <w:bookmarkEnd w:id="22"/>
      <w:bookmarkEnd w:id="23"/>
    </w:p>
    <w:p>
      <w:pPr>
        <w:pStyle w:val="5"/>
      </w:pPr>
      <w:r>
        <w:rPr>
          <w:rFonts w:hint="eastAsia"/>
          <w:lang w:val="en-GB"/>
        </w:rPr>
        <w:t xml:space="preserve">Supplementary figure </w:t>
      </w:r>
      <w:r>
        <w:rPr>
          <w:lang w:val="en-GB"/>
        </w:rPr>
        <w:t>3</w:t>
      </w:r>
      <w:r>
        <w:t xml:space="preserve"> </w:t>
      </w:r>
      <w:r>
        <w:rPr>
          <w:lang w:val="en-GB"/>
        </w:rPr>
        <w:t>summarizes the predicted</w:t>
      </w:r>
      <w:r>
        <w:t xml:space="preserve"> and experiment</w:t>
      </w:r>
      <w:r>
        <w:rPr>
          <w:lang w:val="en-GB"/>
        </w:rPr>
        <w:t xml:space="preserve"> kinase activity </w:t>
      </w:r>
      <w:r>
        <w:t xml:space="preserve">and selectivity </w:t>
      </w:r>
      <w:r>
        <w:rPr>
          <w:lang w:val="en-GB"/>
        </w:rPr>
        <w:t xml:space="preserve">profile of the </w:t>
      </w:r>
      <w:r>
        <w:t>case</w:t>
      </w:r>
      <w:r>
        <w:rPr>
          <w:lang w:val="en-GB"/>
        </w:rPr>
        <w:t xml:space="preserve">. </w:t>
      </w:r>
      <w:r>
        <w:t>The experiment validation was carried out by</w:t>
      </w:r>
      <w:r>
        <w:rPr>
          <w:lang w:val="en-GB"/>
        </w:rPr>
        <w:t xml:space="preserve"> using the </w:t>
      </w:r>
      <w:r>
        <w:t xml:space="preserve">Eurofins’ </w:t>
      </w:r>
      <w:r>
        <w:rPr>
          <w:lang w:val="en-GB"/>
        </w:rPr>
        <w:t>KinaseProfiler Service (</w:t>
      </w:r>
      <w:r>
        <w:rPr>
          <w:rStyle w:val="18"/>
          <w:rFonts w:hint="eastAsia"/>
          <w:lang w:val="en-GB"/>
        </w:rPr>
        <w:t>https://www.eurofinsdiscoveryservices.com/cms/cms-content/services/in-vitro-assays/kinases/kinase-profiler/</w:t>
      </w:r>
      <w:r>
        <w:rPr>
          <w:lang w:val="en-GB"/>
        </w:rPr>
        <w:t>)</w:t>
      </w:r>
      <w:r>
        <w:t>.</w:t>
      </w:r>
      <w:r>
        <w:rPr>
          <w:lang w:val="en-GB"/>
        </w:rPr>
        <w:t xml:space="preserve"> </w:t>
      </w:r>
      <w:r>
        <w:t>T</w:t>
      </w:r>
      <w:r>
        <w:rPr>
          <w:lang w:val="en-GB"/>
        </w:rPr>
        <w:t xml:space="preserve">he </w:t>
      </w:r>
      <w:r>
        <w:t>percent</w:t>
      </w:r>
      <w:r>
        <w:rPr>
          <w:lang w:val="en-GB"/>
        </w:rPr>
        <w:t xml:space="preserve"> activity of </w:t>
      </w:r>
      <w:r>
        <w:t>NVP-BHG712</w:t>
      </w:r>
      <w:r>
        <w:rPr>
          <w:lang w:val="en-GB"/>
        </w:rPr>
        <w:t xml:space="preserve"> </w:t>
      </w:r>
      <w:r>
        <w:t xml:space="preserve">was tested </w:t>
      </w:r>
      <w:r>
        <w:rPr>
          <w:lang w:val="en-GB"/>
        </w:rPr>
        <w:t>against a panel of 405 kinases, among which 28</w:t>
      </w:r>
      <w:r>
        <w:t>2</w:t>
      </w:r>
      <w:r>
        <w:rPr>
          <w:lang w:val="en-GB"/>
        </w:rPr>
        <w:t xml:space="preserve"> fall in our MTDNN capacity panel (391 kinases). Filter-binding radiometric kinase activity assays were performed at a concentration of 1 μM, with the active threshold defined as 50%.</w:t>
      </w:r>
      <w:r>
        <w:t xml:space="preserve"> Also, most of the novel “off-target” activities have been confirmed by subsequent experiments at lower compound concentrations (0.1 </w:t>
      </w:r>
      <w:r>
        <w:rPr>
          <w:lang w:val="en-GB"/>
        </w:rPr>
        <w:t>μM</w:t>
      </w:r>
      <w:r>
        <w:t xml:space="preserve"> and 0.01 </w:t>
      </w:r>
      <w:r>
        <w:rPr>
          <w:lang w:val="en-GB"/>
        </w:rPr>
        <w:t>μM</w:t>
      </w:r>
      <w:r>
        <w:t xml:space="preserve">). The results are shown in supplementary table 3. </w:t>
      </w:r>
      <w:r>
        <w:rPr>
          <w:rFonts w:hint="eastAsia"/>
          <w:lang w:eastAsia="zh-CN"/>
        </w:rPr>
        <w:t>A</w:t>
      </w:r>
      <w:r>
        <w:t xml:space="preserve">ccording to the results at 1 </w:t>
      </w:r>
      <w:r>
        <w:rPr>
          <w:lang w:val="en-GB"/>
        </w:rPr>
        <w:t>μM</w:t>
      </w:r>
      <w:r>
        <w:t>, the model shows auROC of 0.86, recall of 0.69, precision of 0.41 and balanced accuracy of 0.80.</w:t>
      </w:r>
    </w:p>
    <w:p>
      <w:pPr>
        <w:spacing w:line="360" w:lineRule="auto"/>
        <w:rPr>
          <w:rFonts w:ascii="Times New Roman" w:hAnsi="Times New Roman" w:cs="Times New Roman"/>
          <w:b/>
          <w:sz w:val="24"/>
          <w:lang w:val="en-GB"/>
        </w:rPr>
      </w:pPr>
      <w:r>
        <w:rPr>
          <w:rFonts w:ascii="Times New Roman" w:hAnsi="Times New Roman" w:cs="Times New Roman"/>
          <w:b/>
          <w:sz w:val="24"/>
        </w:rPr>
        <w:drawing>
          <wp:inline distT="0" distB="0" distL="0" distR="0">
            <wp:extent cx="5227320" cy="73564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2382" cy="7363364"/>
                    </a:xfrm>
                    <a:prstGeom prst="rect">
                      <a:avLst/>
                    </a:prstGeom>
                  </pic:spPr>
                </pic:pic>
              </a:graphicData>
            </a:graphic>
          </wp:inline>
        </w:drawing>
      </w:r>
    </w:p>
    <w:p>
      <w:pPr>
        <w:pStyle w:val="4"/>
        <w:rPr>
          <w:b w:val="0"/>
        </w:rPr>
      </w:pPr>
      <w:bookmarkStart w:id="24" w:name="_Toc7509240"/>
      <w:r>
        <w:rPr>
          <w:rFonts w:hint="eastAsia"/>
        </w:rPr>
        <w:t xml:space="preserve">Supplementary figure </w:t>
      </w:r>
      <w:r>
        <w:t>3.</w:t>
      </w:r>
      <w:r>
        <w:rPr>
          <w:rFonts w:hint="eastAsia"/>
        </w:rPr>
        <w:t xml:space="preserve"> </w:t>
      </w:r>
      <w:r>
        <w:rPr>
          <w:b w:val="0"/>
        </w:rPr>
        <w:t xml:space="preserve">Kinome map and selectivity of the predicted and experimental bioactivities of NVP-BHG712. (A) Kinases coloured in red have predicted active probability&gt;0.5 (B) Kinases coloured in red have experimental %activity&lt;50% at 1 μM. (C, D) </w:t>
      </w:r>
      <w:r>
        <w:rPr>
          <w:b w:val="0"/>
        </w:rPr>
        <w:t>Standard</w:t>
      </w:r>
      <w:r>
        <w:rPr>
          <w:b w:val="0"/>
        </w:rPr>
        <w:t xml:space="preserve"> score, gini score and bar plots of predicted and experimental group selectivity. When a group has an odds ratio significantly greater than 1, the bar is coloured red (right). </w:t>
      </w:r>
      <w:r>
        <w:rPr>
          <w:rFonts w:hint="eastAsia"/>
          <w:b w:val="0"/>
          <w:lang w:eastAsia="zh-CN"/>
        </w:rPr>
        <w:t>(</w:t>
      </w:r>
      <w:r>
        <w:rPr>
          <w:b w:val="0"/>
          <w:lang w:eastAsia="zh-CN"/>
        </w:rPr>
        <w:t xml:space="preserve">E) Chemical depiction and cross references of NVP-BHG712. </w:t>
      </w:r>
      <w:r>
        <w:rPr>
          <w:b w:val="0"/>
        </w:rPr>
        <w:t>‘*’: 0.01&lt;p&lt;0.05; ‘**’: 0.001&lt;p&lt;0.01; ‘***’: p&lt;0.001.</w:t>
      </w:r>
      <w:bookmarkEnd w:id="24"/>
    </w:p>
    <w:p>
      <w:pPr>
        <w:pStyle w:val="30"/>
        <w:jc w:val="left"/>
      </w:pPr>
    </w:p>
    <w:p>
      <w:pPr>
        <w:pStyle w:val="30"/>
        <w:jc w:val="left"/>
      </w:pPr>
    </w:p>
    <w:p>
      <w:pPr>
        <w:pStyle w:val="30"/>
        <w:jc w:val="left"/>
      </w:pPr>
    </w:p>
    <w:p>
      <w:pPr>
        <w:pStyle w:val="30"/>
        <w:jc w:val="left"/>
      </w:pPr>
    </w:p>
    <w:p>
      <w:pPr>
        <w:pStyle w:val="4"/>
      </w:pPr>
      <w:bookmarkStart w:id="25" w:name="_Toc7509241"/>
      <w:r>
        <w:rPr>
          <w:rFonts w:hint="eastAsia"/>
        </w:rPr>
        <w:t xml:space="preserve">Supplementary </w:t>
      </w:r>
      <w:r>
        <w:t>table</w:t>
      </w:r>
      <w:r>
        <w:rPr>
          <w:rFonts w:hint="eastAsia"/>
        </w:rPr>
        <w:t xml:space="preserve"> </w:t>
      </w:r>
      <w:r>
        <w:t>3</w:t>
      </w:r>
      <w:r>
        <w:rPr>
          <w:rFonts w:hint="eastAsia"/>
        </w:rPr>
        <w:t xml:space="preserve">. </w:t>
      </w:r>
      <w:r>
        <w:rPr>
          <w:b w:val="0"/>
        </w:rPr>
        <w:t>The predicted activity probability and experimental %activity of NVP-BHG712.</w:t>
      </w:r>
      <w:bookmarkEnd w:id="25"/>
    </w:p>
    <w:p>
      <w:pPr>
        <w:pStyle w:val="30"/>
        <w:jc w:val="left"/>
      </w:pPr>
    </w:p>
    <w:tbl>
      <w:tblPr>
        <w:tblStyle w:val="20"/>
        <w:tblW w:w="8336"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59"/>
        <w:gridCol w:w="1995"/>
        <w:gridCol w:w="1731"/>
        <w:gridCol w:w="1113"/>
        <w:gridCol w:w="1115"/>
        <w:gridCol w:w="112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92" w:hRule="atLeast"/>
        </w:trPr>
        <w:tc>
          <w:tcPr>
            <w:tcW w:w="1259"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UniProt ID</w:t>
            </w:r>
          </w:p>
        </w:tc>
        <w:tc>
          <w:tcPr>
            <w:tcW w:w="1995"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Kinase</w:t>
            </w:r>
          </w:p>
        </w:tc>
        <w:tc>
          <w:tcPr>
            <w:tcW w:w="1731"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kern w:val="0"/>
                <w:sz w:val="16"/>
                <w:szCs w:val="16"/>
                <w:lang w:bidi="ar"/>
              </w:rPr>
            </w:pPr>
            <w:r>
              <w:rPr>
                <w:rFonts w:ascii="Times New Roman" w:hAnsi="Times New Roman" w:eastAsia="宋体" w:cs="Times New Roman"/>
                <w:color w:val="000000"/>
                <w:kern w:val="0"/>
                <w:sz w:val="16"/>
                <w:szCs w:val="16"/>
                <w:lang w:bidi="ar"/>
              </w:rPr>
              <w:t>Predicted</w:t>
            </w:r>
          </w:p>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probability</w:t>
            </w:r>
          </w:p>
        </w:tc>
        <w:tc>
          <w:tcPr>
            <w:tcW w:w="1113"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at 1 µM</w:t>
            </w:r>
            <w:r>
              <w:rPr>
                <w:rStyle w:val="29"/>
                <w:rFonts w:ascii="Times New Roman" w:hAnsi="Times New Roman" w:eastAsia="宋体" w:cs="Times New Roman"/>
                <w:b w:val="0"/>
                <w:lang w:bidi="ar"/>
              </w:rPr>
              <w:t>a</w:t>
            </w:r>
          </w:p>
        </w:tc>
        <w:tc>
          <w:tcPr>
            <w:tcW w:w="1115"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at 0.1 µM</w:t>
            </w:r>
            <w:r>
              <w:rPr>
                <w:rStyle w:val="29"/>
                <w:rFonts w:ascii="Times New Roman" w:hAnsi="Times New Roman" w:eastAsia="宋体" w:cs="Times New Roman"/>
                <w:b w:val="0"/>
                <w:lang w:bidi="ar"/>
              </w:rPr>
              <w:t>b</w:t>
            </w:r>
          </w:p>
        </w:tc>
        <w:tc>
          <w:tcPr>
            <w:tcW w:w="1123" w:type="dxa"/>
            <w:tcBorders>
              <w:bottom w:val="single" w:color="auto" w:sz="4" w:space="0"/>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at 0.01 µM</w:t>
            </w:r>
            <w:r>
              <w:rPr>
                <w:rStyle w:val="29"/>
                <w:rFonts w:ascii="Times New Roman" w:hAnsi="Times New Roman" w:eastAsia="宋体" w:cs="Times New Roman"/>
                <w:b w:val="0"/>
                <w:lang w:bidi="ar"/>
              </w:rPr>
              <w:t>c</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tcBorders>
              <w:top w:val="single" w:color="auto" w:sz="4" w:space="0"/>
              <w:bottom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Q2M2I8</w:t>
            </w:r>
          </w:p>
        </w:tc>
        <w:tc>
          <w:tcPr>
            <w:tcW w:w="1995" w:type="dxa"/>
            <w:tcBorders>
              <w:top w:val="single" w:color="auto" w:sz="4" w:space="0"/>
              <w:bottom w:val="nil"/>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AAK1(h)</w:t>
            </w:r>
          </w:p>
        </w:tc>
        <w:tc>
          <w:tcPr>
            <w:tcW w:w="1731" w:type="dxa"/>
            <w:tcBorders>
              <w:top w:val="single" w:color="auto" w:sz="4" w:space="0"/>
              <w:bottom w:val="nil"/>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0.0144</w:t>
            </w:r>
          </w:p>
        </w:tc>
        <w:tc>
          <w:tcPr>
            <w:tcW w:w="1113" w:type="dxa"/>
            <w:tcBorders>
              <w:top w:val="single" w:color="auto" w:sz="4" w:space="0"/>
              <w:bottom w:val="nil"/>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w:t>
            </w:r>
          </w:p>
        </w:tc>
        <w:tc>
          <w:tcPr>
            <w:tcW w:w="1115" w:type="dxa"/>
            <w:tcBorders>
              <w:top w:val="single" w:color="auto" w:sz="4" w:space="0"/>
              <w:bottom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tcBorders>
              <w:top w:val="single" w:color="auto" w:sz="4" w:space="0"/>
              <w:bottom w:val="nil"/>
            </w:tcBorders>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tcBorders>
              <w:top w:val="nil"/>
            </w:tcBorders>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P00519</w:t>
            </w:r>
          </w:p>
        </w:tc>
        <w:tc>
          <w:tcPr>
            <w:tcW w:w="1995" w:type="dxa"/>
            <w:tcBorders>
              <w:top w:val="nil"/>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Abl(h)</w:t>
            </w:r>
          </w:p>
        </w:tc>
        <w:tc>
          <w:tcPr>
            <w:tcW w:w="1731" w:type="dxa"/>
            <w:tcBorders>
              <w:top w:val="nil"/>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0.9481</w:t>
            </w:r>
          </w:p>
        </w:tc>
        <w:tc>
          <w:tcPr>
            <w:tcW w:w="1113" w:type="dxa"/>
            <w:tcBorders>
              <w:top w:val="nil"/>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w:t>
            </w:r>
          </w:p>
        </w:tc>
        <w:tc>
          <w:tcPr>
            <w:tcW w:w="1115" w:type="dxa"/>
            <w:tcBorders>
              <w:top w:val="nil"/>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74</w:t>
            </w:r>
          </w:p>
        </w:tc>
        <w:tc>
          <w:tcPr>
            <w:tcW w:w="1123" w:type="dxa"/>
            <w:tcBorders>
              <w:top w:val="nil"/>
            </w:tcBorders>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P00520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Abl(m)</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0.7683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24</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Q07912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ACK1(h)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0.4318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Q9UM73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ALK(h)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0.3388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P37023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ALK1(h)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0.0892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Q04771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ALK2(h)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0.1853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P36896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ALK4(h)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0.132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P42684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Arg(h)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0.8972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18</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38</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Q13131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AMPKα1(h)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P54646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AMPKα2(h)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0.0175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Q4JIM5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Arg(m)</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0.5884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20</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42</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O60285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ARK5(h)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0.0528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Q99683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ASK1(h)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O14965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Aurora-A(h)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0.0284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Q96GD4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Aurora-B(h)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0.0662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Q9UQB9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Aurora-C(h)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0.4904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P30530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Axl(h)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0.9661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P51451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Blk(h)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0.9612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P16277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Blk(m)</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0.8402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Q13873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BMPR2(h)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P51813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Bmx(h)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0.8825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Q13882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BRK(h)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0.9143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Q8TDC3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BrSK1(h)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Q06187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BTK(h)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0.7414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P15056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B-Raf(h)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0.8461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Q14012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CaMKI(h)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Q96NX5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CaMKIγ(h)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0.0115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Q9UQM7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CaMKIIα(h)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Q13554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CaMKIIβ(h)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Q13555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CaMKIIγ(h)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Q13557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CaMKIIδ(h)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Q16566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CaMKIV(h)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Q8N5S9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CaMKK1(h)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0.0104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Q96RR4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CaMKK2(h)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O00311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Cdc7/cyclinB1(h)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0.0032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P06493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CDK1/cyclinB(h)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P24941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CDK2/cyclinA(h)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Q00526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CDK3/cyclinE(h)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P11802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CDK4/cyclinD3(h)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0.0057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Q00535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CDK5/p35(h)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Q00534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CDK6/cyclinD3(h)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0.0126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P50613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CDK7/cyclinH/MAT1(h)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0.0067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P50750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CDK9/cyclin T1(h)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Q00536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CDK16/cyclinY(h)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0.0125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Q92772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CDKL2(h)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0.4845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Q8IVW4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CDKL3(h)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0.4771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O14757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CHK1(h)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O96017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CHK2(h)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Q9HCP0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CK1γ1(h)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0.0039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P78368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CK1γ2(h)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Q9Y6M4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CK1γ3(h)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P48730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CK1δ(h)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0.025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P68400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CK2α1(h)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0.0545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P19784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CK2α2(h)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Q8TDR2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CLIK1(h)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0.0526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P49759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CLK1(h)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0.0574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P49760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CLK2(h)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0.0619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P49761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CLK3(h)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Q9HAZ1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CLK4(h)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0.0925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P10721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cKit(h)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0.9812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O14578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CRIK(h)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0.0035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P41240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CSK(h)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0.0628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P04049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c-RAF(h)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0.4611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20</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88</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P12931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cSRC(h)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0.7868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P53355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DAPK1(h)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0.0083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Q9UIK4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DAPK2(h)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Q8N568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DCAMKL2(h)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0.0034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Q9C098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DCAMKL3(h)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0.0138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Q08345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DDR1(h)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0.5981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Q09013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DMPK(h)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0.0032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Q9UEE5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DRAK1(h)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O94768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DRAK2(h)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0.0596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Q13627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DYRK1A(h)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Q9Y463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DYRK1B(h)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Q92630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DYRK2(h)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0.0949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O43781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DYRK3(h)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0.5077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O00418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eEF-2K(h)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P00533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EGFR(h)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0.0775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P21709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EphA1(h)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0.4293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P29317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EphA2(h)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0.9787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70</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P29320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EphA3(h)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0.799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29</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76</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P54764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EphA4(h)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0.2989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P54756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EphA5(h)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0.2207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70</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Q15375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EphA7(h)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0.0436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P29322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EphA8(h)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0.3938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34</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P29323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EphB2(h)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27</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83</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P54762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EphB1(h)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0.6729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16</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76</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P54753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EphB3(h)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0.3828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P54760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EphB4(h)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0.7188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P04626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ErbB2(h)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0.3311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Q15303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ErbB4(h)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0.0253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Q05397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FAK(h)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0.8715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P16591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Fer(h)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0.2319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P07332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Fes(h)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0.0825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P11362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FGFR1(h)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0.1392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P21802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FGFR2(h)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0.6829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P22607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FGFR3(h)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0.0779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P22455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FGFR4(h)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0.2702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P09769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Fgr(h)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0.8342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P17948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Flt1(h)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0.3051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40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P36888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Flt3(h)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0.2694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P35916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Flt4(h)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0.7016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P07333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Fms(h)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0.9658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P06241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Fyn(h)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0.9093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Q12851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GCK(h)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Q15835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GRK1(h)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0.2947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P25098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GRK2(h)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0.0532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P34947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GRK5(h)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Q8WTQ7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GRK7(h)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0.1159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P49840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GSK3α(h)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0.0319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P49841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GSK3β(h)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0.032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P08631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Hck(h)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0.9022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56</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Q86Z02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HIPK1(h)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0.0174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Q9H2X6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HIPK2(h)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0.7418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Q9H422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HIPK3(h)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0.6714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Q8NE63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HIPK4(h)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0.293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Q92918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HPK1(h)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0.2461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Q9BQI3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HRI(h)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0.9989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Q9UPZ9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ICK(h)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0.1483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P08069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IGF-1R(h)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0.051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O15111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IKKα(h)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O14920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IKKβ(h)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0.0166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Q14164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IKKε(h)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P06213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IR(h)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0.0041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Q8IVH8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IRE1(h)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0.2886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P14616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IRR(h)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0.0131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P51617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IRAK1(h)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Q9NWZ3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IRAK4(h)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Q08881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Itk(h)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0.0202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O60674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JAK2(h)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0.1223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P52333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JAK3(h)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0.0472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P45983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JNK1α1(h)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P45984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JNK2α2(h)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0.0258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P53779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JNK3(h)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0.0035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P35968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KDR(h)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0.0799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P06239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Lck(h)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0.9918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54</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P53667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LIMK1(h)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0.2785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P53671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LIMK2(h)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0.8672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Q15831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LKB1(h)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0.0164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O94804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LOK(h)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0.0198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P07948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Lyn(h)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0.9901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22</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Q5S007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LRRK2(h)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0.0064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P29376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LTK(h)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0.2336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P28482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MAPK1(h)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O95819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MAP4K4(h)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0.1237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Q9Y4K4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MAP4K5(h)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0.6743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P49137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MAPKAP-K2(h)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Q16644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MAPKAP-K3(h)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Q02750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MEK1(h)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0.0982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P36507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MEK2(h)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0.0218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Q9P0L2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MARK1(h)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P27448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MARK3(h)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0.0058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Q96L34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MARK4(h)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Q9Y2U5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MEKK2(h)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0.1219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Q99759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MEKK3(h)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0.0641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Q14680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MELK(h)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0.2288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P08581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Met(h)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0.0155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Q8N4C8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MINK(h)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0.218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P46734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MKK3(h)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P52564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MKK6(h)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Q15746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MLCK(h)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0.0387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P80192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MLK1(h)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Q02779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MLK2(h)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Q16584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MLK3(h)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0.0033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Q9HBH9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Mnk2(h)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Q5VT25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MRCKα(h)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Q9Y5S2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MRCKβ(h)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O75582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MSK1(h)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0.0067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O75676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MSK2(h)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0.0663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Q9UPE1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MSSK1(h)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0.0845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Q13043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MST1(h)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0.0454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Q13188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MST2(h)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0.1691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Q9Y6E0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MST3(h)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0.0157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Q9P289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MST4(h)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0.0045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O15146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MuSK(h)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0.1505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Q9H1R3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MYLK2(h)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Q8WXR4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MYO3B(h)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0.0036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Q9Y2H1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NDR2(h)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0.0179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Q96PY6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NEK1(h)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P51955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NEK2(h)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P51957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NEK4(h)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Q9HC98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NEK6(h)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0.0258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Q8TDX7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NEK7(h)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Q8IY84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NIM1(h)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0.023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Q9UBE8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NLK(h)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0.5973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Q9H093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NUAK2(h)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0.0152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P23443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p70S6K(h)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0.1042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Q13153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PAK1(h)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Q13177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PAK2(h)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O96013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PAK4(h)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O75914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PAK3(h)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Q9P286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PAK5(h)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0.0182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Q9NQU5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PAK6(h)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0.0045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Q7KZI7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PAR-1Bα(h)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Q96RG2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PASK(h)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Q9NZJ5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PEK(h)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0.0245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P16234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PDGFRα(h)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0.9889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P09619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PDGFRβ(h)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0.9702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Q16816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PhKγ1(h)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P15735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PhKγ2(h)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78</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P11309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Pim-1(h)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0.0572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Q9P1W9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Pim-2(h)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Q86V86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Pim-3(h)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P17612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PKA(h)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P22694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PKAcβ(h)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P31749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PKBα(h)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P31751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PKBβ(h)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Q9Y243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PKBγ(h)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P17252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PKCα(h)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P05771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PKCβII(h)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P05129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PKCγ(h)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Q05655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PKCδ(h)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Q02156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PKCη(h)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P41743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PKCι(h)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Q15139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PKCμ(h)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Q04759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PKCθ(h)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Q05513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PKCζ(h)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Q9BZL6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PKD2(h)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O94806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PKD3(h)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0.0056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Q13976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PKG1α(h)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2</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97</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P19525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PKR(h)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0.0159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P53350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Plk1(h)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0.0055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Q9H4B4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Plk3(h)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0.0031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O00444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Plk4(h)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0.1022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Q8IW41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PRAK(h)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Q13237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PRKG2(h)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Q16512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PRK1(h)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0.0094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Q16513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PRK2(h)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P51817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PrKX(h)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P42685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PTK5(h)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0.9998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13</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Q14289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Pyk2(h)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0.2498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P07949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Ret(h)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0.9553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Q13546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RIPK1(h)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0.0123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O43353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RIPK2(h)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0.0901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Q13464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ROCK-I(h)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O75116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ROCK-II(h)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Q04912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Ron(h)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0.1767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P08922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Ros(h)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0.085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Q06418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Rse(h)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0.3247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P51812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Rsk2(h)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0.0966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Q16539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SAPK2a(h)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0.9933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P53778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SAPK3(h)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0.0811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O15264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SAPK4(h)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0.2489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O00141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SGK(h)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P57059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SIK(h)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0.3477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145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Q9H0K1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SIK2(h)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0.1099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Q9Y2K2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SIK3(h)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0.1037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Q9H2G2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SLK(h)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0.0848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Q9NYY3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Snk(h)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0.0013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2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P12931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Src(1-530)(h)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0.7868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56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Q9H3Y6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SRMS(h)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0.575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78</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Q96SB4</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SRPK1(h)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O75716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STK16(h)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0.0157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O00506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STK25(h)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0.0161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Q9NY57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STK32B(h)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Q86UX6</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STK32C(h)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0.0023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Q9BYT3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STK33(h)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P43405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Syk(h)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0.1284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Q7L7X3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TAO1(h)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0.1803</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Q9H2K8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TAO3(h)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0.1122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87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Q9UHD2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TBK1(h)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P36897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TGFBR1(h)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0.4827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Q9UKI8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TLK1(h)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Q86UE8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TLK2(h)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0.0109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Q9UKE5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TNIK(h)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0.0157</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115</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P04629</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TrkA(h)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Q16620</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TrkB(h)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0.6186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Q16288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TrkC(h)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0.5894</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32</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Q9BXA7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TSSK1(h)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Q96PF2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TSSK2(h)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P33981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TTK(h)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0.0078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96</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P42681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Txk(h)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0.2769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P29597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TYK2(h)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0.0006</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O75385</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ULK1(h)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0.1459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99</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Q8IYT8</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ULK2(h)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0.1438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111</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Q6PHR2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ULK3(h)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0.149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P30291</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Wee1(h)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0.0049</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94</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P07947</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Yes(h)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0.6238</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37</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Q9NYL2</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ZAK(h)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0.2295</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9</w:t>
            </w:r>
          </w:p>
        </w:tc>
        <w:tc>
          <w:tcPr>
            <w:tcW w:w="111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67</w:t>
            </w:r>
          </w:p>
        </w:tc>
        <w:tc>
          <w:tcPr>
            <w:tcW w:w="112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P43403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ZAP-70(h)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0.0002</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120</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70" w:hRule="atLeast"/>
        </w:trPr>
        <w:tc>
          <w:tcPr>
            <w:tcW w:w="1259" w:type="dxa"/>
            <w:shd w:val="clear" w:color="auto" w:fill="auto"/>
            <w:tcMar>
              <w:top w:w="15" w:type="dxa"/>
              <w:left w:w="15" w:type="dxa"/>
              <w:right w:w="15" w:type="dxa"/>
            </w:tcMar>
            <w:vAlign w:val="center"/>
          </w:tcPr>
          <w:p>
            <w:pPr>
              <w:widowControl/>
              <w:jc w:val="center"/>
              <w:textAlignment w:val="center"/>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O43293</w:t>
            </w:r>
          </w:p>
        </w:tc>
        <w:tc>
          <w:tcPr>
            <w:tcW w:w="1995"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ZIPK(h)</w:t>
            </w:r>
          </w:p>
        </w:tc>
        <w:tc>
          <w:tcPr>
            <w:tcW w:w="1731"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0.0421</w:t>
            </w:r>
          </w:p>
        </w:tc>
        <w:tc>
          <w:tcPr>
            <w:tcW w:w="1113" w:type="dxa"/>
            <w:shd w:val="clear" w:color="auto" w:fill="auto"/>
            <w:tcMar>
              <w:top w:w="15" w:type="dxa"/>
              <w:left w:w="15" w:type="dxa"/>
              <w:right w:w="15" w:type="dxa"/>
            </w:tcMar>
            <w:vAlign w:val="center"/>
          </w:tcPr>
          <w:p>
            <w:pPr>
              <w:widowControl/>
              <w:jc w:val="center"/>
              <w:textAlignment w:val="bottom"/>
              <w:rPr>
                <w:rFonts w:ascii="Times New Roman" w:hAnsi="Times New Roman" w:eastAsia="宋体" w:cs="Times New Roman"/>
                <w:color w:val="000000"/>
                <w:sz w:val="16"/>
                <w:szCs w:val="16"/>
              </w:rPr>
            </w:pPr>
            <w:r>
              <w:rPr>
                <w:rFonts w:ascii="Times New Roman" w:hAnsi="Times New Roman" w:eastAsia="宋体" w:cs="Times New Roman"/>
                <w:color w:val="000000"/>
                <w:kern w:val="0"/>
                <w:sz w:val="16"/>
                <w:szCs w:val="16"/>
                <w:lang w:bidi="ar"/>
              </w:rPr>
              <w:t>113</w:t>
            </w:r>
          </w:p>
        </w:tc>
        <w:tc>
          <w:tcPr>
            <w:tcW w:w="1115" w:type="dxa"/>
            <w:shd w:val="clear" w:color="auto" w:fill="auto"/>
            <w:tcMar>
              <w:top w:w="15" w:type="dxa"/>
              <w:left w:w="15" w:type="dxa"/>
              <w:right w:w="15" w:type="dxa"/>
            </w:tcMar>
            <w:vAlign w:val="center"/>
          </w:tcPr>
          <w:p>
            <w:pPr>
              <w:jc w:val="center"/>
              <w:rPr>
                <w:rFonts w:ascii="Times New Roman" w:hAnsi="Times New Roman" w:eastAsia="宋体" w:cs="Times New Roman"/>
                <w:color w:val="000000"/>
                <w:sz w:val="16"/>
                <w:szCs w:val="16"/>
              </w:rPr>
            </w:pPr>
          </w:p>
        </w:tc>
        <w:tc>
          <w:tcPr>
            <w:tcW w:w="1123" w:type="dxa"/>
            <w:shd w:val="clear" w:color="auto" w:fill="auto"/>
            <w:tcMar>
              <w:top w:w="15" w:type="dxa"/>
              <w:left w:w="15" w:type="dxa"/>
              <w:right w:w="15" w:type="dxa"/>
            </w:tcMar>
            <w:vAlign w:val="center"/>
          </w:tcPr>
          <w:p>
            <w:pPr>
              <w:jc w:val="center"/>
              <w:rPr>
                <w:rFonts w:ascii="Times New Roman" w:hAnsi="Times New Roman" w:eastAsia="宋体" w:cs="Times New Roman"/>
                <w:color w:val="3C3C3C"/>
                <w:sz w:val="16"/>
                <w:szCs w:val="16"/>
              </w:rPr>
            </w:pPr>
          </w:p>
        </w:tc>
      </w:tr>
    </w:tbl>
    <w:p>
      <w:pPr>
        <w:spacing w:line="360" w:lineRule="auto"/>
        <w:jc w:val="center"/>
        <w:rPr>
          <w:rFonts w:ascii="Times New Roman" w:hAnsi="Times New Roman" w:cs="Times New Roman"/>
          <w:kern w:val="0"/>
          <w:sz w:val="16"/>
          <w:szCs w:val="16"/>
          <w:lang w:eastAsia="en-US"/>
        </w:rPr>
      </w:pPr>
      <w:r>
        <w:rPr>
          <w:rFonts w:ascii="Times New Roman" w:hAnsi="Times New Roman" w:cs="Times New Roman"/>
          <w:color w:val="1A1A1A" w:themeColor="background1" w:themeShade="1A"/>
          <w:sz w:val="16"/>
          <w:szCs w:val="16"/>
          <w:vertAlign w:val="superscript"/>
          <w:lang w:val="en-GB"/>
        </w:rPr>
        <w:t>a,</w:t>
      </w:r>
      <w:r>
        <w:rPr>
          <w:rFonts w:ascii="Times New Roman" w:hAnsi="Times New Roman" w:eastAsia="等线" w:cs="Times New Roman"/>
          <w:color w:val="1A1A1A" w:themeColor="background1" w:themeShade="1A"/>
          <w:sz w:val="16"/>
          <w:szCs w:val="16"/>
          <w:vertAlign w:val="superscript"/>
          <w:lang w:val="en-GB"/>
        </w:rPr>
        <w:t xml:space="preserve"> </w:t>
      </w:r>
      <w:r>
        <w:rPr>
          <w:rFonts w:ascii="Times New Roman" w:hAnsi="Times New Roman" w:cs="Times New Roman"/>
          <w:color w:val="1A1A1A" w:themeColor="background1" w:themeShade="1A"/>
          <w:sz w:val="16"/>
          <w:szCs w:val="16"/>
          <w:vertAlign w:val="superscript"/>
          <w:lang w:val="en-GB"/>
        </w:rPr>
        <w:t>b,</w:t>
      </w:r>
      <w:r>
        <w:rPr>
          <w:rFonts w:ascii="Times New Roman" w:hAnsi="Times New Roman" w:eastAsia="等线" w:cs="Times New Roman"/>
          <w:color w:val="1A1A1A" w:themeColor="background1" w:themeShade="1A"/>
          <w:sz w:val="16"/>
          <w:szCs w:val="16"/>
          <w:vertAlign w:val="superscript"/>
          <w:lang w:val="en-GB"/>
        </w:rPr>
        <w:t xml:space="preserve"> </w:t>
      </w:r>
      <w:r>
        <w:rPr>
          <w:rFonts w:ascii="Times New Roman" w:hAnsi="Times New Roman" w:cs="Times New Roman"/>
          <w:color w:val="1A1A1A" w:themeColor="background1" w:themeShade="1A"/>
          <w:sz w:val="16"/>
          <w:szCs w:val="16"/>
          <w:vertAlign w:val="superscript"/>
          <w:lang w:val="en-GB"/>
        </w:rPr>
        <w:t>c</w:t>
      </w:r>
      <w:r>
        <w:rPr>
          <w:rFonts w:ascii="Times New Roman" w:hAnsi="Times New Roman" w:cs="Times New Roman"/>
          <w:color w:val="1A1A1A" w:themeColor="background1" w:themeShade="1A"/>
          <w:vertAlign w:val="superscript"/>
          <w:lang w:val="en-GB"/>
        </w:rPr>
        <w:t xml:space="preserve"> </w:t>
      </w:r>
      <w:r>
        <w:rPr>
          <w:rFonts w:ascii="Times New Roman" w:hAnsi="Times New Roman" w:cs="Times New Roman"/>
          <w:kern w:val="0"/>
          <w:sz w:val="16"/>
          <w:szCs w:val="16"/>
          <w:lang w:eastAsia="en-US"/>
        </w:rPr>
        <w:t>The %activities of a kinase at NVP-BHG712 concentrations of 1 μM, 0.1 μM and 0.01 μM. A null value indicates that the activity was not tested.</w:t>
      </w:r>
    </w:p>
    <w:p>
      <w:pPr>
        <w:pStyle w:val="2"/>
        <w:numPr>
          <w:ilvl w:val="0"/>
          <w:numId w:val="0"/>
        </w:numPr>
        <w:ind w:left="357" w:hanging="357"/>
      </w:pPr>
      <w:bookmarkStart w:id="26" w:name="_Toc7509242"/>
      <w:bookmarkStart w:id="27" w:name="_Toc2697478"/>
      <w:bookmarkStart w:id="28" w:name="_Toc2712882"/>
      <w:r>
        <w:t>5 Computational methods</w:t>
      </w:r>
      <w:bookmarkEnd w:id="26"/>
    </w:p>
    <w:p>
      <w:pPr>
        <w:pStyle w:val="5"/>
        <w:rPr>
          <w:lang w:val="en-GB"/>
        </w:rPr>
      </w:pPr>
      <w:r>
        <w:rPr>
          <w:lang w:val="en-GB"/>
        </w:rPr>
        <w:t xml:space="preserve">Multitask deep Neural network models were developed </w:t>
      </w:r>
      <w:r>
        <w:t xml:space="preserve">with </w:t>
      </w:r>
      <w:r>
        <w:rPr>
          <w:lang w:val="en-GB"/>
        </w:rPr>
        <w:t xml:space="preserve">Tensorflow (Version 1.6.0) and DeepChem (Version 2.1.0). All trainings are performed on standard NVIDIA GPUs. The code is written with </w:t>
      </w:r>
      <w:r>
        <w:rPr>
          <w:lang w:val="en-GB"/>
        </w:rPr>
        <w:t>Python 3.6.</w:t>
      </w:r>
    </w:p>
    <w:p>
      <w:pPr>
        <w:pStyle w:val="5"/>
        <w:ind w:firstLine="210"/>
        <w:rPr>
          <w:lang w:val="en-GB"/>
        </w:rPr>
      </w:pPr>
    </w:p>
    <w:p>
      <w:pPr>
        <w:pStyle w:val="40"/>
        <w:rPr>
          <w:rFonts w:ascii="Times New Roman" w:hAnsi="Times New Roman"/>
          <w:sz w:val="14"/>
          <w:szCs w:val="14"/>
        </w:rPr>
      </w:pPr>
      <w:bookmarkStart w:id="29" w:name="_Toc7509243"/>
      <w:r>
        <w:rPr>
          <w:rFonts w:hint="eastAsia"/>
        </w:rPr>
        <w:t>References</w:t>
      </w:r>
      <w:bookmarkEnd w:id="27"/>
      <w:bookmarkEnd w:id="28"/>
      <w:bookmarkEnd w:id="29"/>
    </w:p>
    <w:p>
      <w:pPr>
        <w:pStyle w:val="23"/>
      </w:pPr>
      <w:r>
        <w:rPr>
          <w:lang w:val="en-GB"/>
        </w:rPr>
        <w:fldChar w:fldCharType="begin"/>
      </w:r>
      <w:r>
        <w:rPr>
          <w:lang w:val="en-GB"/>
        </w:rPr>
        <w:instrText xml:space="preserve"> ADDIN EN.REFLIST </w:instrText>
      </w:r>
      <w:r>
        <w:rPr>
          <w:lang w:val="en-GB"/>
        </w:rPr>
        <w:fldChar w:fldCharType="separate"/>
      </w:r>
      <w:r>
        <w:t xml:space="preserve">Bland, J.M. and Altman, D.G. (2000) Statistics notes. The odds ratio. </w:t>
      </w:r>
      <w:r>
        <w:rPr>
          <w:i/>
        </w:rPr>
        <w:t>Bmj</w:t>
      </w:r>
      <w:r>
        <w:t xml:space="preserve">, </w:t>
      </w:r>
      <w:r>
        <w:rPr>
          <w:b/>
        </w:rPr>
        <w:t>320</w:t>
      </w:r>
      <w:r>
        <w:t>, 1468-1468.</w:t>
      </w:r>
    </w:p>
    <w:p>
      <w:pPr>
        <w:pStyle w:val="23"/>
      </w:pPr>
      <w:r>
        <w:t>Metz, J.T.</w:t>
      </w:r>
      <w:r>
        <w:rPr>
          <w:i/>
        </w:rPr>
        <w:t xml:space="preserve"> et al.</w:t>
      </w:r>
      <w:r>
        <w:t xml:space="preserve"> (2011) Navigating the kinome. </w:t>
      </w:r>
      <w:r>
        <w:rPr>
          <w:i/>
        </w:rPr>
        <w:t>Nature Chemical Biology</w:t>
      </w:r>
      <w:r>
        <w:t xml:space="preserve">, </w:t>
      </w:r>
      <w:r>
        <w:rPr>
          <w:b/>
        </w:rPr>
        <w:t>7</w:t>
      </w:r>
      <w:r>
        <w:t>, 200-202.</w:t>
      </w:r>
    </w:p>
    <w:p>
      <w:pPr>
        <w:pStyle w:val="23"/>
      </w:pPr>
      <w:r>
        <w:t>Davis, M.I.</w:t>
      </w:r>
      <w:r>
        <w:rPr>
          <w:i/>
        </w:rPr>
        <w:t xml:space="preserve"> et al.</w:t>
      </w:r>
      <w:r>
        <w:t xml:space="preserve"> (2011) Comprehensive analysis of kinase inhibitor selectivity. </w:t>
      </w:r>
      <w:r>
        <w:rPr>
          <w:i/>
        </w:rPr>
        <w:t>Nature Biotechnology</w:t>
      </w:r>
      <w:r>
        <w:t xml:space="preserve">, </w:t>
      </w:r>
      <w:r>
        <w:rPr>
          <w:b/>
        </w:rPr>
        <w:t>29</w:t>
      </w:r>
      <w:r>
        <w:t>, 1046-1051.</w:t>
      </w:r>
    </w:p>
    <w:p>
      <w:pPr>
        <w:pStyle w:val="23"/>
      </w:pPr>
      <w:r>
        <w:t>Theonie, A.</w:t>
      </w:r>
      <w:r>
        <w:rPr>
          <w:i/>
        </w:rPr>
        <w:t xml:space="preserve"> et al.</w:t>
      </w:r>
      <w:r>
        <w:t xml:space="preserve"> (2011) Comprehensive assay of kinase catalytic activity reveals features of kinase inhibitor selectivity. </w:t>
      </w:r>
      <w:r>
        <w:rPr>
          <w:i/>
        </w:rPr>
        <w:t>Nature Biotechnology</w:t>
      </w:r>
      <w:r>
        <w:t xml:space="preserve">, </w:t>
      </w:r>
      <w:r>
        <w:rPr>
          <w:b/>
        </w:rPr>
        <w:t>29</w:t>
      </w:r>
      <w:r>
        <w:t>, 1039-1045.</w:t>
      </w:r>
    </w:p>
    <w:p>
      <w:pPr>
        <w:pStyle w:val="23"/>
      </w:pPr>
      <w:r>
        <w:t>Elkins, J.M.</w:t>
      </w:r>
      <w:r>
        <w:rPr>
          <w:i/>
        </w:rPr>
        <w:t xml:space="preserve"> et al.</w:t>
      </w:r>
      <w:r>
        <w:t xml:space="preserve"> (2015) Comprehensive characterization of the Published Kinase Inhibitor Set. </w:t>
      </w:r>
      <w:r>
        <w:rPr>
          <w:i/>
        </w:rPr>
        <w:t>Nature Biotechnology</w:t>
      </w:r>
      <w:r>
        <w:t xml:space="preserve">, </w:t>
      </w:r>
      <w:r>
        <w:rPr>
          <w:b/>
        </w:rPr>
        <w:t>34</w:t>
      </w:r>
      <w:r>
        <w:t>, 95.</w:t>
      </w:r>
    </w:p>
    <w:p>
      <w:pPr>
        <w:pStyle w:val="23"/>
      </w:pPr>
      <w:r>
        <w:t>Drewry, D.H.</w:t>
      </w:r>
      <w:r>
        <w:rPr>
          <w:i/>
        </w:rPr>
        <w:t xml:space="preserve"> et al.</w:t>
      </w:r>
      <w:r>
        <w:t xml:space="preserve"> (2017) Progress towards a public chemogenomic set for protein kinases and a call for contributions. </w:t>
      </w:r>
      <w:r>
        <w:rPr>
          <w:i/>
        </w:rPr>
        <w:t>Plos One</w:t>
      </w:r>
      <w:r>
        <w:t xml:space="preserve">, </w:t>
      </w:r>
      <w:r>
        <w:rPr>
          <w:b/>
        </w:rPr>
        <w:t>12</w:t>
      </w:r>
      <w:r>
        <w:t>, e0181585.</w:t>
      </w:r>
    </w:p>
    <w:p>
      <w:pPr>
        <w:pStyle w:val="23"/>
      </w:pPr>
      <w:r>
        <w:t>Sutherland, J.J.</w:t>
      </w:r>
      <w:r>
        <w:rPr>
          <w:i/>
        </w:rPr>
        <w:t xml:space="preserve"> et al.</w:t>
      </w:r>
      <w:r>
        <w:t xml:space="preserve"> (2013) What general conclusions can we draw from kinase profiling data sets? </w:t>
      </w:r>
      <w:r>
        <w:rPr>
          <w:i/>
        </w:rPr>
        <w:t>Biochimica Et Biophysica Acta</w:t>
      </w:r>
      <w:r>
        <w:t xml:space="preserve">, </w:t>
      </w:r>
      <w:r>
        <w:rPr>
          <w:b/>
        </w:rPr>
        <w:t>1834</w:t>
      </w:r>
      <w:r>
        <w:t>, 1425-1433.</w:t>
      </w:r>
    </w:p>
    <w:p>
      <w:pPr>
        <w:pStyle w:val="23"/>
      </w:pPr>
      <w:r>
        <w:t>Posy, S.L.</w:t>
      </w:r>
      <w:r>
        <w:rPr>
          <w:i/>
        </w:rPr>
        <w:t xml:space="preserve"> et al.</w:t>
      </w:r>
      <w:r>
        <w:t xml:space="preserve"> (2011) Trends in kinase selectivity: insights for target class-focused library screening. </w:t>
      </w:r>
      <w:r>
        <w:rPr>
          <w:i/>
        </w:rPr>
        <w:t>Journal of Medicinal Chemistry</w:t>
      </w:r>
      <w:r>
        <w:t xml:space="preserve">, </w:t>
      </w:r>
      <w:r>
        <w:rPr>
          <w:b/>
        </w:rPr>
        <w:t>54</w:t>
      </w:r>
      <w:r>
        <w:t>, 54-66.</w:t>
      </w:r>
    </w:p>
    <w:p>
      <w:pPr>
        <w:pStyle w:val="23"/>
      </w:pPr>
      <w:r>
        <w:t>Merget, B.</w:t>
      </w:r>
      <w:r>
        <w:rPr>
          <w:i/>
        </w:rPr>
        <w:t xml:space="preserve"> et al.</w:t>
      </w:r>
      <w:r>
        <w:t xml:space="preserve"> (2016) Profiling prediction of kinase inhibitors: toward the virtual assay. </w:t>
      </w:r>
      <w:r>
        <w:rPr>
          <w:i/>
        </w:rPr>
        <w:t>Journal of medicinal chemistry</w:t>
      </w:r>
      <w:r>
        <w:t xml:space="preserve">, </w:t>
      </w:r>
      <w:r>
        <w:rPr>
          <w:b/>
        </w:rPr>
        <w:t>60</w:t>
      </w:r>
      <w:r>
        <w:t>, 474-485.</w:t>
      </w:r>
    </w:p>
    <w:p>
      <w:pPr>
        <w:pStyle w:val="5"/>
        <w:rPr>
          <w:lang w:val="en-GB"/>
        </w:rPr>
      </w:pPr>
      <w:r>
        <w:rPr>
          <w:lang w:val="en-GB"/>
        </w:rPr>
        <w:fldChar w:fldCharType="end"/>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Droid Sans Fallback"/>
    <w:panose1 w:val="00000000000000000000"/>
    <w:charset w:val="86"/>
    <w:family w:val="auto"/>
    <w:pitch w:val="default"/>
    <w:sig w:usb0="00000000" w:usb1="00000000" w:usb2="00000000" w:usb3="00000000" w:csb0="00000000" w:csb1="00000000"/>
  </w:font>
  <w:font w:name="DejaVu Sans">
    <w:panose1 w:val="020B0603030804020204"/>
    <w:charset w:val="00"/>
    <w:family w:val="roman"/>
    <w:pitch w:val="default"/>
    <w:sig w:usb0="E7006EFF" w:usb1="D200FDFF" w:usb2="0A246029" w:usb3="0400200C" w:csb0="600001FF" w:csb1="DFFF0000"/>
  </w:font>
  <w:font w:name="方正书宋_GBK">
    <w:altName w:val="Droid Sans Fallback"/>
    <w:panose1 w:val="02000000000000000000"/>
    <w:charset w:val="86"/>
    <w:family w:val="auto"/>
    <w:pitch w:val="default"/>
    <w:sig w:usb0="00000001" w:usb1="08000000" w:usb2="00000000" w:usb3="00000000" w:csb0="00040000" w:csb1="00000000"/>
  </w:font>
  <w:font w:name="方正黑体_GBK">
    <w:altName w:val="Droid Sans Fallback"/>
    <w:panose1 w:val="02000000000000000000"/>
    <w:charset w:val="00"/>
    <w:family w:val="auto"/>
    <w:pitch w:val="default"/>
    <w:sig w:usb0="00000001" w:usb1="08000000" w:usb2="00000000" w:usb3="00000000" w:csb0="00040000" w:csb1="00000000"/>
  </w:font>
  <w:font w:name="Calibri">
    <w:altName w:val="DejaVu Sans"/>
    <w:panose1 w:val="020F0502020204030204"/>
    <w:charset w:val="00"/>
    <w:family w:val="swiss"/>
    <w:pitch w:val="default"/>
    <w:sig w:usb0="00000000" w:usb1="00000000" w:usb2="00000001" w:usb3="00000000" w:csb0="0000019F" w:csb1="00000000"/>
  </w:font>
  <w:font w:name="Droid Sans Fallback">
    <w:panose1 w:val="020B0502000000000001"/>
    <w:charset w:val="86"/>
    <w:family w:val="auto"/>
    <w:pitch w:val="default"/>
    <w:sig w:usb0="910002FF" w:usb1="2BDFFCFB" w:usb2="00000036" w:usb3="00000000" w:csb0="203F01FF" w:csb1="D7FF0000"/>
  </w:font>
  <w:font w:name="等线">
    <w:altName w:val="Noto Serif CJK JP"/>
    <w:panose1 w:val="02010600030101010101"/>
    <w:charset w:val="86"/>
    <w:family w:val="auto"/>
    <w:pitch w:val="default"/>
    <w:sig w:usb0="00000000" w:usb1="00000000" w:usb2="00000016" w:usb3="00000000" w:csb0="0004000F" w:csb1="00000000"/>
  </w:font>
  <w:font w:name="Helvetica">
    <w:altName w:val="Garuda"/>
    <w:panose1 w:val="020B0604020202020204"/>
    <w:charset w:val="00"/>
    <w:family w:val="swiss"/>
    <w:pitch w:val="default"/>
    <w:sig w:usb0="00000000" w:usb1="00000000" w:usb2="00000009" w:usb3="00000000" w:csb0="000001FF" w:csb1="00000000"/>
  </w:font>
  <w:font w:name="ç­‰çº¿">
    <w:altName w:val="Gubbi"/>
    <w:panose1 w:val="00000000000000000000"/>
    <w:charset w:val="00"/>
    <w:family w:val="auto"/>
    <w:pitch w:val="default"/>
    <w:sig w:usb0="00000000" w:usb1="00000000" w:usb2="00000000" w:usb3="00000000" w:csb0="00000001" w:csb1="00000000"/>
  </w:font>
  <w:font w:name="Tahoma">
    <w:altName w:val="Ubuntu"/>
    <w:panose1 w:val="020B0604030504040204"/>
    <w:charset w:val="00"/>
    <w:family w:val="swiss"/>
    <w:pitch w:val="default"/>
    <w:sig w:usb0="00000000" w:usb1="00000000" w:usb2="00000029" w:usb3="00000000" w:csb0="000101FF" w:csb1="00000000"/>
  </w:font>
  <w:font w:name="Arial">
    <w:altName w:val="DejaVu Sans"/>
    <w:panose1 w:val="020B0604020202020204"/>
    <w:charset w:val="00"/>
    <w:family w:val="swiss"/>
    <w:pitch w:val="default"/>
    <w:sig w:usb0="00000000" w:usb1="00000000" w:usb2="00000009" w:usb3="00000000" w:csb0="000001FF" w:csb1="00000000"/>
  </w:font>
  <w:font w:name="等线 Light">
    <w:altName w:val="Noto Serif CJK JP"/>
    <w:panose1 w:val="02010600030101010101"/>
    <w:charset w:val="86"/>
    <w:family w:val="auto"/>
    <w:pitch w:val="default"/>
    <w:sig w:usb0="00000000" w:usb1="00000000" w:usb2="00000016" w:usb3="00000000" w:csb0="0004000F" w:csb1="00000000"/>
  </w:font>
  <w:font w:name="Helvetica-Light">
    <w:altName w:val="Gubbi"/>
    <w:panose1 w:val="00000000000000000000"/>
    <w:charset w:val="00"/>
    <w:family w:val="roman"/>
    <w:pitch w:val="default"/>
    <w:sig w:usb0="00000000" w:usb1="00000000" w:usb2="00000000" w:usb3="00000000" w:csb0="00000001" w:csb1="00000000"/>
  </w:font>
  <w:font w:name="Garuda">
    <w:panose1 w:val="020B0604020202020204"/>
    <w:charset w:val="00"/>
    <w:family w:val="auto"/>
    <w:pitch w:val="default"/>
    <w:sig w:usb0="8100006F" w:usb1="50002008" w:usb2="00000000" w:usb3="00000000" w:csb0="00010001" w:csb1="00000000"/>
  </w:font>
  <w:font w:name="等线">
    <w:altName w:val="Gubbi"/>
    <w:panose1 w:val="00000000000000000000"/>
    <w:charset w:val="00"/>
    <w:family w:val="auto"/>
    <w:pitch w:val="default"/>
    <w:sig w:usb0="00000000" w:usb1="00000000" w:usb2="00000000" w:usb3="00000000" w:csb0="00000000" w:csb1="00000000"/>
  </w:font>
  <w:font w:name="Gubbi">
    <w:panose1 w:val="00000400000000000000"/>
    <w:charset w:val="00"/>
    <w:family w:val="auto"/>
    <w:pitch w:val="default"/>
    <w:sig w:usb0="00400000" w:usb1="00000000" w:usb2="00000000" w:usb3="00000000" w:csb0="00000000" w:csb1="00000000"/>
  </w:font>
  <w:font w:name="Liberation Serif">
    <w:panose1 w:val="02020603050405020304"/>
    <w:charset w:val="00"/>
    <w:family w:val="auto"/>
    <w:pitch w:val="default"/>
    <w:sig w:usb0="E0000AFF" w:usb1="500078FF" w:usb2="00000021" w:usb3="00000000" w:csb0="600001BF" w:csb1="DFF70000"/>
  </w:font>
  <w:font w:name="aakar">
    <w:panose1 w:val="02000600040000000000"/>
    <w:charset w:val="00"/>
    <w:family w:val="auto"/>
    <w:pitch w:val="default"/>
    <w:sig w:usb0="80040001" w:usb1="00002000" w:usb2="00000000" w:usb3="00000000" w:csb0="20000000" w:csb1="80000000"/>
  </w:font>
  <w:font w:name="Abyssinica SIL">
    <w:panose1 w:val="02000603020000020004"/>
    <w:charset w:val="00"/>
    <w:family w:val="auto"/>
    <w:pitch w:val="default"/>
    <w:sig w:usb0="800000EF" w:usb1="5000A04B" w:usb2="00000828" w:usb3="00000000" w:csb0="20000001" w:csb1="00000000"/>
  </w:font>
  <w:font w:name="AR PL UKai CN">
    <w:panose1 w:val="02000503000000000000"/>
    <w:charset w:val="86"/>
    <w:family w:val="auto"/>
    <w:pitch w:val="default"/>
    <w:sig w:usb0="A00002FF" w:usb1="3ACFFDFF" w:usb2="00000036" w:usb3="00000000" w:csb0="2016009F" w:csb1="DFD70000"/>
  </w:font>
  <w:font w:name="Noto Serif CJK JP">
    <w:panose1 w:val="02020400000000000000"/>
    <w:charset w:val="86"/>
    <w:family w:val="auto"/>
    <w:pitch w:val="default"/>
    <w:sig w:usb0="30000083" w:usb1="2BDF3C10" w:usb2="00000016" w:usb3="00000000" w:csb0="602E0107" w:csb1="00000000"/>
  </w:font>
  <w:font w:name="Ubuntu">
    <w:panose1 w:val="020B0604030602030204"/>
    <w:charset w:val="00"/>
    <w:family w:val="auto"/>
    <w:pitch w:val="default"/>
    <w:sig w:usb0="E00002FF" w:usb1="5000205B" w:usb2="00000000" w:usb3="00000000" w:csb0="2000009F" w:csb1="56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98317929"/>
    </w:sdtPr>
    <w:sdtContent>
      <w:p>
        <w:pPr>
          <w:pStyle w:val="10"/>
          <w:jc w:val="right"/>
        </w:pPr>
        <w:r>
          <w:fldChar w:fldCharType="begin"/>
        </w:r>
        <w:r>
          <w:instrText xml:space="preserve">PAGE   \* MERGEFORMAT</w:instrText>
        </w:r>
        <w:r>
          <w:fldChar w:fldCharType="separate"/>
        </w:r>
        <w:r>
          <w:rPr>
            <w:lang w:val="zh-CN"/>
          </w:rPr>
          <w:t>31</w:t>
        </w:r>
        <w:r>
          <w:fldChar w:fldCharType="end"/>
        </w:r>
      </w:p>
    </w:sdtContent>
  </w:sdt>
  <w:p>
    <w:pPr>
      <w:pStyle w:val="1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3C7E3D"/>
    <w:multiLevelType w:val="multilevel"/>
    <w:tmpl w:val="4F3C7E3D"/>
    <w:lvl w:ilvl="0" w:tentative="0">
      <w:start w:val="1"/>
      <w:numFmt w:val="decimal"/>
      <w:pStyle w:val="2"/>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informatics Copy&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ap5efrtjztv2weadtq59xsufax9x2dr9dww&quot;&gt;My EndNote Library&lt;record-ids&gt;&lt;item&gt;37&lt;/item&gt;&lt;item&gt;45&lt;/item&gt;&lt;item&gt;46&lt;/item&gt;&lt;item&gt;247&lt;/item&gt;&lt;item&gt;469&lt;/item&gt;&lt;/record-ids&gt;&lt;/item&gt;&lt;/Libraries&gt;"/>
  </w:docVars>
  <w:rsids>
    <w:rsidRoot w:val="00172A27"/>
    <w:rsid w:val="00052F8C"/>
    <w:rsid w:val="000A265F"/>
    <w:rsid w:val="000B68E0"/>
    <w:rsid w:val="001048B7"/>
    <w:rsid w:val="00122F9A"/>
    <w:rsid w:val="00172A27"/>
    <w:rsid w:val="002002FA"/>
    <w:rsid w:val="00230F06"/>
    <w:rsid w:val="00236DBF"/>
    <w:rsid w:val="002808CF"/>
    <w:rsid w:val="002C65E7"/>
    <w:rsid w:val="002F7B83"/>
    <w:rsid w:val="003162F1"/>
    <w:rsid w:val="00374A77"/>
    <w:rsid w:val="003C54A3"/>
    <w:rsid w:val="003D5999"/>
    <w:rsid w:val="003D67B3"/>
    <w:rsid w:val="00411BAB"/>
    <w:rsid w:val="004742DB"/>
    <w:rsid w:val="00482322"/>
    <w:rsid w:val="00484F47"/>
    <w:rsid w:val="004C191B"/>
    <w:rsid w:val="004E08BE"/>
    <w:rsid w:val="00517DD0"/>
    <w:rsid w:val="005222BF"/>
    <w:rsid w:val="00544F89"/>
    <w:rsid w:val="00554EDE"/>
    <w:rsid w:val="0056450F"/>
    <w:rsid w:val="00583F04"/>
    <w:rsid w:val="0060060F"/>
    <w:rsid w:val="006052CE"/>
    <w:rsid w:val="00607561"/>
    <w:rsid w:val="00685C4D"/>
    <w:rsid w:val="006A7310"/>
    <w:rsid w:val="006B29F4"/>
    <w:rsid w:val="006E482A"/>
    <w:rsid w:val="00743596"/>
    <w:rsid w:val="00751062"/>
    <w:rsid w:val="00780FFD"/>
    <w:rsid w:val="00794372"/>
    <w:rsid w:val="007C7B8B"/>
    <w:rsid w:val="00845E56"/>
    <w:rsid w:val="008468D5"/>
    <w:rsid w:val="008C26F8"/>
    <w:rsid w:val="008C7C86"/>
    <w:rsid w:val="008D3759"/>
    <w:rsid w:val="008E2287"/>
    <w:rsid w:val="008F1E18"/>
    <w:rsid w:val="00907EE7"/>
    <w:rsid w:val="00914957"/>
    <w:rsid w:val="00916F5A"/>
    <w:rsid w:val="009259CB"/>
    <w:rsid w:val="00925CF5"/>
    <w:rsid w:val="00937446"/>
    <w:rsid w:val="00947D4F"/>
    <w:rsid w:val="0096472B"/>
    <w:rsid w:val="009711B5"/>
    <w:rsid w:val="00981C1C"/>
    <w:rsid w:val="009A56DD"/>
    <w:rsid w:val="009B61C8"/>
    <w:rsid w:val="009C4BA8"/>
    <w:rsid w:val="00A339E3"/>
    <w:rsid w:val="00A424F2"/>
    <w:rsid w:val="00A61923"/>
    <w:rsid w:val="00A641BE"/>
    <w:rsid w:val="00A763FC"/>
    <w:rsid w:val="00AE4E11"/>
    <w:rsid w:val="00AF30CF"/>
    <w:rsid w:val="00B123DB"/>
    <w:rsid w:val="00B47DF4"/>
    <w:rsid w:val="00B75439"/>
    <w:rsid w:val="00BA14E8"/>
    <w:rsid w:val="00BC1436"/>
    <w:rsid w:val="00C20615"/>
    <w:rsid w:val="00C83D0D"/>
    <w:rsid w:val="00CA1F94"/>
    <w:rsid w:val="00CA3679"/>
    <w:rsid w:val="00CA5191"/>
    <w:rsid w:val="00CC6CD1"/>
    <w:rsid w:val="00CE2C0D"/>
    <w:rsid w:val="00D17AD0"/>
    <w:rsid w:val="00D34D5F"/>
    <w:rsid w:val="00D771A9"/>
    <w:rsid w:val="00D96338"/>
    <w:rsid w:val="00DB07EF"/>
    <w:rsid w:val="00E06B97"/>
    <w:rsid w:val="00F10E5B"/>
    <w:rsid w:val="00F11DCC"/>
    <w:rsid w:val="00F1766A"/>
    <w:rsid w:val="00F60205"/>
    <w:rsid w:val="00F76871"/>
    <w:rsid w:val="00F9312F"/>
    <w:rsid w:val="2EDB04D3"/>
    <w:rsid w:val="3FFFAB72"/>
    <w:rsid w:val="51524047"/>
    <w:rsid w:val="5FDE4EA7"/>
    <w:rsid w:val="761EFCEF"/>
    <w:rsid w:val="7853CCBA"/>
    <w:rsid w:val="7BBFE372"/>
    <w:rsid w:val="7CF3C42D"/>
    <w:rsid w:val="7F739005"/>
    <w:rsid w:val="9F3606B6"/>
    <w:rsid w:val="BD9C6D99"/>
    <w:rsid w:val="EBFB7750"/>
    <w:rsid w:val="EF3EDAAD"/>
    <w:rsid w:val="EFEE1CE2"/>
    <w:rsid w:val="EFF91BA6"/>
    <w:rsid w:val="F4FE63DB"/>
    <w:rsid w:val="FAD00588"/>
    <w:rsid w:val="FBBFA3F7"/>
    <w:rsid w:val="FEBF030D"/>
    <w:rsid w:val="FFB9B189"/>
    <w:rsid w:val="FFFE96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1"/>
    <w:link w:val="33"/>
    <w:qFormat/>
    <w:uiPriority w:val="0"/>
    <w:pPr>
      <w:numPr>
        <w:ilvl w:val="0"/>
        <w:numId w:val="1"/>
      </w:numPr>
      <w:spacing w:before="360" w:after="50" w:line="240" w:lineRule="exact"/>
      <w:outlineLvl w:val="0"/>
    </w:pPr>
    <w:rPr>
      <w:rFonts w:ascii="Helvetica" w:hAnsi="Helvetica" w:cs="Times New Roman" w:eastAsiaTheme="minorEastAsia"/>
      <w:b/>
      <w:lang w:val="en-US" w:eastAsia="en-US" w:bidi="ar-SA"/>
    </w:rPr>
  </w:style>
  <w:style w:type="paragraph" w:styleId="3">
    <w:name w:val="heading 2"/>
    <w:next w:val="1"/>
    <w:link w:val="34"/>
    <w:qFormat/>
    <w:uiPriority w:val="0"/>
    <w:pPr>
      <w:tabs>
        <w:tab w:val="left" w:pos="720"/>
      </w:tabs>
      <w:spacing w:before="360" w:after="52" w:line="240" w:lineRule="exact"/>
      <w:ind w:left="360" w:hanging="360"/>
      <w:outlineLvl w:val="1"/>
    </w:pPr>
    <w:rPr>
      <w:rFonts w:ascii="Times New Roman" w:hAnsi="Times New Roman" w:cs="Times New Roman" w:eastAsiaTheme="minorEastAsia"/>
      <w:b/>
      <w:bCs/>
      <w:sz w:val="18"/>
      <w:szCs w:val="18"/>
      <w:lang w:val="en-US" w:eastAsia="en-US" w:bidi="ar-SA"/>
    </w:rPr>
  </w:style>
  <w:style w:type="paragraph" w:styleId="4">
    <w:name w:val="heading 3"/>
    <w:basedOn w:val="5"/>
    <w:next w:val="1"/>
    <w:link w:val="50"/>
    <w:unhideWhenUsed/>
    <w:qFormat/>
    <w:uiPriority w:val="9"/>
    <w:pPr>
      <w:outlineLvl w:val="2"/>
    </w:pPr>
    <w:rPr>
      <w:b/>
    </w:rPr>
  </w:style>
  <w:style w:type="character" w:default="1" w:styleId="16">
    <w:name w:val="Default Paragraph Font"/>
    <w:semiHidden/>
    <w:unhideWhenUsed/>
    <w:uiPriority w:val="1"/>
  </w:style>
  <w:style w:type="table" w:default="1" w:styleId="20">
    <w:name w:val="Normal Table"/>
    <w:semiHidden/>
    <w:unhideWhenUsed/>
    <w:uiPriority w:val="99"/>
    <w:tblPr>
      <w:tblLayout w:type="fixed"/>
      <w:tblCellMar>
        <w:top w:w="0" w:type="dxa"/>
        <w:left w:w="108" w:type="dxa"/>
        <w:bottom w:w="0" w:type="dxa"/>
        <w:right w:w="108" w:type="dxa"/>
      </w:tblCellMar>
    </w:tblPr>
  </w:style>
  <w:style w:type="paragraph" w:customStyle="1" w:styleId="5">
    <w:name w:val="para-first"/>
    <w:basedOn w:val="6"/>
    <w:link w:val="35"/>
    <w:qFormat/>
    <w:uiPriority w:val="0"/>
    <w:rPr>
      <w:sz w:val="16"/>
      <w:szCs w:val="16"/>
    </w:rPr>
  </w:style>
  <w:style w:type="paragraph" w:customStyle="1" w:styleId="6">
    <w:name w:val="ParaNoInd"/>
    <w:basedOn w:val="7"/>
    <w:qFormat/>
    <w:uiPriority w:val="0"/>
    <w:pPr>
      <w:ind w:firstLine="0"/>
    </w:pPr>
  </w:style>
  <w:style w:type="paragraph" w:customStyle="1" w:styleId="7">
    <w:name w:val="Para"/>
    <w:qFormat/>
    <w:uiPriority w:val="0"/>
    <w:pPr>
      <w:spacing w:line="220" w:lineRule="exact"/>
      <w:ind w:firstLine="170"/>
      <w:jc w:val="both"/>
    </w:pPr>
    <w:rPr>
      <w:rFonts w:ascii="Times New Roman" w:hAnsi="Times New Roman" w:cs="Times New Roman" w:eastAsiaTheme="minorEastAsia"/>
      <w:sz w:val="18"/>
      <w:lang w:val="en-US" w:eastAsia="en-US" w:bidi="ar-SA"/>
    </w:rPr>
  </w:style>
  <w:style w:type="paragraph" w:styleId="8">
    <w:name w:val="toc 3"/>
    <w:basedOn w:val="1"/>
    <w:next w:val="1"/>
    <w:unhideWhenUsed/>
    <w:uiPriority w:val="39"/>
    <w:pPr>
      <w:widowControl/>
      <w:spacing w:after="100" w:line="259" w:lineRule="auto"/>
      <w:ind w:left="440"/>
      <w:jc w:val="left"/>
    </w:pPr>
    <w:rPr>
      <w:rFonts w:cs="Times New Roman"/>
      <w:kern w:val="0"/>
      <w:sz w:val="22"/>
    </w:rPr>
  </w:style>
  <w:style w:type="paragraph" w:styleId="9">
    <w:name w:val="Balloon Text"/>
    <w:basedOn w:val="1"/>
    <w:link w:val="25"/>
    <w:semiHidden/>
    <w:unhideWhenUsed/>
    <w:qFormat/>
    <w:uiPriority w:val="99"/>
    <w:rPr>
      <w:sz w:val="18"/>
      <w:szCs w:val="18"/>
    </w:rPr>
  </w:style>
  <w:style w:type="paragraph" w:styleId="10">
    <w:name w:val="footer"/>
    <w:basedOn w:val="1"/>
    <w:link w:val="32"/>
    <w:unhideWhenUsed/>
    <w:uiPriority w:val="99"/>
    <w:pPr>
      <w:tabs>
        <w:tab w:val="center" w:pos="4153"/>
        <w:tab w:val="right" w:pos="8306"/>
      </w:tabs>
      <w:snapToGrid w:val="0"/>
      <w:jc w:val="left"/>
    </w:pPr>
    <w:rPr>
      <w:sz w:val="18"/>
      <w:szCs w:val="18"/>
    </w:rPr>
  </w:style>
  <w:style w:type="paragraph" w:styleId="11">
    <w:name w:val="header"/>
    <w:basedOn w:val="1"/>
    <w:link w:val="31"/>
    <w:unhideWhenUsed/>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rPr>
      <w:rFonts w:ascii="Helvetica" w:hAnsi="Helvetica" w:cs="Helvetica"/>
      <w:b/>
      <w:sz w:val="28"/>
      <w:szCs w:val="28"/>
    </w:rPr>
  </w:style>
  <w:style w:type="paragraph" w:styleId="13">
    <w:name w:val="toc 2"/>
    <w:basedOn w:val="1"/>
    <w:next w:val="1"/>
    <w:unhideWhenUsed/>
    <w:qFormat/>
    <w:uiPriority w:val="39"/>
    <w:pPr>
      <w:ind w:left="420" w:leftChars="200"/>
    </w:pPr>
  </w:style>
  <w:style w:type="paragraph" w:styleId="14">
    <w:name w:val="Normal (Web)"/>
    <w:basedOn w:val="1"/>
    <w:unhideWhenUsed/>
    <w:qFormat/>
    <w:uiPriority w:val="99"/>
    <w:pPr>
      <w:spacing w:beforeAutospacing="1" w:afterAutospacing="1"/>
      <w:jc w:val="left"/>
    </w:pPr>
    <w:rPr>
      <w:rFonts w:ascii="ç­‰çº¿" w:hAnsi="ç­‰çº¿" w:eastAsia="Times New Roman" w:cs="ç­‰çº¿"/>
      <w:kern w:val="0"/>
      <w:sz w:val="24"/>
      <w:szCs w:val="24"/>
    </w:rPr>
  </w:style>
  <w:style w:type="paragraph" w:styleId="15">
    <w:name w:val="Title"/>
    <w:basedOn w:val="1"/>
    <w:next w:val="1"/>
    <w:link w:val="45"/>
    <w:qFormat/>
    <w:uiPriority w:val="0"/>
    <w:pPr>
      <w:widowControl/>
      <w:spacing w:before="92" w:line="420" w:lineRule="exact"/>
    </w:pPr>
    <w:rPr>
      <w:rFonts w:ascii="Helvetica" w:hAnsi="Helvetica" w:cs="Times New Roman"/>
      <w:b/>
      <w:kern w:val="0"/>
      <w:sz w:val="36"/>
      <w:szCs w:val="36"/>
      <w:lang w:eastAsia="en-US"/>
    </w:rPr>
  </w:style>
  <w:style w:type="character" w:styleId="17">
    <w:name w:val="FollowedHyperlink"/>
    <w:basedOn w:val="16"/>
    <w:semiHidden/>
    <w:unhideWhenUsed/>
    <w:qFormat/>
    <w:uiPriority w:val="99"/>
    <w:rPr>
      <w:color w:val="800080"/>
      <w:u w:val="single"/>
    </w:rPr>
  </w:style>
  <w:style w:type="character" w:styleId="18">
    <w:name w:val="Hyperlink"/>
    <w:basedOn w:val="16"/>
    <w:unhideWhenUsed/>
    <w:qFormat/>
    <w:uiPriority w:val="99"/>
    <w:rPr>
      <w:color w:val="0563C1" w:themeColor="hyperlink"/>
      <w:u w:val="single"/>
      <w14:textFill>
        <w14:solidFill>
          <w14:schemeClr w14:val="hlink"/>
        </w14:solidFill>
      </w14:textFill>
    </w:rPr>
  </w:style>
  <w:style w:type="character" w:styleId="19">
    <w:name w:val="annotation reference"/>
    <w:basedOn w:val="16"/>
    <w:semiHidden/>
    <w:unhideWhenUsed/>
    <w:qFormat/>
    <w:uiPriority w:val="99"/>
    <w:rPr>
      <w:rFonts w:ascii="Tahoma" w:hAnsi="Tahoma" w:cs="Tahoma"/>
      <w:sz w:val="16"/>
      <w:szCs w:val="21"/>
      <w:u w:val="none"/>
    </w:rPr>
  </w:style>
  <w:style w:type="paragraph" w:customStyle="1" w:styleId="21">
    <w:name w:val="EndNote Bibliography Title"/>
    <w:basedOn w:val="1"/>
    <w:link w:val="22"/>
    <w:qFormat/>
    <w:uiPriority w:val="0"/>
    <w:pPr>
      <w:jc w:val="center"/>
    </w:pPr>
    <w:rPr>
      <w:rFonts w:ascii="等线" w:hAnsi="等线" w:eastAsia="等线"/>
      <w:sz w:val="20"/>
    </w:rPr>
  </w:style>
  <w:style w:type="character" w:customStyle="1" w:styleId="22">
    <w:name w:val="EndNote Bibliography Title 字符"/>
    <w:basedOn w:val="16"/>
    <w:link w:val="21"/>
    <w:qFormat/>
    <w:uiPriority w:val="0"/>
    <w:rPr>
      <w:rFonts w:ascii="等线" w:hAnsi="等线" w:eastAsia="等线" w:cstheme="minorBidi"/>
      <w:kern w:val="2"/>
      <w:szCs w:val="22"/>
    </w:rPr>
  </w:style>
  <w:style w:type="paragraph" w:customStyle="1" w:styleId="23">
    <w:name w:val="EndNote Bibliography"/>
    <w:basedOn w:val="1"/>
    <w:link w:val="24"/>
    <w:qFormat/>
    <w:uiPriority w:val="0"/>
    <w:rPr>
      <w:rFonts w:ascii="等线" w:hAnsi="等线" w:eastAsia="等线"/>
      <w:sz w:val="20"/>
    </w:rPr>
  </w:style>
  <w:style w:type="character" w:customStyle="1" w:styleId="24">
    <w:name w:val="EndNote Bibliography 字符"/>
    <w:basedOn w:val="16"/>
    <w:link w:val="23"/>
    <w:qFormat/>
    <w:uiPriority w:val="0"/>
    <w:rPr>
      <w:rFonts w:ascii="等线" w:hAnsi="等线" w:eastAsia="等线" w:cstheme="minorBidi"/>
      <w:kern w:val="2"/>
      <w:szCs w:val="22"/>
    </w:rPr>
  </w:style>
  <w:style w:type="character" w:customStyle="1" w:styleId="25">
    <w:name w:val="批注框文本 字符"/>
    <w:basedOn w:val="16"/>
    <w:link w:val="9"/>
    <w:semiHidden/>
    <w:qFormat/>
    <w:uiPriority w:val="99"/>
    <w:rPr>
      <w:sz w:val="18"/>
      <w:szCs w:val="18"/>
    </w:rPr>
  </w:style>
  <w:style w:type="paragraph" w:customStyle="1" w:styleId="26">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
    <w:name w:val="xl65"/>
    <w:basedOn w:val="1"/>
    <w:qFormat/>
    <w:uiPriority w:val="0"/>
    <w:pPr>
      <w:widowControl/>
      <w:spacing w:before="100" w:beforeAutospacing="1" w:after="100" w:afterAutospacing="1"/>
      <w:jc w:val="left"/>
    </w:pPr>
    <w:rPr>
      <w:rFonts w:ascii="Arial" w:hAnsi="Arial" w:eastAsia="宋体" w:cs="Arial"/>
      <w:kern w:val="0"/>
      <w:sz w:val="24"/>
      <w:szCs w:val="24"/>
    </w:rPr>
  </w:style>
  <w:style w:type="paragraph" w:customStyle="1" w:styleId="28">
    <w:name w:val="xl66"/>
    <w:basedOn w:val="1"/>
    <w:qFormat/>
    <w:uiPriority w:val="0"/>
    <w:pPr>
      <w:widowControl/>
      <w:spacing w:before="100" w:beforeAutospacing="1" w:after="100" w:afterAutospacing="1"/>
      <w:jc w:val="left"/>
    </w:pPr>
    <w:rPr>
      <w:rFonts w:ascii="Arial" w:hAnsi="Arial" w:eastAsia="宋体" w:cs="Arial"/>
      <w:b/>
      <w:bCs/>
      <w:kern w:val="0"/>
      <w:sz w:val="24"/>
      <w:szCs w:val="24"/>
    </w:rPr>
  </w:style>
  <w:style w:type="character" w:customStyle="1" w:styleId="29">
    <w:name w:val="font31"/>
    <w:basedOn w:val="16"/>
    <w:qFormat/>
    <w:uiPriority w:val="0"/>
    <w:rPr>
      <w:rFonts w:hint="default" w:ascii="Arial" w:hAnsi="Arial" w:cs="Arial"/>
      <w:b/>
      <w:color w:val="000000"/>
      <w:sz w:val="16"/>
      <w:szCs w:val="16"/>
      <w:u w:val="none"/>
      <w:vertAlign w:val="superscript"/>
    </w:rPr>
  </w:style>
  <w:style w:type="paragraph" w:customStyle="1" w:styleId="30">
    <w:name w:val="para"/>
    <w:basedOn w:val="7"/>
    <w:link w:val="39"/>
    <w:qFormat/>
    <w:uiPriority w:val="0"/>
    <w:rPr>
      <w:sz w:val="16"/>
      <w:szCs w:val="16"/>
    </w:rPr>
  </w:style>
  <w:style w:type="character" w:customStyle="1" w:styleId="31">
    <w:name w:val="页眉 字符"/>
    <w:basedOn w:val="16"/>
    <w:link w:val="11"/>
    <w:uiPriority w:val="99"/>
    <w:rPr>
      <w:rFonts w:asciiTheme="minorHAnsi" w:hAnsiTheme="minorHAnsi" w:eastAsiaTheme="minorEastAsia" w:cstheme="minorBidi"/>
      <w:kern w:val="2"/>
      <w:sz w:val="18"/>
      <w:szCs w:val="18"/>
    </w:rPr>
  </w:style>
  <w:style w:type="character" w:customStyle="1" w:styleId="32">
    <w:name w:val="页脚 字符"/>
    <w:basedOn w:val="16"/>
    <w:link w:val="10"/>
    <w:qFormat/>
    <w:uiPriority w:val="99"/>
    <w:rPr>
      <w:rFonts w:asciiTheme="minorHAnsi" w:hAnsiTheme="minorHAnsi" w:eastAsiaTheme="minorEastAsia" w:cstheme="minorBidi"/>
      <w:kern w:val="2"/>
      <w:sz w:val="18"/>
      <w:szCs w:val="18"/>
    </w:rPr>
  </w:style>
  <w:style w:type="character" w:customStyle="1" w:styleId="33">
    <w:name w:val="标题 1 字符"/>
    <w:basedOn w:val="16"/>
    <w:link w:val="2"/>
    <w:qFormat/>
    <w:uiPriority w:val="0"/>
    <w:rPr>
      <w:rFonts w:ascii="Helvetica" w:hAnsi="Helvetica" w:eastAsiaTheme="minorEastAsia"/>
      <w:b/>
      <w:lang w:eastAsia="en-US"/>
    </w:rPr>
  </w:style>
  <w:style w:type="character" w:customStyle="1" w:styleId="34">
    <w:name w:val="标题 2 字符"/>
    <w:basedOn w:val="16"/>
    <w:link w:val="3"/>
    <w:qFormat/>
    <w:uiPriority w:val="0"/>
    <w:rPr>
      <w:rFonts w:eastAsiaTheme="minorEastAsia"/>
      <w:b/>
      <w:bCs/>
      <w:sz w:val="18"/>
      <w:szCs w:val="18"/>
      <w:lang w:eastAsia="en-US"/>
    </w:rPr>
  </w:style>
  <w:style w:type="character" w:customStyle="1" w:styleId="35">
    <w:name w:val="para-first Char"/>
    <w:basedOn w:val="16"/>
    <w:link w:val="5"/>
    <w:qFormat/>
    <w:uiPriority w:val="0"/>
    <w:rPr>
      <w:rFonts w:eastAsiaTheme="minorEastAsia"/>
      <w:sz w:val="16"/>
      <w:szCs w:val="16"/>
      <w:lang w:eastAsia="en-US"/>
    </w:rPr>
  </w:style>
  <w:style w:type="paragraph" w:customStyle="1" w:styleId="36">
    <w:name w:val="Table caption"/>
    <w:uiPriority w:val="0"/>
    <w:pPr>
      <w:spacing w:before="240" w:after="260" w:line="200" w:lineRule="exact"/>
    </w:pPr>
    <w:rPr>
      <w:rFonts w:ascii="Times New Roman" w:hAnsi="Times New Roman" w:cs="Times New Roman" w:eastAsiaTheme="minorEastAsia"/>
      <w:sz w:val="16"/>
      <w:lang w:val="en-US" w:eastAsia="en-US" w:bidi="ar-SA"/>
    </w:rPr>
  </w:style>
  <w:style w:type="paragraph" w:customStyle="1" w:styleId="37">
    <w:name w:val="Table body"/>
    <w:uiPriority w:val="0"/>
    <w:pPr>
      <w:spacing w:line="200" w:lineRule="exact"/>
      <w:ind w:left="160" w:hanging="160"/>
    </w:pPr>
    <w:rPr>
      <w:rFonts w:ascii="Times New Roman" w:hAnsi="Times New Roman" w:cs="Times New Roman" w:eastAsiaTheme="minorEastAsia"/>
      <w:sz w:val="16"/>
      <w:lang w:val="en-US" w:eastAsia="en-US" w:bidi="ar-SA"/>
    </w:rPr>
  </w:style>
  <w:style w:type="paragraph" w:customStyle="1" w:styleId="38">
    <w:name w:val="Table body first"/>
    <w:basedOn w:val="37"/>
    <w:qFormat/>
    <w:uiPriority w:val="0"/>
    <w:pPr>
      <w:spacing w:before="90"/>
    </w:pPr>
  </w:style>
  <w:style w:type="character" w:customStyle="1" w:styleId="39">
    <w:name w:val="para Char"/>
    <w:basedOn w:val="16"/>
    <w:link w:val="30"/>
    <w:qFormat/>
    <w:uiPriority w:val="0"/>
    <w:rPr>
      <w:rFonts w:eastAsiaTheme="minorEastAsia"/>
      <w:sz w:val="16"/>
      <w:szCs w:val="16"/>
      <w:lang w:eastAsia="en-US"/>
    </w:rPr>
  </w:style>
  <w:style w:type="paragraph" w:customStyle="1" w:styleId="40">
    <w:name w:val="Ref Head"/>
    <w:basedOn w:val="1"/>
    <w:qFormat/>
    <w:uiPriority w:val="0"/>
    <w:pPr>
      <w:widowControl/>
      <w:spacing w:before="360" w:after="50" w:line="240" w:lineRule="exact"/>
      <w:jc w:val="left"/>
      <w:outlineLvl w:val="0"/>
    </w:pPr>
    <w:rPr>
      <w:rFonts w:ascii="Helvetica" w:hAnsi="Helvetica" w:cs="Times New Roman"/>
      <w:b/>
      <w:kern w:val="0"/>
      <w:sz w:val="20"/>
      <w:szCs w:val="20"/>
      <w:lang w:eastAsia="en-US"/>
    </w:rPr>
  </w:style>
  <w:style w:type="paragraph" w:customStyle="1" w:styleId="41">
    <w:name w:val="TOC 标题1"/>
    <w:basedOn w:val="2"/>
    <w:next w:val="1"/>
    <w:unhideWhenUsed/>
    <w:qFormat/>
    <w:uiPriority w:val="39"/>
    <w:pPr>
      <w:keepNext/>
      <w:keepLines/>
      <w:numPr>
        <w:numId w:val="0"/>
      </w:numPr>
      <w:spacing w:before="240" w:after="0" w:line="259" w:lineRule="auto"/>
      <w:outlineLvl w:val="9"/>
    </w:pPr>
    <w:rPr>
      <w:rFonts w:asciiTheme="majorHAnsi" w:hAnsiTheme="majorHAnsi" w:eastAsiaTheme="majorEastAsia" w:cstheme="majorBidi"/>
      <w:b w:val="0"/>
      <w:color w:val="2E75B6" w:themeColor="accent1" w:themeShade="BF"/>
      <w:sz w:val="32"/>
      <w:szCs w:val="32"/>
      <w:lang w:eastAsia="zh-CN"/>
    </w:rPr>
  </w:style>
  <w:style w:type="paragraph" w:customStyle="1" w:styleId="42">
    <w:name w:val="Author-Group"/>
    <w:basedOn w:val="1"/>
    <w:link w:val="44"/>
    <w:qFormat/>
    <w:uiPriority w:val="0"/>
    <w:pPr>
      <w:widowControl/>
      <w:spacing w:before="100" w:line="300" w:lineRule="exact"/>
    </w:pPr>
    <w:rPr>
      <w:rFonts w:ascii="Helvetica-Light" w:hAnsi="Helvetica-Light" w:cs="Times New Roman"/>
      <w:iCs/>
      <w:kern w:val="0"/>
      <w:sz w:val="24"/>
      <w:szCs w:val="24"/>
      <w:lang w:eastAsia="en-US"/>
    </w:rPr>
  </w:style>
  <w:style w:type="paragraph" w:customStyle="1" w:styleId="43">
    <w:name w:val="Author-Affiliation"/>
    <w:basedOn w:val="1"/>
    <w:link w:val="46"/>
    <w:qFormat/>
    <w:uiPriority w:val="0"/>
    <w:pPr>
      <w:widowControl/>
      <w:spacing w:before="100" w:after="52" w:line="240" w:lineRule="exact"/>
    </w:pPr>
    <w:rPr>
      <w:rFonts w:ascii="Helvetica-Light" w:hAnsi="Helvetica-Light" w:cs="Times New Roman"/>
      <w:iCs/>
      <w:kern w:val="0"/>
      <w:sz w:val="18"/>
      <w:szCs w:val="18"/>
      <w:lang w:eastAsia="en-US"/>
    </w:rPr>
  </w:style>
  <w:style w:type="character" w:customStyle="1" w:styleId="44">
    <w:name w:val="Author-Group Char"/>
    <w:basedOn w:val="16"/>
    <w:link w:val="42"/>
    <w:qFormat/>
    <w:uiPriority w:val="0"/>
    <w:rPr>
      <w:rFonts w:ascii="Helvetica-Light" w:hAnsi="Helvetica-Light" w:eastAsiaTheme="minorEastAsia"/>
      <w:iCs/>
      <w:sz w:val="24"/>
      <w:szCs w:val="24"/>
      <w:lang w:eastAsia="en-US"/>
    </w:rPr>
  </w:style>
  <w:style w:type="character" w:customStyle="1" w:styleId="45">
    <w:name w:val="标题 字符"/>
    <w:basedOn w:val="16"/>
    <w:link w:val="15"/>
    <w:qFormat/>
    <w:uiPriority w:val="0"/>
    <w:rPr>
      <w:rFonts w:ascii="Helvetica" w:hAnsi="Helvetica" w:eastAsiaTheme="minorEastAsia"/>
      <w:b/>
      <w:sz w:val="36"/>
      <w:szCs w:val="36"/>
      <w:lang w:eastAsia="en-US"/>
    </w:rPr>
  </w:style>
  <w:style w:type="character" w:customStyle="1" w:styleId="46">
    <w:name w:val="Author-Affiliation Char"/>
    <w:basedOn w:val="16"/>
    <w:link w:val="43"/>
    <w:qFormat/>
    <w:uiPriority w:val="0"/>
    <w:rPr>
      <w:rFonts w:ascii="Helvetica-Light" w:hAnsi="Helvetica-Light" w:eastAsiaTheme="minorEastAsia"/>
      <w:iCs/>
      <w:sz w:val="18"/>
      <w:szCs w:val="18"/>
      <w:lang w:eastAsia="en-US"/>
    </w:rPr>
  </w:style>
  <w:style w:type="paragraph" w:customStyle="1" w:styleId="47">
    <w:name w:val="corrs-au"/>
    <w:basedOn w:val="1"/>
    <w:link w:val="48"/>
    <w:qFormat/>
    <w:uiPriority w:val="0"/>
    <w:pPr>
      <w:widowControl/>
      <w:spacing w:before="70" w:line="300" w:lineRule="exact"/>
    </w:pPr>
    <w:rPr>
      <w:rFonts w:ascii="Helvetica-Light" w:hAnsi="Helvetica-Light" w:cs="Times New Roman"/>
      <w:iCs/>
      <w:kern w:val="0"/>
      <w:sz w:val="17"/>
      <w:szCs w:val="17"/>
      <w:lang w:eastAsia="en-US"/>
    </w:rPr>
  </w:style>
  <w:style w:type="character" w:customStyle="1" w:styleId="48">
    <w:name w:val="corrs-au Char"/>
    <w:basedOn w:val="16"/>
    <w:link w:val="47"/>
    <w:qFormat/>
    <w:uiPriority w:val="0"/>
    <w:rPr>
      <w:rFonts w:ascii="Helvetica-Light" w:hAnsi="Helvetica-Light" w:eastAsiaTheme="minorEastAsia"/>
      <w:iCs/>
      <w:sz w:val="17"/>
      <w:szCs w:val="17"/>
      <w:lang w:eastAsia="en-US"/>
    </w:rPr>
  </w:style>
  <w:style w:type="paragraph" w:styleId="49">
    <w:name w:val="List Paragraph"/>
    <w:basedOn w:val="1"/>
    <w:qFormat/>
    <w:uiPriority w:val="99"/>
    <w:pPr>
      <w:ind w:firstLine="420" w:firstLineChars="200"/>
    </w:pPr>
  </w:style>
  <w:style w:type="character" w:customStyle="1" w:styleId="50">
    <w:name w:val="标题 3 字符"/>
    <w:basedOn w:val="16"/>
    <w:link w:val="4"/>
    <w:uiPriority w:val="9"/>
    <w:rPr>
      <w:rFonts w:eastAsiaTheme="minorEastAsia"/>
      <w:b/>
      <w:sz w:val="16"/>
      <w:szCs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4C4C4C"/>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simm</Company>
  <Pages>31</Pages>
  <Words>9707</Words>
  <Characters>55334</Characters>
  <Lines>461</Lines>
  <Paragraphs>129</Paragraphs>
  <TotalTime>173</TotalTime>
  <ScaleCrop>false</ScaleCrop>
  <LinksUpToDate>false</LinksUpToDate>
  <CharactersWithSpaces>64912</CharactersWithSpaces>
  <Application>WPS Office_10.1.0.6757_F1E327BC-269C-435d-A152-05C5408002CA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2019-05-09T18:29:00Z</dcterms:created>
  <dc:creator>Windows 用户</dc:creator>
  <cp:lastModifiedBy>lixutong</cp:lastModifiedBy>
  <dcterms:modified xsi:type="dcterms:W3CDTF">2019-06-12T16:02:21Z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2052-10.1.0.6757</vt:lpwstr>
  </property>
</Properties>
</file>