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26BA6" w14:textId="77777777" w:rsidR="0092768C" w:rsidRPr="005D39E0" w:rsidRDefault="0092768C" w:rsidP="00E71D3D">
      <w:pPr>
        <w:keepNext/>
        <w:jc w:val="center"/>
        <w:rPr>
          <w:sz w:val="18"/>
          <w:szCs w:val="18"/>
        </w:rPr>
      </w:pPr>
      <w:r w:rsidRPr="005D39E0">
        <w:rPr>
          <w:noProof/>
          <w:sz w:val="18"/>
          <w:szCs w:val="18"/>
        </w:rPr>
        <w:drawing>
          <wp:inline distT="0" distB="0" distL="0" distR="0" wp14:anchorId="7B69D4DC" wp14:editId="39F31570">
            <wp:extent cx="5648178" cy="2437889"/>
            <wp:effectExtent l="0" t="0" r="3810" b="63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65620" cy="2445417"/>
                    </a:xfrm>
                    <a:prstGeom prst="rect">
                      <a:avLst/>
                    </a:prstGeom>
                  </pic:spPr>
                </pic:pic>
              </a:graphicData>
            </a:graphic>
          </wp:inline>
        </w:drawing>
      </w:r>
    </w:p>
    <w:p w14:paraId="0FDCEF06" w14:textId="6757BF71" w:rsidR="001C4B88" w:rsidRDefault="0092768C" w:rsidP="00E71D3D">
      <w:pPr>
        <w:pStyle w:val="a3"/>
        <w:rPr>
          <w:rFonts w:ascii="Times New Roman" w:hAnsi="Times New Roman" w:cs="Times New Roman"/>
          <w:i w:val="0"/>
          <w:iCs w:val="0"/>
          <w:color w:val="auto"/>
        </w:rPr>
      </w:pPr>
      <w:r w:rsidRPr="005D39E0">
        <w:rPr>
          <w:rFonts w:ascii="Times New Roman" w:hAnsi="Times New Roman" w:cs="Times New Roman"/>
          <w:b/>
          <w:bCs/>
          <w:i w:val="0"/>
          <w:iCs w:val="0"/>
          <w:color w:val="auto"/>
        </w:rPr>
        <w:t xml:space="preserve">Figure </w:t>
      </w:r>
      <w:r w:rsidRPr="005D39E0">
        <w:rPr>
          <w:rFonts w:ascii="Times New Roman" w:hAnsi="Times New Roman" w:cs="Times New Roman"/>
          <w:b/>
          <w:bCs/>
          <w:i w:val="0"/>
          <w:iCs w:val="0"/>
          <w:color w:val="auto"/>
          <w:lang w:val="en-US"/>
        </w:rPr>
        <w:t>S</w:t>
      </w:r>
      <w:r w:rsidRPr="005D39E0">
        <w:rPr>
          <w:rFonts w:ascii="Times New Roman" w:hAnsi="Times New Roman" w:cs="Times New Roman"/>
          <w:b/>
          <w:bCs/>
          <w:i w:val="0"/>
          <w:iCs w:val="0"/>
          <w:color w:val="auto"/>
        </w:rPr>
        <w:fldChar w:fldCharType="begin"/>
      </w:r>
      <w:r w:rsidRPr="005D39E0">
        <w:rPr>
          <w:rFonts w:ascii="Times New Roman" w:hAnsi="Times New Roman" w:cs="Times New Roman"/>
          <w:b/>
          <w:bCs/>
          <w:i w:val="0"/>
          <w:iCs w:val="0"/>
          <w:color w:val="auto"/>
        </w:rPr>
        <w:instrText xml:space="preserve"> SEQ Figure \* ARABIC </w:instrText>
      </w:r>
      <w:r w:rsidRPr="005D39E0">
        <w:rPr>
          <w:rFonts w:ascii="Times New Roman" w:hAnsi="Times New Roman" w:cs="Times New Roman"/>
          <w:b/>
          <w:bCs/>
          <w:i w:val="0"/>
          <w:iCs w:val="0"/>
          <w:color w:val="auto"/>
        </w:rPr>
        <w:fldChar w:fldCharType="separate"/>
      </w:r>
      <w:r w:rsidR="00DC5BD9">
        <w:rPr>
          <w:rFonts w:ascii="Times New Roman" w:hAnsi="Times New Roman" w:cs="Times New Roman"/>
          <w:b/>
          <w:bCs/>
          <w:i w:val="0"/>
          <w:iCs w:val="0"/>
          <w:noProof/>
          <w:color w:val="auto"/>
        </w:rPr>
        <w:t>1</w:t>
      </w:r>
      <w:r w:rsidRPr="005D39E0">
        <w:rPr>
          <w:rFonts w:ascii="Times New Roman" w:hAnsi="Times New Roman" w:cs="Times New Roman"/>
          <w:b/>
          <w:bCs/>
          <w:i w:val="0"/>
          <w:iCs w:val="0"/>
          <w:color w:val="auto"/>
        </w:rPr>
        <w:fldChar w:fldCharType="end"/>
      </w:r>
      <w:r w:rsidRPr="005D39E0">
        <w:rPr>
          <w:rFonts w:ascii="Times New Roman" w:hAnsi="Times New Roman" w:cs="Times New Roman"/>
          <w:i w:val="0"/>
          <w:iCs w:val="0"/>
          <w:color w:val="auto"/>
          <w:lang w:val="en-US"/>
        </w:rPr>
        <w:t xml:space="preserve">. </w:t>
      </w:r>
      <w:r w:rsidRPr="005D39E0">
        <w:rPr>
          <w:rFonts w:ascii="Times New Roman" w:hAnsi="Times New Roman" w:cs="Times New Roman"/>
          <w:i w:val="0"/>
          <w:iCs w:val="0"/>
          <w:color w:val="auto"/>
        </w:rPr>
        <w:t>Detailed analysis pipeline of BioVLAB-Cancer-Pharmacogenomics. Black lines denote the data flow through the pipeline and grey boxes denote the corresponding file formats. The input multi-omics data for a tumor consists of somatic copy number alterations (SCNAs), single nucleotide variations (SNVs) in variant call format (VCF) file, gene expression quantification of tumor and matched normal samples, and DNA methylation profile. The server-side area is colored in grey, and shows the pipeline of data being processed. ABSOULTE takes SCNAs and SNVs in mutation annotation format (MAF) created from VCF file as input, and outputs tumor purity and cell ploidy. PyClone takes the multiplicities of SNVs and tumor purity created by ABSOLUTE as input, and outputs the information about subclones. nJSD takes gene expression of both the tumor and its matched normal as input and outputs transcriptomic intratumor heterogeneity (ITH). EDec takes gene expression and DNA methylation as input, and outputs cell type-specific gene expressions and their proportions. Based on the output of four component tools, we prepare a report for ITH and pharmacogenomics (PG) reports as final output of the system.</w:t>
      </w:r>
      <w:r w:rsidRPr="005D39E0">
        <w:rPr>
          <w:rFonts w:ascii="Times New Roman" w:hAnsi="Times New Roman" w:cs="Times New Roman"/>
          <w:i w:val="0"/>
          <w:iCs w:val="0"/>
          <w:color w:val="auto"/>
          <w:lang w:val="en-US"/>
        </w:rPr>
        <w:t xml:space="preserve"> The ITH reports comprise of matched TCGA clinical notes and ITH measured in genomic/transcriptomic/copy number level. The PG reports comprise of tumor cell type decomposition, matched CCLE cell line, and its drug response.</w:t>
      </w:r>
      <w:r w:rsidRPr="005D39E0">
        <w:rPr>
          <w:rFonts w:ascii="Times New Roman" w:hAnsi="Times New Roman" w:cs="Times New Roman"/>
          <w:i w:val="0"/>
          <w:iCs w:val="0"/>
          <w:color w:val="auto"/>
        </w:rPr>
        <w:t xml:space="preserve"> TSV, Tab-separated values.</w:t>
      </w:r>
    </w:p>
    <w:p w14:paraId="5ED66E79" w14:textId="77777777" w:rsidR="007F1773" w:rsidRPr="007F1773" w:rsidRDefault="007F1773" w:rsidP="007F1773"/>
    <w:p w14:paraId="26092633" w14:textId="77777777" w:rsidR="001C4B88" w:rsidRDefault="001C4B88" w:rsidP="00E71D3D">
      <w:pPr>
        <w:keepNext/>
        <w:jc w:val="center"/>
      </w:pPr>
      <w:r>
        <w:rPr>
          <w:noProof/>
        </w:rPr>
        <w:drawing>
          <wp:inline distT="0" distB="0" distL="0" distR="0" wp14:anchorId="38B01EF7" wp14:editId="0F2D4072">
            <wp:extent cx="5465298" cy="2664333"/>
            <wp:effectExtent l="0" t="0" r="0" b="3175"/>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77536" cy="2670299"/>
                    </a:xfrm>
                    <a:prstGeom prst="rect">
                      <a:avLst/>
                    </a:prstGeom>
                  </pic:spPr>
                </pic:pic>
              </a:graphicData>
            </a:graphic>
          </wp:inline>
        </w:drawing>
      </w:r>
    </w:p>
    <w:p w14:paraId="1649CE53" w14:textId="48B123A9" w:rsidR="001C4B88" w:rsidRPr="00DC5BD9" w:rsidRDefault="001C4B88" w:rsidP="001C4B88">
      <w:pPr>
        <w:pStyle w:val="a3"/>
        <w:rPr>
          <w:rFonts w:ascii="Times New Roman" w:hAnsi="Times New Roman" w:cs="Times New Roman"/>
          <w:i w:val="0"/>
          <w:iCs w:val="0"/>
          <w:color w:val="auto"/>
          <w:lang w:val="en-US"/>
        </w:rPr>
      </w:pPr>
      <w:r w:rsidRPr="00DC5BD9">
        <w:rPr>
          <w:rFonts w:ascii="Times New Roman" w:hAnsi="Times New Roman" w:cs="Times New Roman"/>
          <w:b/>
          <w:bCs/>
          <w:i w:val="0"/>
          <w:iCs w:val="0"/>
          <w:color w:val="auto"/>
        </w:rPr>
        <w:t xml:space="preserve">Figure </w:t>
      </w:r>
      <w:r w:rsidRPr="00DC5BD9">
        <w:rPr>
          <w:rFonts w:ascii="Times New Roman" w:hAnsi="Times New Roman" w:cs="Times New Roman"/>
          <w:b/>
          <w:bCs/>
          <w:i w:val="0"/>
          <w:iCs w:val="0"/>
          <w:color w:val="auto"/>
          <w:lang w:val="en-US"/>
        </w:rPr>
        <w:t>S</w:t>
      </w:r>
      <w:r w:rsidRPr="00DC5BD9">
        <w:rPr>
          <w:rFonts w:ascii="Times New Roman" w:hAnsi="Times New Roman" w:cs="Times New Roman"/>
          <w:b/>
          <w:bCs/>
          <w:i w:val="0"/>
          <w:iCs w:val="0"/>
          <w:color w:val="auto"/>
        </w:rPr>
        <w:fldChar w:fldCharType="begin"/>
      </w:r>
      <w:r w:rsidRPr="00DC5BD9">
        <w:rPr>
          <w:rFonts w:ascii="Times New Roman" w:hAnsi="Times New Roman" w:cs="Times New Roman"/>
          <w:b/>
          <w:bCs/>
          <w:i w:val="0"/>
          <w:iCs w:val="0"/>
          <w:color w:val="auto"/>
        </w:rPr>
        <w:instrText xml:space="preserve"> SEQ Figure \* ARABIC </w:instrText>
      </w:r>
      <w:r w:rsidRPr="00DC5BD9">
        <w:rPr>
          <w:rFonts w:ascii="Times New Roman" w:hAnsi="Times New Roman" w:cs="Times New Roman"/>
          <w:b/>
          <w:bCs/>
          <w:i w:val="0"/>
          <w:iCs w:val="0"/>
          <w:color w:val="auto"/>
        </w:rPr>
        <w:fldChar w:fldCharType="separate"/>
      </w:r>
      <w:r w:rsidR="00DC5BD9" w:rsidRPr="00DC5BD9">
        <w:rPr>
          <w:rFonts w:ascii="Times New Roman" w:hAnsi="Times New Roman" w:cs="Times New Roman"/>
          <w:b/>
          <w:bCs/>
          <w:i w:val="0"/>
          <w:iCs w:val="0"/>
          <w:noProof/>
          <w:color w:val="auto"/>
        </w:rPr>
        <w:t>2</w:t>
      </w:r>
      <w:r w:rsidRPr="00DC5BD9">
        <w:rPr>
          <w:rFonts w:ascii="Times New Roman" w:hAnsi="Times New Roman" w:cs="Times New Roman"/>
          <w:b/>
          <w:bCs/>
          <w:i w:val="0"/>
          <w:iCs w:val="0"/>
          <w:color w:val="auto"/>
        </w:rPr>
        <w:fldChar w:fldCharType="end"/>
      </w:r>
      <w:r w:rsidRPr="00DC5BD9">
        <w:rPr>
          <w:rFonts w:ascii="Times New Roman" w:hAnsi="Times New Roman" w:cs="Times New Roman"/>
          <w:i w:val="0"/>
          <w:iCs w:val="0"/>
          <w:color w:val="auto"/>
          <w:lang w:val="en-US"/>
        </w:rPr>
        <w:t>. Epigenomic deconvolution to match tumor to cell line. Tumors consist of heterogeneous cell types, e.g., cancer epithelial, normal epithelial, stromal, and immune cells. Epigenomic Deconvolution (</w:t>
      </w:r>
      <w:proofErr w:type="spellStart"/>
      <w:r w:rsidRPr="00DC5BD9">
        <w:rPr>
          <w:rFonts w:ascii="Times New Roman" w:hAnsi="Times New Roman" w:cs="Times New Roman"/>
          <w:i w:val="0"/>
          <w:iCs w:val="0"/>
          <w:color w:val="auto"/>
          <w:lang w:val="en-US"/>
        </w:rPr>
        <w:t>EDec</w:t>
      </w:r>
      <w:proofErr w:type="spellEnd"/>
      <w:r w:rsidRPr="00DC5BD9">
        <w:rPr>
          <w:rFonts w:ascii="Times New Roman" w:hAnsi="Times New Roman" w:cs="Times New Roman"/>
          <w:i w:val="0"/>
          <w:iCs w:val="0"/>
          <w:color w:val="auto"/>
          <w:lang w:val="en-US"/>
        </w:rPr>
        <w:t xml:space="preserve">) </w:t>
      </w:r>
      <w:r w:rsidR="004A3CB1" w:rsidRPr="00DC5BD9">
        <w:rPr>
          <w:rFonts w:ascii="Times New Roman" w:hAnsi="Times New Roman" w:cs="Times New Roman"/>
          <w:i w:val="0"/>
          <w:iCs w:val="0"/>
          <w:color w:val="auto"/>
          <w:lang w:val="en-US"/>
        </w:rPr>
        <w:t xml:space="preserve">decomposes tumors into cell types in a matrix factorization fashion. </w:t>
      </w:r>
      <w:r w:rsidR="004A3CB1" w:rsidRPr="00DC5BD9">
        <w:rPr>
          <w:rFonts w:ascii="Arial" w:hAnsi="Arial" w:cs="Arial"/>
          <w:b/>
          <w:bCs/>
          <w:i w:val="0"/>
          <w:iCs w:val="0"/>
          <w:color w:val="auto"/>
          <w:lang w:val="en-US"/>
        </w:rPr>
        <w:t>A1</w:t>
      </w:r>
      <w:r w:rsidR="004A3CB1" w:rsidRPr="00DC5BD9">
        <w:rPr>
          <w:rFonts w:ascii="Times New Roman" w:hAnsi="Times New Roman" w:cs="Times New Roman"/>
          <w:i w:val="0"/>
          <w:iCs w:val="0"/>
          <w:color w:val="auto"/>
          <w:lang w:val="en-US"/>
        </w:rPr>
        <w:t xml:space="preserve"> DNA methylation profile of samples is given. </w:t>
      </w:r>
      <w:r w:rsidR="004A3CB1" w:rsidRPr="00DC5BD9">
        <w:rPr>
          <w:rFonts w:ascii="Arial" w:hAnsi="Arial" w:cs="Arial"/>
          <w:b/>
          <w:bCs/>
          <w:i w:val="0"/>
          <w:iCs w:val="0"/>
          <w:color w:val="auto"/>
          <w:lang w:val="en-US"/>
        </w:rPr>
        <w:t xml:space="preserve">A2 </w:t>
      </w:r>
      <w:r w:rsidR="004A3CB1" w:rsidRPr="00DC5BD9">
        <w:rPr>
          <w:rFonts w:ascii="Times New Roman" w:hAnsi="Times New Roman" w:cs="Times New Roman"/>
          <w:i w:val="0"/>
          <w:iCs w:val="0"/>
          <w:color w:val="auto"/>
          <w:lang w:val="en-US"/>
        </w:rPr>
        <w:t xml:space="preserve">Cell type-specific methylation pattern is retrieved from external source. Epithelial cells have distinct pattern of methylation biomarkers between cancer and normal. </w:t>
      </w:r>
      <w:r w:rsidR="004A3CB1" w:rsidRPr="00DC5BD9">
        <w:rPr>
          <w:rFonts w:ascii="Arial" w:hAnsi="Arial" w:cs="Arial"/>
          <w:b/>
          <w:bCs/>
          <w:i w:val="0"/>
          <w:iCs w:val="0"/>
          <w:color w:val="auto"/>
          <w:lang w:val="en-US"/>
        </w:rPr>
        <w:t xml:space="preserve">A3 </w:t>
      </w:r>
      <w:r w:rsidR="004A3CB1" w:rsidRPr="00DC5BD9">
        <w:rPr>
          <w:rFonts w:ascii="Times New Roman" w:hAnsi="Times New Roman" w:cs="Times New Roman"/>
          <w:i w:val="0"/>
          <w:iCs w:val="0"/>
          <w:color w:val="auto"/>
          <w:lang w:val="en-US"/>
        </w:rPr>
        <w:t xml:space="preserve">Calculate cell type-wise proportions. </w:t>
      </w:r>
      <w:r w:rsidR="004A3CB1" w:rsidRPr="00DC5BD9">
        <w:rPr>
          <w:rFonts w:ascii="Arial" w:hAnsi="Arial" w:cs="Arial"/>
          <w:b/>
          <w:bCs/>
          <w:i w:val="0"/>
          <w:iCs w:val="0"/>
          <w:color w:val="auto"/>
          <w:lang w:val="en-US"/>
        </w:rPr>
        <w:t xml:space="preserve">A4 </w:t>
      </w:r>
      <w:r w:rsidR="004A3CB1" w:rsidRPr="00DC5BD9">
        <w:rPr>
          <w:rFonts w:ascii="Times New Roman" w:hAnsi="Times New Roman" w:cs="Times New Roman"/>
          <w:i w:val="0"/>
          <w:iCs w:val="0"/>
          <w:color w:val="auto"/>
          <w:lang w:val="en-US"/>
        </w:rPr>
        <w:t xml:space="preserve">Gene expression profile of samples is given. </w:t>
      </w:r>
      <w:r w:rsidR="004A3CB1" w:rsidRPr="00DC5BD9">
        <w:rPr>
          <w:rFonts w:ascii="Arial" w:hAnsi="Arial" w:cs="Arial"/>
          <w:b/>
          <w:bCs/>
          <w:i w:val="0"/>
          <w:iCs w:val="0"/>
          <w:color w:val="auto"/>
          <w:lang w:val="en-US"/>
        </w:rPr>
        <w:t xml:space="preserve">A5 </w:t>
      </w:r>
      <w:r w:rsidR="004A3CB1" w:rsidRPr="00DC5BD9">
        <w:rPr>
          <w:rFonts w:ascii="Times New Roman" w:hAnsi="Times New Roman" w:cs="Times New Roman"/>
          <w:i w:val="0"/>
          <w:iCs w:val="0"/>
          <w:color w:val="auto"/>
          <w:lang w:val="en-US"/>
        </w:rPr>
        <w:t>Derive cell type-specific gene expression</w:t>
      </w:r>
      <w:r w:rsidR="00E71D3D" w:rsidRPr="00DC5BD9">
        <w:rPr>
          <w:rFonts w:ascii="Times New Roman" w:hAnsi="Times New Roman" w:cs="Times New Roman"/>
          <w:i w:val="0"/>
          <w:iCs w:val="0"/>
          <w:color w:val="auto"/>
          <w:lang w:val="en-US"/>
        </w:rPr>
        <w:t xml:space="preserve"> values. </w:t>
      </w:r>
      <w:r w:rsidR="00E71D3D" w:rsidRPr="00DC5BD9">
        <w:rPr>
          <w:rFonts w:ascii="Arial" w:hAnsi="Arial" w:cs="Arial"/>
          <w:b/>
          <w:bCs/>
          <w:i w:val="0"/>
          <w:iCs w:val="0"/>
          <w:color w:val="auto"/>
          <w:lang w:val="en-US"/>
        </w:rPr>
        <w:t>B</w:t>
      </w:r>
      <w:r w:rsidR="00E71D3D" w:rsidRPr="00DC5BD9">
        <w:rPr>
          <w:rFonts w:ascii="Times New Roman" w:hAnsi="Times New Roman" w:cs="Times New Roman"/>
          <w:i w:val="0"/>
          <w:iCs w:val="0"/>
          <w:color w:val="auto"/>
          <w:lang w:val="en-US"/>
        </w:rPr>
        <w:t xml:space="preserve"> Cancer epithelial cells can have distinct population by </w:t>
      </w:r>
      <w:proofErr w:type="spellStart"/>
      <w:r w:rsidR="00E71D3D" w:rsidRPr="00DC5BD9">
        <w:rPr>
          <w:rFonts w:ascii="Times New Roman" w:hAnsi="Times New Roman" w:cs="Times New Roman"/>
          <w:i w:val="0"/>
          <w:iCs w:val="0"/>
          <w:color w:val="auto"/>
          <w:lang w:val="en-US"/>
        </w:rPr>
        <w:t>intratumoral</w:t>
      </w:r>
      <w:proofErr w:type="spellEnd"/>
      <w:r w:rsidR="00E71D3D" w:rsidRPr="00DC5BD9">
        <w:rPr>
          <w:rFonts w:ascii="Times New Roman" w:hAnsi="Times New Roman" w:cs="Times New Roman"/>
          <w:i w:val="0"/>
          <w:iCs w:val="0"/>
          <w:color w:val="auto"/>
          <w:lang w:val="en-US"/>
        </w:rPr>
        <w:t xml:space="preserve"> heterogeneity. We used multiple cancer epithelial cell types to capture cancerous basis for each sample. Reconstructing gene expression using only these cancer epithelial cells gives each tumor sample</w:t>
      </w:r>
      <w:r w:rsidR="00F348DE" w:rsidRPr="00DC5BD9">
        <w:rPr>
          <w:rFonts w:ascii="Times New Roman" w:hAnsi="Times New Roman" w:cs="Times New Roman"/>
          <w:i w:val="0"/>
          <w:iCs w:val="0"/>
          <w:color w:val="auto"/>
          <w:lang w:val="en-US"/>
        </w:rPr>
        <w:t xml:space="preserve"> its</w:t>
      </w:r>
      <w:r w:rsidR="00E71D3D" w:rsidRPr="00DC5BD9">
        <w:rPr>
          <w:rFonts w:ascii="Times New Roman" w:hAnsi="Times New Roman" w:cs="Times New Roman"/>
          <w:i w:val="0"/>
          <w:iCs w:val="0"/>
          <w:color w:val="auto"/>
          <w:lang w:val="en-US"/>
        </w:rPr>
        <w:t xml:space="preserve"> pure cancerous </w:t>
      </w:r>
      <w:r w:rsidR="00F348DE" w:rsidRPr="00DC5BD9">
        <w:rPr>
          <w:rFonts w:ascii="Times New Roman" w:hAnsi="Times New Roman" w:cs="Times New Roman"/>
          <w:i w:val="0"/>
          <w:iCs w:val="0"/>
          <w:color w:val="auto"/>
          <w:lang w:val="en-US"/>
        </w:rPr>
        <w:t xml:space="preserve">gene expression </w:t>
      </w:r>
      <w:r w:rsidR="00E71D3D" w:rsidRPr="00DC5BD9">
        <w:rPr>
          <w:rFonts w:ascii="Times New Roman" w:hAnsi="Times New Roman" w:cs="Times New Roman"/>
          <w:i w:val="0"/>
          <w:iCs w:val="0"/>
          <w:color w:val="auto"/>
          <w:lang w:val="en-US"/>
        </w:rPr>
        <w:t>profile.</w:t>
      </w:r>
      <w:bookmarkStart w:id="0" w:name="_GoBack"/>
      <w:bookmarkEnd w:id="0"/>
    </w:p>
    <w:p w14:paraId="5D228B6D" w14:textId="1EF22949" w:rsidR="001C4B88" w:rsidRPr="004A3CB1" w:rsidRDefault="001C4B88" w:rsidP="001C4B88">
      <w:pPr>
        <w:rPr>
          <w:lang w:val="en-US"/>
        </w:rPr>
      </w:pPr>
    </w:p>
    <w:p w14:paraId="1A061127" w14:textId="77777777" w:rsidR="0092768C" w:rsidRPr="005D39E0" w:rsidRDefault="0092768C" w:rsidP="0092768C">
      <w:pPr>
        <w:keepNext/>
        <w:rPr>
          <w:sz w:val="18"/>
          <w:szCs w:val="18"/>
        </w:rPr>
      </w:pPr>
    </w:p>
    <w:p w14:paraId="75CCD650" w14:textId="77777777" w:rsidR="0092768C" w:rsidRPr="005D39E0" w:rsidRDefault="0092768C" w:rsidP="00F348DE">
      <w:pPr>
        <w:keepNext/>
        <w:jc w:val="center"/>
        <w:rPr>
          <w:sz w:val="18"/>
          <w:szCs w:val="18"/>
        </w:rPr>
      </w:pPr>
      <w:r w:rsidRPr="005D39E0">
        <w:rPr>
          <w:noProof/>
          <w:sz w:val="18"/>
          <w:szCs w:val="18"/>
        </w:rPr>
        <w:drawing>
          <wp:inline distT="0" distB="0" distL="0" distR="0" wp14:anchorId="7FD45917" wp14:editId="154D6E35">
            <wp:extent cx="5268350" cy="2053868"/>
            <wp:effectExtent l="0" t="0" r="2540" b="3810"/>
            <wp:docPr id="2" name="Picture 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ebsit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88235" cy="2061620"/>
                    </a:xfrm>
                    <a:prstGeom prst="rect">
                      <a:avLst/>
                    </a:prstGeom>
                  </pic:spPr>
                </pic:pic>
              </a:graphicData>
            </a:graphic>
          </wp:inline>
        </w:drawing>
      </w:r>
    </w:p>
    <w:p w14:paraId="08EA2448" w14:textId="2A2FBE31" w:rsidR="0092768C" w:rsidRDefault="0092768C" w:rsidP="00F348DE">
      <w:pPr>
        <w:pStyle w:val="a3"/>
        <w:rPr>
          <w:rFonts w:ascii="Times New Roman" w:hAnsi="Times New Roman" w:cs="Times New Roman"/>
          <w:i w:val="0"/>
          <w:iCs w:val="0"/>
          <w:color w:val="auto"/>
          <w:lang w:val="en-US"/>
        </w:rPr>
      </w:pPr>
      <w:r w:rsidRPr="005D39E0">
        <w:rPr>
          <w:rFonts w:ascii="Times New Roman" w:hAnsi="Times New Roman" w:cs="Times New Roman"/>
          <w:b/>
          <w:bCs/>
          <w:i w:val="0"/>
          <w:iCs w:val="0"/>
          <w:color w:val="auto"/>
        </w:rPr>
        <w:t xml:space="preserve">Figure </w:t>
      </w:r>
      <w:r w:rsidRPr="005D39E0">
        <w:rPr>
          <w:rFonts w:ascii="Times New Roman" w:hAnsi="Times New Roman" w:cs="Times New Roman"/>
          <w:b/>
          <w:bCs/>
          <w:i w:val="0"/>
          <w:iCs w:val="0"/>
          <w:color w:val="auto"/>
          <w:lang w:val="en-US"/>
        </w:rPr>
        <w:t>S</w:t>
      </w:r>
      <w:r w:rsidRPr="005D39E0">
        <w:rPr>
          <w:rFonts w:ascii="Times New Roman" w:hAnsi="Times New Roman" w:cs="Times New Roman"/>
          <w:b/>
          <w:bCs/>
          <w:i w:val="0"/>
          <w:iCs w:val="0"/>
          <w:color w:val="auto"/>
        </w:rPr>
        <w:fldChar w:fldCharType="begin"/>
      </w:r>
      <w:r w:rsidRPr="005D39E0">
        <w:rPr>
          <w:rFonts w:ascii="Times New Roman" w:hAnsi="Times New Roman" w:cs="Times New Roman"/>
          <w:b/>
          <w:bCs/>
          <w:i w:val="0"/>
          <w:iCs w:val="0"/>
          <w:color w:val="auto"/>
        </w:rPr>
        <w:instrText xml:space="preserve"> SEQ Figure \* ARABIC </w:instrText>
      </w:r>
      <w:r w:rsidRPr="005D39E0">
        <w:rPr>
          <w:rFonts w:ascii="Times New Roman" w:hAnsi="Times New Roman" w:cs="Times New Roman"/>
          <w:b/>
          <w:bCs/>
          <w:i w:val="0"/>
          <w:iCs w:val="0"/>
          <w:color w:val="auto"/>
        </w:rPr>
        <w:fldChar w:fldCharType="separate"/>
      </w:r>
      <w:r w:rsidR="00DC5BD9">
        <w:rPr>
          <w:rFonts w:ascii="Times New Roman" w:hAnsi="Times New Roman" w:cs="Times New Roman"/>
          <w:b/>
          <w:bCs/>
          <w:i w:val="0"/>
          <w:iCs w:val="0"/>
          <w:noProof/>
          <w:color w:val="auto"/>
        </w:rPr>
        <w:t>3</w:t>
      </w:r>
      <w:r w:rsidRPr="005D39E0">
        <w:rPr>
          <w:rFonts w:ascii="Times New Roman" w:hAnsi="Times New Roman" w:cs="Times New Roman"/>
          <w:b/>
          <w:bCs/>
          <w:i w:val="0"/>
          <w:iCs w:val="0"/>
          <w:color w:val="auto"/>
        </w:rPr>
        <w:fldChar w:fldCharType="end"/>
      </w:r>
      <w:r w:rsidRPr="005D39E0">
        <w:rPr>
          <w:rFonts w:ascii="Times New Roman" w:hAnsi="Times New Roman" w:cs="Times New Roman"/>
          <w:i w:val="0"/>
          <w:iCs w:val="0"/>
          <w:color w:val="auto"/>
          <w:lang w:val="en-US"/>
        </w:rPr>
        <w:t xml:space="preserve">. User-level walkthrough of </w:t>
      </w:r>
      <w:proofErr w:type="spellStart"/>
      <w:r w:rsidRPr="005D39E0">
        <w:rPr>
          <w:rFonts w:ascii="Times New Roman" w:hAnsi="Times New Roman" w:cs="Times New Roman"/>
          <w:i w:val="0"/>
          <w:iCs w:val="0"/>
          <w:color w:val="auto"/>
          <w:lang w:val="en-US"/>
        </w:rPr>
        <w:t>BioVLAB</w:t>
      </w:r>
      <w:proofErr w:type="spellEnd"/>
      <w:r w:rsidRPr="005D39E0">
        <w:rPr>
          <w:rFonts w:ascii="Times New Roman" w:hAnsi="Times New Roman" w:cs="Times New Roman"/>
          <w:i w:val="0"/>
          <w:iCs w:val="0"/>
          <w:color w:val="auto"/>
          <w:lang w:val="en-US"/>
        </w:rPr>
        <w:t>-Cancer-Pharmacogenomics. Although the system architecture is rather complicated, what users have to do is very simple, since interaction with users is done through a web GUI. (A) User is provided with graphical illustration and text-based manual from the website, and can click buttons to get started. (B) User needs to provide AWS credentials, email, and multi-omics data of tumor. The email is used for notifying the user once the reports are ready. (C) Upon submitting data, the analysis process takes place in background and user can close the window. User can monitor the progress of workflow before the analysis is done. (D) When analysis is finished and reports are ready, the user gets notified via email with a link to the final report webpage.</w:t>
      </w:r>
    </w:p>
    <w:p w14:paraId="27CB7910" w14:textId="77777777" w:rsidR="00F348DE" w:rsidRPr="00F348DE" w:rsidRDefault="00F348DE" w:rsidP="00F348DE">
      <w:pPr>
        <w:rPr>
          <w:lang w:val="en-US"/>
        </w:rPr>
      </w:pPr>
    </w:p>
    <w:p w14:paraId="197E8EDD" w14:textId="77777777" w:rsidR="0092768C" w:rsidRPr="005D39E0" w:rsidRDefault="0092768C" w:rsidP="0092768C">
      <w:pPr>
        <w:keepNext/>
        <w:jc w:val="center"/>
        <w:rPr>
          <w:sz w:val="18"/>
          <w:szCs w:val="18"/>
        </w:rPr>
      </w:pPr>
      <w:r w:rsidRPr="005D39E0">
        <w:rPr>
          <w:noProof/>
          <w:sz w:val="18"/>
          <w:szCs w:val="18"/>
        </w:rPr>
        <w:lastRenderedPageBreak/>
        <w:drawing>
          <wp:inline distT="0" distB="0" distL="0" distR="0" wp14:anchorId="6D79139E" wp14:editId="5FB23328">
            <wp:extent cx="5423095" cy="4622217"/>
            <wp:effectExtent l="0" t="0" r="0" b="0"/>
            <wp:docPr id="3" name="Picture 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99657" cy="4687472"/>
                    </a:xfrm>
                    <a:prstGeom prst="rect">
                      <a:avLst/>
                    </a:prstGeom>
                  </pic:spPr>
                </pic:pic>
              </a:graphicData>
            </a:graphic>
          </wp:inline>
        </w:drawing>
      </w:r>
    </w:p>
    <w:p w14:paraId="273B6A4F" w14:textId="44A0385F" w:rsidR="0092768C" w:rsidRPr="005D39E0" w:rsidRDefault="0092768C" w:rsidP="0092768C">
      <w:pPr>
        <w:pStyle w:val="a3"/>
        <w:rPr>
          <w:rFonts w:ascii="Times New Roman" w:hAnsi="Times New Roman" w:cs="Times New Roman"/>
          <w:i w:val="0"/>
          <w:iCs w:val="0"/>
          <w:color w:val="auto"/>
          <w:lang w:val="en-US"/>
        </w:rPr>
      </w:pPr>
      <w:r w:rsidRPr="005D39E0">
        <w:rPr>
          <w:rFonts w:ascii="Times New Roman" w:hAnsi="Times New Roman" w:cs="Times New Roman"/>
          <w:b/>
          <w:bCs/>
          <w:i w:val="0"/>
          <w:iCs w:val="0"/>
          <w:color w:val="auto"/>
        </w:rPr>
        <w:t xml:space="preserve">Figure </w:t>
      </w:r>
      <w:r w:rsidRPr="005D39E0">
        <w:rPr>
          <w:rFonts w:ascii="Times New Roman" w:hAnsi="Times New Roman" w:cs="Times New Roman"/>
          <w:b/>
          <w:bCs/>
          <w:i w:val="0"/>
          <w:iCs w:val="0"/>
          <w:color w:val="auto"/>
          <w:lang w:val="en-US"/>
        </w:rPr>
        <w:t>S</w:t>
      </w:r>
      <w:r w:rsidR="00F348DE">
        <w:rPr>
          <w:rFonts w:ascii="Times New Roman" w:hAnsi="Times New Roman" w:cs="Times New Roman"/>
          <w:b/>
          <w:bCs/>
          <w:i w:val="0"/>
          <w:iCs w:val="0"/>
          <w:color w:val="auto"/>
          <w:lang w:val="en-US"/>
        </w:rPr>
        <w:t>4</w:t>
      </w:r>
      <w:r w:rsidRPr="005D39E0">
        <w:rPr>
          <w:rFonts w:ascii="Times New Roman" w:hAnsi="Times New Roman" w:cs="Times New Roman"/>
          <w:i w:val="0"/>
          <w:iCs w:val="0"/>
          <w:color w:val="auto"/>
          <w:lang w:val="en-US"/>
        </w:rPr>
        <w:t>.</w:t>
      </w:r>
      <w:r w:rsidRPr="005D39E0">
        <w:t xml:space="preserve"> </w:t>
      </w:r>
      <w:r w:rsidRPr="005D39E0">
        <w:rPr>
          <w:rFonts w:ascii="Times New Roman" w:hAnsi="Times New Roman" w:cs="Times New Roman"/>
          <w:i w:val="0"/>
          <w:iCs w:val="0"/>
          <w:color w:val="auto"/>
          <w:lang w:val="en-US"/>
        </w:rPr>
        <w:t>Purifying cancer gene expression profiles using epigenomic deconvolution facilitate the comparison between patient-derived tumor samples and cancer cell lines. (A) The distribution of the cosine distance between the gene expression profiles of TCGA-BRCA samples and CCLE cell lines. (B) Schematic diagram of the proposed effect of epigenomic deconvolution in tumor-cell line comparison. (C) The proportions of subtype-matching cell lines in K-nearest neighbor cell lines. Shaded area denotes the standard error. (D) PCA analysis of gene expression profiles before (left panel) and after (right panel) epigenomic deconvolution. Samples are colored according to their corresponding PAM50 subtypes. (E) Silhouette scores of PC embeddings with regard</w:t>
      </w:r>
      <w:r w:rsidR="00BF280E">
        <w:rPr>
          <w:rFonts w:ascii="Times New Roman" w:hAnsi="Times New Roman" w:cs="Times New Roman" w:hint="eastAsia"/>
          <w:i w:val="0"/>
          <w:iCs w:val="0"/>
          <w:color w:val="auto"/>
          <w:lang w:val="en-US"/>
        </w:rPr>
        <w:t>s</w:t>
      </w:r>
      <w:r w:rsidRPr="005D39E0">
        <w:rPr>
          <w:rFonts w:ascii="Times New Roman" w:hAnsi="Times New Roman" w:cs="Times New Roman"/>
          <w:i w:val="0"/>
          <w:iCs w:val="0"/>
          <w:color w:val="auto"/>
          <w:lang w:val="en-US"/>
        </w:rPr>
        <w:t xml:space="preserve"> to the PAM50 subtypes. (F) The distribution of subtype-matching and subtype-mismatching TCGA-BRCA-CCLE pairs before (left panel) and after (right panel) the epigenomic deconvolution.</w:t>
      </w:r>
    </w:p>
    <w:p w14:paraId="2D6A311E" w14:textId="77777777" w:rsidR="0092768C" w:rsidRPr="005D39E0" w:rsidRDefault="0092768C" w:rsidP="0092768C">
      <w:pPr>
        <w:keepNext/>
        <w:rPr>
          <w:sz w:val="18"/>
          <w:szCs w:val="18"/>
        </w:rPr>
      </w:pPr>
    </w:p>
    <w:p w14:paraId="5DEB0C43" w14:textId="77777777" w:rsidR="0092768C" w:rsidRPr="005D39E0" w:rsidRDefault="0092768C" w:rsidP="0092768C">
      <w:pPr>
        <w:keepNext/>
        <w:jc w:val="center"/>
        <w:rPr>
          <w:sz w:val="18"/>
          <w:szCs w:val="18"/>
        </w:rPr>
      </w:pPr>
      <w:r w:rsidRPr="005D39E0">
        <w:rPr>
          <w:noProof/>
          <w:sz w:val="18"/>
          <w:szCs w:val="18"/>
        </w:rPr>
        <w:drawing>
          <wp:inline distT="0" distB="0" distL="0" distR="0" wp14:anchorId="6DF0C19E" wp14:editId="4840BAA4">
            <wp:extent cx="4279745" cy="2317115"/>
            <wp:effectExtent l="0" t="0" r="635"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9745" cy="2317115"/>
                    </a:xfrm>
                    <a:prstGeom prst="rect">
                      <a:avLst/>
                    </a:prstGeom>
                  </pic:spPr>
                </pic:pic>
              </a:graphicData>
            </a:graphic>
          </wp:inline>
        </w:drawing>
      </w:r>
    </w:p>
    <w:p w14:paraId="76981014" w14:textId="43E6F4D3" w:rsidR="00D24A70" w:rsidRPr="00D24A70" w:rsidRDefault="0092768C" w:rsidP="00D24A70">
      <w:pPr>
        <w:pStyle w:val="a3"/>
        <w:rPr>
          <w:rFonts w:ascii="Times New Roman" w:hAnsi="Times New Roman" w:cs="Times New Roman"/>
          <w:i w:val="0"/>
          <w:iCs w:val="0"/>
          <w:color w:val="auto"/>
          <w:lang w:val="en-US"/>
        </w:rPr>
      </w:pPr>
      <w:r w:rsidRPr="005D39E0">
        <w:rPr>
          <w:rFonts w:ascii="Times New Roman" w:hAnsi="Times New Roman" w:cs="Times New Roman"/>
          <w:b/>
          <w:bCs/>
          <w:i w:val="0"/>
          <w:iCs w:val="0"/>
          <w:color w:val="auto"/>
        </w:rPr>
        <w:t xml:space="preserve">Figure </w:t>
      </w:r>
      <w:r w:rsidRPr="005D39E0">
        <w:rPr>
          <w:rFonts w:ascii="Times New Roman" w:hAnsi="Times New Roman" w:cs="Times New Roman"/>
          <w:b/>
          <w:bCs/>
          <w:i w:val="0"/>
          <w:iCs w:val="0"/>
          <w:color w:val="auto"/>
          <w:lang w:val="en-US"/>
        </w:rPr>
        <w:t>S</w:t>
      </w:r>
      <w:r w:rsidR="00F348DE">
        <w:rPr>
          <w:rFonts w:ascii="Times New Roman" w:hAnsi="Times New Roman" w:cs="Times New Roman"/>
          <w:b/>
          <w:bCs/>
          <w:i w:val="0"/>
          <w:iCs w:val="0"/>
          <w:color w:val="auto"/>
          <w:lang w:val="en-US"/>
        </w:rPr>
        <w:t>5</w:t>
      </w:r>
      <w:r w:rsidRPr="005D39E0">
        <w:rPr>
          <w:rFonts w:ascii="Times New Roman" w:hAnsi="Times New Roman" w:cs="Times New Roman"/>
          <w:i w:val="0"/>
          <w:iCs w:val="0"/>
          <w:color w:val="auto"/>
          <w:lang w:val="en-US"/>
        </w:rPr>
        <w:t xml:space="preserve">. Retrospective analysis for the incomplete remission rates of TCGA-BRCA patients. Patients were divided into two groups: (1) patients who had been treated with at least one of the </w:t>
      </w:r>
      <w:proofErr w:type="spellStart"/>
      <w:r w:rsidRPr="005D39E0">
        <w:rPr>
          <w:rFonts w:ascii="Times New Roman" w:hAnsi="Times New Roman" w:cs="Times New Roman"/>
          <w:i w:val="0"/>
          <w:iCs w:val="0"/>
          <w:color w:val="auto"/>
          <w:lang w:val="en-US"/>
        </w:rPr>
        <w:t>pharmacogenomically</w:t>
      </w:r>
      <w:proofErr w:type="spellEnd"/>
      <w:r w:rsidRPr="005D39E0">
        <w:rPr>
          <w:rFonts w:ascii="Times New Roman" w:hAnsi="Times New Roman" w:cs="Times New Roman"/>
          <w:i w:val="0"/>
          <w:iCs w:val="0"/>
          <w:color w:val="auto"/>
          <w:lang w:val="en-US"/>
        </w:rPr>
        <w:t xml:space="preserve"> suggested drugs and (2) patients whose treatment involved none of the suggested drugs. Patient whose response was measured as Partial </w:t>
      </w:r>
      <w:proofErr w:type="spellStart"/>
      <w:r w:rsidRPr="005D39E0">
        <w:rPr>
          <w:rFonts w:ascii="Times New Roman" w:hAnsi="Times New Roman" w:cs="Times New Roman"/>
          <w:i w:val="0"/>
          <w:iCs w:val="0"/>
          <w:color w:val="auto"/>
          <w:lang w:val="en-US"/>
        </w:rPr>
        <w:t>Respons</w:t>
      </w:r>
      <w:proofErr w:type="spellEnd"/>
      <w:r w:rsidRPr="005D39E0">
        <w:rPr>
          <w:rFonts w:ascii="Times New Roman" w:hAnsi="Times New Roman" w:cs="Times New Roman"/>
          <w:i w:val="0"/>
          <w:iCs w:val="0"/>
          <w:color w:val="auto"/>
          <w:lang w:val="en-US"/>
        </w:rPr>
        <w:t xml:space="preserve"> or Clinical Progressive Disease was classified as incomplete remission. Fisher's exact p=0.063.</w:t>
      </w:r>
    </w:p>
    <w:p w14:paraId="1DD80092" w14:textId="77777777" w:rsidR="00D24A70" w:rsidRDefault="00D24A70" w:rsidP="0092768C">
      <w:pPr>
        <w:keepNext/>
        <w:rPr>
          <w:sz w:val="18"/>
          <w:szCs w:val="18"/>
        </w:rPr>
      </w:pPr>
    </w:p>
    <w:p w14:paraId="01CCE046" w14:textId="77777777" w:rsidR="00D24A70" w:rsidRDefault="00D24A70" w:rsidP="0092768C">
      <w:pPr>
        <w:keepNext/>
        <w:rPr>
          <w:sz w:val="18"/>
          <w:szCs w:val="18"/>
        </w:rPr>
      </w:pPr>
    </w:p>
    <w:p w14:paraId="2CB07735" w14:textId="77777777" w:rsidR="00D24A70" w:rsidRDefault="00D24A70" w:rsidP="0092768C">
      <w:pPr>
        <w:keepNext/>
        <w:rPr>
          <w:sz w:val="18"/>
          <w:szCs w:val="18"/>
        </w:rPr>
      </w:pPr>
    </w:p>
    <w:p w14:paraId="2B79C2D0" w14:textId="77777777" w:rsidR="00D24A70" w:rsidRDefault="00D24A70" w:rsidP="0092768C">
      <w:pPr>
        <w:keepNext/>
        <w:rPr>
          <w:sz w:val="18"/>
          <w:szCs w:val="18"/>
        </w:rPr>
      </w:pPr>
    </w:p>
    <w:p w14:paraId="43335790" w14:textId="77777777" w:rsidR="00D24A70" w:rsidRDefault="00D24A70" w:rsidP="0092768C">
      <w:pPr>
        <w:keepNext/>
        <w:rPr>
          <w:sz w:val="18"/>
          <w:szCs w:val="18"/>
        </w:rPr>
      </w:pPr>
    </w:p>
    <w:p w14:paraId="24F77FEA" w14:textId="77777777" w:rsidR="00D24A70" w:rsidRDefault="00D24A70" w:rsidP="0092768C">
      <w:pPr>
        <w:keepNext/>
        <w:rPr>
          <w:sz w:val="18"/>
          <w:szCs w:val="18"/>
        </w:rPr>
      </w:pPr>
    </w:p>
    <w:p w14:paraId="139E869A" w14:textId="77777777" w:rsidR="00D24A70" w:rsidRDefault="00D24A70" w:rsidP="0092768C">
      <w:pPr>
        <w:keepNext/>
        <w:rPr>
          <w:sz w:val="18"/>
          <w:szCs w:val="18"/>
        </w:rPr>
      </w:pPr>
    </w:p>
    <w:p w14:paraId="76AD1B59" w14:textId="45F2EDED" w:rsidR="0092768C" w:rsidRPr="005D39E0" w:rsidRDefault="0092768C" w:rsidP="0092768C">
      <w:pPr>
        <w:keepNext/>
        <w:rPr>
          <w:sz w:val="18"/>
          <w:szCs w:val="18"/>
        </w:rPr>
      </w:pPr>
      <w:r w:rsidRPr="005D39E0">
        <w:rPr>
          <w:noProof/>
          <w:sz w:val="18"/>
          <w:szCs w:val="18"/>
        </w:rPr>
        <w:drawing>
          <wp:inline distT="0" distB="0" distL="0" distR="0" wp14:anchorId="7645034F" wp14:editId="509CF6D1">
            <wp:extent cx="5943600" cy="1981200"/>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11466766" w14:textId="77777777" w:rsidR="00DC5BD9" w:rsidRDefault="0092768C" w:rsidP="00DC5BD9">
      <w:pPr>
        <w:pStyle w:val="a3"/>
        <w:rPr>
          <w:rFonts w:ascii="Times New Roman" w:hAnsi="Times New Roman" w:cs="Times New Roman"/>
          <w:i w:val="0"/>
          <w:iCs w:val="0"/>
          <w:color w:val="auto"/>
          <w:lang w:val="en-US"/>
        </w:rPr>
      </w:pPr>
      <w:r w:rsidRPr="005D39E0">
        <w:rPr>
          <w:rFonts w:ascii="Times New Roman" w:hAnsi="Times New Roman" w:cs="Times New Roman"/>
          <w:b/>
          <w:bCs/>
          <w:i w:val="0"/>
          <w:iCs w:val="0"/>
          <w:color w:val="auto"/>
        </w:rPr>
        <w:t xml:space="preserve">Figure </w:t>
      </w:r>
      <w:r w:rsidRPr="005D39E0">
        <w:rPr>
          <w:rFonts w:ascii="Times New Roman" w:hAnsi="Times New Roman" w:cs="Times New Roman"/>
          <w:b/>
          <w:bCs/>
          <w:i w:val="0"/>
          <w:iCs w:val="0"/>
          <w:color w:val="auto"/>
          <w:lang w:val="en-US"/>
        </w:rPr>
        <w:t>S</w:t>
      </w:r>
      <w:r w:rsidR="00F348DE">
        <w:rPr>
          <w:rFonts w:ascii="Times New Roman" w:hAnsi="Times New Roman" w:cs="Times New Roman"/>
          <w:b/>
          <w:bCs/>
          <w:i w:val="0"/>
          <w:iCs w:val="0"/>
          <w:color w:val="auto"/>
          <w:lang w:val="en-US"/>
        </w:rPr>
        <w:t>6</w:t>
      </w:r>
      <w:r w:rsidRPr="005D39E0">
        <w:rPr>
          <w:rFonts w:ascii="Times New Roman" w:hAnsi="Times New Roman" w:cs="Times New Roman"/>
          <w:i w:val="0"/>
          <w:iCs w:val="0"/>
          <w:color w:val="auto"/>
          <w:lang w:val="en-US"/>
        </w:rPr>
        <w:t>. Kaplan-Meier plots for overall survivals of TCGA-BRCA patients stratified by various ITH measures. TCGA-BRCA patients with clinical information were divided into two groups with equal size according to transcriptomic ITH (</w:t>
      </w:r>
      <w:proofErr w:type="spellStart"/>
      <w:r w:rsidRPr="005D39E0">
        <w:rPr>
          <w:rFonts w:ascii="Times New Roman" w:hAnsi="Times New Roman" w:cs="Times New Roman"/>
          <w:i w:val="0"/>
          <w:iCs w:val="0"/>
          <w:color w:val="auto"/>
          <w:lang w:val="en-US"/>
        </w:rPr>
        <w:t>tITH</w:t>
      </w:r>
      <w:proofErr w:type="spellEnd"/>
      <w:r w:rsidRPr="005D39E0">
        <w:rPr>
          <w:rFonts w:ascii="Times New Roman" w:hAnsi="Times New Roman" w:cs="Times New Roman"/>
          <w:i w:val="0"/>
          <w:iCs w:val="0"/>
          <w:color w:val="auto"/>
          <w:lang w:val="en-US"/>
        </w:rPr>
        <w:t>, left panel), genomic ITH (</w:t>
      </w:r>
      <w:proofErr w:type="spellStart"/>
      <w:r w:rsidRPr="005D39E0">
        <w:rPr>
          <w:rFonts w:ascii="Times New Roman" w:hAnsi="Times New Roman" w:cs="Times New Roman"/>
          <w:i w:val="0"/>
          <w:iCs w:val="0"/>
          <w:color w:val="auto"/>
          <w:lang w:val="en-US"/>
        </w:rPr>
        <w:t>gITH</w:t>
      </w:r>
      <w:proofErr w:type="spellEnd"/>
      <w:r w:rsidRPr="005D39E0">
        <w:rPr>
          <w:rFonts w:ascii="Times New Roman" w:hAnsi="Times New Roman" w:cs="Times New Roman"/>
          <w:i w:val="0"/>
          <w:iCs w:val="0"/>
          <w:color w:val="auto"/>
          <w:lang w:val="en-US"/>
        </w:rPr>
        <w:t>, middle panel) and multi-omics ITH (</w:t>
      </w:r>
      <w:proofErr w:type="spellStart"/>
      <w:r w:rsidRPr="005D39E0">
        <w:rPr>
          <w:rFonts w:ascii="Times New Roman" w:hAnsi="Times New Roman" w:cs="Times New Roman"/>
          <w:i w:val="0"/>
          <w:iCs w:val="0"/>
          <w:color w:val="auto"/>
          <w:lang w:val="en-US"/>
        </w:rPr>
        <w:t>moITH</w:t>
      </w:r>
      <w:proofErr w:type="spellEnd"/>
      <w:r w:rsidRPr="005D39E0">
        <w:rPr>
          <w:rFonts w:ascii="Times New Roman" w:hAnsi="Times New Roman" w:cs="Times New Roman"/>
          <w:i w:val="0"/>
          <w:iCs w:val="0"/>
          <w:color w:val="auto"/>
          <w:lang w:val="en-US"/>
        </w:rPr>
        <w:t>, right panel). Cox proportional hazards regression p-values are shown.</w:t>
      </w:r>
    </w:p>
    <w:p w14:paraId="56A9924A" w14:textId="7D7F0EA9" w:rsidR="0092768C" w:rsidRPr="00DC5BD9" w:rsidRDefault="00DC5BD9" w:rsidP="00DC5BD9">
      <w:pPr>
        <w:pStyle w:val="a3"/>
        <w:rPr>
          <w:rFonts w:ascii="Times New Roman" w:hAnsi="Times New Roman" w:cs="Times New Roman" w:hint="eastAsia"/>
          <w:lang w:val="en-US"/>
        </w:rPr>
      </w:pPr>
      <w:r>
        <w:rPr>
          <w:rFonts w:ascii="Times New Roman" w:hAnsi="Times New Roman" w:cs="Times New Roman"/>
          <w:b/>
          <w:bCs/>
          <w:lang w:val="en-US"/>
        </w:rPr>
        <w:br/>
      </w:r>
      <w:r>
        <w:rPr>
          <w:rFonts w:ascii="Times New Roman" w:hAnsi="Times New Roman" w:cs="Times New Roman"/>
          <w:b/>
          <w:bCs/>
          <w:lang w:val="en-US"/>
        </w:rPr>
        <w:br/>
      </w:r>
      <w:r w:rsidR="0092768C">
        <w:rPr>
          <w:rFonts w:ascii="Times New Roman" w:hAnsi="Times New Roman" w:cs="Times New Roman"/>
          <w:b/>
          <w:bCs/>
          <w:lang w:val="en-US"/>
        </w:rPr>
        <w:br/>
      </w:r>
    </w:p>
    <w:p w14:paraId="5C79951F" w14:textId="5D1DAE03" w:rsidR="0014785B" w:rsidRPr="005D39E0" w:rsidRDefault="0014785B" w:rsidP="0092768C">
      <w:pPr>
        <w:keepNext/>
        <w:jc w:val="both"/>
        <w:rPr>
          <w:rFonts w:ascii="Times New Roman" w:hAnsi="Times New Roman" w:cs="Times New Roman"/>
          <w:b/>
          <w:bCs/>
          <w:sz w:val="18"/>
          <w:szCs w:val="18"/>
          <w:lang w:val="en-US"/>
        </w:rPr>
      </w:pPr>
      <w:r w:rsidRPr="005D39E0">
        <w:rPr>
          <w:rFonts w:ascii="Times New Roman" w:hAnsi="Times New Roman" w:cs="Times New Roman"/>
          <w:b/>
          <w:bCs/>
          <w:sz w:val="18"/>
          <w:szCs w:val="18"/>
          <w:lang w:val="en-US"/>
        </w:rPr>
        <w:lastRenderedPageBreak/>
        <w:t>Supplementary Note S1.</w:t>
      </w:r>
    </w:p>
    <w:p w14:paraId="77D8CC11" w14:textId="1B7C3D82" w:rsidR="0014785B" w:rsidRPr="005D39E0" w:rsidRDefault="00C018E6" w:rsidP="0092768C">
      <w:pPr>
        <w:keepNext/>
        <w:jc w:val="both"/>
        <w:rPr>
          <w:rFonts w:ascii="Times New Roman" w:hAnsi="Times New Roman" w:cs="Times New Roman"/>
          <w:sz w:val="18"/>
          <w:szCs w:val="18"/>
          <w:lang w:val="en-US"/>
        </w:rPr>
      </w:pPr>
      <w:r w:rsidRPr="005D39E0">
        <w:rPr>
          <w:rFonts w:ascii="Times New Roman" w:hAnsi="Times New Roman" w:cs="Times New Roman"/>
          <w:sz w:val="18"/>
          <w:szCs w:val="18"/>
          <w:lang w:val="en-US"/>
        </w:rPr>
        <w:t xml:space="preserve">Amazon hosts publicly available datasets as open S3 buckets. With the AWS Open Data, many valuable genomic databases, such as TCGA, Therapeutically Applicable Research </w:t>
      </w:r>
      <w:proofErr w:type="gramStart"/>
      <w:r w:rsidRPr="005D39E0">
        <w:rPr>
          <w:rFonts w:ascii="Times New Roman" w:hAnsi="Times New Roman" w:cs="Times New Roman"/>
          <w:sz w:val="18"/>
          <w:szCs w:val="18"/>
          <w:lang w:val="en-US"/>
        </w:rPr>
        <w:t>To</w:t>
      </w:r>
      <w:proofErr w:type="gramEnd"/>
      <w:r w:rsidRPr="005D39E0">
        <w:rPr>
          <w:rFonts w:ascii="Times New Roman" w:hAnsi="Times New Roman" w:cs="Times New Roman"/>
          <w:sz w:val="18"/>
          <w:szCs w:val="18"/>
          <w:lang w:val="en-US"/>
        </w:rPr>
        <w:t xml:space="preserve"> Generate Effective Treatments (TARGET), CCLE, Clinical Proteomic Tumor Analysis Consortium (CPTAC), and International Cancer Genome Consortium (ICGC), can be accessed freely. </w:t>
      </w:r>
      <w:proofErr w:type="spellStart"/>
      <w:r w:rsidRPr="005D39E0">
        <w:rPr>
          <w:rFonts w:ascii="Times New Roman" w:hAnsi="Times New Roman" w:cs="Times New Roman"/>
          <w:sz w:val="18"/>
          <w:szCs w:val="18"/>
          <w:lang w:val="en-US"/>
        </w:rPr>
        <w:t>BioVLAB</w:t>
      </w:r>
      <w:proofErr w:type="spellEnd"/>
      <w:r w:rsidRPr="005D39E0">
        <w:rPr>
          <w:rFonts w:ascii="Times New Roman" w:hAnsi="Times New Roman" w:cs="Times New Roman"/>
          <w:sz w:val="18"/>
          <w:szCs w:val="18"/>
          <w:lang w:val="en-US"/>
        </w:rPr>
        <w:t xml:space="preserve"> framework allows users without expert knowledge on computing system to utilize the AWS cloud platform. The user needs to create an AWS account and provide credentials such as AWS access key and AWS secret key. Then, the system automatically performs the aforementioned analyses of the bulk cancer multi-omics data provided by the user. By copying the machine image, the complete execution environment for computational tools and databases is automatically copied to the private computing space of the user. By executing the machine image, the whole analysis pipeline is performed on the isolated computing instance of the user and the analysis result is notified to the user. All computations are done in an EC2 instance owned by the user and the results are saved to an S3 bucket owned by the user. This way, our system provides users to exploit the AWS system with data privacy fully ensured.</w:t>
      </w:r>
    </w:p>
    <w:p w14:paraId="0D3864B2" w14:textId="13B6746F" w:rsidR="00C73E79" w:rsidRDefault="00C73E79" w:rsidP="0092768C">
      <w:pPr>
        <w:keepNext/>
        <w:jc w:val="both"/>
        <w:rPr>
          <w:rFonts w:ascii="Times New Roman" w:hAnsi="Times New Roman" w:cs="Times New Roman"/>
          <w:sz w:val="18"/>
          <w:szCs w:val="18"/>
          <w:lang w:val="en-US"/>
        </w:rPr>
      </w:pPr>
    </w:p>
    <w:p w14:paraId="599D91B4" w14:textId="77777777" w:rsidR="0092768C" w:rsidRPr="005D39E0" w:rsidRDefault="0092768C" w:rsidP="0092768C">
      <w:pPr>
        <w:keepNext/>
        <w:jc w:val="both"/>
        <w:rPr>
          <w:rFonts w:ascii="Times New Roman" w:hAnsi="Times New Roman" w:cs="Times New Roman"/>
          <w:sz w:val="18"/>
          <w:szCs w:val="18"/>
          <w:lang w:val="en-US"/>
        </w:rPr>
      </w:pPr>
    </w:p>
    <w:p w14:paraId="0031F07A" w14:textId="77777777" w:rsidR="0014785B" w:rsidRPr="005D39E0" w:rsidRDefault="0014785B" w:rsidP="0092768C">
      <w:pPr>
        <w:keepNext/>
        <w:jc w:val="both"/>
        <w:rPr>
          <w:rFonts w:ascii="Times New Roman" w:hAnsi="Times New Roman" w:cs="Times New Roman"/>
          <w:b/>
          <w:bCs/>
          <w:sz w:val="18"/>
          <w:szCs w:val="18"/>
          <w:lang w:val="en-US"/>
        </w:rPr>
      </w:pPr>
      <w:r w:rsidRPr="005D39E0">
        <w:rPr>
          <w:rFonts w:ascii="Times New Roman" w:hAnsi="Times New Roman" w:cs="Times New Roman"/>
          <w:b/>
          <w:bCs/>
          <w:sz w:val="18"/>
          <w:szCs w:val="18"/>
          <w:lang w:val="en-US"/>
        </w:rPr>
        <w:t>Supplementary Note S2.</w:t>
      </w:r>
    </w:p>
    <w:p w14:paraId="5EA60001" w14:textId="02A609D1" w:rsidR="00C018E6" w:rsidRPr="005D39E0" w:rsidRDefault="00C018E6" w:rsidP="0092768C">
      <w:pPr>
        <w:keepNext/>
        <w:jc w:val="both"/>
        <w:rPr>
          <w:sz w:val="18"/>
          <w:szCs w:val="18"/>
        </w:rPr>
      </w:pPr>
      <w:r w:rsidRPr="005D39E0">
        <w:rPr>
          <w:rFonts w:ascii="Times New Roman" w:hAnsi="Times New Roman" w:cs="Times New Roman"/>
          <w:sz w:val="18"/>
          <w:szCs w:val="18"/>
          <w:lang w:val="en-US"/>
        </w:rPr>
        <w:t xml:space="preserve">Analyzing molecular data of a user in terms of very large databases, e.g., TCGA and CCLE, is a challenging task, especially for small research labs. We have been developing </w:t>
      </w:r>
      <w:proofErr w:type="spellStart"/>
      <w:r w:rsidRPr="005D39E0">
        <w:rPr>
          <w:rFonts w:ascii="Times New Roman" w:hAnsi="Times New Roman" w:cs="Times New Roman"/>
          <w:sz w:val="18"/>
          <w:szCs w:val="18"/>
          <w:lang w:val="en-US"/>
        </w:rPr>
        <w:t>BioVLAB</w:t>
      </w:r>
      <w:proofErr w:type="spellEnd"/>
      <w:r w:rsidRPr="005D39E0">
        <w:rPr>
          <w:rFonts w:ascii="Times New Roman" w:hAnsi="Times New Roman" w:cs="Times New Roman"/>
          <w:sz w:val="18"/>
          <w:szCs w:val="18"/>
          <w:lang w:val="en-US"/>
        </w:rPr>
        <w:t xml:space="preserve"> system on the cloud so that users can perform data analysis without worrying about the computer infrastructure, installing and pipelining multiple computational tools, and summarizing and navigating the analysis results.</w:t>
      </w:r>
      <w:r w:rsidR="005D39E0">
        <w:rPr>
          <w:sz w:val="18"/>
          <w:szCs w:val="18"/>
          <w:lang w:val="en-US"/>
        </w:rPr>
        <w:t xml:space="preserve"> </w:t>
      </w:r>
      <w:proofErr w:type="spellStart"/>
      <w:r w:rsidRPr="005D39E0">
        <w:rPr>
          <w:rFonts w:ascii="Times New Roman" w:hAnsi="Times New Roman" w:cs="Times New Roman"/>
          <w:sz w:val="18"/>
          <w:szCs w:val="18"/>
          <w:lang w:val="en-US"/>
        </w:rPr>
        <w:t>BioVLAB</w:t>
      </w:r>
      <w:proofErr w:type="spellEnd"/>
      <w:r w:rsidRPr="005D39E0">
        <w:rPr>
          <w:rFonts w:ascii="Times New Roman" w:hAnsi="Times New Roman" w:cs="Times New Roman"/>
          <w:sz w:val="18"/>
          <w:szCs w:val="18"/>
          <w:lang w:val="en-US"/>
        </w:rPr>
        <w:t xml:space="preserve">-Microarray is the earliest implementation of the </w:t>
      </w:r>
      <w:proofErr w:type="spellStart"/>
      <w:r w:rsidRPr="005D39E0">
        <w:rPr>
          <w:rFonts w:ascii="Times New Roman" w:hAnsi="Times New Roman" w:cs="Times New Roman"/>
          <w:sz w:val="18"/>
          <w:szCs w:val="18"/>
          <w:lang w:val="en-US"/>
        </w:rPr>
        <w:t>BioVLAB</w:t>
      </w:r>
      <w:proofErr w:type="spellEnd"/>
      <w:r w:rsidRPr="005D39E0">
        <w:rPr>
          <w:rFonts w:ascii="Times New Roman" w:hAnsi="Times New Roman" w:cs="Times New Roman"/>
          <w:sz w:val="18"/>
          <w:szCs w:val="18"/>
          <w:lang w:val="en-US"/>
        </w:rPr>
        <w:t xml:space="preserve"> framework. It helps the user analyze microarray data on AWS by providing flexible and configurable graphical user interface (GUI) workflow. The user can explore similar genes and perform analysis such as subset extraction, component analysis, clustering of genes and network analysis from the input microarray data. </w:t>
      </w:r>
      <w:proofErr w:type="spellStart"/>
      <w:r w:rsidRPr="005D39E0">
        <w:rPr>
          <w:rFonts w:ascii="Times New Roman" w:hAnsi="Times New Roman" w:cs="Times New Roman"/>
          <w:sz w:val="18"/>
          <w:szCs w:val="18"/>
          <w:lang w:val="en-US"/>
        </w:rPr>
        <w:t>BioVLAB</w:t>
      </w:r>
      <w:proofErr w:type="spellEnd"/>
      <w:r w:rsidRPr="005D39E0">
        <w:rPr>
          <w:rFonts w:ascii="Times New Roman" w:hAnsi="Times New Roman" w:cs="Times New Roman"/>
          <w:sz w:val="18"/>
          <w:szCs w:val="18"/>
          <w:lang w:val="en-US"/>
        </w:rPr>
        <w:t xml:space="preserve">-MMIA is a web-based system for the integrative analysis of microRNA and mRNA expression. Since it is widely known that microRNA regulates the abundances of mRNA, integrated analysis of such two-omics can help discover new knowledges. Later, the system was further developed to </w:t>
      </w:r>
      <w:proofErr w:type="spellStart"/>
      <w:r w:rsidRPr="005D39E0">
        <w:rPr>
          <w:rFonts w:ascii="Times New Roman" w:hAnsi="Times New Roman" w:cs="Times New Roman"/>
          <w:sz w:val="18"/>
          <w:szCs w:val="18"/>
          <w:lang w:val="en-US"/>
        </w:rPr>
        <w:t>BioVLAB</w:t>
      </w:r>
      <w:proofErr w:type="spellEnd"/>
      <w:r w:rsidRPr="005D39E0">
        <w:rPr>
          <w:rFonts w:ascii="Times New Roman" w:hAnsi="Times New Roman" w:cs="Times New Roman"/>
          <w:sz w:val="18"/>
          <w:szCs w:val="18"/>
          <w:lang w:val="en-US"/>
        </w:rPr>
        <w:t xml:space="preserve">-MMIA-NGS to allow the use of RNA-Seq data for the quantification of mRNA expression. A recent implementation of </w:t>
      </w:r>
      <w:proofErr w:type="spellStart"/>
      <w:r w:rsidRPr="005D39E0">
        <w:rPr>
          <w:rFonts w:ascii="Times New Roman" w:hAnsi="Times New Roman" w:cs="Times New Roman"/>
          <w:sz w:val="18"/>
          <w:szCs w:val="18"/>
          <w:lang w:val="en-US"/>
        </w:rPr>
        <w:t>BioVLAB</w:t>
      </w:r>
      <w:proofErr w:type="spellEnd"/>
      <w:r w:rsidRPr="005D39E0">
        <w:rPr>
          <w:rFonts w:ascii="Times New Roman" w:hAnsi="Times New Roman" w:cs="Times New Roman"/>
          <w:sz w:val="18"/>
          <w:szCs w:val="18"/>
          <w:lang w:val="en-US"/>
        </w:rPr>
        <w:t xml:space="preserve"> framework is </w:t>
      </w:r>
      <w:proofErr w:type="spellStart"/>
      <w:r w:rsidRPr="005D39E0">
        <w:rPr>
          <w:rFonts w:ascii="Times New Roman" w:hAnsi="Times New Roman" w:cs="Times New Roman"/>
          <w:sz w:val="18"/>
          <w:szCs w:val="18"/>
          <w:lang w:val="en-US"/>
        </w:rPr>
        <w:t>BioVLAB</w:t>
      </w:r>
      <w:proofErr w:type="spellEnd"/>
      <w:r w:rsidRPr="005D39E0">
        <w:rPr>
          <w:rFonts w:ascii="Times New Roman" w:hAnsi="Times New Roman" w:cs="Times New Roman"/>
          <w:sz w:val="18"/>
          <w:szCs w:val="18"/>
          <w:lang w:val="en-US"/>
        </w:rPr>
        <w:t>-</w:t>
      </w:r>
      <w:proofErr w:type="spellStart"/>
      <w:r w:rsidRPr="005D39E0">
        <w:rPr>
          <w:rFonts w:ascii="Times New Roman" w:hAnsi="Times New Roman" w:cs="Times New Roman"/>
          <w:sz w:val="18"/>
          <w:szCs w:val="18"/>
          <w:lang w:val="en-US"/>
        </w:rPr>
        <w:t>mCpG</w:t>
      </w:r>
      <w:proofErr w:type="spellEnd"/>
      <w:r w:rsidRPr="005D39E0">
        <w:rPr>
          <w:rFonts w:ascii="Times New Roman" w:hAnsi="Times New Roman" w:cs="Times New Roman"/>
          <w:sz w:val="18"/>
          <w:szCs w:val="18"/>
          <w:lang w:val="en-US"/>
        </w:rPr>
        <w:t>-SNP-EXPRESS</w:t>
      </w:r>
      <w:r w:rsidR="00C73E79" w:rsidRPr="005D39E0">
        <w:rPr>
          <w:rFonts w:ascii="Times New Roman" w:hAnsi="Times New Roman" w:cs="Times New Roman"/>
          <w:sz w:val="18"/>
          <w:szCs w:val="18"/>
          <w:lang w:val="en-US"/>
        </w:rPr>
        <w:t>.</w:t>
      </w:r>
      <w:r w:rsidRPr="005D39E0">
        <w:rPr>
          <w:rFonts w:ascii="Times New Roman" w:hAnsi="Times New Roman" w:cs="Times New Roman"/>
          <w:sz w:val="18"/>
          <w:szCs w:val="18"/>
          <w:lang w:val="en-US"/>
        </w:rPr>
        <w:t xml:space="preserve"> </w:t>
      </w:r>
      <w:proofErr w:type="spellStart"/>
      <w:r w:rsidRPr="005D39E0">
        <w:rPr>
          <w:rFonts w:ascii="Times New Roman" w:hAnsi="Times New Roman" w:cs="Times New Roman"/>
          <w:sz w:val="18"/>
          <w:szCs w:val="18"/>
          <w:lang w:val="en-US"/>
        </w:rPr>
        <w:t>BioVLAB</w:t>
      </w:r>
      <w:proofErr w:type="spellEnd"/>
      <w:r w:rsidRPr="005D39E0">
        <w:rPr>
          <w:rFonts w:ascii="Times New Roman" w:hAnsi="Times New Roman" w:cs="Times New Roman"/>
          <w:sz w:val="18"/>
          <w:szCs w:val="18"/>
          <w:lang w:val="en-US"/>
        </w:rPr>
        <w:t>-</w:t>
      </w:r>
      <w:proofErr w:type="spellStart"/>
      <w:r w:rsidRPr="005D39E0">
        <w:rPr>
          <w:rFonts w:ascii="Times New Roman" w:hAnsi="Times New Roman" w:cs="Times New Roman"/>
          <w:sz w:val="18"/>
          <w:szCs w:val="18"/>
          <w:lang w:val="en-US"/>
        </w:rPr>
        <w:t>mCpG</w:t>
      </w:r>
      <w:proofErr w:type="spellEnd"/>
      <w:r w:rsidRPr="005D39E0">
        <w:rPr>
          <w:rFonts w:ascii="Times New Roman" w:hAnsi="Times New Roman" w:cs="Times New Roman"/>
          <w:sz w:val="18"/>
          <w:szCs w:val="18"/>
          <w:lang w:val="en-US"/>
        </w:rPr>
        <w:t>-SNP-EXPRESS integrates DNA methylation, genomic sequence, and gene expression profiles to characterize the mechanisms of gene expression regulation through both genomic and epigenomic features. Deploying machine learning tools in analysis pipelines on the cloud is extensively surveyed and discussed in.</w:t>
      </w:r>
    </w:p>
    <w:p w14:paraId="712D6A10" w14:textId="0CEB8CE5" w:rsidR="00C73E79" w:rsidRDefault="00C73E79" w:rsidP="0092768C">
      <w:pPr>
        <w:keepNext/>
        <w:jc w:val="both"/>
        <w:rPr>
          <w:rFonts w:ascii="Times New Roman" w:hAnsi="Times New Roman" w:cs="Times New Roman"/>
          <w:sz w:val="18"/>
          <w:szCs w:val="18"/>
          <w:lang w:val="en-US"/>
        </w:rPr>
      </w:pPr>
    </w:p>
    <w:p w14:paraId="4388F340" w14:textId="77777777" w:rsidR="0092768C" w:rsidRPr="005D39E0" w:rsidRDefault="0092768C" w:rsidP="0092768C">
      <w:pPr>
        <w:keepNext/>
        <w:jc w:val="both"/>
        <w:rPr>
          <w:rFonts w:ascii="Times New Roman" w:hAnsi="Times New Roman" w:cs="Times New Roman"/>
          <w:sz w:val="18"/>
          <w:szCs w:val="18"/>
          <w:lang w:val="en-US"/>
        </w:rPr>
      </w:pPr>
    </w:p>
    <w:p w14:paraId="77C71120" w14:textId="310C65CF" w:rsidR="0014785B" w:rsidRPr="005D39E0" w:rsidRDefault="0014785B" w:rsidP="0092768C">
      <w:pPr>
        <w:keepNext/>
        <w:jc w:val="both"/>
        <w:rPr>
          <w:rFonts w:ascii="Times New Roman" w:hAnsi="Times New Roman" w:cs="Times New Roman"/>
          <w:b/>
          <w:bCs/>
          <w:sz w:val="18"/>
          <w:szCs w:val="18"/>
          <w:lang w:val="en-US"/>
        </w:rPr>
      </w:pPr>
      <w:r w:rsidRPr="005D39E0">
        <w:rPr>
          <w:rFonts w:ascii="Times New Roman" w:hAnsi="Times New Roman" w:cs="Times New Roman"/>
          <w:b/>
          <w:bCs/>
          <w:sz w:val="18"/>
          <w:szCs w:val="18"/>
          <w:lang w:val="en-US"/>
        </w:rPr>
        <w:t>Supplementary Note S3.</w:t>
      </w:r>
    </w:p>
    <w:p w14:paraId="2AE8F1EF" w14:textId="6F7BB73E" w:rsidR="0014785B" w:rsidRPr="005D39E0" w:rsidRDefault="004B5D18" w:rsidP="0092768C">
      <w:pPr>
        <w:keepNext/>
        <w:jc w:val="both"/>
        <w:rPr>
          <w:rFonts w:ascii="Times New Roman" w:hAnsi="Times New Roman" w:cs="Times New Roman"/>
          <w:sz w:val="18"/>
          <w:szCs w:val="18"/>
          <w:lang w:val="en-US"/>
        </w:rPr>
      </w:pPr>
      <w:r w:rsidRPr="005D39E0">
        <w:rPr>
          <w:rFonts w:ascii="Times New Roman" w:hAnsi="Times New Roman" w:cs="Times New Roman"/>
          <w:sz w:val="18"/>
          <w:szCs w:val="18"/>
          <w:lang w:val="en-US"/>
        </w:rPr>
        <w:t xml:space="preserve">In order to trace genetic mutations in cancer, the system uses </w:t>
      </w:r>
      <w:proofErr w:type="spellStart"/>
      <w:r w:rsidRPr="005D39E0">
        <w:rPr>
          <w:rFonts w:ascii="Times New Roman" w:hAnsi="Times New Roman" w:cs="Times New Roman"/>
          <w:sz w:val="18"/>
          <w:szCs w:val="18"/>
          <w:lang w:val="en-US"/>
        </w:rPr>
        <w:t>PyClone</w:t>
      </w:r>
      <w:proofErr w:type="spellEnd"/>
      <w:r w:rsidRPr="005D39E0">
        <w:rPr>
          <w:rFonts w:ascii="Times New Roman" w:hAnsi="Times New Roman" w:cs="Times New Roman"/>
          <w:sz w:val="18"/>
          <w:szCs w:val="18"/>
          <w:lang w:val="en-US"/>
        </w:rPr>
        <w:t xml:space="preserve">. </w:t>
      </w:r>
      <w:proofErr w:type="spellStart"/>
      <w:r w:rsidRPr="005D39E0">
        <w:rPr>
          <w:rFonts w:ascii="Times New Roman" w:hAnsi="Times New Roman" w:cs="Times New Roman"/>
          <w:sz w:val="18"/>
          <w:szCs w:val="18"/>
          <w:lang w:val="en-US"/>
        </w:rPr>
        <w:t>PyClone</w:t>
      </w:r>
      <w:proofErr w:type="spellEnd"/>
      <w:r w:rsidRPr="005D39E0">
        <w:rPr>
          <w:rFonts w:ascii="Times New Roman" w:hAnsi="Times New Roman" w:cs="Times New Roman"/>
          <w:sz w:val="18"/>
          <w:szCs w:val="18"/>
          <w:lang w:val="en-US"/>
        </w:rPr>
        <w:t xml:space="preserve"> is a tool that statistically infer the </w:t>
      </w:r>
      <w:proofErr w:type="spellStart"/>
      <w:r w:rsidRPr="005D39E0">
        <w:rPr>
          <w:rFonts w:ascii="Times New Roman" w:hAnsi="Times New Roman" w:cs="Times New Roman"/>
          <w:sz w:val="18"/>
          <w:szCs w:val="18"/>
          <w:lang w:val="en-US"/>
        </w:rPr>
        <w:t>subclonal</w:t>
      </w:r>
      <w:proofErr w:type="spellEnd"/>
      <w:r w:rsidRPr="005D39E0">
        <w:rPr>
          <w:rFonts w:ascii="Times New Roman" w:hAnsi="Times New Roman" w:cs="Times New Roman"/>
          <w:sz w:val="18"/>
          <w:szCs w:val="18"/>
          <w:lang w:val="en-US"/>
        </w:rPr>
        <w:t xml:space="preserve"> population of cancer using Bayesian inference. It clusters positions of mutations in terms of allele frequencies. Using Bayesian hierarchical clustering, </w:t>
      </w:r>
      <w:proofErr w:type="spellStart"/>
      <w:r w:rsidRPr="005D39E0">
        <w:rPr>
          <w:rFonts w:ascii="Times New Roman" w:hAnsi="Times New Roman" w:cs="Times New Roman"/>
          <w:sz w:val="18"/>
          <w:szCs w:val="18"/>
          <w:lang w:val="en-US"/>
        </w:rPr>
        <w:t>PyClone</w:t>
      </w:r>
      <w:proofErr w:type="spellEnd"/>
      <w:r w:rsidRPr="005D39E0">
        <w:rPr>
          <w:rFonts w:ascii="Times New Roman" w:hAnsi="Times New Roman" w:cs="Times New Roman"/>
          <w:sz w:val="18"/>
          <w:szCs w:val="18"/>
          <w:lang w:val="en-US"/>
        </w:rPr>
        <w:t xml:space="preserve"> groups mutations from input by their allelic prevalence and infer ITH at the mutation level. </w:t>
      </w:r>
      <w:proofErr w:type="spellStart"/>
      <w:r w:rsidRPr="005D39E0">
        <w:rPr>
          <w:rFonts w:ascii="Times New Roman" w:hAnsi="Times New Roman" w:cs="Times New Roman"/>
          <w:sz w:val="18"/>
          <w:szCs w:val="18"/>
          <w:lang w:val="en-US"/>
        </w:rPr>
        <w:t>BioVLAB</w:t>
      </w:r>
      <w:proofErr w:type="spellEnd"/>
      <w:r w:rsidRPr="005D39E0">
        <w:rPr>
          <w:rFonts w:ascii="Times New Roman" w:hAnsi="Times New Roman" w:cs="Times New Roman"/>
          <w:sz w:val="18"/>
          <w:szCs w:val="18"/>
          <w:lang w:val="en-US"/>
        </w:rPr>
        <w:t xml:space="preserve">-Cancer-Pharmacogenomics uses </w:t>
      </w:r>
      <w:proofErr w:type="spellStart"/>
      <w:r w:rsidRPr="005D39E0">
        <w:rPr>
          <w:rFonts w:ascii="Times New Roman" w:hAnsi="Times New Roman" w:cs="Times New Roman"/>
          <w:sz w:val="18"/>
          <w:szCs w:val="18"/>
          <w:lang w:val="en-US"/>
        </w:rPr>
        <w:t>nJSD</w:t>
      </w:r>
      <w:proofErr w:type="spellEnd"/>
      <w:r w:rsidRPr="005D39E0">
        <w:rPr>
          <w:rFonts w:ascii="Times New Roman" w:hAnsi="Times New Roman" w:cs="Times New Roman"/>
          <w:sz w:val="18"/>
          <w:szCs w:val="18"/>
          <w:lang w:val="en-US"/>
        </w:rPr>
        <w:t xml:space="preserve"> for transcriptomic ITH, or </w:t>
      </w:r>
      <w:proofErr w:type="spellStart"/>
      <w:r w:rsidRPr="005D39E0">
        <w:rPr>
          <w:rFonts w:ascii="Times New Roman" w:hAnsi="Times New Roman" w:cs="Times New Roman"/>
          <w:sz w:val="18"/>
          <w:szCs w:val="18"/>
          <w:lang w:val="en-US"/>
        </w:rPr>
        <w:t>tITH</w:t>
      </w:r>
      <w:proofErr w:type="spellEnd"/>
      <w:r w:rsidRPr="005D39E0">
        <w:rPr>
          <w:rFonts w:ascii="Times New Roman" w:hAnsi="Times New Roman" w:cs="Times New Roman"/>
          <w:sz w:val="18"/>
          <w:szCs w:val="18"/>
          <w:lang w:val="en-US"/>
        </w:rPr>
        <w:t xml:space="preserve">. In </w:t>
      </w:r>
      <w:proofErr w:type="spellStart"/>
      <w:r w:rsidRPr="005D39E0">
        <w:rPr>
          <w:rFonts w:ascii="Times New Roman" w:hAnsi="Times New Roman" w:cs="Times New Roman"/>
          <w:sz w:val="18"/>
          <w:szCs w:val="18"/>
          <w:lang w:val="en-US"/>
        </w:rPr>
        <w:t>nJSD</w:t>
      </w:r>
      <w:proofErr w:type="spellEnd"/>
      <w:r w:rsidRPr="005D39E0">
        <w:rPr>
          <w:rFonts w:ascii="Times New Roman" w:hAnsi="Times New Roman" w:cs="Times New Roman"/>
          <w:sz w:val="18"/>
          <w:szCs w:val="18"/>
          <w:lang w:val="en-US"/>
        </w:rPr>
        <w:t>, each gene was represented as a probability distribution proportionate to its neighborhood genes' expression values, which is entropy of the gene. Neighborhood genes are determined in the protein-protein interaction network. Then, gene-level entropy is summed and averaged to come up with a network level entropy. To define distance, Jensen-Shannon Divergence is used. Copy number alterations are typically computed as relative ratio of reads mapped to reference variant to those mapped to alternative variant. Cancers often go through gene duplications, or sometimes whole genome duplications. Therefore, it is important to understand the exact copy number of genes per cancer cell. ABSOLUTE estimates tumor purity and malignant cell ploidy with copy number segmentation and mutation allele frequency.</w:t>
      </w:r>
    </w:p>
    <w:p w14:paraId="45963AA9" w14:textId="77E8B1B8" w:rsidR="0014785B" w:rsidRDefault="0014785B" w:rsidP="0092768C">
      <w:pPr>
        <w:keepNext/>
        <w:jc w:val="both"/>
        <w:rPr>
          <w:rFonts w:ascii="Times New Roman" w:hAnsi="Times New Roman" w:cs="Times New Roman"/>
          <w:sz w:val="18"/>
          <w:szCs w:val="18"/>
          <w:lang w:val="en-US"/>
        </w:rPr>
      </w:pPr>
    </w:p>
    <w:p w14:paraId="34F6C705" w14:textId="77777777" w:rsidR="0092768C" w:rsidRPr="005D39E0" w:rsidRDefault="0092768C" w:rsidP="0092768C">
      <w:pPr>
        <w:keepNext/>
        <w:jc w:val="both"/>
        <w:rPr>
          <w:rFonts w:ascii="Times New Roman" w:hAnsi="Times New Roman" w:cs="Times New Roman"/>
          <w:sz w:val="18"/>
          <w:szCs w:val="18"/>
          <w:lang w:val="en-US"/>
        </w:rPr>
      </w:pPr>
    </w:p>
    <w:p w14:paraId="2F554142" w14:textId="01A3DE77" w:rsidR="0014785B" w:rsidRPr="005D39E0" w:rsidRDefault="0014785B" w:rsidP="0092768C">
      <w:pPr>
        <w:keepNext/>
        <w:jc w:val="both"/>
        <w:rPr>
          <w:rFonts w:ascii="Times New Roman" w:hAnsi="Times New Roman" w:cs="Times New Roman"/>
          <w:b/>
          <w:bCs/>
          <w:sz w:val="18"/>
          <w:szCs w:val="18"/>
          <w:lang w:val="en-US"/>
        </w:rPr>
      </w:pPr>
      <w:r w:rsidRPr="005D39E0">
        <w:rPr>
          <w:rFonts w:ascii="Times New Roman" w:hAnsi="Times New Roman" w:cs="Times New Roman"/>
          <w:b/>
          <w:bCs/>
          <w:sz w:val="18"/>
          <w:szCs w:val="18"/>
          <w:lang w:val="en-US"/>
        </w:rPr>
        <w:t>Supplementary Note S4.</w:t>
      </w:r>
    </w:p>
    <w:p w14:paraId="74B54EF9" w14:textId="2A8B1DFD" w:rsidR="0014785B" w:rsidRPr="005D39E0" w:rsidRDefault="00FC66DB" w:rsidP="0092768C">
      <w:pPr>
        <w:keepNext/>
        <w:jc w:val="both"/>
        <w:rPr>
          <w:rFonts w:ascii="Times New Roman" w:hAnsi="Times New Roman" w:cs="Times New Roman"/>
          <w:sz w:val="18"/>
          <w:szCs w:val="18"/>
          <w:lang w:val="en-US"/>
        </w:rPr>
      </w:pPr>
      <w:r w:rsidRPr="005D39E0">
        <w:rPr>
          <w:rFonts w:ascii="Times New Roman" w:hAnsi="Times New Roman" w:cs="Times New Roman"/>
          <w:sz w:val="18"/>
          <w:szCs w:val="18"/>
          <w:lang w:val="en-US"/>
        </w:rPr>
        <w:t xml:space="preserve">To estimate the relative abundance of constituent cell types and their expression profiles, </w:t>
      </w:r>
      <w:proofErr w:type="spellStart"/>
      <w:r w:rsidRPr="005D39E0">
        <w:rPr>
          <w:rFonts w:ascii="Times New Roman" w:hAnsi="Times New Roman" w:cs="Times New Roman"/>
          <w:sz w:val="18"/>
          <w:szCs w:val="18"/>
          <w:lang w:val="en-US"/>
        </w:rPr>
        <w:t>EDec</w:t>
      </w:r>
      <w:proofErr w:type="spellEnd"/>
      <w:r w:rsidRPr="005D39E0">
        <w:rPr>
          <w:rFonts w:ascii="Times New Roman" w:hAnsi="Times New Roman" w:cs="Times New Roman"/>
          <w:sz w:val="18"/>
          <w:szCs w:val="18"/>
          <w:lang w:val="en-US"/>
        </w:rPr>
        <w:t xml:space="preserve"> executes three consecutive steps, all of which can be automatically performed on First, </w:t>
      </w:r>
      <w:proofErr w:type="spellStart"/>
      <w:r w:rsidRPr="005D39E0">
        <w:rPr>
          <w:rFonts w:ascii="Times New Roman" w:hAnsi="Times New Roman" w:cs="Times New Roman"/>
          <w:sz w:val="18"/>
          <w:szCs w:val="18"/>
          <w:lang w:val="en-US"/>
        </w:rPr>
        <w:t>EDec</w:t>
      </w:r>
      <w:proofErr w:type="spellEnd"/>
      <w:r w:rsidRPr="005D39E0">
        <w:rPr>
          <w:rFonts w:ascii="Times New Roman" w:hAnsi="Times New Roman" w:cs="Times New Roman"/>
          <w:sz w:val="18"/>
          <w:szCs w:val="18"/>
          <w:lang w:val="en-US"/>
        </w:rPr>
        <w:t xml:space="preserve"> exploits a collection of cell type-specific DNA methylation profiles to extract `informative' CpG loci that show statistically significant difference in their DNA methylation levels across cell types.</w:t>
      </w:r>
      <w:r w:rsidR="005D39E0" w:rsidRPr="005D39E0">
        <w:rPr>
          <w:rFonts w:ascii="Times New Roman" w:hAnsi="Times New Roman" w:cs="Times New Roman"/>
          <w:sz w:val="18"/>
          <w:szCs w:val="18"/>
          <w:lang w:val="en-US"/>
        </w:rPr>
        <w:t xml:space="preserve"> </w:t>
      </w:r>
      <w:r w:rsidRPr="005D39E0">
        <w:rPr>
          <w:rFonts w:ascii="Times New Roman" w:hAnsi="Times New Roman" w:cs="Times New Roman"/>
          <w:sz w:val="18"/>
          <w:szCs w:val="18"/>
          <w:lang w:val="en-US"/>
        </w:rPr>
        <w:t>The rationale behind selecting the informative CpG loci for the estimation of cell type proportions is that the DNA methylation at a specific CpG locus is a binary event, which are usually robust to the cell-to-cell variation within a cell type and dramatically different across cell types.</w:t>
      </w:r>
      <w:r w:rsidR="004B5D18" w:rsidRPr="005D39E0">
        <w:rPr>
          <w:rFonts w:ascii="Times New Roman" w:hAnsi="Times New Roman" w:cs="Times New Roman"/>
          <w:sz w:val="18"/>
          <w:szCs w:val="18"/>
          <w:lang w:val="en-US"/>
        </w:rPr>
        <w:t xml:space="preserve"> </w:t>
      </w:r>
      <w:r w:rsidRPr="005D39E0">
        <w:rPr>
          <w:rFonts w:ascii="Times New Roman" w:hAnsi="Times New Roman" w:cs="Times New Roman"/>
          <w:sz w:val="18"/>
          <w:szCs w:val="18"/>
          <w:lang w:val="en-US"/>
        </w:rPr>
        <w:t xml:space="preserve">Then, using the set of informative CpG loci, </w:t>
      </w:r>
      <w:proofErr w:type="spellStart"/>
      <w:r w:rsidRPr="005D39E0">
        <w:rPr>
          <w:rFonts w:ascii="Times New Roman" w:hAnsi="Times New Roman" w:cs="Times New Roman"/>
          <w:sz w:val="18"/>
          <w:szCs w:val="18"/>
          <w:lang w:val="en-US"/>
        </w:rPr>
        <w:t>EDec</w:t>
      </w:r>
      <w:proofErr w:type="spellEnd"/>
      <w:r w:rsidRPr="005D39E0">
        <w:rPr>
          <w:rFonts w:ascii="Times New Roman" w:hAnsi="Times New Roman" w:cs="Times New Roman"/>
          <w:sz w:val="18"/>
          <w:szCs w:val="18"/>
          <w:lang w:val="en-US"/>
        </w:rPr>
        <w:t xml:space="preserve"> tries to simultaneously estimate the methylation profiles and the relative abundances for K cell types, where the number of estimated cell types K is given as a predefined parameter.</w:t>
      </w:r>
      <w:r w:rsidR="004B5D18" w:rsidRPr="005D39E0">
        <w:rPr>
          <w:rFonts w:ascii="Times New Roman" w:hAnsi="Times New Roman" w:cs="Times New Roman"/>
          <w:sz w:val="18"/>
          <w:szCs w:val="18"/>
          <w:lang w:val="en-US"/>
        </w:rPr>
        <w:t xml:space="preserve"> </w:t>
      </w:r>
      <w:r w:rsidRPr="005D39E0">
        <w:rPr>
          <w:rFonts w:ascii="Times New Roman" w:hAnsi="Times New Roman" w:cs="Times New Roman"/>
          <w:sz w:val="18"/>
          <w:szCs w:val="18"/>
          <w:lang w:val="en-US"/>
        </w:rPr>
        <w:t>Formally, this step can be formulated as a non-negative matrix factorization of user-given methylation profile into the product of cell type-specific methylation profile matrix and relative abundance matrix.</w:t>
      </w:r>
      <w:r w:rsidR="004B5D18" w:rsidRPr="005D39E0">
        <w:rPr>
          <w:rFonts w:ascii="Times New Roman" w:hAnsi="Times New Roman" w:cs="Times New Roman"/>
          <w:sz w:val="18"/>
          <w:szCs w:val="18"/>
          <w:lang w:val="en-US"/>
        </w:rPr>
        <w:t xml:space="preserve"> </w:t>
      </w:r>
      <w:r w:rsidRPr="005D39E0">
        <w:rPr>
          <w:rFonts w:ascii="Times New Roman" w:hAnsi="Times New Roman" w:cs="Times New Roman"/>
          <w:sz w:val="18"/>
          <w:szCs w:val="18"/>
          <w:lang w:val="en-US"/>
        </w:rPr>
        <w:t>Finally, the cell-type specific expression profiles are estimated with user-given bulk expression profile and the proportions of estimated cell types.</w:t>
      </w:r>
      <w:r w:rsidR="005D39E0" w:rsidRPr="005D39E0">
        <w:rPr>
          <w:rFonts w:ascii="Times New Roman" w:hAnsi="Times New Roman" w:cs="Times New Roman"/>
          <w:sz w:val="18"/>
          <w:szCs w:val="18"/>
          <w:lang w:val="en-US"/>
        </w:rPr>
        <w:t xml:space="preserve"> </w:t>
      </w:r>
      <w:r w:rsidRPr="005D39E0">
        <w:rPr>
          <w:rFonts w:ascii="Times New Roman" w:hAnsi="Times New Roman" w:cs="Times New Roman"/>
          <w:sz w:val="18"/>
          <w:szCs w:val="18"/>
          <w:lang w:val="en-US"/>
        </w:rPr>
        <w:t xml:space="preserve">In </w:t>
      </w:r>
      <w:proofErr w:type="spellStart"/>
      <w:r w:rsidRPr="005D39E0">
        <w:rPr>
          <w:rFonts w:ascii="Times New Roman" w:hAnsi="Times New Roman" w:cs="Times New Roman"/>
          <w:sz w:val="18"/>
          <w:szCs w:val="18"/>
          <w:lang w:val="en-US"/>
        </w:rPr>
        <w:t>BioVLAB</w:t>
      </w:r>
      <w:proofErr w:type="spellEnd"/>
      <w:r w:rsidRPr="005D39E0">
        <w:rPr>
          <w:rFonts w:ascii="Times New Roman" w:hAnsi="Times New Roman" w:cs="Times New Roman"/>
          <w:sz w:val="18"/>
          <w:szCs w:val="18"/>
          <w:lang w:val="en-US"/>
        </w:rPr>
        <w:t>-Cancer-Pharmacogenomics, we assume that a tumor consists of one or more subpopulations of cancerous cells with different molecular characteristics.</w:t>
      </w:r>
      <w:r w:rsidR="004B5D18" w:rsidRPr="005D39E0">
        <w:rPr>
          <w:rFonts w:ascii="Times New Roman" w:hAnsi="Times New Roman" w:cs="Times New Roman"/>
          <w:sz w:val="18"/>
          <w:szCs w:val="18"/>
          <w:lang w:val="en-US"/>
        </w:rPr>
        <w:t xml:space="preserve"> </w:t>
      </w:r>
      <w:r w:rsidRPr="005D39E0">
        <w:rPr>
          <w:rFonts w:ascii="Times New Roman" w:hAnsi="Times New Roman" w:cs="Times New Roman"/>
          <w:sz w:val="18"/>
          <w:szCs w:val="18"/>
          <w:lang w:val="en-US"/>
        </w:rPr>
        <w:t>Moreover, to avoid the linear dependencies across the cancer-specific expression profiles of tumor samples, K is intentionally set to a sufficiently large number.</w:t>
      </w:r>
    </w:p>
    <w:p w14:paraId="6AA3AA07" w14:textId="06C46B04" w:rsidR="0014785B" w:rsidRDefault="0014785B" w:rsidP="0092768C">
      <w:pPr>
        <w:keepNext/>
        <w:jc w:val="both"/>
        <w:rPr>
          <w:rFonts w:ascii="Times New Roman" w:hAnsi="Times New Roman" w:cs="Times New Roman"/>
          <w:sz w:val="18"/>
          <w:szCs w:val="18"/>
          <w:lang w:val="en-US"/>
        </w:rPr>
      </w:pPr>
    </w:p>
    <w:p w14:paraId="36793380" w14:textId="62B98632" w:rsidR="00C018E6" w:rsidRPr="005D39E0" w:rsidRDefault="00C018E6" w:rsidP="0014785B">
      <w:pPr>
        <w:keepNext/>
        <w:jc w:val="both"/>
        <w:rPr>
          <w:rFonts w:ascii="Times New Roman" w:hAnsi="Times New Roman" w:cs="Times New Roman"/>
          <w:sz w:val="18"/>
          <w:szCs w:val="18"/>
          <w:lang w:val="en-US"/>
        </w:rPr>
      </w:pPr>
    </w:p>
    <w:sectPr w:rsidR="00C018E6" w:rsidRPr="005D39E0" w:rsidSect="00C73E7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C1A"/>
    <w:rsid w:val="0014785B"/>
    <w:rsid w:val="001C4B88"/>
    <w:rsid w:val="002B5D93"/>
    <w:rsid w:val="002C4A01"/>
    <w:rsid w:val="00363DAD"/>
    <w:rsid w:val="00396947"/>
    <w:rsid w:val="004A3CB1"/>
    <w:rsid w:val="004B5D18"/>
    <w:rsid w:val="005D39E0"/>
    <w:rsid w:val="00637A53"/>
    <w:rsid w:val="007F1773"/>
    <w:rsid w:val="00885C1A"/>
    <w:rsid w:val="0092768C"/>
    <w:rsid w:val="009E5A41"/>
    <w:rsid w:val="00BF280E"/>
    <w:rsid w:val="00C018E6"/>
    <w:rsid w:val="00C73E79"/>
    <w:rsid w:val="00D24A70"/>
    <w:rsid w:val="00DC5BD9"/>
    <w:rsid w:val="00DD6926"/>
    <w:rsid w:val="00E71D3D"/>
    <w:rsid w:val="00F348DE"/>
    <w:rsid w:val="00FC66DB"/>
  </w:rsids>
  <m:mathPr>
    <m:mathFont m:val="Cambria Math"/>
    <m:brkBin m:val="before"/>
    <m:brkBinSub m:val="--"/>
    <m:smallFrac m:val="0"/>
    <m:dispDef/>
    <m:lMargin m:val="0"/>
    <m:rMargin m:val="0"/>
    <m:defJc m:val="centerGroup"/>
    <m:wrapIndent m:val="1440"/>
    <m:intLim m:val="subSup"/>
    <m:naryLim m:val="undOvr"/>
  </m:mathPr>
  <w:themeFontLang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E6446"/>
  <w15:chartTrackingRefBased/>
  <w15:docId w15:val="{CB6F39C2-5FBE-794E-8DBF-6E4093019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885C1A"/>
    <w:pPr>
      <w:spacing w:after="200"/>
    </w:pPr>
    <w:rPr>
      <w:i/>
      <w:iCs/>
      <w:color w:val="44546A" w:themeColor="text2"/>
      <w:sz w:val="18"/>
      <w:szCs w:val="18"/>
    </w:rPr>
  </w:style>
  <w:style w:type="paragraph" w:styleId="a4">
    <w:name w:val="List Paragraph"/>
    <w:basedOn w:val="a"/>
    <w:uiPriority w:val="34"/>
    <w:qFormat/>
    <w:rsid w:val="002B5D93"/>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5</Pages>
  <Words>1620</Words>
  <Characters>9234</Characters>
  <Application>Microsoft Office Word</Application>
  <DocSecurity>0</DocSecurity>
  <Lines>76</Lines>
  <Paragraphs>21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박성준</dc:creator>
  <cp:keywords/>
  <dc:description/>
  <cp:lastModifiedBy>stj</cp:lastModifiedBy>
  <cp:revision>2</cp:revision>
  <dcterms:created xsi:type="dcterms:W3CDTF">2021-06-24T08:16:00Z</dcterms:created>
  <dcterms:modified xsi:type="dcterms:W3CDTF">2021-06-24T08:16:00Z</dcterms:modified>
</cp:coreProperties>
</file>