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D2B" w:rsidRDefault="00BE0D2B" w:rsidP="00F27406">
      <w:bookmarkStart w:id="0" w:name="_GoBack"/>
      <w:bookmarkEnd w:id="0"/>
    </w:p>
    <w:p w:rsidR="00710523" w:rsidRPr="00EC26E2" w:rsidRDefault="00F27406">
      <w:r>
        <w:rPr>
          <w:rFonts w:hint="eastAsia"/>
        </w:rPr>
        <w:t xml:space="preserve">Table </w:t>
      </w:r>
      <w:r>
        <w:t>S1</w:t>
      </w:r>
      <w:r>
        <w:rPr>
          <w:rFonts w:hint="eastAsia"/>
        </w:rPr>
        <w:t xml:space="preserve"> </w:t>
      </w:r>
      <w:r>
        <w:t>Classification feature</w:t>
      </w:r>
      <w:r>
        <w:rPr>
          <w:rFonts w:hint="eastAsia"/>
        </w:rPr>
        <w:t xml:space="preserve"> of cortical thickness and surface area</w:t>
      </w:r>
    </w:p>
    <w:p w:rsidR="00710523" w:rsidRDefault="00EC26E2">
      <w:r w:rsidRPr="00EC26E2">
        <w:rPr>
          <w:noProof/>
        </w:rPr>
        <w:drawing>
          <wp:inline distT="0" distB="0" distL="0" distR="0">
            <wp:extent cx="8350701" cy="4589253"/>
            <wp:effectExtent l="0" t="0" r="0" b="19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819" cy="4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D3" w:rsidRDefault="00262BD3" w:rsidP="00262BD3">
      <w:r>
        <w:rPr>
          <w:rFonts w:hint="eastAsia"/>
        </w:rPr>
        <w:lastRenderedPageBreak/>
        <w:t xml:space="preserve">Table </w:t>
      </w:r>
      <w:r>
        <w:t>S2</w:t>
      </w:r>
      <w:r>
        <w:rPr>
          <w:rFonts w:hint="eastAsia"/>
        </w:rPr>
        <w:t xml:space="preserve"> </w:t>
      </w:r>
      <w:r>
        <w:t>I</w:t>
      </w:r>
      <w:r w:rsidRPr="00262BD3">
        <w:t>ndependent data set</w:t>
      </w:r>
      <w:r>
        <w:t xml:space="preserve"> for generalization </w:t>
      </w:r>
    </w:p>
    <w:p w:rsidR="00262BD3" w:rsidRDefault="00262BD3" w:rsidP="00262BD3"/>
    <w:tbl>
      <w:tblPr>
        <w:tblW w:w="1297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09"/>
        <w:gridCol w:w="2588"/>
        <w:gridCol w:w="2847"/>
        <w:gridCol w:w="4530"/>
      </w:tblGrid>
      <w:tr w:rsidR="00262BD3" w:rsidRPr="00262BD3" w:rsidTr="003E72B5">
        <w:trPr>
          <w:trHeight w:val="416"/>
        </w:trPr>
        <w:tc>
          <w:tcPr>
            <w:tcW w:w="30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TD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ADHD</w:t>
            </w:r>
          </w:p>
        </w:tc>
        <w:tc>
          <w:tcPr>
            <w:tcW w:w="4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Difference (</w:t>
            </w:r>
            <w:r w:rsidRPr="00262BD3">
              <w:rPr>
                <w:rFonts w:ascii="Times New Roman" w:eastAsia="ＭＳ Ｐゴシック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 value)</w:t>
            </w:r>
          </w:p>
        </w:tc>
      </w:tr>
      <w:tr w:rsidR="00262BD3" w:rsidRPr="00262BD3" w:rsidTr="003E72B5">
        <w:trPr>
          <w:trHeight w:val="412"/>
        </w:trPr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58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84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TD-ADHD</w:t>
            </w:r>
          </w:p>
        </w:tc>
      </w:tr>
      <w:tr w:rsidR="00262BD3" w:rsidRPr="00262BD3" w:rsidTr="003E72B5">
        <w:trPr>
          <w:trHeight w:val="279"/>
        </w:trPr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58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62BD3" w:rsidRPr="00262BD3" w:rsidRDefault="00262BD3" w:rsidP="00262BD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4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62BD3" w:rsidRPr="00262BD3" w:rsidRDefault="00262BD3" w:rsidP="00262BD3">
            <w:pPr>
              <w:widowControl/>
              <w:jc w:val="left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</w:p>
        </w:tc>
      </w:tr>
      <w:tr w:rsidR="00262BD3" w:rsidRPr="00262BD3" w:rsidTr="003E72B5">
        <w:trPr>
          <w:trHeight w:val="333"/>
        </w:trPr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Subjects (n)</w:t>
            </w: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115</w:t>
            </w:r>
          </w:p>
        </w:tc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83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262BD3" w:rsidRPr="00262BD3" w:rsidTr="003E72B5">
        <w:trPr>
          <w:trHeight w:val="392"/>
        </w:trPr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Age (years)</w:t>
            </w:r>
          </w:p>
        </w:tc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10.94 (1.6)</w:t>
            </w:r>
          </w:p>
        </w:tc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11.2 (1.8)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0.20</w:t>
            </w:r>
          </w:p>
        </w:tc>
      </w:tr>
      <w:tr w:rsidR="00262BD3" w:rsidRPr="00262BD3" w:rsidTr="003E72B5">
        <w:trPr>
          <w:trHeight w:val="425"/>
        </w:trPr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Full IQ (SD)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111.7 (9.7)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109.9 (13.1)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62BD3" w:rsidRPr="00262BD3" w:rsidRDefault="00262BD3" w:rsidP="00262BD3">
            <w:pPr>
              <w:widowControl/>
              <w:jc w:val="center"/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262BD3">
              <w:rPr>
                <w:rFonts w:ascii="Times New Roman" w:eastAsia="ＭＳ Ｐゴシック" w:hAnsi="Times New Roman" w:cs="Times New Roman"/>
                <w:color w:val="000000"/>
                <w:kern w:val="0"/>
                <w:sz w:val="24"/>
                <w:szCs w:val="24"/>
              </w:rPr>
              <w:t>0.17</w:t>
            </w:r>
          </w:p>
        </w:tc>
      </w:tr>
    </w:tbl>
    <w:p w:rsidR="00262BD3" w:rsidRPr="00EC26E2" w:rsidRDefault="00262BD3" w:rsidP="00262BD3"/>
    <w:p w:rsidR="00262BD3" w:rsidRDefault="00262BD3" w:rsidP="00262BD3">
      <w:r>
        <w:t xml:space="preserve">Neuroimaging data of ADHD patients from the ADHD-200 MRI dataset, which is publicly available at http://fcon_1000.projects.nitrc.org/indi/adhd200. These T-1-weighted MRI scans were acquired at three different institutes as follow. The sites were New York University Child Study Center, Beijing Normal University, Kennedy Krieger Institute. </w:t>
      </w:r>
      <w:r w:rsidRPr="00262BD3">
        <w:t>The inclusion criteria were as follows: i) full scale IQ (F-IQ) scores &gt;80, ii) age between 7 and 15 years to minimize potential developmental effects, iii) scans obtained using a 3T MRI scanner to increase between-site reliability, iv) right-handedness and</w:t>
      </w:r>
      <w:r>
        <w:t xml:space="preserve"> v) male</w:t>
      </w:r>
      <w:r w:rsidRPr="00262BD3">
        <w:t>.</w:t>
      </w:r>
    </w:p>
    <w:p w:rsidR="00262BD3" w:rsidRPr="00262BD3" w:rsidRDefault="00262BD3" w:rsidP="00262BD3">
      <w:r>
        <w:t>.</w:t>
      </w:r>
    </w:p>
    <w:p w:rsidR="00123985" w:rsidRDefault="00123985">
      <w:r w:rsidRPr="0092039C">
        <w:rPr>
          <w:noProof/>
        </w:rPr>
        <w:lastRenderedPageBreak/>
        <w:drawing>
          <wp:inline distT="0" distB="0" distL="0" distR="0" wp14:anchorId="25B17FCA" wp14:editId="25803E41">
            <wp:extent cx="8351520" cy="3048396"/>
            <wp:effectExtent l="0" t="0" r="0" b="0"/>
            <wp:docPr id="12" name="図 12" descr="D:\論文作成\ADHD_FUKUI_DTI\fig\Fig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論文作成\ADHD_FUKUI_DTI\fig\Fig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520" cy="304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985" w:rsidRDefault="00123985"/>
    <w:p w:rsidR="00123985" w:rsidRDefault="00123985" w:rsidP="00123985">
      <w:pPr>
        <w:jc w:val="center"/>
      </w:pPr>
      <w:r>
        <w:rPr>
          <w:rFonts w:hint="eastAsia"/>
        </w:rPr>
        <w:t>Figure S1</w:t>
      </w:r>
    </w:p>
    <w:p w:rsidR="00710523" w:rsidRDefault="00710523">
      <w:r>
        <w:rPr>
          <w:noProof/>
        </w:rPr>
        <w:lastRenderedPageBreak/>
        <w:drawing>
          <wp:inline distT="0" distB="0" distL="0" distR="0" wp14:anchorId="00D48446" wp14:editId="73E33131">
            <wp:extent cx="8351378" cy="4991100"/>
            <wp:effectExtent l="0" t="0" r="0" b="0"/>
            <wp:docPr id="2" name="図 2" descr="D:\論文作成\ADHD_FUKUI_DTI\fig\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論文作成\ADHD_FUKUI_DTI\fig\Fig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506" cy="499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523" w:rsidRDefault="00710523" w:rsidP="00710523">
      <w:pPr>
        <w:jc w:val="center"/>
      </w:pPr>
      <w:r>
        <w:rPr>
          <w:rFonts w:hint="eastAsia"/>
        </w:rPr>
        <w:t>Figure S</w:t>
      </w:r>
      <w:r w:rsidR="00123985">
        <w:t>2</w:t>
      </w:r>
    </w:p>
    <w:p w:rsidR="00470D48" w:rsidRDefault="00470D48" w:rsidP="00710523">
      <w:pPr>
        <w:jc w:val="center"/>
      </w:pPr>
      <w:r>
        <w:rPr>
          <w:noProof/>
        </w:rPr>
        <w:lastRenderedPageBreak/>
        <w:drawing>
          <wp:inline distT="0" distB="0" distL="0" distR="0">
            <wp:extent cx="6720205" cy="2061845"/>
            <wp:effectExtent l="0" t="0" r="4445" b="0"/>
            <wp:docPr id="1" name="図 1" descr="C:\Users\Owner\Dropbox\desktopbackup\論文作成\ADHD_FUKUI_DTI\Journal\CerebralCortex\figureS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ropbox\desktopbackup\論文作成\ADHD_FUKUI_DTI\Journal\CerebralCortex\figureS_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D48" w:rsidRDefault="00470D48" w:rsidP="00470D48">
      <w:pPr>
        <w:jc w:val="center"/>
      </w:pPr>
      <w:r>
        <w:rPr>
          <w:rFonts w:hint="eastAsia"/>
        </w:rPr>
        <w:t>Figure S</w:t>
      </w:r>
      <w:r>
        <w:t>3</w:t>
      </w:r>
    </w:p>
    <w:p w:rsidR="00470D48" w:rsidRDefault="00470D48" w:rsidP="00710523">
      <w:pPr>
        <w:jc w:val="center"/>
      </w:pPr>
    </w:p>
    <w:p w:rsidR="00470D48" w:rsidRDefault="00470D48">
      <w:pPr>
        <w:widowControl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br w:type="page"/>
      </w:r>
    </w:p>
    <w:p w:rsidR="00123985" w:rsidRPr="00114627" w:rsidRDefault="00123985" w:rsidP="00123985">
      <w:pPr>
        <w:spacing w:line="36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 w:rsidRPr="00114627">
        <w:rPr>
          <w:rFonts w:ascii="Times New Roman" w:hAnsi="Times New Roman"/>
          <w:b/>
          <w:color w:val="000000"/>
          <w:sz w:val="24"/>
        </w:rPr>
        <w:lastRenderedPageBreak/>
        <w:t xml:space="preserve">Figure </w:t>
      </w:r>
      <w:r>
        <w:rPr>
          <w:rFonts w:ascii="Times New Roman" w:hAnsi="Times New Roman"/>
          <w:b/>
          <w:color w:val="000000"/>
          <w:sz w:val="24"/>
        </w:rPr>
        <w:t>S1.</w:t>
      </w:r>
      <w:r w:rsidRPr="00114627"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Hub distribution in cortical thickness. </w:t>
      </w:r>
      <w:r w:rsidRPr="001146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Images indicate </w:t>
      </w:r>
      <w:r w:rsidRPr="00123985">
        <w:rPr>
          <w:rFonts w:ascii="Times New Roman" w:hAnsi="Times New Roman"/>
          <w:color w:val="000000"/>
          <w:sz w:val="24"/>
          <w:szCs w:val="24"/>
        </w:rPr>
        <w:t>Hub distribution</w:t>
      </w:r>
      <w:r>
        <w:rPr>
          <w:rFonts w:ascii="Times New Roman" w:hAnsi="Times New Roman"/>
          <w:color w:val="000000"/>
          <w:sz w:val="24"/>
          <w:szCs w:val="24"/>
        </w:rPr>
        <w:t xml:space="preserve"> between TD and ADHD groups.</w:t>
      </w:r>
      <w:r w:rsidRPr="00C67EC8">
        <w:t xml:space="preserve"> </w:t>
      </w:r>
      <w:r w:rsidR="00470D48" w:rsidRPr="008336D0">
        <w:rPr>
          <w:rFonts w:ascii="Times New Roman" w:hAnsi="Times New Roman"/>
          <w:color w:val="000000"/>
          <w:sz w:val="24"/>
          <w:szCs w:val="24"/>
        </w:rPr>
        <w:t>The top 10% of nodes with the highest degree of connectivity were retained as hubs</w:t>
      </w:r>
      <w:r w:rsidR="00470D4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14627">
        <w:rPr>
          <w:rFonts w:ascii="Times New Roman" w:hAnsi="Times New Roman"/>
          <w:color w:val="000000"/>
          <w:sz w:val="24"/>
          <w:szCs w:val="24"/>
        </w:rPr>
        <w:t xml:space="preserve">Red </w:t>
      </w:r>
      <w:r>
        <w:rPr>
          <w:rFonts w:ascii="Times New Roman" w:hAnsi="Times New Roman"/>
          <w:color w:val="000000"/>
          <w:sz w:val="24"/>
          <w:szCs w:val="24"/>
        </w:rPr>
        <w:t xml:space="preserve">ball indicate ADHD hubs. Blue ball indicate TD hubs. Yellow ball indicate common Hubs. </w:t>
      </w:r>
      <w:r w:rsidR="00CF72CD" w:rsidRPr="00CF72CD">
        <w:rPr>
          <w:rFonts w:ascii="Times New Roman" w:hAnsi="Times New Roman"/>
          <w:color w:val="000000"/>
          <w:sz w:val="24"/>
          <w:szCs w:val="24"/>
        </w:rPr>
        <w:t>ADHD, attention-deficit/hyperactivity dis</w:t>
      </w:r>
      <w:r w:rsidR="00E65F62">
        <w:rPr>
          <w:rFonts w:ascii="Times New Roman" w:hAnsi="Times New Roman"/>
          <w:color w:val="000000"/>
          <w:sz w:val="24"/>
          <w:szCs w:val="24"/>
        </w:rPr>
        <w:t>order; TD, typically developing.</w:t>
      </w:r>
    </w:p>
    <w:p w:rsidR="00710523" w:rsidRPr="00123985" w:rsidRDefault="00710523" w:rsidP="00710523">
      <w:pPr>
        <w:jc w:val="center"/>
      </w:pPr>
    </w:p>
    <w:p w:rsidR="00E23B9F" w:rsidRPr="00114627" w:rsidRDefault="00E23B9F" w:rsidP="00E23B9F">
      <w:pPr>
        <w:spacing w:line="36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 w:rsidRPr="00114627">
        <w:rPr>
          <w:rFonts w:ascii="Times New Roman" w:hAnsi="Times New Roman"/>
          <w:b/>
          <w:color w:val="000000"/>
          <w:sz w:val="24"/>
        </w:rPr>
        <w:t xml:space="preserve">Figure </w:t>
      </w:r>
      <w:r>
        <w:rPr>
          <w:rFonts w:ascii="Times New Roman" w:hAnsi="Times New Roman"/>
          <w:b/>
          <w:color w:val="000000"/>
          <w:sz w:val="24"/>
        </w:rPr>
        <w:t>S</w:t>
      </w:r>
      <w:r w:rsidR="00123985">
        <w:rPr>
          <w:rFonts w:ascii="Times New Roman" w:hAnsi="Times New Roman"/>
          <w:b/>
          <w:color w:val="000000"/>
          <w:sz w:val="24"/>
        </w:rPr>
        <w:t>2</w:t>
      </w:r>
      <w:r>
        <w:rPr>
          <w:rFonts w:ascii="Times New Roman" w:hAnsi="Times New Roman"/>
          <w:b/>
          <w:color w:val="000000"/>
          <w:sz w:val="24"/>
        </w:rPr>
        <w:t>.</w:t>
      </w:r>
      <w:r w:rsidRPr="00114627">
        <w:rPr>
          <w:rFonts w:ascii="Times New Roman" w:hAnsi="Times New Roman"/>
          <w:b/>
          <w:color w:val="000000"/>
          <w:sz w:val="24"/>
        </w:rPr>
        <w:t xml:space="preserve"> </w:t>
      </w:r>
      <w:r w:rsidR="00123985">
        <w:rPr>
          <w:rFonts w:ascii="Times New Roman" w:hAnsi="Times New Roman"/>
          <w:b/>
          <w:color w:val="000000"/>
          <w:sz w:val="24"/>
        </w:rPr>
        <w:t>Degree</w:t>
      </w:r>
      <w:r>
        <w:rPr>
          <w:rFonts w:ascii="Times New Roman" w:hAnsi="Times New Roman"/>
          <w:b/>
          <w:color w:val="000000"/>
          <w:sz w:val="24"/>
        </w:rPr>
        <w:t xml:space="preserve"> distribution in cortical thickness. </w:t>
      </w:r>
      <w:r w:rsidRPr="0011462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Images indicate </w:t>
      </w:r>
      <w:r w:rsidR="00123985" w:rsidRPr="00123985">
        <w:rPr>
          <w:rFonts w:ascii="Times New Roman" w:hAnsi="Times New Roman"/>
          <w:color w:val="000000"/>
          <w:sz w:val="24"/>
          <w:szCs w:val="24"/>
        </w:rPr>
        <w:t>Degree distribution</w:t>
      </w:r>
      <w:r>
        <w:rPr>
          <w:rFonts w:ascii="Times New Roman" w:hAnsi="Times New Roman"/>
          <w:color w:val="000000"/>
          <w:sz w:val="24"/>
          <w:szCs w:val="24"/>
        </w:rPr>
        <w:t xml:space="preserve"> of </w:t>
      </w:r>
      <w:r w:rsidR="00123985">
        <w:rPr>
          <w:rFonts w:ascii="Times New Roman" w:hAnsi="Times New Roman"/>
          <w:color w:val="000000"/>
          <w:sz w:val="24"/>
          <w:szCs w:val="24"/>
        </w:rPr>
        <w:t>cortical thickness</w:t>
      </w:r>
      <w:r w:rsidR="00CF72CD">
        <w:rPr>
          <w:rFonts w:ascii="Times New Roman" w:hAnsi="Times New Roman"/>
          <w:color w:val="000000"/>
          <w:sz w:val="24"/>
          <w:szCs w:val="24"/>
        </w:rPr>
        <w:t xml:space="preserve"> classification features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C67EC8">
        <w:t xml:space="preserve"> </w:t>
      </w:r>
      <w:r w:rsidR="00123985" w:rsidRPr="00123985">
        <w:rPr>
          <w:rFonts w:ascii="Times New Roman" w:hAnsi="Times New Roman"/>
          <w:color w:val="000000"/>
          <w:sz w:val="24"/>
          <w:szCs w:val="24"/>
        </w:rPr>
        <w:t>The red bar indicates the attention-deficit/hyperactivity disorder (ADHD) group and the blue bar indicates the typically developing (TD) group.</w:t>
      </w:r>
      <w:r w:rsidR="00CF72CD" w:rsidRPr="00CF72CD">
        <w:t xml:space="preserve"> </w:t>
      </w:r>
      <w:r w:rsidR="00CF72CD">
        <w:t xml:space="preserve">ACC, </w:t>
      </w:r>
      <w:r w:rsidR="00CF72CD">
        <w:rPr>
          <w:rFonts w:ascii="Times New Roman" w:hAnsi="Times New Roman"/>
          <w:color w:val="000000"/>
          <w:sz w:val="24"/>
          <w:szCs w:val="24"/>
        </w:rPr>
        <w:t>anterior cingulate cortex; FMC, fronto-marginal cortex;</w:t>
      </w:r>
      <w:r w:rsidR="00CF72CD" w:rsidRPr="001239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F72CD">
        <w:rPr>
          <w:rFonts w:ascii="Times New Roman" w:hAnsi="Times New Roman"/>
          <w:color w:val="000000"/>
          <w:sz w:val="24"/>
          <w:szCs w:val="24"/>
        </w:rPr>
        <w:t xml:space="preserve">MCC, middle cingulate cortex; MFG, middle frontal gyrus; </w:t>
      </w:r>
      <w:r w:rsidR="00E65F62">
        <w:rPr>
          <w:rFonts w:ascii="Times New Roman" w:hAnsi="Times New Roman"/>
          <w:color w:val="000000"/>
          <w:sz w:val="24"/>
          <w:szCs w:val="24"/>
        </w:rPr>
        <w:t>OCG,</w:t>
      </w:r>
      <w:r w:rsidR="00E65F62" w:rsidRPr="00123985">
        <w:rPr>
          <w:rFonts w:ascii="Times New Roman" w:hAnsi="Times New Roman"/>
          <w:color w:val="000000"/>
          <w:sz w:val="24"/>
          <w:szCs w:val="24"/>
        </w:rPr>
        <w:t xml:space="preserve"> superior occipital cortex</w:t>
      </w:r>
      <w:r w:rsidR="00E65F62">
        <w:rPr>
          <w:rFonts w:ascii="Times New Roman" w:hAnsi="Times New Roman"/>
          <w:color w:val="000000"/>
          <w:sz w:val="24"/>
          <w:szCs w:val="24"/>
        </w:rPr>
        <w:t>;</w:t>
      </w:r>
      <w:r w:rsidR="00E65F62" w:rsidRPr="001239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65F62">
        <w:rPr>
          <w:rFonts w:ascii="Times New Roman" w:hAnsi="Times New Roman"/>
          <w:color w:val="000000"/>
          <w:sz w:val="24"/>
          <w:szCs w:val="24"/>
        </w:rPr>
        <w:t xml:space="preserve">oIFC, </w:t>
      </w:r>
      <w:r w:rsidR="00E65F62" w:rsidRPr="00123985">
        <w:rPr>
          <w:rFonts w:ascii="Times New Roman" w:hAnsi="Times New Roman"/>
          <w:color w:val="000000"/>
          <w:sz w:val="24"/>
          <w:szCs w:val="24"/>
        </w:rPr>
        <w:t>orbita</w:t>
      </w:r>
      <w:r w:rsidR="00E65F62">
        <w:rPr>
          <w:rFonts w:ascii="Times New Roman" w:hAnsi="Times New Roman"/>
          <w:color w:val="000000"/>
          <w:sz w:val="24"/>
          <w:szCs w:val="24"/>
        </w:rPr>
        <w:t>l inferior frontal cortex;</w:t>
      </w:r>
      <w:r w:rsidR="00E65F62" w:rsidRPr="001239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F72CD">
        <w:rPr>
          <w:rFonts w:ascii="Times New Roman" w:hAnsi="Times New Roman"/>
          <w:color w:val="000000"/>
          <w:sz w:val="24"/>
          <w:szCs w:val="24"/>
        </w:rPr>
        <w:t xml:space="preserve">Orbs, </w:t>
      </w:r>
      <w:r w:rsidR="00CF72CD" w:rsidRPr="00123985">
        <w:rPr>
          <w:rFonts w:ascii="Times New Roman" w:hAnsi="Times New Roman"/>
          <w:color w:val="000000"/>
          <w:sz w:val="24"/>
          <w:szCs w:val="24"/>
        </w:rPr>
        <w:t>orbital cortex sulcu</w:t>
      </w:r>
      <w:r w:rsidR="00CF72CD">
        <w:rPr>
          <w:rFonts w:ascii="Times New Roman" w:hAnsi="Times New Roman"/>
          <w:color w:val="000000"/>
          <w:sz w:val="24"/>
          <w:szCs w:val="24"/>
        </w:rPr>
        <w:t>s;</w:t>
      </w:r>
      <w:r w:rsidR="00CF72CD" w:rsidRPr="001239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F72CD">
        <w:rPr>
          <w:rFonts w:ascii="Times New Roman" w:hAnsi="Times New Roman"/>
          <w:color w:val="000000"/>
          <w:sz w:val="24"/>
          <w:szCs w:val="24"/>
        </w:rPr>
        <w:t>PerIC,</w:t>
      </w:r>
      <w:r w:rsidR="00CF72CD" w:rsidRPr="00123985">
        <w:rPr>
          <w:rFonts w:ascii="Times New Roman" w:hAnsi="Times New Roman"/>
          <w:color w:val="000000"/>
          <w:sz w:val="24"/>
          <w:szCs w:val="24"/>
        </w:rPr>
        <w:t xml:space="preserve"> pericallosal cortex</w:t>
      </w:r>
      <w:r w:rsidR="00CF72CD">
        <w:rPr>
          <w:rFonts w:ascii="Times New Roman" w:hAnsi="Times New Roman"/>
          <w:color w:val="000000"/>
          <w:sz w:val="24"/>
          <w:szCs w:val="24"/>
        </w:rPr>
        <w:t>;</w:t>
      </w:r>
      <w:r w:rsidR="00CF72CD" w:rsidRPr="001239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65F62">
        <w:rPr>
          <w:rFonts w:ascii="Times New Roman" w:hAnsi="Times New Roman"/>
          <w:color w:val="000000"/>
          <w:sz w:val="24"/>
          <w:szCs w:val="24"/>
        </w:rPr>
        <w:t>sINS,</w:t>
      </w:r>
      <w:r w:rsidR="00E65F62" w:rsidRPr="00123985">
        <w:rPr>
          <w:rFonts w:ascii="Times New Roman" w:hAnsi="Times New Roman"/>
          <w:color w:val="000000"/>
          <w:sz w:val="24"/>
          <w:szCs w:val="24"/>
        </w:rPr>
        <w:t xml:space="preserve"> superior insular cortex</w:t>
      </w:r>
      <w:r w:rsidR="00E65F62">
        <w:rPr>
          <w:rFonts w:ascii="Times New Roman" w:hAnsi="Times New Roman"/>
          <w:color w:val="000000"/>
          <w:sz w:val="24"/>
          <w:szCs w:val="24"/>
        </w:rPr>
        <w:t xml:space="preserve">; STG, </w:t>
      </w:r>
      <w:r w:rsidR="00E65F62" w:rsidRPr="00123985">
        <w:rPr>
          <w:rFonts w:ascii="Times New Roman" w:hAnsi="Times New Roman"/>
          <w:color w:val="000000"/>
          <w:sz w:val="24"/>
          <w:szCs w:val="24"/>
        </w:rPr>
        <w:t>superior temporal cortex</w:t>
      </w:r>
      <w:r w:rsidR="00E65F62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CF72CD">
        <w:rPr>
          <w:rFonts w:ascii="Times New Roman" w:hAnsi="Times New Roman"/>
          <w:color w:val="000000"/>
          <w:sz w:val="24"/>
          <w:szCs w:val="24"/>
        </w:rPr>
        <w:t>sOrb, suborbital cortex</w:t>
      </w:r>
      <w:r w:rsidR="00E65F62">
        <w:rPr>
          <w:rFonts w:ascii="Times New Roman" w:hAnsi="Times New Roman"/>
          <w:color w:val="000000"/>
          <w:sz w:val="24"/>
          <w:szCs w:val="24"/>
        </w:rPr>
        <w:t>;</w:t>
      </w:r>
      <w:r w:rsidR="00E65F62" w:rsidRPr="00E65F6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65F62">
        <w:rPr>
          <w:rFonts w:ascii="Times New Roman" w:hAnsi="Times New Roman"/>
          <w:color w:val="000000"/>
          <w:sz w:val="24"/>
          <w:szCs w:val="24"/>
        </w:rPr>
        <w:t xml:space="preserve">tIFG, </w:t>
      </w:r>
      <w:r w:rsidR="00E65F62" w:rsidRPr="00123985">
        <w:rPr>
          <w:rFonts w:ascii="Times New Roman" w:hAnsi="Times New Roman"/>
          <w:color w:val="000000"/>
          <w:sz w:val="24"/>
          <w:szCs w:val="24"/>
        </w:rPr>
        <w:t>triangular inferior frontal cortex</w:t>
      </w:r>
      <w:r w:rsidR="00CF72CD" w:rsidRPr="00123985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123985" w:rsidRPr="001239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3985">
        <w:rPr>
          <w:rFonts w:ascii="Times New Roman" w:hAnsi="Times New Roman"/>
          <w:color w:val="000000"/>
          <w:sz w:val="24"/>
          <w:szCs w:val="24"/>
        </w:rPr>
        <w:t>***p&lt;0.00</w:t>
      </w:r>
      <w:r w:rsidR="00123985" w:rsidRPr="00E352A8">
        <w:rPr>
          <w:rFonts w:ascii="Times New Roman" w:hAnsi="Times New Roman"/>
          <w:color w:val="000000"/>
          <w:sz w:val="24"/>
          <w:szCs w:val="24"/>
        </w:rPr>
        <w:t>1,</w:t>
      </w:r>
      <w:r w:rsidRPr="00C67EC8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**p&lt;0.0</w:t>
      </w:r>
      <w:r w:rsidR="00123985">
        <w:rPr>
          <w:rFonts w:ascii="Times New Roman" w:hAnsi="Times New Roman"/>
          <w:color w:val="000000"/>
          <w:sz w:val="24"/>
          <w:szCs w:val="24"/>
        </w:rPr>
        <w:t>05</w:t>
      </w:r>
      <w:r w:rsidRPr="00E352A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123985">
        <w:rPr>
          <w:rFonts w:ascii="Times New Roman" w:hAnsi="Times New Roman"/>
          <w:color w:val="000000"/>
          <w:sz w:val="24"/>
          <w:szCs w:val="24"/>
        </w:rPr>
        <w:t>*p&lt;0.01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E352A8">
        <w:rPr>
          <w:rFonts w:ascii="Times New Roman" w:hAnsi="Times New Roman"/>
          <w:color w:val="000000"/>
          <w:sz w:val="24"/>
          <w:szCs w:val="24"/>
        </w:rPr>
        <w:t>two-tailed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C26E2" w:rsidRDefault="00EC26E2" w:rsidP="00470D48"/>
    <w:p w:rsidR="00470D48" w:rsidRPr="008336D0" w:rsidRDefault="00470D48" w:rsidP="00470D48">
      <w:pPr>
        <w:spacing w:line="360" w:lineRule="auto"/>
        <w:jc w:val="left"/>
        <w:rPr>
          <w:rFonts w:ascii="Times New Roman" w:hAnsi="Times New Roman"/>
          <w:b/>
          <w:sz w:val="24"/>
        </w:rPr>
      </w:pPr>
      <w:r w:rsidRPr="008336D0">
        <w:rPr>
          <w:rFonts w:ascii="Times New Roman" w:hAnsi="Times New Roman"/>
          <w:b/>
          <w:sz w:val="24"/>
        </w:rPr>
        <w:t xml:space="preserve">Figure S3. Correlations between classification features and working memory index in ADHD group. </w:t>
      </w:r>
    </w:p>
    <w:p w:rsidR="00470D48" w:rsidRPr="008336D0" w:rsidRDefault="00470D48" w:rsidP="00470D48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8336D0">
        <w:rPr>
          <w:rFonts w:ascii="Times New Roman" w:hAnsi="Times New Roman"/>
          <w:sz w:val="24"/>
        </w:rPr>
        <w:t xml:space="preserve">A) The Met carrier ADHD group had a significant relationship between working memory scores and cortical thickness in the left orbital inferior frontal cortex (r = -.582, p = 0.009). B) The Met carrier ADHD group had a significant relationship between working memory scores and cortical thickness in and left orbital cortex (r = -.590, p = 0.008). </w:t>
      </w:r>
    </w:p>
    <w:p w:rsidR="00EC26E2" w:rsidRPr="00470D48" w:rsidRDefault="00EC26E2" w:rsidP="00470D48"/>
    <w:sectPr w:rsidR="00EC26E2" w:rsidRPr="00470D48" w:rsidSect="00710523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DF1" w:rsidRDefault="00470DF1" w:rsidP="00BE0D2B">
      <w:r>
        <w:separator/>
      </w:r>
    </w:p>
  </w:endnote>
  <w:endnote w:type="continuationSeparator" w:id="0">
    <w:p w:rsidR="00470DF1" w:rsidRDefault="00470DF1" w:rsidP="00BE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DF1" w:rsidRDefault="00470DF1" w:rsidP="00BE0D2B">
      <w:r>
        <w:separator/>
      </w:r>
    </w:p>
  </w:footnote>
  <w:footnote w:type="continuationSeparator" w:id="0">
    <w:p w:rsidR="00470DF1" w:rsidRDefault="00470DF1" w:rsidP="00BE0D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406"/>
    <w:rsid w:val="00123985"/>
    <w:rsid w:val="001F5177"/>
    <w:rsid w:val="00262BD3"/>
    <w:rsid w:val="003E72B5"/>
    <w:rsid w:val="00470D48"/>
    <w:rsid w:val="00470DF1"/>
    <w:rsid w:val="00515AAA"/>
    <w:rsid w:val="005571E9"/>
    <w:rsid w:val="00710523"/>
    <w:rsid w:val="00717AF8"/>
    <w:rsid w:val="00846FF8"/>
    <w:rsid w:val="00847DE0"/>
    <w:rsid w:val="00884007"/>
    <w:rsid w:val="008D5C7E"/>
    <w:rsid w:val="00BE0D2B"/>
    <w:rsid w:val="00CF72CD"/>
    <w:rsid w:val="00D05673"/>
    <w:rsid w:val="00E05A02"/>
    <w:rsid w:val="00E23B9F"/>
    <w:rsid w:val="00E65F62"/>
    <w:rsid w:val="00EC26E2"/>
    <w:rsid w:val="00F2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0E02876-A993-47B7-9DFD-FB1AD8163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4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0D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E0D2B"/>
  </w:style>
  <w:style w:type="paragraph" w:styleId="a5">
    <w:name w:val="footer"/>
    <w:basedOn w:val="a"/>
    <w:link w:val="a6"/>
    <w:uiPriority w:val="99"/>
    <w:unhideWhenUsed/>
    <w:rsid w:val="00BE0D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E0D2B"/>
  </w:style>
  <w:style w:type="character" w:styleId="a7">
    <w:name w:val="Hyperlink"/>
    <w:basedOn w:val="a0"/>
    <w:uiPriority w:val="99"/>
    <w:unhideWhenUsed/>
    <w:rsid w:val="00717A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 Minyoung</dc:creator>
  <cp:keywords/>
  <dc:description/>
  <cp:lastModifiedBy>Jung Minyoung</cp:lastModifiedBy>
  <cp:revision>2</cp:revision>
  <dcterms:created xsi:type="dcterms:W3CDTF">2018-09-14T01:47:00Z</dcterms:created>
  <dcterms:modified xsi:type="dcterms:W3CDTF">2018-09-14T01:47:00Z</dcterms:modified>
</cp:coreProperties>
</file>