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43AF" w14:textId="33C8DFF2" w:rsidR="00D33010" w:rsidRPr="00D32E0B" w:rsidRDefault="00D33010">
      <w:pPr>
        <w:rPr>
          <w:rFonts w:ascii="Arial" w:hAnsi="Arial"/>
          <w:u w:val="single"/>
        </w:rPr>
      </w:pPr>
      <w:r w:rsidRPr="00D32E0B">
        <w:rPr>
          <w:rFonts w:ascii="Arial" w:hAnsi="Arial"/>
          <w:u w:val="single"/>
        </w:rPr>
        <w:t>Search Strategy</w:t>
      </w:r>
      <w:r w:rsidR="00D32E0B" w:rsidRPr="00D32E0B">
        <w:rPr>
          <w:rFonts w:ascii="Arial" w:hAnsi="Arial"/>
          <w:u w:val="single"/>
        </w:rPr>
        <w:t>:</w:t>
      </w:r>
    </w:p>
    <w:p w14:paraId="33FA5FC6" w14:textId="6983949D" w:rsidR="00D33010" w:rsidRDefault="00D32E0B">
      <w:pPr>
        <w:rPr>
          <w:rFonts w:ascii="Arial" w:hAnsi="Arial"/>
        </w:rPr>
      </w:pPr>
      <w:r>
        <w:rPr>
          <w:rFonts w:ascii="Arial" w:hAnsi="Arial"/>
        </w:rPr>
        <w:t xml:space="preserve">PubMed and </w:t>
      </w:r>
      <w:r w:rsidR="00D33010">
        <w:rPr>
          <w:rFonts w:ascii="Arial" w:hAnsi="Arial"/>
        </w:rPr>
        <w:t>Google Scholar were searched to identify studies from the United States</w:t>
      </w:r>
      <w:r w:rsidR="00E2603C">
        <w:rPr>
          <w:rFonts w:ascii="Arial" w:hAnsi="Arial"/>
        </w:rPr>
        <w:t xml:space="preserve"> (US)</w:t>
      </w:r>
      <w:r w:rsidR="00D33010">
        <w:rPr>
          <w:rFonts w:ascii="Arial" w:hAnsi="Arial"/>
        </w:rPr>
        <w:t xml:space="preserve">, Canada, or Europe reporting the frequency of </w:t>
      </w:r>
      <w:r w:rsidR="00D33010">
        <w:rPr>
          <w:rFonts w:ascii="Arial" w:hAnsi="Arial"/>
          <w:i/>
        </w:rPr>
        <w:t>S. pneumoniae</w:t>
      </w:r>
      <w:r w:rsidR="00D33010">
        <w:rPr>
          <w:rFonts w:ascii="Arial" w:hAnsi="Arial"/>
        </w:rPr>
        <w:t xml:space="preserve"> in adults with community-acquired pneumonia</w:t>
      </w:r>
      <w:r w:rsidR="00A47702">
        <w:rPr>
          <w:rFonts w:ascii="Arial" w:hAnsi="Arial"/>
        </w:rPr>
        <w:t xml:space="preserve"> (CAP)</w:t>
      </w:r>
      <w:r w:rsidR="00D33010">
        <w:rPr>
          <w:rFonts w:ascii="Arial" w:hAnsi="Arial"/>
        </w:rPr>
        <w:t>.</w:t>
      </w:r>
    </w:p>
    <w:p w14:paraId="3C44149E" w14:textId="77777777" w:rsidR="00D32E0B" w:rsidRDefault="00D32E0B">
      <w:pPr>
        <w:rPr>
          <w:rFonts w:ascii="Arial" w:hAnsi="Arial"/>
        </w:rPr>
      </w:pPr>
    </w:p>
    <w:p w14:paraId="627E32FC" w14:textId="1157F620" w:rsidR="00D32E0B" w:rsidRDefault="00D32E0B">
      <w:pPr>
        <w:rPr>
          <w:rFonts w:ascii="Arial" w:hAnsi="Arial"/>
        </w:rPr>
      </w:pPr>
      <w:r>
        <w:rPr>
          <w:rFonts w:ascii="Arial" w:hAnsi="Arial"/>
        </w:rPr>
        <w:t>The following was entered as a PubMed search:</w:t>
      </w:r>
    </w:p>
    <w:p w14:paraId="1E76E2D0" w14:textId="0E1C90FE" w:rsidR="00D32E0B" w:rsidRDefault="00D32E0B">
      <w:pPr>
        <w:rPr>
          <w:rFonts w:ascii="Arial" w:hAnsi="Arial"/>
        </w:rPr>
      </w:pPr>
      <w:r w:rsidRPr="00D32E0B">
        <w:rPr>
          <w:rFonts w:ascii="Arial" w:hAnsi="Arial"/>
        </w:rPr>
        <w:t xml:space="preserve">(pneumonia[title]) AND (etiolog* OR aetiolog* OR cause OR microbiolog* OR “Streptococcus pneumoniae”[Mesh] OR bacteria OR culture*) NOT (children OR infant* OR pediatric* OR </w:t>
      </w:r>
      <w:r w:rsidR="00D93389">
        <w:rPr>
          <w:rFonts w:ascii="Arial" w:hAnsi="Arial"/>
        </w:rPr>
        <w:t xml:space="preserve">randomized OR </w:t>
      </w:r>
      <w:r w:rsidRPr="00D32E0B">
        <w:rPr>
          <w:rFonts w:ascii="Arial" w:hAnsi="Arial"/>
        </w:rPr>
        <w:t>nosocomial[title] OR organizing[title] OR interstitial[title] OR healthcare[title] OR ventilator[title] OR Case Reports[ptyp])</w:t>
      </w:r>
    </w:p>
    <w:p w14:paraId="539F9CE6" w14:textId="77777777" w:rsidR="002F2392" w:rsidRDefault="002F2392">
      <w:pPr>
        <w:rPr>
          <w:rFonts w:ascii="Arial" w:hAnsi="Arial"/>
        </w:rPr>
      </w:pPr>
    </w:p>
    <w:p w14:paraId="1B7ACF61" w14:textId="1520936C" w:rsidR="00D93389" w:rsidRDefault="00D93389">
      <w:pPr>
        <w:rPr>
          <w:rFonts w:ascii="Arial" w:hAnsi="Arial"/>
        </w:rPr>
      </w:pPr>
      <w:r>
        <w:rPr>
          <w:rFonts w:ascii="Arial" w:hAnsi="Arial"/>
        </w:rPr>
        <w:t>This</w:t>
      </w:r>
      <w:r w:rsidR="009D36E9">
        <w:rPr>
          <w:rFonts w:ascii="Arial" w:hAnsi="Arial"/>
        </w:rPr>
        <w:t xml:space="preserve"> search returned 7633 articles. The titles/abstracts of these articles were reviewed and studies outside the US, C</w:t>
      </w:r>
      <w:r w:rsidR="00CD48A2">
        <w:rPr>
          <w:rFonts w:ascii="Arial" w:hAnsi="Arial"/>
        </w:rPr>
        <w:t>anada, or Europe were excluded, as were studies that met any of our exclusion criteria (see below).</w:t>
      </w:r>
    </w:p>
    <w:p w14:paraId="517271A9" w14:textId="77777777" w:rsidR="00D93389" w:rsidRDefault="00D93389">
      <w:pPr>
        <w:rPr>
          <w:rFonts w:ascii="Arial" w:hAnsi="Arial"/>
        </w:rPr>
      </w:pPr>
    </w:p>
    <w:p w14:paraId="2D531752" w14:textId="339720B8" w:rsidR="002F2392" w:rsidRDefault="002F2392">
      <w:pPr>
        <w:rPr>
          <w:rFonts w:ascii="Arial" w:hAnsi="Arial"/>
        </w:rPr>
      </w:pPr>
      <w:r>
        <w:rPr>
          <w:rFonts w:ascii="Arial" w:hAnsi="Arial"/>
        </w:rPr>
        <w:t>The references of the articles meeting inclusion criteria were also considered for inclusion.</w:t>
      </w:r>
    </w:p>
    <w:p w14:paraId="47CF0C4F" w14:textId="4DF3A3D3" w:rsidR="002F2392" w:rsidRDefault="002F2392">
      <w:pPr>
        <w:rPr>
          <w:rFonts w:ascii="Arial" w:hAnsi="Arial"/>
        </w:rPr>
      </w:pPr>
    </w:p>
    <w:p w14:paraId="42B3DDB9" w14:textId="69FBE97E" w:rsidR="002F2392" w:rsidRDefault="002F2392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Inclusion criteria:</w:t>
      </w:r>
    </w:p>
    <w:p w14:paraId="0A07D826" w14:textId="021DA308" w:rsidR="002F2392" w:rsidRDefault="001A0EA7">
      <w:pPr>
        <w:rPr>
          <w:rFonts w:ascii="Arial" w:hAnsi="Arial"/>
        </w:rPr>
      </w:pPr>
      <w:r>
        <w:rPr>
          <w:rFonts w:ascii="Arial" w:hAnsi="Arial"/>
        </w:rPr>
        <w:t>Inclusion required the following</w:t>
      </w:r>
      <w:r w:rsidR="002F2392">
        <w:rPr>
          <w:rFonts w:ascii="Arial" w:hAnsi="Arial"/>
        </w:rPr>
        <w:t>:</w:t>
      </w:r>
    </w:p>
    <w:p w14:paraId="01697658" w14:textId="21665646" w:rsidR="00E2603C" w:rsidRDefault="000141E0" w:rsidP="002F239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Patients are community-dwelling</w:t>
      </w:r>
      <w:r>
        <w:rPr>
          <w:rFonts w:ascii="Arial" w:hAnsi="Arial"/>
          <w:vertAlign w:val="superscript"/>
        </w:rPr>
        <w:t>a</w:t>
      </w:r>
      <w:r w:rsidR="00E2603C">
        <w:rPr>
          <w:rFonts w:ascii="Arial" w:hAnsi="Arial"/>
        </w:rPr>
        <w:t xml:space="preserve"> adults with</w:t>
      </w:r>
      <w:r w:rsidR="00582F5A">
        <w:rPr>
          <w:rFonts w:ascii="Arial" w:hAnsi="Arial"/>
        </w:rPr>
        <w:t xml:space="preserve"> </w:t>
      </w:r>
      <w:r w:rsidR="002F2392">
        <w:rPr>
          <w:rFonts w:ascii="Arial" w:hAnsi="Arial"/>
        </w:rPr>
        <w:t xml:space="preserve">clinical </w:t>
      </w:r>
      <w:r w:rsidR="00582F5A">
        <w:rPr>
          <w:rFonts w:ascii="Arial" w:hAnsi="Arial"/>
        </w:rPr>
        <w:t xml:space="preserve">signs of respiratory infection </w:t>
      </w:r>
      <w:r w:rsidR="00E2603C">
        <w:rPr>
          <w:rFonts w:ascii="Arial" w:hAnsi="Arial"/>
        </w:rPr>
        <w:t>and a pulmonary infiltrate on chest radiography</w:t>
      </w:r>
    </w:p>
    <w:p w14:paraId="743BDB83" w14:textId="4C03B450" w:rsidR="001A0EA7" w:rsidRDefault="001A0EA7" w:rsidP="002F239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Patients present to hospitals or clinics in either the </w:t>
      </w:r>
      <w:r w:rsidR="00E2603C">
        <w:rPr>
          <w:rFonts w:ascii="Arial" w:hAnsi="Arial"/>
        </w:rPr>
        <w:t>US</w:t>
      </w:r>
      <w:r>
        <w:rPr>
          <w:rFonts w:ascii="Arial" w:hAnsi="Arial"/>
        </w:rPr>
        <w:t>, Canada, or Europe</w:t>
      </w:r>
    </w:p>
    <w:p w14:paraId="7A950257" w14:textId="4560A734" w:rsidR="000E214F" w:rsidRDefault="00854342" w:rsidP="002F239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 least</w:t>
      </w:r>
      <w:r w:rsidR="000E214F">
        <w:rPr>
          <w:rFonts w:ascii="Arial" w:hAnsi="Arial"/>
        </w:rPr>
        <w:t xml:space="preserve"> </w:t>
      </w:r>
      <w:r>
        <w:rPr>
          <w:rFonts w:ascii="Arial" w:hAnsi="Arial"/>
        </w:rPr>
        <w:t>50</w:t>
      </w:r>
      <w:r w:rsidR="000E214F">
        <w:rPr>
          <w:rFonts w:ascii="Arial" w:hAnsi="Arial"/>
        </w:rPr>
        <w:t xml:space="preserve"> patients </w:t>
      </w:r>
      <w:r>
        <w:rPr>
          <w:rFonts w:ascii="Arial" w:hAnsi="Arial"/>
        </w:rPr>
        <w:t>studied</w:t>
      </w:r>
    </w:p>
    <w:p w14:paraId="4AA5E273" w14:textId="68890AEA" w:rsidR="002F2392" w:rsidRDefault="002F2392" w:rsidP="002F239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 leas</w:t>
      </w:r>
      <w:r w:rsidR="009440B0">
        <w:rPr>
          <w:rFonts w:ascii="Arial" w:hAnsi="Arial"/>
        </w:rPr>
        <w:t xml:space="preserve">t 1 </w:t>
      </w:r>
      <w:r w:rsidR="00A00F10">
        <w:rPr>
          <w:rFonts w:ascii="Arial" w:hAnsi="Arial"/>
        </w:rPr>
        <w:t>valid</w:t>
      </w:r>
      <w:r w:rsidR="009440B0">
        <w:rPr>
          <w:rFonts w:ascii="Arial" w:hAnsi="Arial"/>
        </w:rPr>
        <w:t xml:space="preserve"> pneumococcal test</w:t>
      </w:r>
      <w:r w:rsidR="000759D6">
        <w:rPr>
          <w:rFonts w:ascii="Arial" w:hAnsi="Arial"/>
          <w:vertAlign w:val="superscript"/>
        </w:rPr>
        <w:t>b</w:t>
      </w:r>
      <w:r>
        <w:rPr>
          <w:rFonts w:ascii="Arial" w:hAnsi="Arial"/>
        </w:rPr>
        <w:t xml:space="preserve"> </w:t>
      </w:r>
      <w:r w:rsidR="009440B0">
        <w:rPr>
          <w:rFonts w:ascii="Arial" w:hAnsi="Arial"/>
        </w:rPr>
        <w:t>(</w:t>
      </w:r>
      <w:r>
        <w:rPr>
          <w:rFonts w:ascii="Arial" w:hAnsi="Arial"/>
        </w:rPr>
        <w:t>other than blood culture</w:t>
      </w:r>
      <w:r w:rsidR="009440B0">
        <w:rPr>
          <w:rFonts w:ascii="Arial" w:hAnsi="Arial"/>
        </w:rPr>
        <w:t xml:space="preserve">) </w:t>
      </w:r>
      <w:r w:rsidR="004D44D0">
        <w:rPr>
          <w:rFonts w:ascii="Arial" w:hAnsi="Arial"/>
        </w:rPr>
        <w:t xml:space="preserve">is </w:t>
      </w:r>
      <w:r w:rsidR="009440B0">
        <w:rPr>
          <w:rFonts w:ascii="Arial" w:hAnsi="Arial"/>
        </w:rPr>
        <w:t>performed on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&gt;</w:t>
      </w:r>
      <w:r>
        <w:rPr>
          <w:rFonts w:ascii="Arial" w:hAnsi="Arial"/>
        </w:rPr>
        <w:t xml:space="preserve"> 50% of patients</w:t>
      </w:r>
      <w:r w:rsidR="004D44D0">
        <w:rPr>
          <w:rFonts w:ascii="Arial" w:hAnsi="Arial"/>
          <w:vertAlign w:val="superscript"/>
        </w:rPr>
        <w:t>c</w:t>
      </w:r>
    </w:p>
    <w:p w14:paraId="3BDE6707" w14:textId="2C4A916C" w:rsidR="00197A25" w:rsidRPr="00197A25" w:rsidRDefault="0091581B" w:rsidP="00197A2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Sufficient information in study (including support materials) to calculate the proportion of patients with a positive </w:t>
      </w:r>
      <w:r w:rsidR="00A00F10">
        <w:rPr>
          <w:rFonts w:ascii="Arial" w:hAnsi="Arial"/>
        </w:rPr>
        <w:t xml:space="preserve">valid </w:t>
      </w:r>
      <w:r>
        <w:rPr>
          <w:rFonts w:ascii="Arial" w:hAnsi="Arial"/>
        </w:rPr>
        <w:t>pneumococcal test</w:t>
      </w:r>
    </w:p>
    <w:p w14:paraId="330CF6EB" w14:textId="77777777" w:rsidR="002F2392" w:rsidRDefault="002F2392">
      <w:pPr>
        <w:rPr>
          <w:rFonts w:ascii="Arial" w:hAnsi="Arial"/>
        </w:rPr>
      </w:pPr>
    </w:p>
    <w:p w14:paraId="22F2A387" w14:textId="66AFD47A" w:rsidR="00A47702" w:rsidRDefault="000141E0">
      <w:pPr>
        <w:rPr>
          <w:rFonts w:ascii="Arial" w:hAnsi="Arial"/>
        </w:rPr>
      </w:pPr>
      <w:r>
        <w:rPr>
          <w:rFonts w:ascii="Arial" w:hAnsi="Arial"/>
          <w:vertAlign w:val="superscript"/>
        </w:rPr>
        <w:t>a</w:t>
      </w:r>
      <w:r w:rsidR="00A47702">
        <w:rPr>
          <w:rFonts w:ascii="Arial" w:hAnsi="Arial"/>
        </w:rPr>
        <w:t xml:space="preserve"> The term “community-acquire</w:t>
      </w:r>
      <w:r w:rsidR="00582F5A">
        <w:rPr>
          <w:rFonts w:ascii="Arial" w:hAnsi="Arial"/>
        </w:rPr>
        <w:t xml:space="preserve">d” was not consistently used to describe patients with CAP until the </w:t>
      </w:r>
      <w:r w:rsidR="00A47702">
        <w:rPr>
          <w:rFonts w:ascii="Arial" w:hAnsi="Arial"/>
        </w:rPr>
        <w:t xml:space="preserve">late 1970s. </w:t>
      </w:r>
      <w:r w:rsidR="00582F5A">
        <w:rPr>
          <w:rFonts w:ascii="Arial" w:hAnsi="Arial"/>
        </w:rPr>
        <w:t xml:space="preserve">Pneumonia studies published prior to this time period were assumed to be reports of CAP unless the authors stated otherwise. Studies published after this time were required to </w:t>
      </w:r>
      <w:r w:rsidR="009E2EA9">
        <w:rPr>
          <w:rFonts w:ascii="Arial" w:hAnsi="Arial"/>
        </w:rPr>
        <w:t>indicated that pneumonia was acquired in the community.</w:t>
      </w:r>
    </w:p>
    <w:p w14:paraId="02773CDE" w14:textId="77777777" w:rsidR="000141E0" w:rsidRDefault="000141E0">
      <w:pPr>
        <w:rPr>
          <w:rFonts w:ascii="Arial" w:hAnsi="Arial"/>
        </w:rPr>
      </w:pPr>
    </w:p>
    <w:p w14:paraId="1B378109" w14:textId="0BE92704" w:rsidR="00EA4AAD" w:rsidRDefault="000141E0">
      <w:pPr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b </w:t>
      </w:r>
      <w:r w:rsidR="00EB3E19">
        <w:rPr>
          <w:rFonts w:ascii="Arial" w:hAnsi="Arial"/>
        </w:rPr>
        <w:t>V</w:t>
      </w:r>
      <w:r w:rsidR="00A00F10">
        <w:rPr>
          <w:rFonts w:ascii="Arial" w:hAnsi="Arial"/>
        </w:rPr>
        <w:t>alid</w:t>
      </w:r>
      <w:r w:rsidR="00EA4AAD">
        <w:rPr>
          <w:rFonts w:ascii="Arial" w:hAnsi="Arial"/>
        </w:rPr>
        <w:t xml:space="preserve"> pneumococcal tests</w:t>
      </w:r>
      <w:r w:rsidR="00EB3E19">
        <w:rPr>
          <w:rFonts w:ascii="Arial" w:hAnsi="Arial"/>
        </w:rPr>
        <w:t xml:space="preserve"> include the following:</w:t>
      </w:r>
    </w:p>
    <w:p w14:paraId="2E748181" w14:textId="77777777" w:rsidR="00EB3E19" w:rsidRDefault="00EA4AAD" w:rsidP="00EA4AA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A4AAD">
        <w:rPr>
          <w:rFonts w:ascii="Arial" w:hAnsi="Arial"/>
          <w:i/>
        </w:rPr>
        <w:t>S. pneumoniae</w:t>
      </w:r>
      <w:r>
        <w:rPr>
          <w:rFonts w:ascii="Arial" w:hAnsi="Arial"/>
        </w:rPr>
        <w:t xml:space="preserve"> cultured from any </w:t>
      </w:r>
      <w:r w:rsidR="00EB3E19">
        <w:rPr>
          <w:rFonts w:ascii="Arial" w:hAnsi="Arial"/>
        </w:rPr>
        <w:t>site other than the oral cavity or nasopharynx.</w:t>
      </w:r>
      <w:r>
        <w:rPr>
          <w:rFonts w:ascii="Arial" w:hAnsi="Arial"/>
        </w:rPr>
        <w:t xml:space="preserve"> </w:t>
      </w:r>
      <w:r w:rsidR="00EB3E19">
        <w:rPr>
          <w:rFonts w:ascii="Arial" w:hAnsi="Arial"/>
        </w:rPr>
        <w:t>Examples of</w:t>
      </w:r>
      <w:r>
        <w:rPr>
          <w:rFonts w:ascii="Arial" w:hAnsi="Arial"/>
        </w:rPr>
        <w:t xml:space="preserve"> </w:t>
      </w:r>
      <w:r w:rsidR="00EB3E19">
        <w:rPr>
          <w:rFonts w:ascii="Arial" w:hAnsi="Arial"/>
        </w:rPr>
        <w:t>acceptable</w:t>
      </w:r>
      <w:r>
        <w:rPr>
          <w:rFonts w:ascii="Arial" w:hAnsi="Arial"/>
        </w:rPr>
        <w:t xml:space="preserve"> specimens</w:t>
      </w:r>
      <w:r w:rsidR="00EB3E19">
        <w:rPr>
          <w:rFonts w:ascii="Arial" w:hAnsi="Arial"/>
        </w:rPr>
        <w:t xml:space="preserve"> for culture include</w:t>
      </w:r>
      <w:r>
        <w:rPr>
          <w:rFonts w:ascii="Arial" w:hAnsi="Arial"/>
        </w:rPr>
        <w:t xml:space="preserve">: </w:t>
      </w:r>
      <w:r w:rsidR="000141E0" w:rsidRPr="00EA4AAD">
        <w:rPr>
          <w:rFonts w:ascii="Arial" w:hAnsi="Arial"/>
        </w:rPr>
        <w:t xml:space="preserve">blood, </w:t>
      </w:r>
      <w:r w:rsidR="00EB3E19" w:rsidRPr="00EA4AAD">
        <w:rPr>
          <w:rFonts w:ascii="Arial" w:hAnsi="Arial"/>
        </w:rPr>
        <w:t xml:space="preserve">pleural fluid, </w:t>
      </w:r>
      <w:r w:rsidR="000141E0" w:rsidRPr="00EA4AAD">
        <w:rPr>
          <w:rFonts w:ascii="Arial" w:hAnsi="Arial"/>
        </w:rPr>
        <w:t>trans</w:t>
      </w:r>
      <w:r w:rsidR="00EB3E19">
        <w:rPr>
          <w:rFonts w:ascii="Arial" w:hAnsi="Arial"/>
        </w:rPr>
        <w:t xml:space="preserve">thoracic needle aspirate, </w:t>
      </w:r>
      <w:r w:rsidR="00EA0D84" w:rsidRPr="00EA4AAD">
        <w:rPr>
          <w:rFonts w:ascii="Arial" w:hAnsi="Arial"/>
        </w:rPr>
        <w:t xml:space="preserve">biopsy or autopsy specimen, </w:t>
      </w:r>
      <w:r w:rsidR="00EB3E19">
        <w:rPr>
          <w:rFonts w:ascii="Arial" w:hAnsi="Arial"/>
        </w:rPr>
        <w:t>sputum (expectorated or induced)</w:t>
      </w:r>
      <w:r w:rsidR="000141E0" w:rsidRPr="00EA4AAD">
        <w:rPr>
          <w:rFonts w:ascii="Arial" w:hAnsi="Arial"/>
        </w:rPr>
        <w:t xml:space="preserve">, tracheal aspirate, bronchoalveolar lavage </w:t>
      </w:r>
      <w:r w:rsidR="00EB3E19">
        <w:rPr>
          <w:rFonts w:ascii="Arial" w:hAnsi="Arial"/>
        </w:rPr>
        <w:t>fluid or protected specimen brush</w:t>
      </w:r>
    </w:p>
    <w:p w14:paraId="4FA50AC3" w14:textId="5E11B93A" w:rsidR="00EB3E19" w:rsidRDefault="00EB3E19" w:rsidP="00EA4AAD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Pneumococcal </w:t>
      </w:r>
      <w:r w:rsidR="007C4D73">
        <w:rPr>
          <w:rFonts w:ascii="Arial" w:hAnsi="Arial"/>
        </w:rPr>
        <w:t xml:space="preserve">cell wall </w:t>
      </w:r>
      <w:r>
        <w:rPr>
          <w:rFonts w:ascii="Arial" w:hAnsi="Arial"/>
        </w:rPr>
        <w:t>a</w:t>
      </w:r>
      <w:r w:rsidR="000141E0" w:rsidRPr="00EA4AAD">
        <w:rPr>
          <w:rFonts w:ascii="Arial" w:hAnsi="Arial"/>
        </w:rPr>
        <w:t>ntigen detectio</w:t>
      </w:r>
      <w:r w:rsidR="00A00F10" w:rsidRPr="00EA4AAD">
        <w:rPr>
          <w:rFonts w:ascii="Arial" w:hAnsi="Arial"/>
        </w:rPr>
        <w:t xml:space="preserve">n in </w:t>
      </w:r>
      <w:r w:rsidR="009A108A">
        <w:rPr>
          <w:rFonts w:ascii="Arial" w:hAnsi="Arial"/>
        </w:rPr>
        <w:t>urine</w:t>
      </w:r>
      <w:bookmarkStart w:id="0" w:name="_GoBack"/>
      <w:bookmarkEnd w:id="0"/>
    </w:p>
    <w:p w14:paraId="03242917" w14:textId="0C2249F0" w:rsidR="000141E0" w:rsidRDefault="00C05783" w:rsidP="00EA4AAD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A00F10" w:rsidRPr="00C05783">
        <w:rPr>
          <w:rFonts w:ascii="Arial" w:hAnsi="Arial"/>
        </w:rPr>
        <w:t>olymerase chain reaction (PC</w:t>
      </w:r>
      <w:r w:rsidR="00EA4AAD" w:rsidRPr="00C05783">
        <w:rPr>
          <w:rFonts w:ascii="Arial" w:hAnsi="Arial"/>
        </w:rPr>
        <w:t xml:space="preserve">R) testing </w:t>
      </w:r>
      <w:r w:rsidR="00EB3E19" w:rsidRPr="00C05783">
        <w:rPr>
          <w:rFonts w:ascii="Arial" w:hAnsi="Arial"/>
        </w:rPr>
        <w:t>on</w:t>
      </w:r>
      <w:r w:rsidR="00EA4AAD" w:rsidRPr="00C05783">
        <w:rPr>
          <w:rFonts w:ascii="Arial" w:hAnsi="Arial"/>
        </w:rPr>
        <w:t xml:space="preserve"> </w:t>
      </w:r>
      <w:r w:rsidR="00023B4D">
        <w:rPr>
          <w:rFonts w:ascii="Arial" w:hAnsi="Arial"/>
        </w:rPr>
        <w:t>pleural fluid</w:t>
      </w:r>
      <w:r w:rsidR="001B60C7">
        <w:rPr>
          <w:rFonts w:ascii="Arial" w:hAnsi="Arial"/>
        </w:rPr>
        <w:t xml:space="preserve"> specimen</w:t>
      </w:r>
    </w:p>
    <w:p w14:paraId="36DC267A" w14:textId="46AE8A65" w:rsidR="0051417F" w:rsidRPr="00C05783" w:rsidRDefault="004F220D" w:rsidP="00EA4AAD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51417F">
        <w:rPr>
          <w:rFonts w:ascii="Arial" w:hAnsi="Arial"/>
        </w:rPr>
        <w:t xml:space="preserve">ouse </w:t>
      </w:r>
      <w:r w:rsidR="00D25146">
        <w:rPr>
          <w:rFonts w:ascii="Arial" w:hAnsi="Arial"/>
        </w:rPr>
        <w:t>inoculation</w:t>
      </w:r>
    </w:p>
    <w:p w14:paraId="5178345B" w14:textId="77777777" w:rsidR="00A47702" w:rsidRDefault="00A47702">
      <w:pPr>
        <w:rPr>
          <w:rFonts w:ascii="Arial" w:hAnsi="Arial"/>
        </w:rPr>
      </w:pPr>
    </w:p>
    <w:p w14:paraId="32A226C7" w14:textId="77777777" w:rsidR="00370045" w:rsidRPr="004D44D0" w:rsidRDefault="00370045" w:rsidP="00370045">
      <w:pPr>
        <w:rPr>
          <w:rFonts w:ascii="Arial" w:hAnsi="Arial"/>
        </w:rPr>
      </w:pPr>
      <w:r>
        <w:rPr>
          <w:rFonts w:ascii="Arial" w:hAnsi="Arial"/>
          <w:vertAlign w:val="superscript"/>
        </w:rPr>
        <w:lastRenderedPageBreak/>
        <w:t>c</w:t>
      </w:r>
      <w:r>
        <w:rPr>
          <w:rFonts w:ascii="Arial" w:hAnsi="Arial"/>
        </w:rPr>
        <w:t xml:space="preserve"> For studies that reported data separately for the subset of patients who underwent microbiologic testing, we used this subgroup when determining the proportion of patients who underwent pneumococcal testing.</w:t>
      </w:r>
    </w:p>
    <w:p w14:paraId="04B1C368" w14:textId="77777777" w:rsidR="00370045" w:rsidRDefault="00370045">
      <w:pPr>
        <w:rPr>
          <w:rFonts w:ascii="Arial" w:hAnsi="Arial"/>
        </w:rPr>
      </w:pPr>
    </w:p>
    <w:p w14:paraId="68433AAB" w14:textId="2D646B71" w:rsidR="00B137CD" w:rsidRDefault="00B137CD">
      <w:pPr>
        <w:rPr>
          <w:rFonts w:ascii="Arial" w:hAnsi="Arial"/>
        </w:rPr>
      </w:pPr>
      <w:r>
        <w:rPr>
          <w:rFonts w:ascii="Arial" w:hAnsi="Arial"/>
        </w:rPr>
        <w:t xml:space="preserve">Note: the present analysis is focused on CAP </w:t>
      </w:r>
      <w:r w:rsidR="007D5966">
        <w:rPr>
          <w:rFonts w:ascii="Arial" w:hAnsi="Arial"/>
        </w:rPr>
        <w:t xml:space="preserve">studies </w:t>
      </w:r>
      <w:r>
        <w:rPr>
          <w:rFonts w:ascii="Arial" w:hAnsi="Arial"/>
        </w:rPr>
        <w:t xml:space="preserve">in immunocompetent patients. </w:t>
      </w:r>
      <w:r w:rsidR="00370045">
        <w:rPr>
          <w:rFonts w:ascii="Arial" w:hAnsi="Arial"/>
        </w:rPr>
        <w:t xml:space="preserve">Most </w:t>
      </w:r>
      <w:r w:rsidR="007D5966">
        <w:rPr>
          <w:rFonts w:ascii="Arial" w:hAnsi="Arial"/>
        </w:rPr>
        <w:t xml:space="preserve">studies excluded immunocompromsied patients. </w:t>
      </w:r>
      <w:r>
        <w:rPr>
          <w:rFonts w:ascii="Arial" w:hAnsi="Arial"/>
        </w:rPr>
        <w:t xml:space="preserve">For studies that reported data separately for immunocompromised and immunocompetent patients, we </w:t>
      </w:r>
      <w:r w:rsidR="00370045">
        <w:rPr>
          <w:rFonts w:ascii="Arial" w:hAnsi="Arial"/>
        </w:rPr>
        <w:t>analyzed the immunocompetent subgroup</w:t>
      </w:r>
      <w:r>
        <w:rPr>
          <w:rFonts w:ascii="Arial" w:hAnsi="Arial"/>
        </w:rPr>
        <w:t>.</w:t>
      </w:r>
    </w:p>
    <w:p w14:paraId="50E434A1" w14:textId="77777777" w:rsidR="004D44D0" w:rsidRDefault="004D44D0">
      <w:pPr>
        <w:rPr>
          <w:rFonts w:ascii="Arial" w:hAnsi="Arial"/>
        </w:rPr>
      </w:pPr>
    </w:p>
    <w:p w14:paraId="34C71566" w14:textId="28D19B4A" w:rsidR="00197A25" w:rsidRDefault="00197A2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Exclusion criteria:</w:t>
      </w:r>
    </w:p>
    <w:p w14:paraId="277D6C27" w14:textId="11AAE7A4" w:rsidR="00EB7D46" w:rsidRDefault="00197A25">
      <w:pPr>
        <w:rPr>
          <w:rFonts w:ascii="Arial" w:hAnsi="Arial"/>
        </w:rPr>
      </w:pPr>
      <w:r>
        <w:rPr>
          <w:rFonts w:ascii="Arial" w:hAnsi="Arial"/>
        </w:rPr>
        <w:t>Studies were excluded for the following reasons:</w:t>
      </w:r>
    </w:p>
    <w:p w14:paraId="7333E71A" w14:textId="44CC3567" w:rsidR="00CA280B" w:rsidRPr="00CA280B" w:rsidRDefault="00EB7D46" w:rsidP="00CA280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Study is a randomized controlled trial</w:t>
      </w:r>
    </w:p>
    <w:p w14:paraId="341F1E13" w14:textId="704D1FC1" w:rsidR="00197A25" w:rsidRDefault="00197A25" w:rsidP="00197A2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Study includes </w:t>
      </w:r>
      <w:r w:rsidR="00E2603C">
        <w:rPr>
          <w:rFonts w:ascii="Arial" w:hAnsi="Arial"/>
        </w:rPr>
        <w:t>patients from regions outside the US, Canada, and Europe</w:t>
      </w:r>
    </w:p>
    <w:p w14:paraId="375CBCD7" w14:textId="39F6626D" w:rsidR="00CA280B" w:rsidRDefault="00CA280B" w:rsidP="00197A2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Study population overlaps with an already included study</w:t>
      </w:r>
    </w:p>
    <w:p w14:paraId="1130951C" w14:textId="0FD516E9" w:rsidR="00773AFE" w:rsidRDefault="00773AFE" w:rsidP="00197A2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Study excludes patients with CAP of unknown etiology</w:t>
      </w:r>
    </w:p>
    <w:p w14:paraId="16C955DD" w14:textId="21B0767A" w:rsidR="00773AFE" w:rsidRDefault="00773AFE" w:rsidP="00197A2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Study requires patients to survive until a specific endpoint (hospital discharge, convalescent serum, etc.)</w:t>
      </w:r>
    </w:p>
    <w:p w14:paraId="5D76B61F" w14:textId="1D3243F1" w:rsidR="004B228F" w:rsidRDefault="004B228F" w:rsidP="00197A2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Study time period focused on reporting the causes of CAP during an outbreak/epidemic</w:t>
      </w:r>
    </w:p>
    <w:p w14:paraId="70C2B839" w14:textId="22772FB6" w:rsidR="00E2603C" w:rsidRDefault="00A47702" w:rsidP="00A4770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DF7D3E">
        <w:rPr>
          <w:rFonts w:ascii="Arial" w:hAnsi="Arial"/>
        </w:rPr>
        <w:t>atient population</w:t>
      </w:r>
      <w:r>
        <w:rPr>
          <w:rFonts w:ascii="Arial" w:hAnsi="Arial"/>
        </w:rPr>
        <w:t xml:space="preserve"> restricted to a </w:t>
      </w:r>
      <w:r w:rsidR="00E2603C">
        <w:rPr>
          <w:rFonts w:ascii="Arial" w:hAnsi="Arial"/>
        </w:rPr>
        <w:t>limited to a narrow</w:t>
      </w:r>
      <w:r>
        <w:rPr>
          <w:rFonts w:ascii="Arial" w:hAnsi="Arial"/>
        </w:rPr>
        <w:t xml:space="preserve"> subset of CAP</w:t>
      </w:r>
      <w:r w:rsidR="00E2603C">
        <w:rPr>
          <w:rFonts w:ascii="Arial" w:hAnsi="Arial"/>
        </w:rPr>
        <w:t xml:space="preserve"> (see below for several examples)</w:t>
      </w:r>
    </w:p>
    <w:p w14:paraId="7B36A378" w14:textId="5EC90D22" w:rsidR="00A47702" w:rsidRDefault="00773AFE" w:rsidP="00E2603C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Patient</w:t>
      </w:r>
      <w:r w:rsidR="00A47702">
        <w:rPr>
          <w:rFonts w:ascii="Arial" w:hAnsi="Arial"/>
        </w:rPr>
        <w:t xml:space="preserve"> </w:t>
      </w:r>
      <w:r>
        <w:rPr>
          <w:rFonts w:ascii="Arial" w:hAnsi="Arial"/>
        </w:rPr>
        <w:t>population:</w:t>
      </w:r>
      <w:r w:rsidR="00A47702">
        <w:rPr>
          <w:rFonts w:ascii="Arial" w:hAnsi="Arial"/>
        </w:rPr>
        <w:t xml:space="preserve"> immunocompromised</w:t>
      </w:r>
      <w:r>
        <w:rPr>
          <w:rFonts w:ascii="Arial" w:hAnsi="Arial"/>
        </w:rPr>
        <w:t xml:space="preserve"> only</w:t>
      </w:r>
      <w:r w:rsidR="00A47702">
        <w:rPr>
          <w:rFonts w:ascii="Arial" w:hAnsi="Arial"/>
        </w:rPr>
        <w:t>, elderly</w:t>
      </w:r>
      <w:r>
        <w:rPr>
          <w:rFonts w:ascii="Arial" w:hAnsi="Arial"/>
        </w:rPr>
        <w:t xml:space="preserve"> only</w:t>
      </w:r>
      <w:r w:rsidR="00A47702">
        <w:rPr>
          <w:rFonts w:ascii="Arial" w:hAnsi="Arial"/>
        </w:rPr>
        <w:t>,</w:t>
      </w:r>
      <w:r w:rsidR="00E42E53">
        <w:rPr>
          <w:rFonts w:ascii="Arial" w:hAnsi="Arial"/>
        </w:rPr>
        <w:t xml:space="preserve"> nursing home only</w:t>
      </w:r>
      <w:r w:rsidR="00A47702">
        <w:rPr>
          <w:rFonts w:ascii="Arial" w:hAnsi="Arial"/>
        </w:rPr>
        <w:t xml:space="preserve"> chronic lung disease</w:t>
      </w:r>
      <w:r>
        <w:rPr>
          <w:rFonts w:ascii="Arial" w:hAnsi="Arial"/>
        </w:rPr>
        <w:t xml:space="preserve"> only, diabetic only</w:t>
      </w:r>
    </w:p>
    <w:p w14:paraId="08182C15" w14:textId="2FDC9D79" w:rsidR="00773AFE" w:rsidRDefault="00773AFE" w:rsidP="00E2603C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Site of care: outpatient only</w:t>
      </w:r>
      <w:r w:rsidR="00742279">
        <w:rPr>
          <w:rFonts w:ascii="Arial" w:hAnsi="Arial"/>
        </w:rPr>
        <w:t xml:space="preserve"> (or patients recruited from outpatient clinics only)</w:t>
      </w:r>
      <w:r>
        <w:rPr>
          <w:rFonts w:ascii="Arial" w:hAnsi="Arial"/>
        </w:rPr>
        <w:t>, intensive care unit only</w:t>
      </w:r>
    </w:p>
    <w:p w14:paraId="08002CA8" w14:textId="2B3B2363" w:rsidR="00A47702" w:rsidRDefault="00773AFE" w:rsidP="00773AFE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773AFE">
        <w:rPr>
          <w:rFonts w:ascii="Arial" w:hAnsi="Arial"/>
        </w:rPr>
        <w:t>Severity</w:t>
      </w:r>
      <w:r>
        <w:rPr>
          <w:rFonts w:ascii="Arial" w:hAnsi="Arial"/>
        </w:rPr>
        <w:t>: only patients with severe CAP</w:t>
      </w:r>
    </w:p>
    <w:p w14:paraId="036DF18F" w14:textId="2BD89BC5" w:rsidR="00742279" w:rsidRDefault="00742279" w:rsidP="0074227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Study excludes patients based on severity</w:t>
      </w:r>
    </w:p>
    <w:p w14:paraId="6209AFD6" w14:textId="330D95F7" w:rsidR="00E42E53" w:rsidRDefault="00E42E53" w:rsidP="0074227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Study excludes patients </w:t>
      </w:r>
      <w:r w:rsidR="00AD0F19">
        <w:rPr>
          <w:rFonts w:ascii="Arial" w:hAnsi="Arial"/>
        </w:rPr>
        <w:t>with age &lt; 70 years</w:t>
      </w:r>
    </w:p>
    <w:p w14:paraId="08366E89" w14:textId="77777777" w:rsidR="00773AFE" w:rsidRPr="00773AFE" w:rsidRDefault="00773AFE" w:rsidP="00773AFE">
      <w:pPr>
        <w:pStyle w:val="ListParagraph"/>
        <w:ind w:left="1500"/>
        <w:rPr>
          <w:rFonts w:ascii="Arial" w:hAnsi="Arial"/>
        </w:rPr>
      </w:pPr>
    </w:p>
    <w:p w14:paraId="400B502E" w14:textId="02DA03AC" w:rsidR="002F2392" w:rsidRPr="00EE62F8" w:rsidRDefault="000141E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Calculations</w:t>
      </w:r>
      <w:r w:rsidR="0091581B">
        <w:rPr>
          <w:rFonts w:ascii="Arial" w:hAnsi="Arial"/>
          <w:u w:val="single"/>
        </w:rPr>
        <w:t>:</w:t>
      </w:r>
    </w:p>
    <w:p w14:paraId="1A43E5E5" w14:textId="0901A8E9" w:rsidR="00D33010" w:rsidRDefault="00EE62F8">
      <w:pPr>
        <w:rPr>
          <w:rFonts w:ascii="Arial" w:hAnsi="Arial"/>
        </w:rPr>
      </w:pPr>
      <w:r>
        <w:rPr>
          <w:rFonts w:ascii="Arial" w:hAnsi="Arial"/>
        </w:rPr>
        <w:t xml:space="preserve">For Figure 1, the year of study was determined by calculating the midyear for each study. </w:t>
      </w:r>
      <w:r w:rsidR="00D33010" w:rsidRPr="00130D7E">
        <w:rPr>
          <w:rFonts w:ascii="Arial" w:hAnsi="Arial"/>
        </w:rPr>
        <w:t xml:space="preserve">When </w:t>
      </w:r>
      <w:r>
        <w:rPr>
          <w:rFonts w:ascii="Arial" w:hAnsi="Arial"/>
        </w:rPr>
        <w:t>this information was not available,</w:t>
      </w:r>
      <w:r w:rsidR="00D33010" w:rsidRPr="00130D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year of study </w:t>
      </w:r>
      <w:r w:rsidR="00D33010" w:rsidRPr="00130D7E">
        <w:rPr>
          <w:rFonts w:ascii="Arial" w:hAnsi="Arial"/>
        </w:rPr>
        <w:t xml:space="preserve">was </w:t>
      </w:r>
      <w:r>
        <w:rPr>
          <w:rFonts w:ascii="Arial" w:hAnsi="Arial"/>
        </w:rPr>
        <w:t>estimated</w:t>
      </w:r>
      <w:r w:rsidR="00D33010" w:rsidRPr="00130D7E">
        <w:rPr>
          <w:rFonts w:ascii="Arial" w:hAnsi="Arial"/>
        </w:rPr>
        <w:t xml:space="preserve"> by subtracting 4.5 year</w:t>
      </w:r>
      <w:r w:rsidR="00017A16">
        <w:rPr>
          <w:rFonts w:ascii="Arial" w:hAnsi="Arial"/>
        </w:rPr>
        <w:t xml:space="preserve">s from the year of publication. The basis for this approximation was the observation that, </w:t>
      </w:r>
      <w:r w:rsidR="00D33010" w:rsidRPr="00130D7E">
        <w:rPr>
          <w:rFonts w:ascii="Arial" w:hAnsi="Arial"/>
        </w:rPr>
        <w:t xml:space="preserve">among studies that reported the years of </w:t>
      </w:r>
      <w:r w:rsidR="00017A16">
        <w:rPr>
          <w:rFonts w:ascii="Arial" w:hAnsi="Arial"/>
        </w:rPr>
        <w:t>investigation</w:t>
      </w:r>
      <w:r w:rsidR="00D33010" w:rsidRPr="00130D7E">
        <w:rPr>
          <w:rFonts w:ascii="Arial" w:hAnsi="Arial"/>
        </w:rPr>
        <w:t xml:space="preserve">, the median interval from </w:t>
      </w:r>
      <w:r w:rsidR="00017A16">
        <w:rPr>
          <w:rFonts w:ascii="Arial" w:hAnsi="Arial"/>
        </w:rPr>
        <w:t xml:space="preserve">midyear of study </w:t>
      </w:r>
      <w:r w:rsidR="000E1407">
        <w:rPr>
          <w:rFonts w:ascii="Arial" w:hAnsi="Arial"/>
        </w:rPr>
        <w:t>until publication was 4.5 years</w:t>
      </w:r>
      <w:r w:rsidR="00D33010" w:rsidRPr="00130D7E">
        <w:rPr>
          <w:rFonts w:ascii="Arial" w:hAnsi="Arial"/>
        </w:rPr>
        <w:t>.</w:t>
      </w:r>
    </w:p>
    <w:p w14:paraId="46E3F09C" w14:textId="77777777" w:rsidR="004E09CE" w:rsidRDefault="004E09CE">
      <w:pPr>
        <w:rPr>
          <w:rFonts w:ascii="Arial" w:hAnsi="Arial"/>
        </w:rPr>
      </w:pPr>
    </w:p>
    <w:p w14:paraId="26C896D5" w14:textId="08C792DB" w:rsidR="005A260B" w:rsidRDefault="004E09CE">
      <w:pPr>
        <w:rPr>
          <w:rFonts w:ascii="Arial" w:hAnsi="Arial"/>
        </w:rPr>
      </w:pPr>
      <w:r>
        <w:rPr>
          <w:rFonts w:ascii="Arial" w:hAnsi="Arial"/>
        </w:rPr>
        <w:t xml:space="preserve">The frequency of </w:t>
      </w:r>
      <w:r>
        <w:rPr>
          <w:rFonts w:ascii="Arial" w:hAnsi="Arial"/>
          <w:i/>
        </w:rPr>
        <w:t>S. pneumoniae</w:t>
      </w:r>
      <w:r w:rsidR="00CB4A9A">
        <w:rPr>
          <w:rFonts w:ascii="Arial" w:hAnsi="Arial"/>
        </w:rPr>
        <w:t xml:space="preserve"> was </w:t>
      </w:r>
      <w:r w:rsidR="00594292">
        <w:rPr>
          <w:rFonts w:ascii="Arial" w:hAnsi="Arial"/>
        </w:rPr>
        <w:t>defined</w:t>
      </w:r>
      <w:r w:rsidR="00CB4A9A">
        <w:rPr>
          <w:rFonts w:ascii="Arial" w:hAnsi="Arial"/>
        </w:rPr>
        <w:t xml:space="preserve"> </w:t>
      </w:r>
      <w:r w:rsidR="00594292">
        <w:rPr>
          <w:rFonts w:ascii="Arial" w:hAnsi="Arial"/>
        </w:rPr>
        <w:t>by</w:t>
      </w:r>
      <w:r>
        <w:rPr>
          <w:rFonts w:ascii="Arial" w:hAnsi="Arial"/>
        </w:rPr>
        <w:t xml:space="preserve"> the </w:t>
      </w:r>
      <w:r w:rsidR="004B228F">
        <w:rPr>
          <w:rFonts w:ascii="Arial" w:hAnsi="Arial"/>
        </w:rPr>
        <w:t xml:space="preserve">proportion of </w:t>
      </w:r>
      <w:r w:rsidR="00CB4A9A">
        <w:rPr>
          <w:rFonts w:ascii="Arial" w:hAnsi="Arial"/>
        </w:rPr>
        <w:t xml:space="preserve">CAP </w:t>
      </w:r>
      <w:r w:rsidR="004B228F">
        <w:rPr>
          <w:rFonts w:ascii="Arial" w:hAnsi="Arial"/>
        </w:rPr>
        <w:t>patients</w:t>
      </w:r>
      <w:r w:rsidR="00CB4A9A">
        <w:rPr>
          <w:rFonts w:ascii="Arial" w:hAnsi="Arial"/>
        </w:rPr>
        <w:t xml:space="preserve"> testing positive for the pneumococcus based on </w:t>
      </w:r>
      <w:r w:rsidR="00CB4A9A">
        <w:rPr>
          <w:rFonts w:ascii="Arial" w:hAnsi="Arial"/>
          <w:u w:val="single"/>
        </w:rPr>
        <w:t>&gt;</w:t>
      </w:r>
      <w:r w:rsidR="00CB4A9A">
        <w:rPr>
          <w:rFonts w:ascii="Arial" w:hAnsi="Arial"/>
        </w:rPr>
        <w:t xml:space="preserve"> 1 of the abovementioned </w:t>
      </w:r>
      <w:r w:rsidR="00A00F10">
        <w:rPr>
          <w:rFonts w:ascii="Arial" w:hAnsi="Arial"/>
        </w:rPr>
        <w:t>valid</w:t>
      </w:r>
      <w:r w:rsidR="00CB4A9A">
        <w:rPr>
          <w:rFonts w:ascii="Arial" w:hAnsi="Arial"/>
        </w:rPr>
        <w:t xml:space="preserve"> pneumococcal tests.</w:t>
      </w:r>
      <w:r w:rsidR="00594292">
        <w:rPr>
          <w:rFonts w:ascii="Arial" w:hAnsi="Arial"/>
        </w:rPr>
        <w:t xml:space="preserve"> </w:t>
      </w:r>
      <w:r w:rsidR="001A53CB">
        <w:rPr>
          <w:rFonts w:ascii="Arial" w:hAnsi="Arial"/>
        </w:rPr>
        <w:t xml:space="preserve">Patients testing positive for </w:t>
      </w:r>
      <w:r w:rsidR="001A53CB">
        <w:rPr>
          <w:rFonts w:ascii="Arial" w:hAnsi="Arial"/>
          <w:i/>
        </w:rPr>
        <w:t>S. pneumoniae</w:t>
      </w:r>
      <w:r w:rsidR="001A53CB">
        <w:rPr>
          <w:rFonts w:ascii="Arial" w:hAnsi="Arial"/>
        </w:rPr>
        <w:t xml:space="preserve"> plus an additional pathogen (i.e. coinfected) were included in numerator. </w:t>
      </w:r>
      <w:r w:rsidR="00594292">
        <w:rPr>
          <w:rFonts w:ascii="Arial" w:hAnsi="Arial"/>
        </w:rPr>
        <w:t xml:space="preserve">When possible, </w:t>
      </w:r>
      <w:r w:rsidR="00BA3440">
        <w:rPr>
          <w:rFonts w:ascii="Arial" w:hAnsi="Arial"/>
        </w:rPr>
        <w:t>efforts were made to remove from the</w:t>
      </w:r>
      <w:r w:rsidR="00594292">
        <w:rPr>
          <w:rFonts w:ascii="Arial" w:hAnsi="Arial"/>
        </w:rPr>
        <w:t xml:space="preserve"> denominator </w:t>
      </w:r>
      <w:r w:rsidR="00EB7D46">
        <w:rPr>
          <w:rFonts w:ascii="Arial" w:hAnsi="Arial"/>
        </w:rPr>
        <w:t>those</w:t>
      </w:r>
      <w:r w:rsidR="00BA3440">
        <w:rPr>
          <w:rFonts w:ascii="Arial" w:hAnsi="Arial"/>
        </w:rPr>
        <w:t xml:space="preserve"> patients with </w:t>
      </w:r>
      <w:r w:rsidR="00EB7D46">
        <w:rPr>
          <w:rFonts w:ascii="Arial" w:hAnsi="Arial"/>
        </w:rPr>
        <w:t xml:space="preserve">CAP of </w:t>
      </w:r>
      <w:r w:rsidR="00BA3440">
        <w:rPr>
          <w:rFonts w:ascii="Arial" w:hAnsi="Arial"/>
        </w:rPr>
        <w:t xml:space="preserve">unknown etiology who did not undergo </w:t>
      </w:r>
      <w:r w:rsidR="00BA3440">
        <w:rPr>
          <w:rFonts w:ascii="Arial" w:hAnsi="Arial"/>
          <w:u w:val="single"/>
        </w:rPr>
        <w:t>&gt;</w:t>
      </w:r>
      <w:r w:rsidR="00BA3440">
        <w:rPr>
          <w:rFonts w:ascii="Arial" w:hAnsi="Arial"/>
        </w:rPr>
        <w:t xml:space="preserve"> 1 </w:t>
      </w:r>
      <w:r w:rsidR="00A00F10">
        <w:rPr>
          <w:rFonts w:ascii="Arial" w:hAnsi="Arial"/>
        </w:rPr>
        <w:t>valid</w:t>
      </w:r>
      <w:r w:rsidR="00BA3440">
        <w:rPr>
          <w:rFonts w:ascii="Arial" w:hAnsi="Arial"/>
        </w:rPr>
        <w:t xml:space="preserve"> pneumococcal test</w:t>
      </w:r>
      <w:r w:rsidR="00EB7D46">
        <w:rPr>
          <w:rFonts w:ascii="Arial" w:hAnsi="Arial"/>
        </w:rPr>
        <w:t xml:space="preserve"> (other than blood culture)</w:t>
      </w:r>
      <w:r w:rsidR="00BA3440">
        <w:rPr>
          <w:rFonts w:ascii="Arial" w:hAnsi="Arial"/>
        </w:rPr>
        <w:t>.</w:t>
      </w:r>
      <w:r w:rsidR="001A53CB">
        <w:rPr>
          <w:rFonts w:ascii="Arial" w:hAnsi="Arial"/>
        </w:rPr>
        <w:t xml:space="preserve"> </w:t>
      </w:r>
      <w:r w:rsidR="00A00F10">
        <w:rPr>
          <w:rFonts w:ascii="Arial" w:hAnsi="Arial"/>
        </w:rPr>
        <w:t xml:space="preserve">The following tests were not considered valid </w:t>
      </w:r>
      <w:r w:rsidR="005401E3">
        <w:rPr>
          <w:rFonts w:ascii="Arial" w:hAnsi="Arial"/>
        </w:rPr>
        <w:t xml:space="preserve">tests for </w:t>
      </w:r>
      <w:r w:rsidR="005401E3">
        <w:rPr>
          <w:rFonts w:ascii="Arial" w:hAnsi="Arial"/>
          <w:i/>
        </w:rPr>
        <w:t>S. pneumoniae</w:t>
      </w:r>
      <w:r w:rsidR="00A00F10">
        <w:rPr>
          <w:rFonts w:ascii="Arial" w:hAnsi="Arial"/>
        </w:rPr>
        <w:t xml:space="preserve">: serology, serum or sputum antigen testing, and PCR performed on </w:t>
      </w:r>
      <w:r w:rsidR="005401E3">
        <w:rPr>
          <w:rFonts w:ascii="Arial" w:hAnsi="Arial"/>
        </w:rPr>
        <w:t>blood or a respiratory specimen.</w:t>
      </w:r>
    </w:p>
    <w:sectPr w:rsidR="005A260B" w:rsidSect="00742279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DE1DC" w14:textId="77777777" w:rsidR="004F220D" w:rsidRDefault="004F220D" w:rsidP="00842E06">
      <w:r>
        <w:separator/>
      </w:r>
    </w:p>
  </w:endnote>
  <w:endnote w:type="continuationSeparator" w:id="0">
    <w:p w14:paraId="5057DC93" w14:textId="77777777" w:rsidR="004F220D" w:rsidRDefault="004F220D" w:rsidP="0084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1CDE3" w14:textId="77777777" w:rsidR="004F220D" w:rsidRDefault="004F220D" w:rsidP="00842E06">
      <w:r>
        <w:separator/>
      </w:r>
    </w:p>
  </w:footnote>
  <w:footnote w:type="continuationSeparator" w:id="0">
    <w:p w14:paraId="78B34789" w14:textId="77777777" w:rsidR="004F220D" w:rsidRDefault="004F220D" w:rsidP="0084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264"/>
    <w:multiLevelType w:val="hybridMultilevel"/>
    <w:tmpl w:val="7878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C25D0"/>
    <w:multiLevelType w:val="hybridMultilevel"/>
    <w:tmpl w:val="C62C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82CF7"/>
    <w:multiLevelType w:val="hybridMultilevel"/>
    <w:tmpl w:val="69DCAC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3"/>
    <w:rsid w:val="000141E0"/>
    <w:rsid w:val="00017A16"/>
    <w:rsid w:val="00023B4D"/>
    <w:rsid w:val="000617E3"/>
    <w:rsid w:val="0007305D"/>
    <w:rsid w:val="000759D6"/>
    <w:rsid w:val="00091907"/>
    <w:rsid w:val="000E1407"/>
    <w:rsid w:val="000E175E"/>
    <w:rsid w:val="000E214F"/>
    <w:rsid w:val="00115250"/>
    <w:rsid w:val="0012012E"/>
    <w:rsid w:val="00125690"/>
    <w:rsid w:val="00130D7E"/>
    <w:rsid w:val="0013484A"/>
    <w:rsid w:val="00135397"/>
    <w:rsid w:val="00184587"/>
    <w:rsid w:val="00197A25"/>
    <w:rsid w:val="001A0EA7"/>
    <w:rsid w:val="001A53CB"/>
    <w:rsid w:val="001B60C7"/>
    <w:rsid w:val="001C5EA7"/>
    <w:rsid w:val="002510B5"/>
    <w:rsid w:val="002D7DE0"/>
    <w:rsid w:val="002E05BA"/>
    <w:rsid w:val="002F2392"/>
    <w:rsid w:val="002F78C6"/>
    <w:rsid w:val="00302413"/>
    <w:rsid w:val="00311185"/>
    <w:rsid w:val="00316F19"/>
    <w:rsid w:val="00370045"/>
    <w:rsid w:val="003B7F9A"/>
    <w:rsid w:val="003C735D"/>
    <w:rsid w:val="00414237"/>
    <w:rsid w:val="004453F3"/>
    <w:rsid w:val="00464769"/>
    <w:rsid w:val="00486FE2"/>
    <w:rsid w:val="004A6D70"/>
    <w:rsid w:val="004B228F"/>
    <w:rsid w:val="004D44D0"/>
    <w:rsid w:val="004D79C1"/>
    <w:rsid w:val="004E09CE"/>
    <w:rsid w:val="004F220D"/>
    <w:rsid w:val="00512847"/>
    <w:rsid w:val="0051417F"/>
    <w:rsid w:val="005401E3"/>
    <w:rsid w:val="00582F5A"/>
    <w:rsid w:val="00586D2F"/>
    <w:rsid w:val="00594292"/>
    <w:rsid w:val="00595692"/>
    <w:rsid w:val="005A260B"/>
    <w:rsid w:val="005A5098"/>
    <w:rsid w:val="005A52AF"/>
    <w:rsid w:val="005C2F26"/>
    <w:rsid w:val="00622361"/>
    <w:rsid w:val="006713E1"/>
    <w:rsid w:val="00693809"/>
    <w:rsid w:val="00695627"/>
    <w:rsid w:val="006A6EDA"/>
    <w:rsid w:val="006C0957"/>
    <w:rsid w:val="006D012A"/>
    <w:rsid w:val="006D13DF"/>
    <w:rsid w:val="006F52BC"/>
    <w:rsid w:val="00742279"/>
    <w:rsid w:val="00745E28"/>
    <w:rsid w:val="00761C11"/>
    <w:rsid w:val="00770425"/>
    <w:rsid w:val="00773AFE"/>
    <w:rsid w:val="007A2D2D"/>
    <w:rsid w:val="007C4D73"/>
    <w:rsid w:val="007D5966"/>
    <w:rsid w:val="007E6A32"/>
    <w:rsid w:val="0080257D"/>
    <w:rsid w:val="00812EC2"/>
    <w:rsid w:val="00842E06"/>
    <w:rsid w:val="00843F6A"/>
    <w:rsid w:val="00854342"/>
    <w:rsid w:val="008D0AA3"/>
    <w:rsid w:val="008F171A"/>
    <w:rsid w:val="008F4E4D"/>
    <w:rsid w:val="008F79A2"/>
    <w:rsid w:val="00905C8D"/>
    <w:rsid w:val="0091581B"/>
    <w:rsid w:val="009440B0"/>
    <w:rsid w:val="009A108A"/>
    <w:rsid w:val="009A2204"/>
    <w:rsid w:val="009D36E9"/>
    <w:rsid w:val="009E2EA9"/>
    <w:rsid w:val="009E79AD"/>
    <w:rsid w:val="009F08E4"/>
    <w:rsid w:val="00A00F10"/>
    <w:rsid w:val="00A07646"/>
    <w:rsid w:val="00A45045"/>
    <w:rsid w:val="00A46F6B"/>
    <w:rsid w:val="00A47702"/>
    <w:rsid w:val="00A64C2F"/>
    <w:rsid w:val="00A802FA"/>
    <w:rsid w:val="00AD0F19"/>
    <w:rsid w:val="00B06022"/>
    <w:rsid w:val="00B137CD"/>
    <w:rsid w:val="00B26BF2"/>
    <w:rsid w:val="00BA3440"/>
    <w:rsid w:val="00C05783"/>
    <w:rsid w:val="00C735A4"/>
    <w:rsid w:val="00CA1CE7"/>
    <w:rsid w:val="00CA280B"/>
    <w:rsid w:val="00CB4A9A"/>
    <w:rsid w:val="00CD2025"/>
    <w:rsid w:val="00CD48A2"/>
    <w:rsid w:val="00CE21E3"/>
    <w:rsid w:val="00CE22A3"/>
    <w:rsid w:val="00D25146"/>
    <w:rsid w:val="00D32E0B"/>
    <w:rsid w:val="00D33010"/>
    <w:rsid w:val="00D37977"/>
    <w:rsid w:val="00D90BF4"/>
    <w:rsid w:val="00D93389"/>
    <w:rsid w:val="00DA7A1E"/>
    <w:rsid w:val="00DE14DC"/>
    <w:rsid w:val="00DF7D3E"/>
    <w:rsid w:val="00E2603C"/>
    <w:rsid w:val="00E42E53"/>
    <w:rsid w:val="00E56DF6"/>
    <w:rsid w:val="00E8278C"/>
    <w:rsid w:val="00EA0D84"/>
    <w:rsid w:val="00EA4AAD"/>
    <w:rsid w:val="00EB3600"/>
    <w:rsid w:val="00EB3E19"/>
    <w:rsid w:val="00EB7D46"/>
    <w:rsid w:val="00EE62F8"/>
    <w:rsid w:val="00F072D5"/>
    <w:rsid w:val="00F11DA2"/>
    <w:rsid w:val="00F30E31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67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42E06"/>
  </w:style>
  <w:style w:type="character" w:customStyle="1" w:styleId="EndnoteTextChar">
    <w:name w:val="Endnote Text Char"/>
    <w:basedOn w:val="DefaultParagraphFont"/>
    <w:link w:val="EndnoteText"/>
    <w:uiPriority w:val="99"/>
    <w:rsid w:val="00842E06"/>
  </w:style>
  <w:style w:type="character" w:styleId="EndnoteReference">
    <w:name w:val="endnote reference"/>
    <w:basedOn w:val="DefaultParagraphFont"/>
    <w:uiPriority w:val="99"/>
    <w:unhideWhenUsed/>
    <w:rsid w:val="00842E06"/>
    <w:rPr>
      <w:vertAlign w:val="superscript"/>
    </w:rPr>
  </w:style>
  <w:style w:type="character" w:customStyle="1" w:styleId="jrnl">
    <w:name w:val="jrnl"/>
    <w:basedOn w:val="DefaultParagraphFont"/>
    <w:rsid w:val="006D13DF"/>
  </w:style>
  <w:style w:type="paragraph" w:styleId="ListParagraph">
    <w:name w:val="List Paragraph"/>
    <w:basedOn w:val="Normal"/>
    <w:uiPriority w:val="34"/>
    <w:qFormat/>
    <w:rsid w:val="002F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42E06"/>
  </w:style>
  <w:style w:type="character" w:customStyle="1" w:styleId="EndnoteTextChar">
    <w:name w:val="Endnote Text Char"/>
    <w:basedOn w:val="DefaultParagraphFont"/>
    <w:link w:val="EndnoteText"/>
    <w:uiPriority w:val="99"/>
    <w:rsid w:val="00842E06"/>
  </w:style>
  <w:style w:type="character" w:styleId="EndnoteReference">
    <w:name w:val="endnote reference"/>
    <w:basedOn w:val="DefaultParagraphFont"/>
    <w:uiPriority w:val="99"/>
    <w:unhideWhenUsed/>
    <w:rsid w:val="00842E06"/>
    <w:rPr>
      <w:vertAlign w:val="superscript"/>
    </w:rPr>
  </w:style>
  <w:style w:type="character" w:customStyle="1" w:styleId="jrnl">
    <w:name w:val="jrnl"/>
    <w:basedOn w:val="DefaultParagraphFont"/>
    <w:rsid w:val="006D13DF"/>
  </w:style>
  <w:style w:type="paragraph" w:styleId="ListParagraph">
    <w:name w:val="List Paragraph"/>
    <w:basedOn w:val="Normal"/>
    <w:uiPriority w:val="34"/>
    <w:qFormat/>
    <w:rsid w:val="002F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3F156-39DF-F843-B8D2-46CBDE25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711</Words>
  <Characters>4056</Characters>
  <Application>Microsoft Macintosh Word</Application>
  <DocSecurity>0</DocSecurity>
  <Lines>33</Lines>
  <Paragraphs>9</Paragraphs>
  <ScaleCrop>false</ScaleCrop>
  <Company>MGH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Abers</dc:creator>
  <cp:keywords/>
  <dc:description/>
  <cp:lastModifiedBy>Michael Abers</cp:lastModifiedBy>
  <cp:revision>100</cp:revision>
  <dcterms:created xsi:type="dcterms:W3CDTF">2017-01-25T10:05:00Z</dcterms:created>
  <dcterms:modified xsi:type="dcterms:W3CDTF">2017-05-28T03:26:00Z</dcterms:modified>
</cp:coreProperties>
</file>