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5A84D" w14:textId="21FFA52E" w:rsidR="000C40FD" w:rsidRDefault="007934F2" w:rsidP="002F6691">
      <w:pPr>
        <w:spacing w:after="0" w:line="240" w:lineRule="auto"/>
        <w:contextualSpacing/>
        <w:jc w:val="both"/>
        <w:rPr>
          <w:rFonts w:eastAsiaTheme="majorEastAsia" w:cstheme="minorHAnsi"/>
          <w:b/>
          <w:bCs/>
          <w:spacing w:val="-10"/>
          <w:kern w:val="28"/>
          <w:sz w:val="32"/>
          <w:szCs w:val="32"/>
        </w:rPr>
      </w:pPr>
      <w:r>
        <w:rPr>
          <w:rFonts w:eastAsiaTheme="majorEastAsia" w:cstheme="minorHAnsi"/>
          <w:b/>
          <w:bCs/>
          <w:spacing w:val="-10"/>
          <w:kern w:val="28"/>
          <w:sz w:val="32"/>
          <w:szCs w:val="32"/>
        </w:rPr>
        <w:t>Supplement</w:t>
      </w:r>
      <w:r w:rsidR="000C40FD">
        <w:rPr>
          <w:rFonts w:eastAsiaTheme="majorEastAsia" w:cstheme="minorHAnsi"/>
          <w:b/>
          <w:bCs/>
          <w:spacing w:val="-10"/>
          <w:kern w:val="28"/>
          <w:sz w:val="32"/>
          <w:szCs w:val="32"/>
        </w:rPr>
        <w:t>ary</w:t>
      </w:r>
      <w:r>
        <w:rPr>
          <w:rFonts w:eastAsiaTheme="majorEastAsia" w:cstheme="minorHAnsi"/>
          <w:b/>
          <w:bCs/>
          <w:spacing w:val="-10"/>
          <w:kern w:val="28"/>
          <w:sz w:val="32"/>
          <w:szCs w:val="32"/>
        </w:rPr>
        <w:t xml:space="preserve"> </w:t>
      </w:r>
      <w:r w:rsidR="00324A63">
        <w:rPr>
          <w:rFonts w:eastAsiaTheme="majorEastAsia" w:cstheme="minorHAnsi"/>
          <w:b/>
          <w:bCs/>
          <w:spacing w:val="-10"/>
          <w:kern w:val="28"/>
          <w:sz w:val="32"/>
          <w:szCs w:val="32"/>
        </w:rPr>
        <w:t xml:space="preserve">Material </w:t>
      </w:r>
    </w:p>
    <w:p w14:paraId="44733627" w14:textId="66D0915E" w:rsidR="00185C74" w:rsidRPr="00185C74" w:rsidRDefault="00185C74" w:rsidP="002F6691">
      <w:pPr>
        <w:spacing w:after="0" w:line="240" w:lineRule="auto"/>
        <w:contextualSpacing/>
        <w:jc w:val="both"/>
        <w:rPr>
          <w:rFonts w:eastAsiaTheme="majorEastAsia" w:cstheme="minorHAnsi"/>
          <w:b/>
          <w:bCs/>
          <w:spacing w:val="-10"/>
          <w:kern w:val="28"/>
          <w:sz w:val="32"/>
          <w:szCs w:val="32"/>
        </w:rPr>
      </w:pPr>
      <w:r w:rsidRPr="00185C74">
        <w:rPr>
          <w:rFonts w:eastAsiaTheme="majorEastAsia" w:cstheme="minorHAnsi"/>
          <w:b/>
          <w:bCs/>
          <w:spacing w:val="-10"/>
          <w:kern w:val="28"/>
          <w:sz w:val="32"/>
          <w:szCs w:val="32"/>
        </w:rPr>
        <w:t xml:space="preserve">SARS-CoV-2 </w:t>
      </w:r>
      <w:r w:rsidR="00D536AF" w:rsidRPr="00D536AF">
        <w:rPr>
          <w:rFonts w:eastAsiaTheme="majorEastAsia" w:cstheme="minorHAnsi"/>
          <w:b/>
          <w:bCs/>
          <w:spacing w:val="-10"/>
          <w:kern w:val="28"/>
          <w:sz w:val="32"/>
          <w:szCs w:val="32"/>
        </w:rPr>
        <w:t>setting-specific transmission</w:t>
      </w:r>
      <w:r w:rsidR="00D536AF">
        <w:rPr>
          <w:rFonts w:eastAsiaTheme="majorEastAsia" w:cstheme="minorHAnsi"/>
          <w:b/>
          <w:bCs/>
          <w:spacing w:val="-10"/>
          <w:kern w:val="28"/>
          <w:sz w:val="32"/>
          <w:szCs w:val="32"/>
        </w:rPr>
        <w:t xml:space="preserve"> </w:t>
      </w:r>
      <w:r w:rsidRPr="00185C74">
        <w:rPr>
          <w:rFonts w:eastAsiaTheme="majorEastAsia" w:cstheme="minorHAnsi"/>
          <w:b/>
          <w:bCs/>
          <w:spacing w:val="-10"/>
          <w:kern w:val="28"/>
          <w:sz w:val="32"/>
          <w:szCs w:val="32"/>
        </w:rPr>
        <w:t>rates: a systematic review and meta-analysis</w:t>
      </w:r>
    </w:p>
    <w:p w14:paraId="12F1539B" w14:textId="77777777" w:rsidR="00185C74" w:rsidRPr="00185C74" w:rsidRDefault="00185C74" w:rsidP="00185C74">
      <w:pPr>
        <w:spacing w:line="276" w:lineRule="auto"/>
        <w:ind w:left="1134"/>
        <w:jc w:val="both"/>
      </w:pPr>
    </w:p>
    <w:p w14:paraId="7DF8651D" w14:textId="7A34FD48" w:rsidR="009B02D9" w:rsidRDefault="009B02D9" w:rsidP="00EB40F2">
      <w:pPr>
        <w:spacing w:line="276" w:lineRule="auto"/>
        <w:jc w:val="both"/>
      </w:pPr>
      <w:r>
        <w:t>Hayley A Thompson</w:t>
      </w:r>
      <w:r>
        <w:rPr>
          <w:vertAlign w:val="superscript"/>
        </w:rPr>
        <w:t>1*</w:t>
      </w:r>
      <w:r>
        <w:t>, Andria Mousa</w:t>
      </w:r>
      <w:r>
        <w:rPr>
          <w:vertAlign w:val="superscript"/>
        </w:rPr>
        <w:t>1</w:t>
      </w:r>
      <w:r>
        <w:t>, Amy Dighe</w:t>
      </w:r>
      <w:r>
        <w:rPr>
          <w:vertAlign w:val="superscript"/>
        </w:rPr>
        <w:t>1</w:t>
      </w:r>
      <w:r>
        <w:t>, Han Fu</w:t>
      </w:r>
      <w:r>
        <w:rPr>
          <w:vertAlign w:val="superscript"/>
        </w:rPr>
        <w:t>1</w:t>
      </w:r>
      <w:r>
        <w:t>, Alberto Arnedo-Pena</w:t>
      </w:r>
      <w:r>
        <w:rPr>
          <w:vertAlign w:val="superscript"/>
        </w:rPr>
        <w:t>2,3</w:t>
      </w:r>
      <w:r>
        <w:t>, Peter Barrett</w:t>
      </w:r>
      <w:r>
        <w:rPr>
          <w:vertAlign w:val="superscript"/>
        </w:rPr>
        <w:t>4,5</w:t>
      </w:r>
      <w:r>
        <w:t>, Juan Bellido-Blasco</w:t>
      </w:r>
      <w:r>
        <w:rPr>
          <w:vertAlign w:val="superscript"/>
        </w:rPr>
        <w:t>2,3,6</w:t>
      </w:r>
      <w:r>
        <w:t>, Qifang Bi</w:t>
      </w:r>
      <w:r>
        <w:rPr>
          <w:vertAlign w:val="superscript"/>
        </w:rPr>
        <w:t>7</w:t>
      </w:r>
      <w:r>
        <w:t>, Antonio Caputi</w:t>
      </w:r>
      <w:r>
        <w:rPr>
          <w:vertAlign w:val="superscript"/>
        </w:rPr>
        <w:t>8</w:t>
      </w:r>
      <w:r>
        <w:t xml:space="preserve">, </w:t>
      </w:r>
      <w:proofErr w:type="spellStart"/>
      <w:r>
        <w:t>Liling</w:t>
      </w:r>
      <w:proofErr w:type="spellEnd"/>
      <w:r>
        <w:t xml:space="preserve"> Chaw</w:t>
      </w:r>
      <w:r>
        <w:rPr>
          <w:vertAlign w:val="superscript"/>
        </w:rPr>
        <w:t>9</w:t>
      </w:r>
      <w:r>
        <w:t>, Luigi De Maria</w:t>
      </w:r>
      <w:r>
        <w:rPr>
          <w:vertAlign w:val="superscript"/>
        </w:rPr>
        <w:t>8</w:t>
      </w:r>
      <w:r>
        <w:t>, Matthias Hoffmann</w:t>
      </w:r>
      <w:r>
        <w:rPr>
          <w:vertAlign w:val="superscript"/>
        </w:rPr>
        <w:t>10</w:t>
      </w:r>
      <w:r>
        <w:t>, Kiran Mahapure</w:t>
      </w:r>
      <w:r>
        <w:rPr>
          <w:vertAlign w:val="superscript"/>
        </w:rPr>
        <w:t>11</w:t>
      </w:r>
      <w:r>
        <w:t xml:space="preserve">, </w:t>
      </w:r>
      <w:proofErr w:type="spellStart"/>
      <w:r>
        <w:t>Kangqi</w:t>
      </w:r>
      <w:proofErr w:type="spellEnd"/>
      <w:r>
        <w:t xml:space="preserve"> Ng</w:t>
      </w:r>
      <w:r>
        <w:rPr>
          <w:vertAlign w:val="superscript"/>
        </w:rPr>
        <w:t>12</w:t>
      </w:r>
      <w:r>
        <w:t xml:space="preserve">, </w:t>
      </w:r>
      <w:proofErr w:type="spellStart"/>
      <w:r>
        <w:t>Jagadesan</w:t>
      </w:r>
      <w:proofErr w:type="spellEnd"/>
      <w:r>
        <w:t xml:space="preserve"> Raghuram</w:t>
      </w:r>
      <w:r>
        <w:rPr>
          <w:vertAlign w:val="superscript"/>
        </w:rPr>
        <w:t>12</w:t>
      </w:r>
      <w:r>
        <w:t>, Gurpreet Singh</w:t>
      </w:r>
      <w:r>
        <w:rPr>
          <w:vertAlign w:val="superscript"/>
        </w:rPr>
        <w:t>13</w:t>
      </w:r>
      <w:r>
        <w:t>, Biju Soman</w:t>
      </w:r>
      <w:r>
        <w:rPr>
          <w:vertAlign w:val="superscript"/>
        </w:rPr>
        <w:t>13</w:t>
      </w:r>
      <w:r>
        <w:t>, Vicente Soriano</w:t>
      </w:r>
      <w:r>
        <w:rPr>
          <w:vertAlign w:val="superscript"/>
        </w:rPr>
        <w:t>14</w:t>
      </w:r>
      <w:r>
        <w:t>, Francesca Valent</w:t>
      </w:r>
      <w:r>
        <w:rPr>
          <w:vertAlign w:val="superscript"/>
        </w:rPr>
        <w:t>15</w:t>
      </w:r>
      <w:r>
        <w:t>, Luigi Vimercati</w:t>
      </w:r>
      <w:r>
        <w:rPr>
          <w:vertAlign w:val="superscript"/>
        </w:rPr>
        <w:t>8</w:t>
      </w:r>
      <w:r>
        <w:t>, Ian Wee</w:t>
      </w:r>
      <w:r>
        <w:rPr>
          <w:vertAlign w:val="superscript"/>
        </w:rPr>
        <w:t>16</w:t>
      </w:r>
      <w:r>
        <w:t>, Justin Wong</w:t>
      </w:r>
      <w:r>
        <w:rPr>
          <w:vertAlign w:val="superscript"/>
        </w:rPr>
        <w:t>17,9</w:t>
      </w:r>
      <w:r>
        <w:t>, Azra C Ghani</w:t>
      </w:r>
      <w:r>
        <w:rPr>
          <w:vertAlign w:val="superscript"/>
        </w:rPr>
        <w:t>1</w:t>
      </w:r>
      <w:r>
        <w:t>, Neil M Ferguson</w:t>
      </w:r>
      <w:r>
        <w:rPr>
          <w:vertAlign w:val="superscript"/>
        </w:rPr>
        <w:t>1*</w:t>
      </w:r>
      <w:r>
        <w:t xml:space="preserve"> </w:t>
      </w:r>
    </w:p>
    <w:p w14:paraId="3D4C02C5" w14:textId="5DE5A712" w:rsidR="009B02D9" w:rsidRDefault="009B02D9" w:rsidP="009B02D9">
      <w:pPr>
        <w:pStyle w:val="ListParagraph"/>
        <w:numPr>
          <w:ilvl w:val="0"/>
          <w:numId w:val="1"/>
        </w:numPr>
      </w:pPr>
      <w:r>
        <w:t>MRC Centre for Global Infectious Disease Analysis &amp; WHO Collaborating Centre for Infectious Disease Modelling, Abdul Latif Jameel Institute for Disease and Emergency Analytics, Imperial College London, London, UK</w:t>
      </w:r>
    </w:p>
    <w:p w14:paraId="0110E98C" w14:textId="77777777" w:rsidR="009B02D9" w:rsidRDefault="009B02D9" w:rsidP="009B02D9">
      <w:pPr>
        <w:pStyle w:val="ListParagraph"/>
        <w:numPr>
          <w:ilvl w:val="0"/>
          <w:numId w:val="1"/>
        </w:numPr>
      </w:pPr>
      <w:proofErr w:type="spellStart"/>
      <w:r>
        <w:t>Sección</w:t>
      </w:r>
      <w:proofErr w:type="spellEnd"/>
      <w:r>
        <w:t xml:space="preserve"> de </w:t>
      </w:r>
      <w:proofErr w:type="spellStart"/>
      <w:r>
        <w:t>Epidemiología</w:t>
      </w:r>
      <w:proofErr w:type="spellEnd"/>
      <w:r>
        <w:t xml:space="preserve">. Centro de </w:t>
      </w:r>
      <w:proofErr w:type="spellStart"/>
      <w:r>
        <w:t>Salud</w:t>
      </w:r>
      <w:proofErr w:type="spellEnd"/>
      <w:r>
        <w:t xml:space="preserve"> </w:t>
      </w:r>
      <w:proofErr w:type="spellStart"/>
      <w:r>
        <w:t>Pública</w:t>
      </w:r>
      <w:proofErr w:type="spellEnd"/>
      <w:r>
        <w:t xml:space="preserve"> de </w:t>
      </w:r>
      <w:proofErr w:type="spellStart"/>
      <w:r>
        <w:t>Castellón</w:t>
      </w:r>
      <w:proofErr w:type="spellEnd"/>
      <w:r>
        <w:t>, Valencia, Spain</w:t>
      </w:r>
    </w:p>
    <w:p w14:paraId="00DC5969" w14:textId="77777777" w:rsidR="009B02D9" w:rsidRDefault="009B02D9" w:rsidP="009B02D9">
      <w:pPr>
        <w:pStyle w:val="ListParagraph"/>
        <w:numPr>
          <w:ilvl w:val="0"/>
          <w:numId w:val="1"/>
        </w:numPr>
      </w:pPr>
      <w:r>
        <w:t xml:space="preserve">Centro de </w:t>
      </w:r>
      <w:proofErr w:type="spellStart"/>
      <w:r>
        <w:t>Investigación</w:t>
      </w:r>
      <w:proofErr w:type="spellEnd"/>
      <w:r>
        <w:t xml:space="preserve"> </w:t>
      </w:r>
      <w:proofErr w:type="spellStart"/>
      <w:r>
        <w:t>Biomédica</w:t>
      </w:r>
      <w:proofErr w:type="spellEnd"/>
      <w:r>
        <w:t xml:space="preserve"> </w:t>
      </w:r>
      <w:proofErr w:type="spellStart"/>
      <w:r>
        <w:t>en</w:t>
      </w:r>
      <w:proofErr w:type="spellEnd"/>
      <w:r>
        <w:t xml:space="preserve"> Red de </w:t>
      </w:r>
      <w:proofErr w:type="spellStart"/>
      <w:r>
        <w:t>Epidemiología</w:t>
      </w:r>
      <w:proofErr w:type="spellEnd"/>
      <w:r>
        <w:t xml:space="preserve"> y </w:t>
      </w:r>
      <w:proofErr w:type="spellStart"/>
      <w:r>
        <w:t>Salud</w:t>
      </w:r>
      <w:proofErr w:type="spellEnd"/>
      <w:r>
        <w:t xml:space="preserve"> </w:t>
      </w:r>
      <w:proofErr w:type="spellStart"/>
      <w:r>
        <w:t>Pública</w:t>
      </w:r>
      <w:proofErr w:type="spellEnd"/>
      <w:r>
        <w:t xml:space="preserve"> (CIBERESP), Valencia, Spain</w:t>
      </w:r>
    </w:p>
    <w:p w14:paraId="205EB171" w14:textId="77777777" w:rsidR="009B02D9" w:rsidRDefault="009B02D9" w:rsidP="009B02D9">
      <w:pPr>
        <w:pStyle w:val="ListParagraph"/>
        <w:numPr>
          <w:ilvl w:val="0"/>
          <w:numId w:val="1"/>
        </w:numPr>
      </w:pPr>
      <w:r>
        <w:t xml:space="preserve">School of Public Health, University College Cork, Cork, Ireland </w:t>
      </w:r>
    </w:p>
    <w:p w14:paraId="6BCA060A" w14:textId="77777777" w:rsidR="009B02D9" w:rsidRDefault="009B02D9" w:rsidP="009B02D9">
      <w:pPr>
        <w:pStyle w:val="ListParagraph"/>
        <w:numPr>
          <w:ilvl w:val="0"/>
          <w:numId w:val="1"/>
        </w:numPr>
      </w:pPr>
      <w:r>
        <w:t>Irish Centre for Maternal and Child Health Research (INFANT), University College Cork, Cork, Ireland</w:t>
      </w:r>
      <w:r>
        <w:tab/>
      </w:r>
    </w:p>
    <w:p w14:paraId="405691DA" w14:textId="77777777" w:rsidR="009B02D9" w:rsidRDefault="009B02D9" w:rsidP="009B02D9">
      <w:pPr>
        <w:pStyle w:val="ListParagraph"/>
        <w:numPr>
          <w:ilvl w:val="0"/>
          <w:numId w:val="1"/>
        </w:numPr>
      </w:pPr>
      <w:proofErr w:type="spellStart"/>
      <w:r>
        <w:t>Facultad</w:t>
      </w:r>
      <w:proofErr w:type="spellEnd"/>
      <w:r>
        <w:t xml:space="preserve"> de </w:t>
      </w:r>
      <w:proofErr w:type="spellStart"/>
      <w:r>
        <w:t>Ciencias</w:t>
      </w:r>
      <w:proofErr w:type="spellEnd"/>
      <w:r>
        <w:t xml:space="preserve"> de la </w:t>
      </w:r>
      <w:proofErr w:type="spellStart"/>
      <w:r>
        <w:t>Salud</w:t>
      </w:r>
      <w:proofErr w:type="spellEnd"/>
      <w:r>
        <w:t xml:space="preserve">, </w:t>
      </w:r>
      <w:proofErr w:type="spellStart"/>
      <w:r>
        <w:t>Universitat</w:t>
      </w:r>
      <w:proofErr w:type="spellEnd"/>
      <w:r>
        <w:t xml:space="preserve"> Jaime I (UJI), </w:t>
      </w:r>
      <w:proofErr w:type="spellStart"/>
      <w:r>
        <w:t>Castelló</w:t>
      </w:r>
      <w:proofErr w:type="spellEnd"/>
      <w:r>
        <w:t>, Spain</w:t>
      </w:r>
    </w:p>
    <w:p w14:paraId="63E68CE9" w14:textId="77777777" w:rsidR="009B02D9" w:rsidRDefault="009B02D9" w:rsidP="009B02D9">
      <w:pPr>
        <w:pStyle w:val="ListParagraph"/>
        <w:numPr>
          <w:ilvl w:val="0"/>
          <w:numId w:val="1"/>
        </w:numPr>
      </w:pPr>
      <w:r>
        <w:t>Department of Epidemiology, Johns Hopkins Bloomberg School of Public Health, Baltimore, MD, USA</w:t>
      </w:r>
    </w:p>
    <w:p w14:paraId="1EB8B577" w14:textId="4E473761" w:rsidR="009B02D9" w:rsidRDefault="009B02D9" w:rsidP="009B02D9">
      <w:pPr>
        <w:pStyle w:val="ListParagraph"/>
        <w:numPr>
          <w:ilvl w:val="0"/>
          <w:numId w:val="1"/>
        </w:numPr>
      </w:pPr>
      <w:r>
        <w:t>Interdisciplinary Department of Medicine, University of Bari, Unit of Occupational Medicine, University Hospital of Bari, Bari, Italy</w:t>
      </w:r>
    </w:p>
    <w:p w14:paraId="465C01FE" w14:textId="77777777" w:rsidR="009B02D9" w:rsidRDefault="009B02D9" w:rsidP="009B02D9">
      <w:pPr>
        <w:pStyle w:val="ListParagraph"/>
        <w:numPr>
          <w:ilvl w:val="0"/>
          <w:numId w:val="1"/>
        </w:numPr>
      </w:pPr>
      <w:r>
        <w:t xml:space="preserve">PAPRSB Institute of Health Sciences, </w:t>
      </w:r>
      <w:proofErr w:type="spellStart"/>
      <w:r>
        <w:t>Universiti</w:t>
      </w:r>
      <w:proofErr w:type="spellEnd"/>
      <w:r>
        <w:t xml:space="preserve"> Brunei Darussalam, Jalan </w:t>
      </w:r>
      <w:proofErr w:type="spellStart"/>
      <w:r>
        <w:t>Tungku</w:t>
      </w:r>
      <w:proofErr w:type="spellEnd"/>
      <w:r>
        <w:t xml:space="preserve"> Link, Brunei</w:t>
      </w:r>
    </w:p>
    <w:p w14:paraId="52C54430" w14:textId="77777777" w:rsidR="009B02D9" w:rsidRDefault="009B02D9" w:rsidP="009B02D9">
      <w:pPr>
        <w:pStyle w:val="ListParagraph"/>
        <w:numPr>
          <w:ilvl w:val="0"/>
          <w:numId w:val="1"/>
        </w:numPr>
      </w:pPr>
      <w:r>
        <w:t xml:space="preserve">Division of General Internal Medicine, Infectious Diseases and Hospital Epidemiology, Cantonal Hospital </w:t>
      </w:r>
      <w:proofErr w:type="spellStart"/>
      <w:r>
        <w:t>Olten</w:t>
      </w:r>
      <w:proofErr w:type="spellEnd"/>
      <w:r>
        <w:t>, Switzerland</w:t>
      </w:r>
    </w:p>
    <w:p w14:paraId="74D5DA3F" w14:textId="77777777" w:rsidR="009B02D9" w:rsidRDefault="009B02D9" w:rsidP="009B02D9">
      <w:pPr>
        <w:pStyle w:val="ListParagraph"/>
        <w:numPr>
          <w:ilvl w:val="0"/>
          <w:numId w:val="1"/>
        </w:numPr>
      </w:pPr>
      <w:r>
        <w:t>Department of Plastic Surgery, Dr Prabhakar Kore Hospital and MRC, Belgaum, Karnataka, India</w:t>
      </w:r>
    </w:p>
    <w:p w14:paraId="2B0CC741" w14:textId="77777777" w:rsidR="009B02D9" w:rsidRDefault="009B02D9" w:rsidP="009B02D9">
      <w:pPr>
        <w:pStyle w:val="ListParagraph"/>
        <w:numPr>
          <w:ilvl w:val="0"/>
          <w:numId w:val="1"/>
        </w:numPr>
      </w:pPr>
      <w:r>
        <w:t>Changi General Hospital, Singapore</w:t>
      </w:r>
    </w:p>
    <w:p w14:paraId="2444C59B" w14:textId="77777777" w:rsidR="009B02D9" w:rsidRDefault="009B02D9" w:rsidP="009B02D9">
      <w:pPr>
        <w:pStyle w:val="ListParagraph"/>
        <w:numPr>
          <w:ilvl w:val="0"/>
          <w:numId w:val="1"/>
        </w:numPr>
      </w:pPr>
      <w:proofErr w:type="spellStart"/>
      <w:r>
        <w:t>Sree</w:t>
      </w:r>
      <w:proofErr w:type="spellEnd"/>
      <w:r>
        <w:t xml:space="preserve"> Chitra </w:t>
      </w:r>
      <w:proofErr w:type="spellStart"/>
      <w:r>
        <w:t>Tirunal</w:t>
      </w:r>
      <w:proofErr w:type="spellEnd"/>
      <w:r>
        <w:t xml:space="preserve"> Institute for Medical Sciences and Technology, Thiruvananthapuram, Kerala, India</w:t>
      </w:r>
    </w:p>
    <w:p w14:paraId="7D5D9F99" w14:textId="77777777" w:rsidR="009B02D9" w:rsidRDefault="009B02D9" w:rsidP="009B02D9">
      <w:pPr>
        <w:pStyle w:val="ListParagraph"/>
        <w:numPr>
          <w:ilvl w:val="0"/>
          <w:numId w:val="1"/>
        </w:numPr>
      </w:pPr>
      <w:r>
        <w:t xml:space="preserve">UNIR Health Sciences School &amp; Medical </w:t>
      </w:r>
      <w:proofErr w:type="spellStart"/>
      <w:r>
        <w:t>Center</w:t>
      </w:r>
      <w:proofErr w:type="spellEnd"/>
      <w:r>
        <w:t>, Madrid, Spain</w:t>
      </w:r>
    </w:p>
    <w:p w14:paraId="0BC0BE0D" w14:textId="1D2455EA" w:rsidR="009B02D9" w:rsidRDefault="009B02D9" w:rsidP="009B02D9">
      <w:pPr>
        <w:pStyle w:val="ListParagraph"/>
        <w:numPr>
          <w:ilvl w:val="0"/>
          <w:numId w:val="1"/>
        </w:numPr>
      </w:pPr>
      <w:r>
        <w:t xml:space="preserve">SOC </w:t>
      </w:r>
      <w:proofErr w:type="spellStart"/>
      <w:r>
        <w:t>Istituto</w:t>
      </w:r>
      <w:proofErr w:type="spellEnd"/>
      <w:r>
        <w:t xml:space="preserve"> di </w:t>
      </w:r>
      <w:proofErr w:type="spellStart"/>
      <w:r>
        <w:t>Igiene</w:t>
      </w:r>
      <w:proofErr w:type="spellEnd"/>
      <w:r>
        <w:t xml:space="preserve"> ed </w:t>
      </w:r>
      <w:proofErr w:type="spellStart"/>
      <w:r>
        <w:t>Epidemiologia</w:t>
      </w:r>
      <w:proofErr w:type="spellEnd"/>
      <w:r>
        <w:t xml:space="preserve"> </w:t>
      </w:r>
      <w:proofErr w:type="spellStart"/>
      <w:r>
        <w:t>Clinica</w:t>
      </w:r>
      <w:proofErr w:type="spellEnd"/>
      <w:r>
        <w:t xml:space="preserve">, </w:t>
      </w:r>
      <w:proofErr w:type="spellStart"/>
      <w:r>
        <w:t>Azienda</w:t>
      </w:r>
      <w:proofErr w:type="spellEnd"/>
      <w:r>
        <w:t xml:space="preserve"> Sanitaria </w:t>
      </w:r>
      <w:proofErr w:type="spellStart"/>
      <w:r>
        <w:t>Universitaria</w:t>
      </w:r>
      <w:proofErr w:type="spellEnd"/>
      <w:r>
        <w:t xml:space="preserve"> Friuli Centrale, Udine, Italy.</w:t>
      </w:r>
    </w:p>
    <w:p w14:paraId="7C47A9CC" w14:textId="77777777" w:rsidR="009B02D9" w:rsidRDefault="009B02D9" w:rsidP="009B02D9">
      <w:pPr>
        <w:pStyle w:val="ListParagraph"/>
        <w:numPr>
          <w:ilvl w:val="0"/>
          <w:numId w:val="1"/>
        </w:numPr>
      </w:pPr>
      <w:r>
        <w:t>Department of Infectious Diseases, Singapore General Hospital, Singapore, Singapore</w:t>
      </w:r>
    </w:p>
    <w:p w14:paraId="566F4C85" w14:textId="77777777" w:rsidR="009B02D9" w:rsidRDefault="009B02D9" w:rsidP="009B02D9">
      <w:pPr>
        <w:pStyle w:val="ListParagraph"/>
        <w:numPr>
          <w:ilvl w:val="0"/>
          <w:numId w:val="1"/>
        </w:numPr>
      </w:pPr>
      <w:r>
        <w:t>Disease Control Division, Ministry of Health, Brunei</w:t>
      </w:r>
    </w:p>
    <w:p w14:paraId="4407F28C" w14:textId="77777777" w:rsidR="00153218" w:rsidRDefault="00153218" w:rsidP="009B02D9">
      <w:pPr>
        <w:rPr>
          <w:b/>
        </w:rPr>
      </w:pPr>
    </w:p>
    <w:p w14:paraId="1947C72A" w14:textId="77777777" w:rsidR="00BC1D1E" w:rsidRDefault="00BC1D1E" w:rsidP="00BC1D1E">
      <w:pPr>
        <w:ind w:left="1134"/>
        <w:rPr>
          <w:bCs/>
        </w:rPr>
      </w:pPr>
    </w:p>
    <w:p w14:paraId="6F8A8E12" w14:textId="7A3E174A" w:rsidR="00986654" w:rsidRDefault="00A80249">
      <w:pPr>
        <w:rPr>
          <w:bCs/>
        </w:rPr>
      </w:pPr>
      <w:r w:rsidRPr="00717A2A">
        <w:rPr>
          <w:bCs/>
          <w:sz w:val="20"/>
          <w:szCs w:val="20"/>
        </w:rPr>
        <w:br/>
      </w:r>
      <w:r w:rsidRPr="00717A2A">
        <w:rPr>
          <w:bCs/>
          <w:sz w:val="20"/>
          <w:szCs w:val="20"/>
        </w:rPr>
        <w:tab/>
      </w:r>
      <w:r w:rsidRPr="00717A2A">
        <w:rPr>
          <w:bCs/>
          <w:sz w:val="20"/>
          <w:szCs w:val="20"/>
        </w:rPr>
        <w:tab/>
      </w:r>
      <w:r w:rsidR="00D103D7">
        <w:rPr>
          <w:bCs/>
        </w:rPr>
        <w:br w:type="page"/>
      </w:r>
    </w:p>
    <w:p w14:paraId="0139CFF9" w14:textId="4828D7FC" w:rsidR="00EB5CDE" w:rsidRDefault="00EB5CDE" w:rsidP="00EB5CDE">
      <w:pPr>
        <w:pStyle w:val="Heading2"/>
        <w:rPr>
          <w:rFonts w:asciiTheme="minorHAnsi" w:hAnsiTheme="minorHAnsi" w:cstheme="minorHAnsi"/>
          <w:sz w:val="28"/>
          <w:szCs w:val="28"/>
        </w:rPr>
      </w:pPr>
      <w:r w:rsidRPr="00A80249">
        <w:rPr>
          <w:rFonts w:asciiTheme="minorHAnsi" w:hAnsiTheme="minorHAnsi" w:cstheme="minorHAnsi"/>
          <w:sz w:val="28"/>
          <w:szCs w:val="28"/>
        </w:rPr>
        <w:lastRenderedPageBreak/>
        <w:t>Supplementary Methods</w:t>
      </w:r>
    </w:p>
    <w:p w14:paraId="61F2A73A" w14:textId="77777777" w:rsidR="00F91D8E" w:rsidRPr="00F91D8E" w:rsidRDefault="00F91D8E" w:rsidP="00F91D8E"/>
    <w:p w14:paraId="2BCBFA7F" w14:textId="77777777" w:rsidR="00DC0A95" w:rsidRDefault="00F91D8E" w:rsidP="009E09F8">
      <w:pPr>
        <w:jc w:val="both"/>
      </w:pPr>
      <w:r w:rsidRPr="00C86041">
        <w:t>We did not exclude articles based on quality scoring given the emergency response context within which the studies were conducted; articles that met the inclusion criteria for meta-analysis all had high quality scores and therefore no sensitivity analysis was conducted.</w:t>
      </w:r>
    </w:p>
    <w:p w14:paraId="5B9B40D0" w14:textId="4B55B207" w:rsidR="00EB5CDE" w:rsidRPr="00DC0A95" w:rsidRDefault="00EB5CDE" w:rsidP="009E09F8">
      <w:pPr>
        <w:jc w:val="both"/>
      </w:pPr>
      <w:r w:rsidRPr="00EB5CDE">
        <w:rPr>
          <w:rFonts w:eastAsiaTheme="minorEastAsia"/>
        </w:rPr>
        <w:t xml:space="preserve">For SAR estimates, we assume that the distribution of secondary cases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Pr="00EB5CDE">
        <w:rPr>
          <w:rFonts w:eastAsiaTheme="minorEastAsia"/>
        </w:rPr>
        <w:t xml:space="preserve"> from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oMath>
      <w:r w:rsidRPr="00EB5CDE">
        <w:rPr>
          <w:rFonts w:eastAsiaTheme="minorEastAsia"/>
        </w:rPr>
        <w:t xml:space="preserve"> close contacts for study </w:t>
      </w:r>
      <m:oMath>
        <m:r>
          <w:rPr>
            <w:rFonts w:ascii="Cambria Math" w:eastAsiaTheme="minorEastAsia" w:hAnsi="Cambria Math"/>
          </w:rPr>
          <m:t>i</m:t>
        </m:r>
      </m:oMath>
      <w:r w:rsidRPr="00EB5CDE">
        <w:rPr>
          <w:rFonts w:eastAsiaTheme="minorEastAsia"/>
        </w:rPr>
        <w:t xml:space="preserve"> is binomially distributed according to: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hAnsi="Cambria Math"/>
          </w:rPr>
          <m:t xml:space="preserve"> ~ Bin</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e>
        </m:d>
      </m:oMath>
      <w:r w:rsidRPr="00EB5CDE">
        <w:rPr>
          <w:rFonts w:eastAsiaTheme="minorEastAsia"/>
        </w:rPr>
        <w:t xml:space="preserve">, conditional on probability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sidRPr="00EB5CDE">
        <w:rPr>
          <w:rFonts w:eastAsiaTheme="minorEastAsia"/>
        </w:rPr>
        <w:t xml:space="preserve"> (the SAR). When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sidRPr="00EB5CDE">
        <w:rPr>
          <w:rFonts w:eastAsiaTheme="minorEastAsia"/>
        </w:rPr>
        <w:t xml:space="preserve"> varies across studies, a single binomial distribution cannot adequately describe this additional variation. To account for this, we assume that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sidRPr="00EB5CDE">
        <w:rPr>
          <w:rFonts w:eastAsiaTheme="minorEastAsia"/>
        </w:rPr>
        <w:t xml:space="preserve"> is drawn from a beta distribution which describes how attack rates from different studies relate to each other: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 xml:space="preserve"> ~ Beta</m:t>
        </m:r>
        <m:d>
          <m:dPr>
            <m:ctrlPr>
              <w:rPr>
                <w:rFonts w:ascii="Cambria Math" w:eastAsiaTheme="minorEastAsia" w:hAnsi="Cambria Math"/>
                <w:i/>
              </w:rPr>
            </m:ctrlPr>
          </m:dPr>
          <m:e>
            <m:r>
              <w:rPr>
                <w:rFonts w:ascii="Cambria Math" w:hAnsi="Cambria Math"/>
              </w:rPr>
              <m:t>α,β</m:t>
            </m:r>
            <m:ctrlPr>
              <w:rPr>
                <w:rFonts w:ascii="Cambria Math" w:hAnsi="Cambria Math"/>
                <w:i/>
              </w:rPr>
            </m:ctrlPr>
          </m:e>
        </m:d>
        <m:r>
          <w:rPr>
            <w:rFonts w:ascii="Cambria Math" w:hAnsi="Cambria Math"/>
          </w:rPr>
          <m:t xml:space="preserve">. </m:t>
        </m:r>
      </m:oMath>
      <w:r w:rsidRPr="00EB5CDE">
        <w:rPr>
          <w:rFonts w:eastAsiaTheme="minorEastAsia"/>
        </w:rPr>
        <w:t>Reparametrizing the beta distribution in terms of its mean</w:t>
      </w:r>
      <m:oMath>
        <m:r>
          <w:rPr>
            <w:rFonts w:ascii="Cambria Math" w:eastAsiaTheme="minorEastAsia" w:hAnsi="Cambria Math"/>
          </w:rPr>
          <m:t>: μ=α/</m:t>
        </m:r>
        <m:d>
          <m:dPr>
            <m:ctrlPr>
              <w:rPr>
                <w:rFonts w:ascii="Cambria Math" w:eastAsiaTheme="minorEastAsia" w:hAnsi="Cambria Math"/>
                <w:i/>
              </w:rPr>
            </m:ctrlPr>
          </m:dPr>
          <m:e>
            <m:r>
              <w:rPr>
                <w:rFonts w:ascii="Cambria Math" w:eastAsiaTheme="minorEastAsia" w:hAnsi="Cambria Math"/>
              </w:rPr>
              <m:t>α+ β</m:t>
            </m:r>
          </m:e>
        </m:d>
        <m:r>
          <w:rPr>
            <w:rFonts w:ascii="Cambria Math" w:eastAsiaTheme="minorEastAsia" w:hAnsi="Cambria Math"/>
          </w:rPr>
          <m:t>,</m:t>
        </m:r>
      </m:oMath>
      <w:r w:rsidRPr="00EB5CDE">
        <w:rPr>
          <w:rFonts w:eastAsiaTheme="minorEastAsia"/>
        </w:rPr>
        <w:t xml:space="preserve"> and variance:</w:t>
      </w:r>
      <m:oMath>
        <m:r>
          <w:rPr>
            <w:rFonts w:ascii="Cambria Math" w:eastAsiaTheme="minorEastAsia" w:hAnsi="Cambria Math"/>
          </w:rPr>
          <m:t>θ=1/</m:t>
        </m:r>
        <m:d>
          <m:dPr>
            <m:ctrlPr>
              <w:rPr>
                <w:rFonts w:ascii="Cambria Math" w:eastAsiaTheme="minorEastAsia" w:hAnsi="Cambria Math"/>
                <w:i/>
              </w:rPr>
            </m:ctrlPr>
          </m:dPr>
          <m:e>
            <m:r>
              <w:rPr>
                <w:rFonts w:ascii="Cambria Math" w:eastAsiaTheme="minorEastAsia" w:hAnsi="Cambria Math"/>
              </w:rPr>
              <m:t>α+ β</m:t>
            </m:r>
          </m:e>
        </m:d>
      </m:oMath>
      <w:r w:rsidRPr="00EB5CDE">
        <w:rPr>
          <w:rFonts w:eastAsiaTheme="minorEastAsia"/>
        </w:rPr>
        <w:t xml:space="preserve"> enables fitting this model to the pooled study data using maximum likelihood methods according to the log-likelihood equation: </w:t>
      </w:r>
    </w:p>
    <w:p w14:paraId="6E12597B" w14:textId="77777777" w:rsidR="00EB5CDE" w:rsidRPr="009E09F8" w:rsidRDefault="00EB5CDE" w:rsidP="00EB5CDE">
      <w:pPr>
        <w:spacing w:line="276" w:lineRule="auto"/>
        <w:ind w:left="720"/>
        <w:jc w:val="both"/>
        <w:rPr>
          <w:rFonts w:eastAsiaTheme="minorEastAsia"/>
        </w:rPr>
      </w:pPr>
      <m:oMathPara>
        <m:oMathParaPr>
          <m:jc m:val="center"/>
        </m:oMathParaPr>
        <m:oMath>
          <m:r>
            <w:rPr>
              <w:rFonts w:ascii="Cambria Math" w:eastAsiaTheme="minorEastAsia" w:hAnsi="Cambria Math"/>
            </w:rPr>
            <m:t>L</m:t>
          </m:r>
          <m:d>
            <m:dPr>
              <m:endChr m:val="|"/>
              <m:ctrlPr>
                <w:rPr>
                  <w:rFonts w:ascii="Cambria Math" w:eastAsiaTheme="minorEastAsia" w:hAnsi="Cambria Math"/>
                  <w:i/>
                </w:rPr>
              </m:ctrlPr>
            </m:dPr>
            <m:e>
              <m:r>
                <w:rPr>
                  <w:rFonts w:ascii="Cambria Math" w:eastAsiaTheme="minorEastAsia" w:hAnsi="Cambria Math"/>
                </w:rPr>
                <m:t>μ,θ</m:t>
              </m:r>
            </m:e>
          </m:d>
          <m:r>
            <w:rPr>
              <w:rFonts w:ascii="Cambria Math" w:eastAsiaTheme="minorEastAsia" w:hAnsi="Cambria Math"/>
            </w:rPr>
            <m:t xml:space="preserve">x,n)=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k</m:t>
              </m:r>
            </m:sup>
            <m:e>
              <m:d>
                <m:dPr>
                  <m:begChr m:val="["/>
                  <m:endChr m:val="]"/>
                  <m:ctrlPr>
                    <w:rPr>
                      <w:rFonts w:ascii="Cambria Math" w:eastAsiaTheme="minorEastAsia" w:hAnsi="Cambria Math"/>
                      <w:i/>
                    </w:rPr>
                  </m:ctrlPr>
                </m:dPr>
                <m:e>
                  <m:nary>
                    <m:naryPr>
                      <m:chr m:val="∑"/>
                      <m:limLoc m:val="undOvr"/>
                      <m:ctrlPr>
                        <w:rPr>
                          <w:rFonts w:ascii="Cambria Math" w:eastAsiaTheme="minorEastAsia" w:hAnsi="Cambria Math"/>
                          <w:i/>
                        </w:rPr>
                      </m:ctrlPr>
                    </m:naryPr>
                    <m:sub>
                      <m:r>
                        <w:rPr>
                          <w:rFonts w:ascii="Cambria Math" w:eastAsiaTheme="minorEastAsia" w:hAnsi="Cambria Math"/>
                        </w:rPr>
                        <m:t>r=0</m:t>
                      </m:r>
                    </m:sub>
                    <m:sup>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-1</m:t>
                      </m:r>
                    </m:sup>
                    <m:e>
                      <m:func>
                        <m:funcPr>
                          <m:ctrlPr>
                            <w:rPr>
                              <w:rFonts w:ascii="Cambria Math" w:eastAsiaTheme="minorEastAsia" w:hAnsi="Cambria Math"/>
                              <w:i/>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μ+rθ</m:t>
                              </m:r>
                            </m:e>
                          </m:d>
                        </m:e>
                      </m:func>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r=0</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-1</m:t>
                          </m:r>
                        </m:sup>
                        <m:e>
                          <m:func>
                            <m:funcPr>
                              <m:ctrlPr>
                                <w:rPr>
                                  <w:rFonts w:ascii="Cambria Math" w:eastAsiaTheme="minorEastAsia" w:hAnsi="Cambria Math"/>
                                  <w:i/>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1-μ+rθ</m:t>
                                  </m:r>
                                </m:e>
                              </m:d>
                            </m:e>
                          </m:func>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r=0</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up>
                            <m:e>
                              <m:r>
                                <m:rPr>
                                  <m:sty m:val="p"/>
                                </m:rPr>
                                <w:rPr>
                                  <w:rFonts w:ascii="Cambria Math" w:eastAsiaTheme="minorEastAsia" w:hAnsi="Cambria Math"/>
                                </w:rPr>
                                <m:t>log⁡</m:t>
                              </m:r>
                              <m:r>
                                <w:rPr>
                                  <w:rFonts w:ascii="Cambria Math" w:eastAsiaTheme="minorEastAsia" w:hAnsi="Cambria Math"/>
                                </w:rPr>
                                <m:t>(1+rθ)</m:t>
                              </m:r>
                            </m:e>
                          </m:nary>
                        </m:e>
                      </m:nary>
                    </m:e>
                  </m:nary>
                </m:e>
              </m:d>
            </m:e>
          </m:nary>
        </m:oMath>
      </m:oMathPara>
    </w:p>
    <w:p w14:paraId="40D3BBEC" w14:textId="53C2447E" w:rsidR="00521233" w:rsidRPr="00EB5CDE" w:rsidRDefault="00EB5CDE" w:rsidP="002F6691">
      <w:pPr>
        <w:jc w:val="both"/>
        <w:rPr>
          <w:rFonts w:eastAsiaTheme="minorEastAsia"/>
        </w:rPr>
      </w:pPr>
      <w:r w:rsidRPr="00EB5CDE">
        <w:rPr>
          <w:rFonts w:eastAsiaTheme="minorEastAsia"/>
        </w:rPr>
        <w:t xml:space="preserve">Where </w:t>
      </w:r>
      <m:oMath>
        <m:r>
          <w:rPr>
            <w:rFonts w:ascii="Cambria Math" w:eastAsiaTheme="minorEastAsia" w:hAnsi="Cambria Math"/>
          </w:rPr>
          <m:t xml:space="preserve">i </m:t>
        </m:r>
      </m:oMath>
      <w:r w:rsidRPr="00EB5CDE">
        <w:rPr>
          <w:rFonts w:eastAsiaTheme="minorEastAsia"/>
        </w:rPr>
        <w:t xml:space="preserve">and </w:t>
      </w:r>
      <m:oMath>
        <m:r>
          <w:rPr>
            <w:rFonts w:ascii="Cambria Math" w:eastAsiaTheme="minorEastAsia" w:hAnsi="Cambria Math"/>
          </w:rPr>
          <m:t>r</m:t>
        </m:r>
      </m:oMath>
      <w:r w:rsidRPr="00EB5CDE">
        <w:rPr>
          <w:rFonts w:eastAsiaTheme="minorEastAsia"/>
        </w:rPr>
        <w:t xml:space="preserve"> are running indexes, and </w:t>
      </w:r>
      <w:r w:rsidRPr="00EB5CDE">
        <w:rPr>
          <w:rFonts w:eastAsiaTheme="minorEastAsia"/>
          <w:i/>
          <w:iCs/>
        </w:rPr>
        <w:t>k</w:t>
      </w:r>
      <w:r w:rsidRPr="00EB5CDE">
        <w:rPr>
          <w:rFonts w:eastAsiaTheme="minorEastAsia"/>
        </w:rPr>
        <w:t xml:space="preserve"> is the total number of studies included</w:t>
      </w:r>
      <w:r w:rsidR="00CA443B">
        <w:rPr>
          <w:rFonts w:eastAsiaTheme="minorEastAsia"/>
        </w:rPr>
        <w:t xml:space="preserve"> </w:t>
      </w:r>
      <w:r w:rsidR="00CA443B">
        <w:rPr>
          <w:rFonts w:eastAsiaTheme="minorEastAsia"/>
        </w:rPr>
        <w:fldChar w:fldCharType="begin" w:fldLock="1"/>
      </w:r>
      <w:r w:rsidR="00AA7CB7">
        <w:rPr>
          <w:rFonts w:eastAsiaTheme="minorEastAsia"/>
        </w:rPr>
        <w:instrText>ADDIN CSL_CITATION {"citationItems":[{"id":"ITEM-1","itemData":{"DOI":"10.2307/2529820","ISSN":"0006341X","abstract":"This paper describes a parametric method for analyzing binary response data from completely randomized experiments in which the experimental units are animal litters. Responses within a litter are assumed to form a set of Bernoulli trials whose success probability varies between litters in the same treatment group according to a two parameter beta distribution. The parameters of the beta distribution for each treatment are estimated by maximum likelihood and treatment differences are tested by asymptotic likelihood ratio tests.","author":[{"dropping-particle":"","family":"Williams","given":"D. A.","non-dropping-particle":"","parse-names":false,"suffix":""}],"container-title":"Biometrics","id":"ITEM-1","issue":"4","issued":{"date-parts":[["1975","12"]]},"page":"949","publisher":"JSTOR","title":"394: The Analysis of Binary Responses from Toxicological Experiments Involving Reproduction and Teratogenicity","type":"article-journal","volume":"31"},"uris":["http://www.mendeley.com/documents/?uuid=a4203d19-e92f-37b5-bc0f-d2f7bac45060"]}],"mendeley":{"formattedCitation":"[1]","plainTextFormattedCitation":"[1]","previouslyFormattedCitation":"[1]"},"properties":{"noteIndex":0},"schema":"https://github.com/citation-style-language/schema/raw/master/csl-citation.json"}</w:instrText>
      </w:r>
      <w:r w:rsidR="00CA443B">
        <w:rPr>
          <w:rFonts w:eastAsiaTheme="minorEastAsia"/>
        </w:rPr>
        <w:fldChar w:fldCharType="separate"/>
      </w:r>
      <w:r w:rsidR="00CA443B" w:rsidRPr="00CA443B">
        <w:rPr>
          <w:rFonts w:eastAsiaTheme="minorEastAsia"/>
          <w:noProof/>
        </w:rPr>
        <w:t>[1]</w:t>
      </w:r>
      <w:r w:rsidR="00CA443B">
        <w:rPr>
          <w:rFonts w:eastAsiaTheme="minorEastAsia"/>
        </w:rPr>
        <w:fldChar w:fldCharType="end"/>
      </w:r>
      <w:r w:rsidRPr="00EB5CDE">
        <w:rPr>
          <w:rFonts w:eastAsiaTheme="minorEastAsia"/>
        </w:rPr>
        <w:t xml:space="preserve">. We report the mean of the resulting beta-binomial distribution and its corresponding 95% Confidence Interval as the pooled SAR across studies. </w:t>
      </w:r>
      <w:r w:rsidR="0019406B">
        <w:rPr>
          <w:rFonts w:eastAsiaTheme="minorEastAsia"/>
        </w:rPr>
        <w:t xml:space="preserve">The parameter </w:t>
      </w:r>
      <m:oMath>
        <m:r>
          <w:rPr>
            <w:rFonts w:ascii="Cambria Math" w:eastAsiaTheme="minorEastAsia" w:hAnsi="Cambria Math"/>
          </w:rPr>
          <m:t>γ</m:t>
        </m:r>
      </m:oMath>
      <w:r w:rsidR="0019406B">
        <w:rPr>
          <w:rFonts w:eastAsiaTheme="minorEastAsia"/>
        </w:rPr>
        <w:t xml:space="preserve"> of the beta-binomial distribution is defined as </w:t>
      </w:r>
      <m:oMath>
        <m:r>
          <w:rPr>
            <w:rFonts w:ascii="Cambria Math" w:eastAsiaTheme="minorEastAsia" w:hAnsi="Cambria Math"/>
          </w:rPr>
          <m:t>θ/(1+θ)</m:t>
        </m:r>
      </m:oMath>
      <w:r w:rsidR="00151A75">
        <w:rPr>
          <w:rFonts w:eastAsiaTheme="minorEastAsia"/>
        </w:rPr>
        <w:t xml:space="preserve">, </w:t>
      </w:r>
      <m:oMath>
        <m:r>
          <w:rPr>
            <w:rFonts w:ascii="Cambria Math" w:eastAsiaTheme="minorEastAsia" w:hAnsi="Cambria Math"/>
          </w:rPr>
          <m:t>0 ≤ γ ≤1</m:t>
        </m:r>
      </m:oMath>
      <w:r w:rsidR="00922966">
        <w:rPr>
          <w:rFonts w:eastAsiaTheme="minorEastAsia"/>
        </w:rPr>
        <w:t>,</w:t>
      </w:r>
      <w:r w:rsidR="00047A20">
        <w:rPr>
          <w:rFonts w:eastAsiaTheme="minorEastAsia"/>
        </w:rPr>
        <w:t xml:space="preserve"> and is a measure of the </w:t>
      </w:r>
      <w:r w:rsidR="003E5B00">
        <w:rPr>
          <w:rFonts w:eastAsiaTheme="minorEastAsia"/>
        </w:rPr>
        <w:t>variability in the study data</w:t>
      </w:r>
      <w:r w:rsidR="00922966">
        <w:rPr>
          <w:rFonts w:eastAsiaTheme="minorEastAsia"/>
        </w:rPr>
        <w:t>.</w:t>
      </w:r>
      <w:r w:rsidR="003E5B00">
        <w:rPr>
          <w:rFonts w:eastAsiaTheme="minorEastAsia"/>
        </w:rPr>
        <w:t xml:space="preserve"> With 0 indicating no overdispersion and 1 highly over dispersed data. </w:t>
      </w:r>
      <w:r w:rsidR="00922966">
        <w:rPr>
          <w:rFonts w:eastAsiaTheme="minorEastAsia"/>
        </w:rPr>
        <w:t xml:space="preserve"> </w:t>
      </w:r>
      <w:r w:rsidR="00521233">
        <w:rPr>
          <w:rFonts w:eastAsiaTheme="minorEastAsia"/>
        </w:rPr>
        <w:t xml:space="preserve">An advantage of </w:t>
      </w:r>
      <w:r w:rsidR="003E5B00">
        <w:rPr>
          <w:rFonts w:eastAsiaTheme="minorEastAsia"/>
        </w:rPr>
        <w:t>the beta-binomial</w:t>
      </w:r>
      <w:r w:rsidR="00521233">
        <w:rPr>
          <w:rFonts w:eastAsiaTheme="minorEastAsia"/>
        </w:rPr>
        <w:t xml:space="preserve"> </w:t>
      </w:r>
      <w:r w:rsidR="00FF2127">
        <w:rPr>
          <w:rFonts w:eastAsiaTheme="minorEastAsia"/>
        </w:rPr>
        <w:t xml:space="preserve">is that no transformations of the data are required and therefore no continuity corrections are needed to cope with zero </w:t>
      </w:r>
      <w:r w:rsidR="004D4039">
        <w:rPr>
          <w:rFonts w:eastAsiaTheme="minorEastAsia"/>
        </w:rPr>
        <w:t xml:space="preserve">numerators. </w:t>
      </w:r>
    </w:p>
    <w:p w14:paraId="7BF9F097" w14:textId="5ECA6C3D" w:rsidR="00EB5CDE" w:rsidRPr="00EB5CDE" w:rsidRDefault="00EB5CDE" w:rsidP="002F6691">
      <w:pPr>
        <w:jc w:val="both"/>
        <w:rPr>
          <w:rFonts w:eastAsiaTheme="minorEastAsia"/>
        </w:rPr>
      </w:pPr>
      <w:r w:rsidRPr="00EB5CDE">
        <w:rPr>
          <w:rFonts w:eastAsiaTheme="minorEastAsia"/>
        </w:rPr>
        <w:t>A similar approach was taken when estimating R</w:t>
      </w:r>
      <w:r w:rsidRPr="00EB5CDE">
        <w:rPr>
          <w:rFonts w:eastAsiaTheme="minorEastAsia"/>
          <w:vertAlign w:val="subscript"/>
        </w:rPr>
        <w:t>obs</w:t>
      </w:r>
      <w:r w:rsidRPr="00EB5CDE">
        <w:rPr>
          <w:rFonts w:eastAsiaTheme="minorEastAsia"/>
        </w:rPr>
        <w:t xml:space="preserve"> across studies employing a Poisson-Gamma model. Here we assume that the observed number of secondary cases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Pr="00EB5CDE">
        <w:rPr>
          <w:rFonts w:eastAsiaTheme="minorEastAsia"/>
        </w:rPr>
        <w:t xml:space="preserve"> from study </w:t>
      </w:r>
      <m:oMath>
        <m:r>
          <w:rPr>
            <w:rFonts w:ascii="Cambria Math" w:eastAsiaTheme="minorEastAsia" w:hAnsi="Cambria Math"/>
          </w:rPr>
          <m:t>i</m:t>
        </m:r>
      </m:oMath>
      <w:r w:rsidRPr="00EB5CDE">
        <w:rPr>
          <w:rFonts w:eastAsiaTheme="minorEastAsia"/>
        </w:rPr>
        <w:t xml:space="preserve"> </w:t>
      </w:r>
      <w:r w:rsidRPr="00EB5CDE">
        <w:t xml:space="preserve">is Poisson distributed according to: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hAnsi="Cambria Math"/>
          </w:rPr>
          <m:t xml:space="preserve"> ~ Poisson</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ctrlPr>
              <w:rPr>
                <w:rFonts w:ascii="Cambria Math" w:eastAsiaTheme="minorEastAsia" w:hAnsi="Cambria Math"/>
                <w:i/>
              </w:rPr>
            </m:ctrlPr>
          </m:e>
        </m:d>
      </m:oMath>
      <w:r w:rsidRPr="00EB5CDE">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oMath>
      <w:r w:rsidRPr="00EB5CDE">
        <w:rPr>
          <w:rFonts w:eastAsiaTheme="minorEastAsia"/>
        </w:rPr>
        <w:t xml:space="preserve"> is the number of index cases per study and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oMath>
      <w:r w:rsidRPr="00EB5CDE">
        <w:rPr>
          <w:rFonts w:eastAsiaTheme="minorEastAsia"/>
        </w:rPr>
        <w:t xml:space="preserve"> is the </w:t>
      </w:r>
      <w:proofErr w:type="gramStart"/>
      <w:r w:rsidRPr="00EB5CDE">
        <w:rPr>
          <w:rFonts w:eastAsiaTheme="minorEastAsia"/>
        </w:rPr>
        <w:t>study-specific</w:t>
      </w:r>
      <w:proofErr w:type="gramEnd"/>
      <w:r w:rsidRPr="00EB5CDE">
        <w:rPr>
          <w:rFonts w:eastAsiaTheme="minorEastAsia"/>
        </w:rPr>
        <w:t xml:space="preserve"> R</w:t>
      </w:r>
      <w:r w:rsidRPr="00EB5CDE">
        <w:rPr>
          <w:rFonts w:eastAsiaTheme="minorEastAsia"/>
          <w:vertAlign w:val="subscript"/>
        </w:rPr>
        <w:t>obs</w:t>
      </w:r>
      <w:r w:rsidRPr="00EB5CDE">
        <w:rPr>
          <w:rFonts w:eastAsiaTheme="minorEastAsia"/>
        </w:rPr>
        <w:t>.</w:t>
      </w:r>
      <w:r w:rsidRPr="00EB5CDE">
        <w:t xml:space="preserve"> We account for variation in </w:t>
      </w:r>
      <w:r w:rsidRPr="00EB5CDE">
        <w:rPr>
          <w:rFonts w:eastAsiaTheme="minorEastAsia"/>
        </w:rPr>
        <w:t>R</w:t>
      </w:r>
      <w:r w:rsidRPr="00EB5CDE">
        <w:rPr>
          <w:rFonts w:eastAsiaTheme="minorEastAsia"/>
          <w:vertAlign w:val="subscript"/>
        </w:rPr>
        <w:t>obs</w:t>
      </w:r>
      <w:r w:rsidRPr="00EB5CDE">
        <w:t xml:space="preserve"> across studies by </w:t>
      </w:r>
      <w:r w:rsidRPr="00EB5CDE">
        <w:rPr>
          <w:rFonts w:eastAsiaTheme="minorEastAsia"/>
        </w:rPr>
        <w:t xml:space="preserve">assuming that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oMath>
      <w:r w:rsidRPr="00EB5CDE">
        <w:rPr>
          <w:rFonts w:eastAsiaTheme="minorEastAsia"/>
        </w:rPr>
        <w:t xml:space="preserve"> is drawn from a gamma distribution: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 xml:space="preserve"> ~ Gamma</m:t>
        </m:r>
        <m:d>
          <m:dPr>
            <m:ctrlPr>
              <w:rPr>
                <w:rFonts w:ascii="Cambria Math" w:eastAsiaTheme="minorEastAsia" w:hAnsi="Cambria Math"/>
                <w:i/>
              </w:rPr>
            </m:ctrlPr>
          </m:dPr>
          <m:e>
            <m:r>
              <w:rPr>
                <w:rFonts w:ascii="Cambria Math" w:eastAsiaTheme="minorEastAsia" w:hAnsi="Cambria Math"/>
              </w:rPr>
              <m:t>α,β</m:t>
            </m:r>
          </m:e>
        </m:d>
      </m:oMath>
      <w:r w:rsidRPr="00EB5CDE">
        <w:rPr>
          <w:rFonts w:eastAsiaTheme="minorEastAsia"/>
        </w:rPr>
        <w:t xml:space="preserve"> with mean </w:t>
      </w:r>
      <m:oMath>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β</m:t>
            </m:r>
          </m:den>
        </m:f>
      </m:oMath>
      <w:r w:rsidRPr="00EB5CDE">
        <w:rPr>
          <w:rFonts w:eastAsiaTheme="minorEastAsia"/>
        </w:rPr>
        <w:t xml:space="preserve"> </w:t>
      </w:r>
      <w:r w:rsidR="001909E8" w:rsidRPr="00EB5CDE">
        <w:rPr>
          <w:rFonts w:eastAsiaTheme="minorEastAsia"/>
        </w:rPr>
        <w:t>equ</w:t>
      </w:r>
      <w:r w:rsidR="001909E8">
        <w:rPr>
          <w:rFonts w:eastAsiaTheme="minorEastAsia"/>
        </w:rPr>
        <w:t>ating</w:t>
      </w:r>
      <w:r w:rsidR="001909E8" w:rsidRPr="00EB5CDE">
        <w:rPr>
          <w:rFonts w:eastAsiaTheme="minorEastAsia"/>
        </w:rPr>
        <w:t xml:space="preserve"> </w:t>
      </w:r>
      <w:r w:rsidRPr="00EB5CDE">
        <w:rPr>
          <w:rFonts w:eastAsiaTheme="minorEastAsia"/>
        </w:rPr>
        <w:t>to the pooled estimate of R</w:t>
      </w:r>
      <w:r w:rsidRPr="00EB5CDE">
        <w:rPr>
          <w:rFonts w:eastAsiaTheme="minorEastAsia"/>
          <w:vertAlign w:val="subscript"/>
        </w:rPr>
        <w:t>obs</w:t>
      </w:r>
      <w:r w:rsidRPr="00EB5CDE">
        <w:rPr>
          <w:rFonts w:eastAsiaTheme="minorEastAsia"/>
        </w:rPr>
        <w:t xml:space="preserve"> across studies. This model is fitted to the pooled study data using maximum likelihood methods according to the log-likelihood equation: </w:t>
      </w:r>
    </w:p>
    <w:p w14:paraId="3E8FC4B2" w14:textId="452F4DF7" w:rsidR="00EB5CDE" w:rsidRPr="009E09F8" w:rsidRDefault="00EB5CDE" w:rsidP="00EB5CDE">
      <w:pPr>
        <w:ind w:left="720"/>
        <w:rPr>
          <w:rFonts w:eastAsiaTheme="minorEastAsia"/>
        </w:rPr>
      </w:pPr>
      <m:oMathPara>
        <m:oMathParaPr>
          <m:jc m:val="center"/>
        </m:oMathParaPr>
        <m:oMath>
          <m:r>
            <w:rPr>
              <w:rFonts w:ascii="Cambria Math" w:eastAsiaTheme="minorEastAsia" w:hAnsi="Cambria Math"/>
            </w:rPr>
            <m:t>L</m:t>
          </m:r>
          <m:d>
            <m:dPr>
              <m:ctrlPr>
                <w:rPr>
                  <w:rFonts w:ascii="Cambria Math" w:eastAsiaTheme="minorEastAsia" w:hAnsi="Cambria Math"/>
                  <w:i/>
                </w:rPr>
              </m:ctrlPr>
            </m:dPr>
            <m:e>
              <m:r>
                <w:rPr>
                  <w:rFonts w:ascii="Cambria Math" w:eastAsiaTheme="minorEastAsia" w:hAnsi="Cambria Math"/>
                </w:rPr>
                <m:t>α,</m:t>
              </m:r>
              <m:d>
                <m:dPr>
                  <m:begChr m:val=""/>
                  <m:endChr m:val="|"/>
                  <m:ctrlPr>
                    <w:rPr>
                      <w:rFonts w:ascii="Cambria Math" w:eastAsiaTheme="minorEastAsia" w:hAnsi="Cambria Math"/>
                      <w:i/>
                    </w:rPr>
                  </m:ctrlPr>
                </m:dPr>
                <m:e>
                  <m:r>
                    <w:rPr>
                      <w:rFonts w:ascii="Cambria Math" w:eastAsiaTheme="minorEastAsia" w:hAnsi="Cambria Math"/>
                    </w:rPr>
                    <m:t>β</m:t>
                  </m:r>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e>
          </m:d>
          <m:r>
            <w:rPr>
              <w:rFonts w:ascii="Cambria Math" w:eastAsiaTheme="minorEastAsia" w:hAnsi="Cambria Math"/>
            </w:rPr>
            <m:t>=</m:t>
          </m:r>
          <m:nary>
            <m:naryPr>
              <m:chr m:val="∑"/>
              <m:limLoc m:val="undOvr"/>
              <m:grow m:val="1"/>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k</m:t>
              </m:r>
            </m:sup>
            <m:e>
              <m:r>
                <m:rPr>
                  <m:sty m:val="p"/>
                </m:rPr>
                <w:rPr>
                  <w:rFonts w:ascii="Cambria Math" w:eastAsiaTheme="minorEastAsia" w:hAnsi="Cambria Math"/>
                </w:rPr>
                <m:t>log</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Γ</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+α</m:t>
                      </m:r>
                    </m:e>
                  </m:d>
                </m:num>
                <m:den>
                  <m:r>
                    <w:rPr>
                      <w:rFonts w:ascii="Cambria Math" w:eastAsiaTheme="minorEastAsia" w:hAnsi="Cambria Math"/>
                    </w:rPr>
                    <m:t>Γ</m:t>
                  </m:r>
                  <m:d>
                    <m:dPr>
                      <m:ctrlPr>
                        <w:rPr>
                          <w:rFonts w:ascii="Cambria Math" w:eastAsiaTheme="minorEastAsia" w:hAnsi="Cambria Math"/>
                          <w:i/>
                        </w:rPr>
                      </m:ctrlPr>
                    </m:dPr>
                    <m:e>
                      <m:r>
                        <w:rPr>
                          <w:rFonts w:ascii="Cambria Math" w:eastAsiaTheme="minorEastAsia" w:hAnsi="Cambria Math"/>
                        </w:rPr>
                        <m:t>a</m:t>
                      </m:r>
                    </m:e>
                  </m:d>
                </m:den>
              </m:f>
            </m:e>
          </m:nary>
          <m:r>
            <w:rPr>
              <w:rFonts w:ascii="Cambria Math" w:eastAsiaTheme="minorEastAsia" w:hAnsi="Cambria Math"/>
            </w:rPr>
            <m:t>+α</m:t>
          </m:r>
          <m:func>
            <m:funcPr>
              <m:ctrlPr>
                <w:rPr>
                  <w:rFonts w:ascii="Cambria Math" w:eastAsiaTheme="minorEastAsia" w:hAnsi="Cambria Math"/>
                  <w:i/>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β</m:t>
                  </m:r>
                </m:e>
              </m:d>
            </m:e>
          </m:func>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+α</m:t>
              </m:r>
            </m:e>
          </m:d>
          <m:func>
            <m:funcPr>
              <m:ctrlPr>
                <w:rPr>
                  <w:rFonts w:ascii="Cambria Math" w:eastAsiaTheme="minorEastAsia" w:hAnsi="Cambria Math"/>
                  <w:i/>
                </w:rPr>
              </m:ctrlPr>
            </m:funcPr>
            <m:fName>
              <m:r>
                <m:rPr>
                  <m:sty m:val="p"/>
                </m:rPr>
                <w:rPr>
                  <w:rFonts w:ascii="Cambria Math" w:eastAsiaTheme="minorEastAsia" w:hAnsi="Cambria Math"/>
                </w:rPr>
                <m:t>log</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r>
                    <w:rPr>
                      <w:rFonts w:ascii="Cambria Math" w:eastAsiaTheme="minorEastAsia" w:hAnsi="Cambria Math"/>
                    </w:rPr>
                    <m:t>+β</m:t>
                  </m:r>
                </m:e>
              </m:d>
            </m:e>
          </m:func>
        </m:oMath>
      </m:oMathPara>
    </w:p>
    <w:p w14:paraId="2C79B39C" w14:textId="18CCE003" w:rsidR="00EB5CDE" w:rsidRPr="00EB5CDE" w:rsidRDefault="00CA5A63" w:rsidP="009E09F8">
      <w:pPr>
        <w:jc w:val="both"/>
        <w:rPr>
          <w:rFonts w:eastAsiaTheme="minorEastAsia"/>
        </w:rPr>
      </w:pPr>
      <w:r>
        <w:rPr>
          <w:rFonts w:eastAsiaTheme="minorEastAsia"/>
        </w:rPr>
        <w:t xml:space="preserve">Significance tests were conducted to test for differences between </w:t>
      </w:r>
      <w:r w:rsidR="009A6104">
        <w:rPr>
          <w:rFonts w:eastAsiaTheme="minorEastAsia"/>
        </w:rPr>
        <w:t>sub-</w:t>
      </w:r>
      <w:r>
        <w:rPr>
          <w:rFonts w:eastAsiaTheme="minorEastAsia"/>
        </w:rPr>
        <w:t xml:space="preserve">group means </w:t>
      </w:r>
      <w:r w:rsidR="009A6104">
        <w:rPr>
          <w:rFonts w:eastAsiaTheme="minorEastAsia"/>
        </w:rPr>
        <w:t>for both transmission metrics</w:t>
      </w:r>
      <w:r>
        <w:rPr>
          <w:rFonts w:eastAsiaTheme="minorEastAsia"/>
        </w:rPr>
        <w:t xml:space="preserve"> using  likelihood ratio test</w:t>
      </w:r>
      <w:r w:rsidR="00CE23FF">
        <w:rPr>
          <w:rFonts w:eastAsiaTheme="minorEastAsia"/>
        </w:rPr>
        <w:t>s</w:t>
      </w:r>
      <w:r>
        <w:rPr>
          <w:rFonts w:eastAsiaTheme="minorEastAsia"/>
        </w:rPr>
        <w:t xml:space="preserve"> </w:t>
      </w:r>
      <w:r>
        <w:rPr>
          <w:rFonts w:eastAsiaTheme="minorEastAsia"/>
        </w:rPr>
        <w:fldChar w:fldCharType="begin" w:fldLock="1"/>
      </w:r>
      <w:r w:rsidR="0004151B">
        <w:rPr>
          <w:rFonts w:eastAsiaTheme="minorEastAsia"/>
        </w:rPr>
        <w:instrText>ADDIN CSL_CITATION {"citationItems":[{"id":"ITEM-1","itemData":{"DOI":"10.1093/bioinformatics/btp677","ISSN":"14602059","PMID":"20007255","abstract":"Motivation: Spectral count data generated from label-free tandem mass spectrometry-based proteomic experiments can be used to quantify protein's abundances reliably. Comparing spectral count data from different sample groups such as control and disease is an essential step in statistical analysis for the determination of altered protein level and biomarker discovery. The Fisher's exact test, the G-test, the t-test and the local-pooled-error technique (LPE) are commonly used for differential analysis of spectral count data. However, our initial experiments in two cancer studies show that the current methods are unable to declare at 95% confidence level a number of protein markers that have been judged to be differential on the basis of the biology of the disease and the spectral count numbers. A shortcoming of these tests is that they do not take into account within- and between-sample variations together. Hence, our aim is to improve upon existing techniques by incorporating both the within- and between-sample variations. Result: We propose to use the beta-binomial distribution to test the significance of differential protein abundances expressed in spectral counts in label-free mass spectrometry-based proteomics. The beta-binomial test naturally normalizes for total sample count. Experimental results show that the beta-binomial test performs favorably in comparison with other methods on several datasets in terms of both true detection rate and false positive rate. In addition, it can be applied for experiments with one or more replicates, and for multiple condition comparisons. Finally, we have implemented a software package for parameter estimation of two beta-binomial models and the associated statistical tests. Availability and implementation: A software package implemented in R is freely available for download at http://www.oncoproteomics.nl/. Contact: t.pham@vumc.nl Supplementary information: Supplementary data are available at Bioinformatics online. © The Author 2009. Published by Oxford University Press.","author":[{"dropping-particle":"V.","family":"Pham","given":"Thang","non-dropping-particle":"","parse-names":false,"suffix":""},{"dropping-particle":"","family":"Piersma","given":"Sander R.","non-dropping-particle":"","parse-names":false,"suffix":""},{"dropping-particle":"","family":"Warmoes","given":"Marc","non-dropping-particle":"","parse-names":false,"suffix":""},{"dropping-particle":"","family":"Jimenez","given":"Connie R.","non-dropping-particle":"","parse-names":false,"suffix":""}],"container-title":"Bioinformatics","id":"ITEM-1","issue":"3","issued":{"date-parts":[["2009","12","9"]]},"page":"363-369","publisher":"Oxford University Press","title":"On the beta-binomial model for analysis of spectral count data in label-free tandem mass spectrometry-based proteomics","type":"article-journal","volume":"26"},"uris":["http://www.mendeley.com/documents/?uuid=8b0d3a2f-9949-3dc8-b1d3-8470d17324e9"]},{"id":"ITEM-2","itemData":{"DOI":"10.2307/2529820","ISSN":"0006341X","abstract":"This paper describes a parametric method for analyzing binary response data from completely randomized experiments in which the experimental units are animal litters. Responses within a litter are assumed to form a set of Bernoulli trials whose success probability varies between litters in the same treatment group according to a two parameter beta distribution. The parameters of the beta distribution for each treatment are estimated by maximum likelihood and treatment differences are tested by asymptotic likelihood ratio tests.","author":[{"dropping-particle":"","family":"Williams","given":"D. A.","non-dropping-particle":"","parse-names":false,"suffix":""}],"container-title":"Biometrics","id":"ITEM-2","issue":"4","issued":{"date-parts":[["1975","12"]]},"page":"949","publisher":"JSTOR","title":"394: The Analysis of Binary Responses from Toxicological Experiments Involving Reproduction and Teratogenicity","type":"article-journal","volume":"31"},"uris":["http://www.mendeley.com/documents/?uuid=a4203d19-e92f-37b5-bc0f-d2f7bac45060"]},{"id":"ITEM-3","itemData":{"DOI":"10.1002/sim.3964","ISSN":"02776715","PMID":"20623822","abstract":"Meta-analysis provides a useful framework for combining information across related studies and has been widely utilized to combine data from clinical studies in order to evaluate treatment efficacy. More recently, meta-analysis has also been used to assess drug safety. However, because adverse events are typically rare, standard methods may not work well in this setting. Most popular methods use fixed or random effects models to combine effect estimates obtained separately for each individual study. In the context of very rare outcomes, effect estimates from individual studies may be unstable or even undefined. We propose alternative approaches based on Poisson random effects models to make inference about the relative risk between two treatment groups. Simulation studies show that the proposed methods perform well when the underlying event rates are low. The methods are illustrated using data from a recent meta-analysis (N. Engl. J. Med. 2007; 356(24):2457-2471) of 48 comparative trials involving rosiglitazone, a type 2 diabetes drug, with respect to its possible cardiovascular toxicity. Copyright © 2010 John Wiley &amp; Sons, Ltd.","author":[{"dropping-particle":"","family":"Cai","given":"Tianxi","non-dropping-particle":"","parse-names":false,"suffix":""},{"dropping-particle":"","family":"Parast","given":"Layla","non-dropping-particle":"","parse-names":false,"suffix":""},{"dropping-particle":"","family":"Ryan","given":"Louise","non-dropping-particle":"","parse-names":false,"suffix":""}],"container-title":"Statistics in Medicine","id":"ITEM-3","issue":"20","issued":{"date-parts":[["2010","9","10"]]},"page":"2078-2089","publisher":"NIH Public Access","title":"Meta-analysis for rare events","type":"article-journal","volume":"29"},"uris":["http://www.mendeley.com/documents/?uuid=23d46758-b918-34ad-909b-1ba43970db05"]}],"mendeley":{"formattedCitation":"[1–3]","plainTextFormattedCitation":"[1–3]","previouslyFormattedCitation":"[1–3]"},"properties":{"noteIndex":0},"schema":"https://github.com/citation-style-language/schema/raw/master/csl-citation.json"}</w:instrText>
      </w:r>
      <w:r>
        <w:rPr>
          <w:rFonts w:eastAsiaTheme="minorEastAsia"/>
        </w:rPr>
        <w:fldChar w:fldCharType="separate"/>
      </w:r>
      <w:r w:rsidR="00B058AB" w:rsidRPr="00B058AB">
        <w:rPr>
          <w:rFonts w:eastAsiaTheme="minorEastAsia"/>
          <w:noProof/>
        </w:rPr>
        <w:t>[1–3]</w:t>
      </w:r>
      <w:r>
        <w:rPr>
          <w:rFonts w:eastAsiaTheme="minorEastAsia"/>
        </w:rPr>
        <w:fldChar w:fldCharType="end"/>
      </w:r>
      <w:r>
        <w:rPr>
          <w:rFonts w:eastAsiaTheme="minorEastAsia"/>
        </w:rPr>
        <w:t>.</w:t>
      </w:r>
      <w:r w:rsidR="00FC6036" w:rsidRPr="00FC6036">
        <w:t xml:space="preserve"> </w:t>
      </w:r>
      <w:r w:rsidR="00FC6036" w:rsidRPr="00FC6036">
        <w:rPr>
          <w:rFonts w:eastAsiaTheme="minorEastAsia"/>
        </w:rPr>
        <w:t>All analysis was conducted using R version 3.6.3.</w:t>
      </w:r>
    </w:p>
    <w:p w14:paraId="7C7C4D43" w14:textId="53EC446F" w:rsidR="00A34BF5" w:rsidRDefault="00A34BF5">
      <w:pPr>
        <w:rPr>
          <w:rFonts w:asciiTheme="majorHAnsi" w:eastAsiaTheme="majorEastAsia" w:hAnsiTheme="majorHAnsi" w:cstheme="majorBidi"/>
          <w:b/>
          <w:sz w:val="26"/>
          <w:szCs w:val="26"/>
        </w:rPr>
      </w:pPr>
      <w:r>
        <w:br w:type="page"/>
      </w:r>
    </w:p>
    <w:p w14:paraId="269AB8E2" w14:textId="77777777" w:rsidR="00C77E4A" w:rsidRDefault="00C77E4A" w:rsidP="00D103D7">
      <w:pPr>
        <w:pStyle w:val="Heading2"/>
        <w:ind w:left="567"/>
        <w:sectPr w:rsidR="00C77E4A" w:rsidSect="002F6691">
          <w:headerReference w:type="default" r:id="rId11"/>
          <w:footerReference w:type="default" r:id="rId12"/>
          <w:pgSz w:w="11906" w:h="16838"/>
          <w:pgMar w:top="1440" w:right="1440" w:bottom="1440" w:left="1440" w:header="709" w:footer="709" w:gutter="0"/>
          <w:cols w:space="708"/>
          <w:docGrid w:linePitch="360"/>
        </w:sectPr>
      </w:pPr>
    </w:p>
    <w:p w14:paraId="13F5385E" w14:textId="48EDBCDA" w:rsidR="00D103D7" w:rsidRPr="00A80249" w:rsidRDefault="00D103D7" w:rsidP="002F6691">
      <w:pPr>
        <w:pStyle w:val="Heading2"/>
        <w:rPr>
          <w:rFonts w:asciiTheme="minorHAnsi" w:hAnsiTheme="minorHAnsi" w:cstheme="minorHAnsi"/>
          <w:b w:val="0"/>
          <w:bCs/>
          <w:sz w:val="28"/>
          <w:szCs w:val="28"/>
        </w:rPr>
      </w:pPr>
      <w:r w:rsidRPr="00A80249">
        <w:rPr>
          <w:rFonts w:asciiTheme="minorHAnsi" w:hAnsiTheme="minorHAnsi" w:cstheme="minorHAnsi"/>
          <w:sz w:val="28"/>
          <w:szCs w:val="28"/>
        </w:rPr>
        <w:lastRenderedPageBreak/>
        <w:t xml:space="preserve">Supplementary Results </w:t>
      </w:r>
    </w:p>
    <w:p w14:paraId="79846162" w14:textId="77777777" w:rsidR="00D103D7" w:rsidRPr="00D103D7" w:rsidRDefault="00D103D7" w:rsidP="00D103D7"/>
    <w:p w14:paraId="4E903DF0" w14:textId="6372E33D" w:rsidR="00D103D7" w:rsidRPr="00A80249" w:rsidRDefault="00D103D7" w:rsidP="002F6691">
      <w:pPr>
        <w:pStyle w:val="Heading2"/>
        <w:jc w:val="both"/>
        <w:rPr>
          <w:rFonts w:asciiTheme="minorHAnsi" w:hAnsiTheme="minorHAnsi" w:cstheme="minorHAnsi"/>
          <w:sz w:val="24"/>
          <w:szCs w:val="24"/>
        </w:rPr>
      </w:pPr>
      <w:r w:rsidRPr="00A80249">
        <w:rPr>
          <w:rFonts w:asciiTheme="minorHAnsi" w:hAnsiTheme="minorHAnsi" w:cstheme="minorHAnsi"/>
          <w:sz w:val="24"/>
          <w:szCs w:val="24"/>
        </w:rPr>
        <w:t>Schools</w:t>
      </w:r>
    </w:p>
    <w:p w14:paraId="0EA4FB01" w14:textId="77B89652" w:rsidR="00D103D7" w:rsidRDefault="00D103D7" w:rsidP="002F6691">
      <w:pPr>
        <w:jc w:val="both"/>
      </w:pPr>
      <w:r>
        <w:t>Studies reporting on school-based contacts of SARS-CoV-2 positive individuals were limited (</w:t>
      </w:r>
      <w:r w:rsidRPr="00C77E4A">
        <w:t>Table 2</w:t>
      </w:r>
      <w:r>
        <w:t xml:space="preserve">). We identified seven studies </w:t>
      </w:r>
      <w:r>
        <w:fldChar w:fldCharType="begin" w:fldLock="1"/>
      </w:r>
      <w:r w:rsidR="0004151B">
        <w:instrText>ADDIN CSL_CITATION {"citationItems":[{"id":"ITEM-1","itemData":{"DOI":"10.1136/bmjmilitary-2020-001482","ISBN":"2633-3767 (Print)\r2633-3767","PMID":"32303575","abstract":"INTRODUCTION: A new coronavirus, called Severe Acute Respiratory Syndrome-CoronaVirus-2 (SARS-CoV-2), has emerged from China in late 2019 and has now caused a worldwide pandemic. The impact of COVID-19 has not been described so far in a military setting. We therefore report a case series of infected patients in a recruit school in Switzerland and the herein associated challenges. METHODS: Retrospective review of COVID-19 cases among Swiss Armed Forces recruits in the early weeks of SARS-CoV-2 pandemic in the canton of Ticino, the southernmost canton of Switzerland. Positive cases were defined with two positive PCR testing for SARS-CoV-2 from nasopharyngeal swabs. Serological testing was performed with a commercially available kit according to manufacturers' instructions. RESULTS: The first case was likely contaminated while skiing during weekend permission. He became symptomatic 4 days later, tested positive for SARS-CoV-2 and was put into isolation. He showed complete symptom resolution after 48 hours. Quarantine was ordered for all recruits with close contact in the past 2 days, a total of 55 persons out of 140 in the company. Seven out of nine recruits in one particular quarantine room became mildly symptomatic. SARS-CoV-2 PCR was positive in one of them. Seven days after initial diagnosis, the index patient and the other one from the quarantine retested positive for SARS-CoV-2, although they had been completely asymptomatic for over 96 hours. Serological testing revealed positive for both patients. All others showed negative IgM and IgG. CONCLUSIONS: Young healthy recruits often showed a mild course of COVID-19 with rapid symptom decline but were persistent SARS-CoV-2 carriers. This illustrates how asymptomatic patients may be responsible for covert viral transmission. An early and prolonged establishment of isolation and quarantine for patients and close contacts is essential to slow down the spread of SARS-CoV-2, especially in the confined space of a military environment.","author":[{"dropping-particle":"","family":"Baettig","given":"S J","non-dropping-particle":"","parse-names":false,"suffix":""},{"dropping-particle":"","family":"Parini","given":"A","non-dropping-particle":"","parse-names":false,"suffix":""},{"dropping-particle":"","family":"Cardona","given":"I","non-dropping-particle":"","parse-names":false,"suffix":""},{"dropping-particle":"","family":"Morand","given":"G B","non-dropping-particle":"","parse-names":false,"suffix":""}],"container-title":"BMJ Mil Health","edition":"2020/04/19","id":"ITEM-1","issued":{"date-parts":[["2020"]]},"language":"eng","note":"2633-3775\nBaettig, Sascha J\nParini, A\nCardona, I\nOrcid: 0000-0002-8645-9626\nMorand, G B\nOrcid: 0000-0002-6150-6772\nJournal Article\nBMJ Mil Health. 2020 Apr 16:bmjmilitary-2020-001482. doi: 10.1136/bmjmilitary-2020-001482.","title":"Case series of coronavirus (SARS-CoV-2) in a military recruit school: clinical, sanitary and logistical implications","type":"article-journal"},"uris":["http://www.mendeley.com/documents/?uuid=72ddaa33-8326-415b-8dbf-4320f5fc88c2"]},{"id":"ITEM-2","itemData":{"DOI":"10.1093/cid/ciaa424","ISBN":"1058-4838","abstract":"On 7 February 2020, French Health authorities were informed of a confirmed case of severe acute respiratory syndrome coronavirus 2 (SARS-CoV-2) in an Englishman infected in Singapore who had recently stayed in a chalet in the French Alps. We conducted an investigation to identify secondary cases and interrupt transmission.We defined as a confirmed case a person linked to the chalet with a positive reverse-transcription polymerase chain reaction sample for SARS-CoV-2.The index case stayed 4 days in the chalet with 10 English tourists and a family of 5 French residents; SARS-CoV-2 was detected in 5 individuals in France, 6 in England (including the index case), and 1 in Spain (overall attack rate in the chalet: 75%). One pediatric case, with picornavirus and influenza A coinfection, visited 3 different schools while symptomatic. One case was asymptomatic, with similar viral load as that of a symptomatic case. Seven days after the first cases were diagnosed, 1 tertiary case was detected in a symptomatic patient with from the chalet a positive endotracheal aspirate; all previous and concurrent nasopharyngeal specimens were negative. Additionally, 172 contacts were monitored; all contacts tested for SARS-CoV-2 (N = 73) were negative.The occurrence in this cluster of 1 asymptomatic case with similar viral load as a symptomatic patient suggests transmission potential of asymptomatic individuals. The fact that an infected child did not transmit the disease despite close interactions within schools suggests potential different transmission dynamics in children. Finally, the dissociation between upper and lower respiratory tract results underscores the need for close monitoring of the clinical evolution of suspected cases of coronavirus disease 2019.","author":[{"dropping-particle":"","family":"Danis","given":"Kostas","non-dropping-particle":"","parse-names":false,"suffix":""},{"dropping-particle":"","family":"Epaulard","given":"Olivier","non-dropping-particle":"","parse-names":false,"suffix":""},{"dropping-particle":"","family":"Bénet","given":"Thomas","non-dropping-particle":"","parse-names":false,"suffix":""},{"dropping-particle":"","family":"Gaymard","given":"Alexandre","non-dropping-particle":"","parse-names":false,"suffix":""},{"dropping-particle":"","family":"Campoy","given":"Séphora","non-dropping-particle":"","parse-names":false,"suffix":""},{"dropping-particle":"","family":"Botelho-Nevers","given":"Elisabeth","non-dropping-particle":"","parse-names":false,"suffix":""},{"dropping-particle":"","family":"Bouscambert-Duchamp","given":"Maude","non-dropping-particle":"","parse-names":false,"suffix":""},{"dropping-particle":"","family":"Spaccaferri","given":"Guillaume","non-dropping-particle":"","parse-names":false,"suffix":""},{"dropping-particle":"","family":"Ader","given":"Florence","non-dropping-particle":"","parse-names":false,"suffix":""},{"dropping-particle":"","family":"Mailles","given":"Alexandra","non-dropping-particle":"","parse-names":false,"suffix":""},{"dropping-particle":"","family":"Boudalaa","given":"Zoubida","non-dropping-particle":"","parse-names":false,"suffix":""},{"dropping-particle":"","family":"Tolsma","given":"Violaine","non-dropping-particle":"","parse-names":false,"suffix":""},{"dropping-particle":"","family":"Berra","given":"Julien","non-dropping-particle":"","parse-names":false,"suffix":""},{"dropping-particle":"","family":"Vaux","given":"Sophie","non-dropping-particle":"","parse-names":false,"suffix":""},{"dropping-particle":"","family":"Forestier","given":"Emmanuel","non-dropping-particle":"","parse-names":false,"suffix":""},{"dropping-particle":"","family":"Landelle","given":"Caroline","non-dropping-particle":"","parse-names":false,"suffix":""},{"dropping-particle":"","family":"Fougere","given":"Erica","non-dropping-particle":"","parse-names":false,"suffix":""},{"dropping-particle":"","family":"Thabuis","given":"Alexandra","non-dropping-particle":"","parse-names":false,"suffix":""},{"dropping-particle":"","family":"Berthelot","given":"Philippe","non-dropping-particle":"","parse-names":false,"suffix":""},{"dropping-particle":"","family":"Veil","given":"Raphael","non-dropping-particle":"","parse-names":false,"suffix":""},{"dropping-particle":"","family":"Levy-Bruhl","given":"Daniel","non-dropping-particle":"","parse-names":false,"suffix":""},{"dropping-particle":"","family":"Chidiac","given":"Christian","non-dropping-particle":"","parse-names":false,"suffix":""},{"dropping-particle":"","family":"Lina","given":"Bruno","non-dropping-particle":"","parse-names":false,"suffix":""},{"dropping-particle":"","family":"Coignard","given":"Bruno","non-dropping-particle":"","parse-names":false,"suffix":""},{"dropping-particle":"","family":"Saura","given":"Christine","non-dropping-particle":"","parse-names":false,"suffix":""},{"dropping-particle":"","family":"Team","given":"Investigation","non-dropping-particle":"","parse-names":false,"suffix":""}],"container-title":"Clinical Infectious Diseases","id":"ITEM-2","issue":"15","issued":{"date-parts":[["2020"]]},"page":"825-832","title":"Cluster of Coronavirus Disease 2019 (COVID-19) in the French Alps, February 2020","type":"article-journal","volume":"71"},"uris":["http://www.mendeley.com/documents/?uuid=02721fe3-1db3-481d-b7f9-3d6ecca2703f"]},{"id":"ITEM-3","itemData":{"DOI":"10.1101/2020.04.18.20071134","abstract":"Background: The Oise department in France has been heavily affected by COVID-19 in early 2020. Methods: Between 30 March and 4 April 2020, we conducted a retrospective closed cohort study among pupils, their parents and siblings, as well as teachers and non-teaching staff of a high-school located in Oise. Participants completed a questionnaire that covered history of fever and/or respiratory symptoms since 13 January 2020 and had blood tested for the presence of anti-SARS-CoV-2 antibodies. The infection attack rate (IAR) was defined as the proportion of participants with confirmed SARS-CoV-2 infection based on antibody detection. Blood samples from two blood donor centres collected between 23 and 27 March 2020 in the Oise department were also tested for presence of anti-SARS-CoV-2 antibodies. Findings: Of the 661 participants (median age: 37 years), 171 participants had anti-SARS-CoV-2 antibodies. The overall IAR was 25.9% (95% confidence interval (CI) = 22.6-29.4), and the infection fatality rate was 0% (one-sided 97.5% CI = 0-2.1). Nine of the ten participants hospitalised since mid-January were in the infected group, giving a hospitalisation rate of 5.3% (95% CI = 2.4-9.8). Anosmia and ageusia had high positive predictive values for SARS-CoV-2 infection (84.7% and 88.1%, respectively). Smokers had a lower IAR compared to non-smokers (7.2% versus 28.0%, P &amp;lt;0.001). The proportion of infected individuals who had no symptoms during the study period was 17.0% (95% CI = 11.2-23.4). The proportion of donors with anti-SARS-CoV-2 antibodies in two nearby blood banks of the Oise department was 3.0% (95% CI = 1.1-6.4). Interpretation: The relatively low IAR observed in an area where SARS-CoV-2 actively circulated weeks before confinement measures indicates that establishing herd immunity will take time, and that lifting these measures in France will be long and complex.Competing Interest StatementThe authors have declared no competing interest.Clinical TrialNCT04325646Funding StatementInstitut Pasteur, CNRS, Université de Paris, Santé publique France, Labex IBEID (ANR-10-LABX-62-IBEID), REACTing, EU grant Recover, INCEPTION project (PIA/ANR-16-CONV-0005).Author DeclarationsAll relevant ethical guidelines have been followed; any necessary IRB and/or ethics committee approvals have been obtained and details of the IRB/oversight body are included in the manuscript.YesAll necessary patient/participant consent has been obtained and the appropriate institutional f…","author":[{"dropping-particle":"","family":"Fontanet","given":"Arnaud","non-dropping-particle":"","parse-names":false,"suffix":""},{"dropping-particle":"","family":"Tondeur","given":"Laura","non-dropping-particle":"","parse-names":false,"suffix":""},{"dropping-particle":"","family":"Madec","given":"Yoann","non-dropping-particle":"","parse-names":false,"suffix":""},{"dropping-particle":"","family":"Grant","given":"Rebecca","non-dropping-particle":"","parse-names":false,"suffix":""},{"dropping-particle":"","family":"Besombes","given":"Camille","non-dropping-particle":"","parse-names":false,"suffix":""},{"dropping-particle":"","family":"Jolly","given":"Nathalie","non-dropping-particle":"","parse-names":false,"suffix":""},{"dropping-particle":"","family":"Fernandes Pellerin","given":"Sandrine","non-dropping-particle":"","parse-names":false,"suffix":""},{"dropping-particle":"","family":"Ungeheuer","given":"Marie-Noelle","non-dropping-particle":"","parse-names":false,"suffix":""},{"dropping-particle":"","family":"Cailleau","given":"Isabelle","non-dropping-particle":"","parse-names":false,"suffix":""},{"dropping-particle":"","family":"Kuhmel","given":"Lucie","non-dropping-particle":"","parse-names":false,"suffix":""},{"dropping-particle":"","family":"Temmam","given":"Sarah","non-dropping-particle":"","parse-names":false,"suffix":""},{"dropping-particle":"","family":"Huon","given":"Christele","non-dropping-particle":"","parse-names":false,"suffix":""},{"dropping-particle":"","family":"Chen","given":"Kuang-Yu","non-dropping-particle":"","parse-names":false,"suffix":""},{"dropping-particle":"","family":"Crescenzo","given":"Bernadette","non-dropping-particle":"","parse-names":false,"suffix":""},{"dropping-particle":"","family":"Munier","given":"Sandie","non-dropping-particle":"","parse-names":false,"suffix":""},{"dropping-particle":"","family":"Demeret","given":"Caroline","non-dropping-particle":"","parse-names":false,"suffix":""},{"dropping-particle":"","family":"Grzelak","given":"Ludivine","non-dropping-particle":"","parse-names":false,"suffix":""},{"dropping-particle":"","family":"Staropoli","given":"Isabelle","non-dropping-particle":"","parse-names":false,"suffix":""},{"dropping-particle":"","family":"Bruel","given":"Timothee","non-dropping-particle":"","parse-names":false,"suffix":""},{"dropping-particle":"","family":"Gallian","given":"Pierre","non-dropping-particle":"","parse-names":false,"suffix":""},{"dropping-particle":"","family":"Cauchemez","given":"Simon","non-dropping-particle":"","parse-names":false,"suffix":""},{"dropping-particle":"","family":"Werf","given":"Sylvie","non-dropping-particle":"van der","parse-names":false,"suffix":""},{"dropping-particle":"","family":"Schwartz","given":"Olivier","non-dropping-particle":"","parse-names":false,"suffix":""},{"dropping-particle":"","family":"Eloit","given":"Marc","non-dropping-particle":"","parse-names":false,"suffix":""},{"dropping-particle":"","family":"Hoen","given":"Bruno","non-dropping-particle":"","parse-names":false,"suffix":""}],"container-title":"medRxiv","id":"ITEM-3","issued":{"date-parts":[["2020"]]},"page":"2020.04.18.20071134","title":"Cluster of COVID-19 in northern France: A retrospective closed cohort study","type":"article-journal"},"uris":["http://www.mendeley.com/documents/?uuid=7b66e11a-c940-409d-942f-aad59ba052d1"]},{"id":"ITEM-4","itemData":{"DOI":"10.1101/2020.06.25.20140178","abstract":"Background: The extent of SARS-CoV-2 transmission among pupils in primary schools and their families is unknown. Methods: Between 28-30 April 2020, a retrospective cohort study was conducted among pupils, their parents and relatives, and staff of primary schools exposed to SARS-CoV-2 in February and March 2020 in a city north of Paris, France. Participants completed a questionnaire that covered sociodemographic information and history of recent symptoms. A blood sample was tested for the presence of anti-SARS-CoV-2 antibodies using a flow-cytometry-based assay. Results: The infection attack rate (IAR) was 45/510 (8.8%), 3/42 (7.1%), 1/28 (3.6%), 76/641 (11.9%) and 14/119 (11.8%) among primary school pupils, teachers, non-teaching staff, parents, and relatives, respectively (P = 0.29). Prior to school closure on February 14, three SARS-CoV-2 infected pupils attended three separate schools with no secondary cases in the following 14 days among pupils, teachers and non-teaching staff of the same schools. Familial clustering of cases was documented by the high proportion of antibodies among parents and relatives of infected pupils (36/59 = 61.0% and 4/9 = 44.4%, respectively). In children, disease manifestations were mild, and 24/58 (41.4%) of infected children were asymptomatic. Interpretation: In young children, SARS-CoV-2 infection was largely mild or asymptomatic and there was no evidence of onwards transmission from children in the school setting.Competing Interest StatementThe authors have declared no competing interest.Clinical TrialNCT04325646Funding StatementInstitut Pasteur, Labex IBEID (ANR-10-LABX-62-IBEID), INCEPTION project (PIA/ANR-16-CONV-0005).Author DeclarationsI confirm all relevant ethical guidelines have been followed, and any necessary IRB and/or ethics committee approvals have been obtained.YesThe details of the IRB/oversight body that provided approval or exemption for the research described are given below:IRB: Comite de Protection des Personnes Ile de France IIIAll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author":[{"dropping-particle":"","family":"Fontanet","given":"Arnaud","non-dropping-particle":"","parse-names":false,"suffix":""},{"dropping-particle":"","family":"Grant","given":"Rebecca","non-dropping-particle":"","parse-names":false,"suffix":""},{"dropping-particle":"","family":"Tondeur","given":"Laura","non-dropping-particle":"","parse-names":false,"suffix":""},{"dropping-particle":"","family":"Madec","given":"Yoann","non-dropping-particle":"","parse-names":false,"suffix":""},{"dropping-particle":"","family":"Grzelak","given":"Ludivine","non-dropping-particle":"","parse-names":false,"suffix":""},{"dropping-particle":"","family":"Cailleau","given":"Isabelle","non-dropping-particle":"","parse-names":false,"suffix":""},{"dropping-particle":"","family":"Ungeheuer","given":"Marie-Noelle","non-dropping-particle":"","parse-names":false,"suffix":""},{"dropping-particle":"","family":"Renaudat","given":"Charlotte","non-dropping-particle":"","parse-names":false,"suffix":""},{"dropping-particle":"","family":"Fernandes Pellerin","given":"Sandrine","non-dropping-particle":"","parse-names":false,"suffix":""},{"dropping-particle":"","family":"Kuhmel","given":"Lucie","non-dropping-particle":"","parse-names":false,"suffix":""},{"dropping-particle":"","family":"Staropoli","given":"Isabelle","non-dropping-particle":"","parse-names":false,"suffix":""},{"dropping-particle":"","family":"Anna","given":"Francois","non-dropping-particle":"","parse-names":false,"suffix":""},{"dropping-particle":"","family":"Charneau","given":"Pierre","non-dropping-particle":"","parse-names":false,"suffix":""},{"dropping-particle":"","family":"Demeret","given":"Caroline","non-dropping-particle":"","parse-names":false,"suffix":""},{"dropping-particle":"","family":"Bruel","given":"Timothee","non-dropping-particle":"","parse-names":false,"suffix":""},{"dropping-particle":"","family":"Schwartz","given":"Olivier","non-dropping-particle":"","parse-names":false,"suffix":""},{"dropping-particle":"","family":"Hoen","given":"Bruno","non-dropping-particle":"","parse-names":false,"suffix":""}],"container-title":"medRxiv","id":"ITEM-4","issued":{"date-parts":[["2020"]]},"page":"2020.06.25.20140178","title":"SARS-CoV-2 infection in primary schools in northern France: A retrospective cohort study in an area of high transmission","type":"article-journal"},"uris":["http://www.mendeley.com/documents/?uuid=348f3eb6-8097-469b-b938-f902a037cf17"]},{"id":"ITEM-5","itemData":{"DOI":"10.2807/1560-7917.ES.2020.25.21.2000903","ISBN":"1560-7917\r1025-496X","PMID":"32489179","abstract":"As many countries begin to lift some of the restrictions to contain COVID-19 spread, lack of evidence of transmission in the school setting remains. We examined Irish notifications of SARS-CoV2 in the school setting before school closures on 12 March 2020 and identified no paediatric transmission. This adds to current evidence that children do not appear to be drivers of transmission, and we argue that reopening schools should be considered safe accompanied by certain measures.","author":[{"dropping-particle":"","family":"Heavey","given":"Laura","non-dropping-particle":"","parse-names":false,"suffix":""},{"dropping-particle":"","family":"Casey","given":"Geraldine","non-dropping-particle":"","parse-names":false,"suffix":""},{"dropping-particle":"","family":"Kelly","given":"Ciara","non-dropping-particle":"","parse-names":false,"suffix":""},{"dropping-particle":"","family":"Kelly","given":"David","non-dropping-particle":"","parse-names":false,"suffix":""},{"dropping-particle":"","family":"McDarby","given":"Geraldine","non-dropping-particle":"","parse-names":false,"suffix":""}],"container-title":"Euro surveillance : bulletin Europeen sur les maladies transmissibles = European communicable disease bulletin","id":"ITEM-5","issue":"21","issued":{"date-parts":[["2020"]]},"language":"eng","note":"32489179[pmid]\nPMC7268273[pmcid]","page":"2000903","publisher":"European Centre for Disease Prevention and Control (ECDC)","title":"No evidence of secondary transmission of COVID-19 from children attending school in Ireland, 2020","type":"article-journal","volume":"25"},"uris":["http://www.mendeley.com/documents/?uuid=56028722-732c-411a-97d8-3c953d1e0b4b"]},{"id":"ITEM-6","itemData":{"ISBN":"2352-4642","author":[{"dropping-particle":"","family":"Macartney","given":"Kristine","non-dropping-particle":"","parse-names":false,"suffix":""},{"dropping-particle":"","family":"Quinn","given":"Helen E","non-dropping-particle":"","parse-names":false,"suffix":""},{"dropping-particle":"","family":"Pillsbury","given":"Alexis J","non-dropping-particle":"","parse-names":false,"suffix":""},{"dropping-particle":"","family":"Koirala","given":"Archana","non-dropping-particle":"","parse-names":false,"suffix":""},{"dropping-particle":"","family":"Deng","given":"Lucy","non-dropping-particle":"","parse-names":false,"suffix":""},{"dropping-particle":"","family":"Winkler","given":"Noni","non-dropping-particle":"","parse-names":false,"suffix":""},{"dropping-particle":"","family":"Katelaris","given":"Anthea L","non-dropping-particle":"","parse-names":false,"suffix":""},{"dropping-particle":"","family":"O'Sullivan","given":"Matthew V N","non-dropping-particle":"","parse-names":false,"suffix":""},{"dropping-particle":"","family":"Dalton","given":"Craig","non-dropping-particle":"","parse-names":false,"suffix":""},{"dropping-particle":"","family":"Wood","given":"Nicholas","non-dropping-particle":"","parse-names":false,"suffix":""}],"container-title":"The Lancet Child &amp; Adolescent Health","id":"ITEM-6","issued":{"date-parts":[["2020"]]},"title":"Transmission of SARS-CoV-2 in Australian educational settings: a prospective cohort study","type":"article-journal"},"uris":["http://www.mendeley.com/documents/?uuid=33289591-7a29-4c49-a3e2-40917d0a5421"]},{"id":"ITEM-7","itemData":{"DOI":"10.2807/1560-7917.ES.2020.25.29.2001352","ISBN":"1560-7917\r1025-496X","PMID":"32720636","abstract":"On 13 March 2020, Israel's government declared closure of all schools. Schools fully reopened on 17 May 2020. Ten days later, a major outbreak of coronavirus disease (COVID-19) occurred in a high school. The first case was registered on 26 May, the second on 27 May. They were not epidemiologically linked. Testing of the complete school community revealed 153 students (attack rate: 13.2%) and 25 staff members (attack rate: 16.6%) who were COVID-19 positive.","author":[{"dropping-particle":"","family":"Stein-Zamir","given":"Chen","non-dropping-particle":"","parse-names":false,"suffix":""},{"dropping-particle":"","family":"Abramson","given":"Nitza","non-dropping-particle":"","parse-names":false,"suffix":""},{"dropping-particle":"","family":"Shoob","given":"Hanna","non-dropping-particle":"","parse-names":false,"suffix":""},{"dropping-particle":"","family":"Libal","given":"Erez","non-dropping-particle":"","parse-names":false,"suffix":""},{"dropping-particle":"","family":"Bitan","given":"Menachem","non-dropping-particle":"","parse-names":false,"suffix":""},{"dropping-particle":"","family":"Cardash","given":"Tanya","non-dropping-particle":"","parse-names":false,"suffix":""},{"dropping-particle":"","family":"Cayam","given":"Refael","non-dropping-particle":"","parse-names":false,"suffix":""},{"dropping-particle":"","family":"Miskin","given":"Ian","non-dropping-particle":"","parse-names":false,"suffix":""}],"container-title":"Euro surveillance : bulletin Europeen sur les maladies transmissibles = European communicable disease bulletin","id":"ITEM-7","issue":"29","issued":{"date-parts":[["2020"]]},"language":"eng","note":"32720636[pmid]\nPMC7384285[pmcid]","page":"2001352","publisher":"European Centre for Disease Prevention and Control (ECDC)","title":"A large COVID-19 outbreak in a high school 10 days after schools' reopening, Israel, May 2020","type":"article-journal","volume":"25"},"uris":["http://www.mendeley.com/documents/?uuid=c4986c12-3f86-4f7b-9647-91e3bc863d4e"]}],"mendeley":{"formattedCitation":"[4–10]","plainTextFormattedCitation":"[4–10]","previouslyFormattedCitation":"[4–10]"},"properties":{"noteIndex":0},"schema":"https://github.com/citation-style-language/schema/raw/master/csl-citation.json"}</w:instrText>
      </w:r>
      <w:r>
        <w:fldChar w:fldCharType="separate"/>
      </w:r>
      <w:r w:rsidR="00B058AB" w:rsidRPr="00B058AB">
        <w:rPr>
          <w:noProof/>
        </w:rPr>
        <w:t>[4–10]</w:t>
      </w:r>
      <w:r>
        <w:fldChar w:fldCharType="end"/>
      </w:r>
      <w:r>
        <w:t xml:space="preserve"> of which only 2 tested all contacts regardless of symptom status, one from a military school in Switzerland (recruit index case)</w:t>
      </w:r>
      <w:r>
        <w:fldChar w:fldCharType="begin" w:fldLock="1"/>
      </w:r>
      <w:r w:rsidR="0004151B">
        <w:instrText>ADDIN CSL_CITATION {"citationItems":[{"id":"ITEM-1","itemData":{"DOI":"10.1136/bmjmilitary-2020-001482","ISBN":"2633-3767 (Print)\r2633-3767","PMID":"32303575","abstract":"INTRODUCTION: A new coronavirus, called Severe Acute Respiratory Syndrome-CoronaVirus-2 (SARS-CoV-2), has emerged from China in late 2019 and has now caused a worldwide pandemic. The impact of COVID-19 has not been described so far in a military setting. We therefore report a case series of infected patients in a recruit school in Switzerland and the herein associated challenges. METHODS: Retrospective review of COVID-19 cases among Swiss Armed Forces recruits in the early weeks of SARS-CoV-2 pandemic in the canton of Ticino, the southernmost canton of Switzerland. Positive cases were defined with two positive PCR testing for SARS-CoV-2 from nasopharyngeal swabs. Serological testing was performed with a commercially available kit according to manufacturers' instructions. RESULTS: The first case was likely contaminated while skiing during weekend permission. He became symptomatic 4 days later, tested positive for SARS-CoV-2 and was put into isolation. He showed complete symptom resolution after 48 hours. Quarantine was ordered for all recruits with close contact in the past 2 days, a total of 55 persons out of 140 in the company. Seven out of nine recruits in one particular quarantine room became mildly symptomatic. SARS-CoV-2 PCR was positive in one of them. Seven days after initial diagnosis, the index patient and the other one from the quarantine retested positive for SARS-CoV-2, although they had been completely asymptomatic for over 96 hours. Serological testing revealed positive for both patients. All others showed negative IgM and IgG. CONCLUSIONS: Young healthy recruits often showed a mild course of COVID-19 with rapid symptom decline but were persistent SARS-CoV-2 carriers. This illustrates how asymptomatic patients may be responsible for covert viral transmission. An early and prolonged establishment of isolation and quarantine for patients and close contacts is essential to slow down the spread of SARS-CoV-2, especially in the confined space of a military environment.","author":[{"dropping-particle":"","family":"Baettig","given":"S J","non-dropping-particle":"","parse-names":false,"suffix":""},{"dropping-particle":"","family":"Parini","given":"A","non-dropping-particle":"","parse-names":false,"suffix":""},{"dropping-particle":"","family":"Cardona","given":"I","non-dropping-particle":"","parse-names":false,"suffix":""},{"dropping-particle":"","family":"Morand","given":"G B","non-dropping-particle":"","parse-names":false,"suffix":""}],"container-title":"BMJ Mil Health","edition":"2020/04/19","id":"ITEM-1","issued":{"date-parts":[["2020"]]},"language":"eng","note":"2633-3775\nBaettig, Sascha J\nParini, A\nCardona, I\nOrcid: 0000-0002-8645-9626\nMorand, G B\nOrcid: 0000-0002-6150-6772\nJournal Article\nBMJ Mil Health. 2020 Apr 16:bmjmilitary-2020-001482. doi: 10.1136/bmjmilitary-2020-001482.","title":"Case series of coronavirus (SARS-CoV-2) in a military recruit school: clinical, sanitary and logistical implications","type":"article-journal"},"uris":["http://www.mendeley.com/documents/?uuid=72ddaa33-8326-415b-8dbf-4320f5fc88c2"]}],"mendeley":{"formattedCitation":"[4]","plainTextFormattedCitation":"[4]","previouslyFormattedCitation":"[4]"},"properties":{"noteIndex":0},"schema":"https://github.com/citation-style-language/schema/raw/master/csl-citation.json"}</w:instrText>
      </w:r>
      <w:r>
        <w:fldChar w:fldCharType="separate"/>
      </w:r>
      <w:r w:rsidR="00B058AB" w:rsidRPr="00B058AB">
        <w:rPr>
          <w:noProof/>
        </w:rPr>
        <w:t>[4]</w:t>
      </w:r>
      <w:r>
        <w:fldChar w:fldCharType="end"/>
      </w:r>
      <w:r>
        <w:t xml:space="preserve"> which reported a SAR of 1.8% (95% CI: 0.1%-9.7%, 1/55) and one from a high school in Israel (two student index cases)</w:t>
      </w:r>
      <w:r>
        <w:fldChar w:fldCharType="begin" w:fldLock="1"/>
      </w:r>
      <w:r w:rsidR="0004151B">
        <w:instrText>ADDIN CSL_CITATION {"citationItems":[{"id":"ITEM-1","itemData":{"DOI":"10.2807/1560-7917.ES.2020.25.29.2001352","ISBN":"1560-7917\r1025-496X","PMID":"32720636","abstract":"On 13 March 2020, Israel's government declared closure of all schools. Schools fully reopened on 17 May 2020. Ten days later, a major outbreak of coronavirus disease (COVID-19) occurred in a high school. The first case was registered on 26 May, the second on 27 May. They were not epidemiologically linked. Testing of the complete school community revealed 153 students (attack rate: 13.2%) and 25 staff members (attack rate: 16.6%) who were COVID-19 positive.","author":[{"dropping-particle":"","family":"Stein-Zamir","given":"Chen","non-dropping-particle":"","parse-names":false,"suffix":""},{"dropping-particle":"","family":"Abramson","given":"Nitza","non-dropping-particle":"","parse-names":false,"suffix":""},{"dropping-particle":"","family":"Shoob","given":"Hanna","non-dropping-particle":"","parse-names":false,"suffix":""},{"dropping-particle":"","family":"Libal","given":"Erez","non-dropping-particle":"","parse-names":false,"suffix":""},{"dropping-particle":"","family":"Bitan","given":"Menachem","non-dropping-particle":"","parse-names":false,"suffix":""},{"dropping-particle":"","family":"Cardash","given":"Tanya","non-dropping-particle":"","parse-names":false,"suffix":""},{"dropping-particle":"","family":"Cayam","given":"Refael","non-dropping-particle":"","parse-names":false,"suffix":""},{"dropping-particle":"","family":"Miskin","given":"Ian","non-dropping-particle":"","parse-names":false,"suffix":""}],"container-title":"Euro surveillance : bulletin Europeen sur les maladies transmissibles = European communicable disease bulletin","id":"ITEM-1","issue":"29","issued":{"date-parts":[["2020"]]},"language":"eng","note":"32720636[pmid]\nPMC7384285[pmcid]","page":"2001352","publisher":"European Centre for Disease Prevention and Control (ECDC)","title":"A large COVID-19 outbreak in a high school 10 days after schools' reopening, Israel, May 2020","type":"article-journal","volume":"25"},"uris":["http://www.mendeley.com/documents/?uuid=c4986c12-3f86-4f7b-9647-91e3bc863d4e"]}],"mendeley":{"formattedCitation":"[10]","plainTextFormattedCitation":"[10]","previouslyFormattedCitation":"[10]"},"properties":{"noteIndex":0},"schema":"https://github.com/citation-style-language/schema/raw/master/csl-citation.json"}</w:instrText>
      </w:r>
      <w:r>
        <w:fldChar w:fldCharType="separate"/>
      </w:r>
      <w:r w:rsidR="00B058AB" w:rsidRPr="00B058AB">
        <w:rPr>
          <w:noProof/>
        </w:rPr>
        <w:t>[10]</w:t>
      </w:r>
      <w:r>
        <w:fldChar w:fldCharType="end"/>
      </w:r>
      <w:r>
        <w:t xml:space="preserve"> reporting a SAR of 13.2% (95% CI:11.3%-16.9%, 153/1161) in student contacts and 16.6% (95% CI: 11.0%-23.5%, 25/151) in staff contacts. In both studies schools were open (pre-lockdown and post-lockdown respectively) and index cases were symptomatic during their attendance. There is limited statistical power from these two studies to estimate a representative school-based SAR</w:t>
      </w:r>
      <w:r w:rsidR="0060796D">
        <w:t>.</w:t>
      </w:r>
    </w:p>
    <w:p w14:paraId="6A3E0E88" w14:textId="2A1BDFE8" w:rsidR="00D103D7" w:rsidRDefault="00D103D7" w:rsidP="002F6691">
      <w:pPr>
        <w:jc w:val="both"/>
      </w:pPr>
      <w:r>
        <w:t xml:space="preserve">An additional study from Australia tested only symptomatic individuals and a subset (around one third) of identified student and staff contacts across nursery, primary and high schools </w:t>
      </w:r>
      <w:r>
        <w:fldChar w:fldCharType="begin" w:fldLock="1"/>
      </w:r>
      <w:r w:rsidR="0004151B">
        <w:instrText>ADDIN CSL_CITATION {"citationItems":[{"id":"ITEM-1","itemData":{"ISBN":"2352-4642","author":[{"dropping-particle":"","family":"Macartney","given":"Kristine","non-dropping-particle":"","parse-names":false,"suffix":""},{"dropping-particle":"","family":"Quinn","given":"Helen E","non-dropping-particle":"","parse-names":false,"suffix":""},{"dropping-particle":"","family":"Pillsbury","given":"Alexis J","non-dropping-particle":"","parse-names":false,"suffix":""},{"dropping-particle":"","family":"Koirala","given":"Archana","non-dropping-particle":"","parse-names":false,"suffix":""},{"dropping-particle":"","family":"Deng","given":"Lucy","non-dropping-particle":"","parse-names":false,"suffix":""},{"dropping-particle":"","family":"Winkler","given":"Noni","non-dropping-particle":"","parse-names":false,"suffix":""},{"dropping-particle":"","family":"Katelaris","given":"Anthea L","non-dropping-particle":"","parse-names":false,"suffix":""},{"dropping-particle":"","family":"O'Sullivan","given":"Matthew V N","non-dropping-particle":"","parse-names":false,"suffix":""},{"dropping-particle":"","family":"Dalton","given":"Craig","non-dropping-particle":"","parse-names":false,"suffix":""},{"dropping-particle":"","family":"Wood","given":"Nicholas","non-dropping-particle":"","parse-names":false,"suffix":""}],"container-title":"The Lancet Child &amp; Adolescent Health","id":"ITEM-1","issued":{"date-parts":[["2020"]]},"title":"Transmission of SARS-CoV-2 in Australian educational settings: a prospective cohort study","type":"article-journal"},"uris":["http://www.mendeley.com/documents/?uuid=33289591-7a29-4c49-a3e2-40917d0a5421"]}],"mendeley":{"formattedCitation":"[9]","plainTextFormattedCitation":"[9]","previouslyFormattedCitation":"[9]"},"properties":{"noteIndex":0},"schema":"https://github.com/citation-style-language/schema/raw/master/csl-citation.json"}</w:instrText>
      </w:r>
      <w:r>
        <w:fldChar w:fldCharType="separate"/>
      </w:r>
      <w:r w:rsidR="00B058AB" w:rsidRPr="00B058AB">
        <w:rPr>
          <w:noProof/>
        </w:rPr>
        <w:t>[9]</w:t>
      </w:r>
      <w:r>
        <w:fldChar w:fldCharType="end"/>
      </w:r>
      <w:r>
        <w:t xml:space="preserve">. Eighteen secondary cases were identified from 27 index cases (12 adults and 15 children). However, during the study period, attendance at schools reduced from 90% to 5% with cases in children attending school peaking in late March when attendance had rapidly reduced which limits exploration of transmission potential in these settings </w:t>
      </w:r>
      <w:r>
        <w:fldChar w:fldCharType="begin" w:fldLock="1"/>
      </w:r>
      <w:r w:rsidR="0004151B">
        <w:instrText>ADDIN CSL_CITATION {"citationItems":[{"id":"ITEM-1","itemData":{"ISBN":"2352-4642","author":[{"dropping-particle":"","family":"Macartney","given":"Kristine","non-dropping-particle":"","parse-names":false,"suffix":""},{"dropping-particle":"","family":"Quinn","given":"Helen E","non-dropping-particle":"","parse-names":false,"suffix":""},{"dropping-particle":"","family":"Pillsbury","given":"Alexis J","non-dropping-particle":"","parse-names":false,"suffix":""},{"dropping-particle":"","family":"Koirala","given":"Archana","non-dropping-particle":"","parse-names":false,"suffix":""},{"dropping-particle":"","family":"Deng","given":"Lucy","non-dropping-particle":"","parse-names":false,"suffix":""},{"dropping-particle":"","family":"Winkler","given":"Noni","non-dropping-particle":"","parse-names":false,"suffix":""},{"dropping-particle":"","family":"Katelaris","given":"Anthea L","non-dropping-particle":"","parse-names":false,"suffix":""},{"dropping-particle":"","family":"O'Sullivan","given":"Matthew V N","non-dropping-particle":"","parse-names":false,"suffix":""},{"dropping-particle":"","family":"Dalton","given":"Craig","non-dropping-particle":"","parse-names":false,"suffix":""},{"dropping-particle":"","family":"Wood","given":"Nicholas","non-dropping-particle":"","parse-names":false,"suffix":""}],"container-title":"The Lancet Child &amp; Adolescent Health","id":"ITEM-1","issued":{"date-parts":[["2020"]]},"title":"Transmission of SARS-CoV-2 in Australian educational settings: a prospective cohort study","type":"article-journal"},"uris":["http://www.mendeley.com/documents/?uuid=33289591-7a29-4c49-a3e2-40917d0a5421"]}],"mendeley":{"formattedCitation":"[9]","plainTextFormattedCitation":"[9]","previouslyFormattedCitation":"[9]"},"properties":{"noteIndex":0},"schema":"https://github.com/citation-style-language/schema/raw/master/csl-citation.json"}</w:instrText>
      </w:r>
      <w:r>
        <w:fldChar w:fldCharType="separate"/>
      </w:r>
      <w:r w:rsidR="00B058AB" w:rsidRPr="00B058AB">
        <w:rPr>
          <w:noProof/>
        </w:rPr>
        <w:t>[9]</w:t>
      </w:r>
      <w:r>
        <w:fldChar w:fldCharType="end"/>
      </w:r>
      <w:r>
        <w:t xml:space="preserve">. Two further studies from Ireland </w:t>
      </w:r>
      <w:r>
        <w:fldChar w:fldCharType="begin" w:fldLock="1"/>
      </w:r>
      <w:r w:rsidR="0004151B">
        <w:instrText>ADDIN CSL_CITATION {"citationItems":[{"id":"ITEM-1","itemData":{"DOI":"10.2807/1560-7917.ES.2020.25.21.2000903","ISBN":"1560-7917\r1025-496X","PMID":"32489179","abstract":"As many countries begin to lift some of the restrictions to contain COVID-19 spread, lack of evidence of transmission in the school setting remains. We examined Irish notifications of SARS-CoV2 in the school setting before school closures on 12 March 2020 and identified no paediatric transmission. This adds to current evidence that children do not appear to be drivers of transmission, and we argue that reopening schools should be considered safe accompanied by certain measures.","author":[{"dropping-particle":"","family":"Heavey","given":"Laura","non-dropping-particle":"","parse-names":false,"suffix":""},{"dropping-particle":"","family":"Casey","given":"Geraldine","non-dropping-particle":"","parse-names":false,"suffix":""},{"dropping-particle":"","family":"Kelly","given":"Ciara","non-dropping-particle":"","parse-names":false,"suffix":""},{"dropping-particle":"","family":"Kelly","given":"David","non-dropping-particle":"","parse-names":false,"suffix":""},{"dropping-particle":"","family":"McDarby","given":"Geraldine","non-dropping-particle":"","parse-names":false,"suffix":""}],"container-title":"Euro surveillance : bulletin Europeen sur les maladies transmissibles = European communicable disease bulletin","id":"ITEM-1","issue":"21","issued":{"date-parts":[["2020"]]},"language":"eng","note":"32489179[pmid]\nPMC7268273[pmcid]","page":"2000903","publisher":"European Centre for Disease Prevention and Control (ECDC)","title":"No evidence of secondary transmission of COVID-19 from children attending school in Ireland, 2020","type":"article-journal","volume":"25"},"uris":["http://www.mendeley.com/documents/?uuid=56028722-732c-411a-97d8-3c953d1e0b4b"]}],"mendeley":{"formattedCitation":"[8]","plainTextFormattedCitation":"[8]","previouslyFormattedCitation":"[8]"},"properties":{"noteIndex":0},"schema":"https://github.com/citation-style-language/schema/raw/master/csl-citation.json"}</w:instrText>
      </w:r>
      <w:r>
        <w:fldChar w:fldCharType="separate"/>
      </w:r>
      <w:r w:rsidR="00B058AB" w:rsidRPr="00B058AB">
        <w:rPr>
          <w:noProof/>
        </w:rPr>
        <w:t>[8]</w:t>
      </w:r>
      <w:r>
        <w:fldChar w:fldCharType="end"/>
      </w:r>
      <w:r>
        <w:t xml:space="preserve"> and France </w:t>
      </w:r>
      <w:r>
        <w:fldChar w:fldCharType="begin" w:fldLock="1"/>
      </w:r>
      <w:r w:rsidR="0004151B">
        <w:instrText>ADDIN CSL_CITATION {"citationItems":[{"id":"ITEM-1","itemData":{"DOI":"10.1093/cid/ciaa424","ISBN":"1058-4838","abstract":"On 7 February 2020, French Health authorities were informed of a confirmed case of severe acute respiratory syndrome coronavirus 2 (SARS-CoV-2) in an Englishman infected in Singapore who had recently stayed in a chalet in the French Alps. We conducted an investigation to identify secondary cases and interrupt transmission.We defined as a confirmed case a person linked to the chalet with a positive reverse-transcription polymerase chain reaction sample for SARS-CoV-2.The index case stayed 4 days in the chalet with 10 English tourists and a family of 5 French residents; SARS-CoV-2 was detected in 5 individuals in France, 6 in England (including the index case), and 1 in Spain (overall attack rate in the chalet: 75%). One pediatric case, with picornavirus and influenza A coinfection, visited 3 different schools while symptomatic. One case was asymptomatic, with similar viral load as that of a symptomatic case. Seven days after the first cases were diagnosed, 1 tertiary case was detected in a symptomatic patient with from the chalet a positive endotracheal aspirate; all previous and concurrent nasopharyngeal specimens were negative. Additionally, 172 contacts were monitored; all contacts tested for SARS-CoV-2 (N = 73) were negative.The occurrence in this cluster of 1 asymptomatic case with similar viral load as a symptomatic patient suggests transmission potential of asymptomatic individuals. The fact that an infected child did not transmit the disease despite close interactions within schools suggests potential different transmission dynamics in children. Finally, the dissociation between upper and lower respiratory tract results underscores the need for close monitoring of the clinical evolution of suspected cases of coronavirus disease 2019.","author":[{"dropping-particle":"","family":"Danis","given":"Kostas","non-dropping-particle":"","parse-names":false,"suffix":""},{"dropping-particle":"","family":"Epaulard","given":"Olivier","non-dropping-particle":"","parse-names":false,"suffix":""},{"dropping-particle":"","family":"Bénet","given":"Thomas","non-dropping-particle":"","parse-names":false,"suffix":""},{"dropping-particle":"","family":"Gaymard","given":"Alexandre","non-dropping-particle":"","parse-names":false,"suffix":""},{"dropping-particle":"","family":"Campoy","given":"Séphora","non-dropping-particle":"","parse-names":false,"suffix":""},{"dropping-particle":"","family":"Botelho-Nevers","given":"Elisabeth","non-dropping-particle":"","parse-names":false,"suffix":""},{"dropping-particle":"","family":"Bouscambert-Duchamp","given":"Maude","non-dropping-particle":"","parse-names":false,"suffix":""},{"dropping-particle":"","family":"Spaccaferri","given":"Guillaume","non-dropping-particle":"","parse-names":false,"suffix":""},{"dropping-particle":"","family":"Ader","given":"Florence","non-dropping-particle":"","parse-names":false,"suffix":""},{"dropping-particle":"","family":"Mailles","given":"Alexandra","non-dropping-particle":"","parse-names":false,"suffix":""},{"dropping-particle":"","family":"Boudalaa","given":"Zoubida","non-dropping-particle":"","parse-names":false,"suffix":""},{"dropping-particle":"","family":"Tolsma","given":"Violaine","non-dropping-particle":"","parse-names":false,"suffix":""},{"dropping-particle":"","family":"Berra","given":"Julien","non-dropping-particle":"","parse-names":false,"suffix":""},{"dropping-particle":"","family":"Vaux","given":"Sophie","non-dropping-particle":"","parse-names":false,"suffix":""},{"dropping-particle":"","family":"Forestier","given":"Emmanuel","non-dropping-particle":"","parse-names":false,"suffix":""},{"dropping-particle":"","family":"Landelle","given":"Caroline","non-dropping-particle":"","parse-names":false,"suffix":""},{"dropping-particle":"","family":"Fougere","given":"Erica","non-dropping-particle":"","parse-names":false,"suffix":""},{"dropping-particle":"","family":"Thabuis","given":"Alexandra","non-dropping-particle":"","parse-names":false,"suffix":""},{"dropping-particle":"","family":"Berthelot","given":"Philippe","non-dropping-particle":"","parse-names":false,"suffix":""},{"dropping-particle":"","family":"Veil","given":"Raphael","non-dropping-particle":"","parse-names":false,"suffix":""},{"dropping-particle":"","family":"Levy-Bruhl","given":"Daniel","non-dropping-particle":"","parse-names":false,"suffix":""},{"dropping-particle":"","family":"Chidiac","given":"Christian","non-dropping-particle":"","parse-names":false,"suffix":""},{"dropping-particle":"","family":"Lina","given":"Bruno","non-dropping-particle":"","parse-names":false,"suffix":""},{"dropping-particle":"","family":"Coignard","given":"Bruno","non-dropping-particle":"","parse-names":false,"suffix":""},{"dropping-particle":"","family":"Saura","given":"Christine","non-dropping-particle":"","parse-names":false,"suffix":""},{"dropping-particle":"","family":"Team","given":"Investigation","non-dropping-particle":"","parse-names":false,"suffix":""}],"container-title":"Clinical Infectious Diseases","id":"ITEM-1","issue":"15","issued":{"date-parts":[["2020"]]},"page":"825-832","title":"Cluster of Coronavirus Disease 2019 (COVID-19) in the French Alps, February 2020","type":"article-journal","volume":"71"},"uris":["http://www.mendeley.com/documents/?uuid=02721fe3-1db3-481d-b7f9-3d6ecca2703f"]}],"mendeley":{"formattedCitation":"[5]","plainTextFormattedCitation":"[5]","previouslyFormattedCitation":"[5]"},"properties":{"noteIndex":0},"schema":"https://github.com/citation-style-language/schema/raw/master/csl-citation.json"}</w:instrText>
      </w:r>
      <w:r>
        <w:fldChar w:fldCharType="separate"/>
      </w:r>
      <w:r w:rsidR="00B058AB" w:rsidRPr="00B058AB">
        <w:rPr>
          <w:noProof/>
        </w:rPr>
        <w:t>[5]</w:t>
      </w:r>
      <w:r>
        <w:fldChar w:fldCharType="end"/>
      </w:r>
      <w:r>
        <w:t xml:space="preserve"> tested only symptomatic school contacts but found no evidence on onward transmission in these instances to either students or staff. The final two studies pertain to serosurveys conducted in French primary and secondary schools with known attendance at these schools of students and staff infected with SARS-CoV-2. While the data from these studies cannot be used to estimate SARs, they highlight the potential for a large overall attack rate in school aged children: high school students 92/242 with antibodies (attack rate 38.0% [95% CI: 31.8%-44.4%]) </w:t>
      </w:r>
      <w:r>
        <w:fldChar w:fldCharType="begin" w:fldLock="1"/>
      </w:r>
      <w:r w:rsidR="0004151B">
        <w:instrText>ADDIN CSL_CITATION {"citationItems":[{"id":"ITEM-1","itemData":{"DOI":"10.1101/2020.04.18.20071134","abstract":"Background: The Oise department in France has been heavily affected by COVID-19 in early 2020. Methods: Between 30 March and 4 April 2020, we conducted a retrospective closed cohort study among pupils, their parents and siblings, as well as teachers and non-teaching staff of a high-school located in Oise. Participants completed a questionnaire that covered history of fever and/or respiratory symptoms since 13 January 2020 and had blood tested for the presence of anti-SARS-CoV-2 antibodies. The infection attack rate (IAR) was defined as the proportion of participants with confirmed SARS-CoV-2 infection based on antibody detection. Blood samples from two blood donor centres collected between 23 and 27 March 2020 in the Oise department were also tested for presence of anti-SARS-CoV-2 antibodies. Findings: Of the 661 participants (median age: 37 years), 171 participants had anti-SARS-CoV-2 antibodies. The overall IAR was 25.9% (95% confidence interval (CI) = 22.6-29.4), and the infection fatality rate was 0% (one-sided 97.5% CI = 0-2.1). Nine of the ten participants hospitalised since mid-January were in the infected group, giving a hospitalisation rate of 5.3% (95% CI = 2.4-9.8). Anosmia and ageusia had high positive predictive values for SARS-CoV-2 infection (84.7% and 88.1%, respectively). Smokers had a lower IAR compared to non-smokers (7.2% versus 28.0%, P &amp;lt;0.001). The proportion of infected individuals who had no symptoms during the study period was 17.0% (95% CI = 11.2-23.4). The proportion of donors with anti-SARS-CoV-2 antibodies in two nearby blood banks of the Oise department was 3.0% (95% CI = 1.1-6.4). Interpretation: The relatively low IAR observed in an area where SARS-CoV-2 actively circulated weeks before confinement measures indicates that establishing herd immunity will take time, and that lifting these measures in France will be long and complex.Competing Interest StatementThe authors have declared no competing interest.Clinical TrialNCT04325646Funding StatementInstitut Pasteur, CNRS, Université de Paris, Santé publique France, Labex IBEID (ANR-10-LABX-62-IBEID), REACTing, EU grant Recover, INCEPTION project (PIA/ANR-16-CONV-0005).Author DeclarationsAll relevant ethical guidelines have been followed; any necessary IRB and/or ethics committee approvals have been obtained and details of the IRB/oversight body are included in the manuscript.YesAll necessary patient/participant consent has been obtained and the appropriate institutional f…","author":[{"dropping-particle":"","family":"Fontanet","given":"Arnaud","non-dropping-particle":"","parse-names":false,"suffix":""},{"dropping-particle":"","family":"Tondeur","given":"Laura","non-dropping-particle":"","parse-names":false,"suffix":""},{"dropping-particle":"","family":"Madec","given":"Yoann","non-dropping-particle":"","parse-names":false,"suffix":""},{"dropping-particle":"","family":"Grant","given":"Rebecca","non-dropping-particle":"","parse-names":false,"suffix":""},{"dropping-particle":"","family":"Besombes","given":"Camille","non-dropping-particle":"","parse-names":false,"suffix":""},{"dropping-particle":"","family":"Jolly","given":"Nathalie","non-dropping-particle":"","parse-names":false,"suffix":""},{"dropping-particle":"","family":"Fernandes Pellerin","given":"Sandrine","non-dropping-particle":"","parse-names":false,"suffix":""},{"dropping-particle":"","family":"Ungeheuer","given":"Marie-Noelle","non-dropping-particle":"","parse-names":false,"suffix":""},{"dropping-particle":"","family":"Cailleau","given":"Isabelle","non-dropping-particle":"","parse-names":false,"suffix":""},{"dropping-particle":"","family":"Kuhmel","given":"Lucie","non-dropping-particle":"","parse-names":false,"suffix":""},{"dropping-particle":"","family":"Temmam","given":"Sarah","non-dropping-particle":"","parse-names":false,"suffix":""},{"dropping-particle":"","family":"Huon","given":"Christele","non-dropping-particle":"","parse-names":false,"suffix":""},{"dropping-particle":"","family":"Chen","given":"Kuang-Yu","non-dropping-particle":"","parse-names":false,"suffix":""},{"dropping-particle":"","family":"Crescenzo","given":"Bernadette","non-dropping-particle":"","parse-names":false,"suffix":""},{"dropping-particle":"","family":"Munier","given":"Sandie","non-dropping-particle":"","parse-names":false,"suffix":""},{"dropping-particle":"","family":"Demeret","given":"Caroline","non-dropping-particle":"","parse-names":false,"suffix":""},{"dropping-particle":"","family":"Grzelak","given":"Ludivine","non-dropping-particle":"","parse-names":false,"suffix":""},{"dropping-particle":"","family":"Staropoli","given":"Isabelle","non-dropping-particle":"","parse-names":false,"suffix":""},{"dropping-particle":"","family":"Bruel","given":"Timothee","non-dropping-particle":"","parse-names":false,"suffix":""},{"dropping-particle":"","family":"Gallian","given":"Pierre","non-dropping-particle":"","parse-names":false,"suffix":""},{"dropping-particle":"","family":"Cauchemez","given":"Simon","non-dropping-particle":"","parse-names":false,"suffix":""},{"dropping-particle":"","family":"Werf","given":"Sylvie","non-dropping-particle":"van der","parse-names":false,"suffix":""},{"dropping-particle":"","family":"Schwartz","given":"Olivier","non-dropping-particle":"","parse-names":false,"suffix":""},{"dropping-particle":"","family":"Eloit","given":"Marc","non-dropping-particle":"","parse-names":false,"suffix":""},{"dropping-particle":"","family":"Hoen","given":"Bruno","non-dropping-particle":"","parse-names":false,"suffix":""}],"container-title":"medRxiv","id":"ITEM-1","issued":{"date-parts":[["2020"]]},"page":"2020.04.18.20071134","title":"Cluster of COVID-19 in northern France: A retrospective closed cohort study","type":"article-journal"},"uris":["http://www.mendeley.com/documents/?uuid=7b66e11a-c940-409d-942f-aad59ba052d1"]}],"mendeley":{"formattedCitation":"[6]","plainTextFormattedCitation":"[6]","previouslyFormattedCitation":"[6]"},"properties":{"noteIndex":0},"schema":"https://github.com/citation-style-language/schema/raw/master/csl-citation.json"}</w:instrText>
      </w:r>
      <w:r>
        <w:fldChar w:fldCharType="separate"/>
      </w:r>
      <w:r w:rsidR="00B058AB" w:rsidRPr="00B058AB">
        <w:rPr>
          <w:noProof/>
        </w:rPr>
        <w:t>[6]</w:t>
      </w:r>
      <w:r>
        <w:fldChar w:fldCharType="end"/>
      </w:r>
      <w:r>
        <w:t xml:space="preserve"> and 43/530 from a primary school student population (attack rate 8.11% [95% CI: 5.9%-10.7%])</w:t>
      </w:r>
      <w:r w:rsidR="00D97802">
        <w:t xml:space="preserve"> </w:t>
      </w:r>
      <w:r>
        <w:fldChar w:fldCharType="begin" w:fldLock="1"/>
      </w:r>
      <w:r w:rsidR="0004151B">
        <w:instrText>ADDIN CSL_CITATION {"citationItems":[{"id":"ITEM-1","itemData":{"DOI":"10.1101/2020.06.25.20140178","abstract":"Background: The extent of SARS-CoV-2 transmission among pupils in primary schools and their families is unknown. Methods: Between 28-30 April 2020, a retrospective cohort study was conducted among pupils, their parents and relatives, and staff of primary schools exposed to SARS-CoV-2 in February and March 2020 in a city north of Paris, France. Participants completed a questionnaire that covered sociodemographic information and history of recent symptoms. A blood sample was tested for the presence of anti-SARS-CoV-2 antibodies using a flow-cytometry-based assay. Results: The infection attack rate (IAR) was 45/510 (8.8%), 3/42 (7.1%), 1/28 (3.6%), 76/641 (11.9%) and 14/119 (11.8%) among primary school pupils, teachers, non-teaching staff, parents, and relatives, respectively (P = 0.29). Prior to school closure on February 14, three SARS-CoV-2 infected pupils attended three separate schools with no secondary cases in the following 14 days among pupils, teachers and non-teaching staff of the same schools. Familial clustering of cases was documented by the high proportion of antibodies among parents and relatives of infected pupils (36/59 = 61.0% and 4/9 = 44.4%, respectively). In children, disease manifestations were mild, and 24/58 (41.4%) of infected children were asymptomatic. Interpretation: In young children, SARS-CoV-2 infection was largely mild or asymptomatic and there was no evidence of onwards transmission from children in the school setting.Competing Interest StatementThe authors have declared no competing interest.Clinical TrialNCT04325646Funding StatementInstitut Pasteur, Labex IBEID (ANR-10-LABX-62-IBEID), INCEPTION project (PIA/ANR-16-CONV-0005).Author DeclarationsI confirm all relevant ethical guidelines have been followed, and any necessary IRB and/or ethics committee approvals have been obtained.YesThe details of the IRB/oversight body that provided approval or exemption for the research described are given below:IRB: Comite de Protection des Personnes Ile de France IIIAll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author":[{"dropping-particle":"","family":"Fontanet","given":"Arnaud","non-dropping-particle":"","parse-names":false,"suffix":""},{"dropping-particle":"","family":"Grant","given":"Rebecca","non-dropping-particle":"","parse-names":false,"suffix":""},{"dropping-particle":"","family":"Tondeur","given":"Laura","non-dropping-particle":"","parse-names":false,"suffix":""},{"dropping-particle":"","family":"Madec","given":"Yoann","non-dropping-particle":"","parse-names":false,"suffix":""},{"dropping-particle":"","family":"Grzelak","given":"Ludivine","non-dropping-particle":"","parse-names":false,"suffix":""},{"dropping-particle":"","family":"Cailleau","given":"Isabelle","non-dropping-particle":"","parse-names":false,"suffix":""},{"dropping-particle":"","family":"Ungeheuer","given":"Marie-Noelle","non-dropping-particle":"","parse-names":false,"suffix":""},{"dropping-particle":"","family":"Renaudat","given":"Charlotte","non-dropping-particle":"","parse-names":false,"suffix":""},{"dropping-particle":"","family":"Fernandes Pellerin","given":"Sandrine","non-dropping-particle":"","parse-names":false,"suffix":""},{"dropping-particle":"","family":"Kuhmel","given":"Lucie","non-dropping-particle":"","parse-names":false,"suffix":""},{"dropping-particle":"","family":"Staropoli","given":"Isabelle","non-dropping-particle":"","parse-names":false,"suffix":""},{"dropping-particle":"","family":"Anna","given":"Francois","non-dropping-particle":"","parse-names":false,"suffix":""},{"dropping-particle":"","family":"Charneau","given":"Pierre","non-dropping-particle":"","parse-names":false,"suffix":""},{"dropping-particle":"","family":"Demeret","given":"Caroline","non-dropping-particle":"","parse-names":false,"suffix":""},{"dropping-particle":"","family":"Bruel","given":"Timothee","non-dropping-particle":"","parse-names":false,"suffix":""},{"dropping-particle":"","family":"Schwartz","given":"Olivier","non-dropping-particle":"","parse-names":false,"suffix":""},{"dropping-particle":"","family":"Hoen","given":"Bruno","non-dropping-particle":"","parse-names":false,"suffix":""}],"container-title":"medRxiv","id":"ITEM-1","issued":{"date-parts":[["2020"]]},"page":"2020.06.25.20140178","title":"SARS-CoV-2 infection in primary schools in northern France: A retrospective cohort study in an area of high transmission","type":"article-journal"},"uris":["http://www.mendeley.com/documents/?uuid=348f3eb6-8097-469b-b938-f902a037cf17"]}],"mendeley":{"formattedCitation":"[7]","plainTextFormattedCitation":"[7]","previouslyFormattedCitation":"[7]"},"properties":{"noteIndex":0},"schema":"https://github.com/citation-style-language/schema/raw/master/csl-citation.json"}</w:instrText>
      </w:r>
      <w:r>
        <w:fldChar w:fldCharType="separate"/>
      </w:r>
      <w:r w:rsidR="00B058AB" w:rsidRPr="00B058AB">
        <w:rPr>
          <w:noProof/>
        </w:rPr>
        <w:t>[7]</w:t>
      </w:r>
      <w:r>
        <w:fldChar w:fldCharType="end"/>
      </w:r>
      <w:r>
        <w:t>. H</w:t>
      </w:r>
      <w:r w:rsidRPr="00F40343">
        <w:t>owever, for those studies, it is not clear if transmission occurred within the schools while they were open or outside the school setting</w:t>
      </w:r>
      <w:r>
        <w:t xml:space="preserve">. The authors noted that prior to school closures, three infected pupils attended different primary schools with no secondary cases in the following 14 days, however the duration of attendance at school and the symptom status of these children are not reported </w:t>
      </w:r>
      <w:r>
        <w:fldChar w:fldCharType="begin" w:fldLock="1"/>
      </w:r>
      <w:r w:rsidR="0004151B">
        <w:instrText>ADDIN CSL_CITATION {"citationItems":[{"id":"ITEM-1","itemData":{"DOI":"10.1101/2020.06.25.20140178","abstract":"Background: The extent of SARS-CoV-2 transmission among pupils in primary schools and their families is unknown. Methods: Between 28-30 April 2020, a retrospective cohort study was conducted among pupils, their parents and relatives, and staff of primary schools exposed to SARS-CoV-2 in February and March 2020 in a city north of Paris, France. Participants completed a questionnaire that covered sociodemographic information and history of recent symptoms. A blood sample was tested for the presence of anti-SARS-CoV-2 antibodies using a flow-cytometry-based assay. Results: The infection attack rate (IAR) was 45/510 (8.8%), 3/42 (7.1%), 1/28 (3.6%), 76/641 (11.9%) and 14/119 (11.8%) among primary school pupils, teachers, non-teaching staff, parents, and relatives, respectively (P = 0.29). Prior to school closure on February 14, three SARS-CoV-2 infected pupils attended three separate schools with no secondary cases in the following 14 days among pupils, teachers and non-teaching staff of the same schools. Familial clustering of cases was documented by the high proportion of antibodies among parents and relatives of infected pupils (36/59 = 61.0% and 4/9 = 44.4%, respectively). In children, disease manifestations were mild, and 24/58 (41.4%) of infected children were asymptomatic. Interpretation: In young children, SARS-CoV-2 infection was largely mild or asymptomatic and there was no evidence of onwards transmission from children in the school setting.Competing Interest StatementThe authors have declared no competing interest.Clinical TrialNCT04325646Funding StatementInstitut Pasteur, Labex IBEID (ANR-10-LABX-62-IBEID), INCEPTION project (PIA/ANR-16-CONV-0005).Author DeclarationsI confirm all relevant ethical guidelines have been followed, and any necessary IRB and/or ethics committee approvals have been obtained.YesThe details of the IRB/oversight body that provided approval or exemption for the research described are given below:IRB: Comite de Protection des Personnes Ile de France IIIAll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author":[{"dropping-particle":"","family":"Fontanet","given":"Arnaud","non-dropping-particle":"","parse-names":false,"suffix":""},{"dropping-particle":"","family":"Grant","given":"Rebecca","non-dropping-particle":"","parse-names":false,"suffix":""},{"dropping-particle":"","family":"Tondeur","given":"Laura","non-dropping-particle":"","parse-names":false,"suffix":""},{"dropping-particle":"","family":"Madec","given":"Yoann","non-dropping-particle":"","parse-names":false,"suffix":""},{"dropping-particle":"","family":"Grzelak","given":"Ludivine","non-dropping-particle":"","parse-names":false,"suffix":""},{"dropping-particle":"","family":"Cailleau","given":"Isabelle","non-dropping-particle":"","parse-names":false,"suffix":""},{"dropping-particle":"","family":"Ungeheuer","given":"Marie-Noelle","non-dropping-particle":"","parse-names":false,"suffix":""},{"dropping-particle":"","family":"Renaudat","given":"Charlotte","non-dropping-particle":"","parse-names":false,"suffix":""},{"dropping-particle":"","family":"Fernandes Pellerin","given":"Sandrine","non-dropping-particle":"","parse-names":false,"suffix":""},{"dropping-particle":"","family":"Kuhmel","given":"Lucie","non-dropping-particle":"","parse-names":false,"suffix":""},{"dropping-particle":"","family":"Staropoli","given":"Isabelle","non-dropping-particle":"","parse-names":false,"suffix":""},{"dropping-particle":"","family":"Anna","given":"Francois","non-dropping-particle":"","parse-names":false,"suffix":""},{"dropping-particle":"","family":"Charneau","given":"Pierre","non-dropping-particle":"","parse-names":false,"suffix":""},{"dropping-particle":"","family":"Demeret","given":"Caroline","non-dropping-particle":"","parse-names":false,"suffix":""},{"dropping-particle":"","family":"Bruel","given":"Timothee","non-dropping-particle":"","parse-names":false,"suffix":""},{"dropping-particle":"","family":"Schwartz","given":"Olivier","non-dropping-particle":"","parse-names":false,"suffix":""},{"dropping-particle":"","family":"Hoen","given":"Bruno","non-dropping-particle":"","parse-names":false,"suffix":""}],"container-title":"medRxiv","id":"ITEM-1","issued":{"date-parts":[["2020"]]},"page":"2020.06.25.20140178","title":"SARS-CoV-2 infection in primary schools in northern France: A retrospective cohort study in an area of high transmission","type":"article-journal"},"uris":["http://www.mendeley.com/documents/?uuid=348f3eb6-8097-469b-b938-f902a037cf17"]}],"mendeley":{"formattedCitation":"[7]","plainTextFormattedCitation":"[7]","previouslyFormattedCitation":"[7]"},"properties":{"noteIndex":0},"schema":"https://github.com/citation-style-language/schema/raw/master/csl-citation.json"}</w:instrText>
      </w:r>
      <w:r>
        <w:fldChar w:fldCharType="separate"/>
      </w:r>
      <w:r w:rsidR="00B058AB" w:rsidRPr="00B058AB">
        <w:rPr>
          <w:noProof/>
        </w:rPr>
        <w:t>[7]</w:t>
      </w:r>
      <w:r>
        <w:fldChar w:fldCharType="end"/>
      </w:r>
      <w:r>
        <w:t xml:space="preserve">. </w:t>
      </w:r>
    </w:p>
    <w:p w14:paraId="1560A860" w14:textId="298A8EAA" w:rsidR="00D103D7" w:rsidRPr="00A80249" w:rsidRDefault="00D103D7" w:rsidP="002F6691">
      <w:pPr>
        <w:pStyle w:val="Heading2"/>
        <w:jc w:val="both"/>
        <w:rPr>
          <w:rFonts w:asciiTheme="minorHAnsi" w:hAnsiTheme="minorHAnsi" w:cstheme="minorHAnsi"/>
          <w:sz w:val="24"/>
          <w:szCs w:val="24"/>
        </w:rPr>
      </w:pPr>
      <w:r w:rsidRPr="00A80249">
        <w:rPr>
          <w:rFonts w:asciiTheme="minorHAnsi" w:hAnsiTheme="minorHAnsi" w:cstheme="minorHAnsi"/>
          <w:sz w:val="24"/>
          <w:szCs w:val="24"/>
        </w:rPr>
        <w:t>Group Living Populations</w:t>
      </w:r>
    </w:p>
    <w:p w14:paraId="38282F36" w14:textId="44FF0511" w:rsidR="00D103D7" w:rsidRDefault="00D103D7" w:rsidP="002F6691">
      <w:pPr>
        <w:jc w:val="both"/>
      </w:pPr>
      <w:r>
        <w:t xml:space="preserve">In this section we describe settings where individuals tend to live in </w:t>
      </w:r>
      <w:proofErr w:type="gramStart"/>
      <w:r>
        <w:t>close proximity</w:t>
      </w:r>
      <w:proofErr w:type="gramEnd"/>
      <w:r>
        <w:t>, often with limited opportunity to social distance. There was limited data available on these settings in the published and pre-print literature, with only six studies identified. Three of these studies were conducted in care homes, located in Washington USA (</w:t>
      </w:r>
      <w:r w:rsidRPr="007D02DA">
        <w:t>Table 5</w:t>
      </w:r>
      <w:r>
        <w:t xml:space="preserve">), following the identification of one </w:t>
      </w:r>
      <w:r>
        <w:fldChar w:fldCharType="begin" w:fldLock="1"/>
      </w:r>
      <w:r w:rsidR="0004151B">
        <w:instrText>ADDIN CSL_CITATION {"citationItems":[{"id":"ITEM-1","itemData":{"author":[{"dropping-particle":"","family":"Kimball","given":"Anne","non-dropping-particle":"","parse-names":false,"suffix":""},{"dropping-particle":"","family":"Hatfield","given":"Kelly M","non-dropping-particle":"","parse-names":false,"suffix":""},{"dropping-particle":"","family":"Arons","given":"Melissa","non-dropping-particle":"","parse-names":false,"suffix":""},{"dropping-particle":"","family":"James","given":"Allison","non-dropping-particle":"","parse-names":false,"suffix":""},{"dropping-particle":"","family":"Taylor","given":"Joanne","non-dropping-particle":"","parse-names":false,"suffix":""},{"dropping-particle":"","family":"Spicer","given":"Kevin","non-dropping-particle":"","parse-names":false,"suffix":""},{"dropping-particle":"","family":"Bardossy","given":"Ana C","non-dropping-particle":"","parse-names":false,"suffix":""},{"dropping-particle":"","family":"Oakley","given":"Lisa P","non-dropping-particle":"","parse-names":false,"suffix":""},{"dropping-particle":"","family":"Tanwar","given":"Sukarma","non-dropping-particle":"","parse-names":false,"suffix":""},{"dropping-particle":"","family":"Chisty","given":"Zeshan","non-dropping-particle":"","parse-names":false,"suffix":""}],"container-title":"Morbidity and Mortality Weekly Report","id":"ITEM-1","issue":"13","issued":{"date-parts":[["2020"]]},"page":"377","title":"Asymptomatic and presymptomatic SARS-CoV-2 infections in residents of a long-term care skilled nursing facility—King County, Washington, March 2020","type":"article-journal","volume":"69"},"uris":["http://www.mendeley.com/documents/?uuid=af65d19e-e8ff-4c61-9a74-75838a303973"]}],"mendeley":{"formattedCitation":"[11]","plainTextFormattedCitation":"[11]","previouslyFormattedCitation":"[11]"},"properties":{"noteIndex":0},"schema":"https://github.com/citation-style-language/schema/raw/master/csl-citation.json"}</w:instrText>
      </w:r>
      <w:r>
        <w:fldChar w:fldCharType="separate"/>
      </w:r>
      <w:r w:rsidR="00B058AB" w:rsidRPr="00B058AB">
        <w:rPr>
          <w:noProof/>
        </w:rPr>
        <w:t>[11]</w:t>
      </w:r>
      <w:r>
        <w:fldChar w:fldCharType="end"/>
      </w:r>
      <w:r>
        <w:t xml:space="preserve"> or </w:t>
      </w:r>
      <w:r w:rsidRPr="00012244">
        <w:t xml:space="preserve">two </w:t>
      </w:r>
      <w:r w:rsidR="005F47A7" w:rsidRPr="00012244">
        <w:fldChar w:fldCharType="begin" w:fldLock="1"/>
      </w:r>
      <w:r w:rsidR="0004151B">
        <w:instrText>ADDIN CSL_CITATION {"citationItems":[{"id":"ITEM-1","itemData":{"author":[{"dropping-particle":"","family":"Roxby","given":"Alison C","non-dropping-particle":"","parse-names":false,"suffix":""},{"dropping-particle":"","family":"Greninger","given":"Alexander L","non-dropping-particle":"","parse-names":false,"suffix":""},{"dropping-particle":"","family":"Hatfield","given":"Kelly M","non-dropping-particle":"","parse-names":false,"suffix":""},{"dropping-particle":"","family":"Lynch","given":"John B","non-dropping-particle":"","parse-names":false,"suffix":""},{"dropping-particle":"","family":"Dellit","given":"Timothy H","non-dropping-particle":"","parse-names":false,"suffix":""},{"dropping-particle":"","family":"James","given":"Allison","non-dropping-particle":"","parse-names":false,"suffix":""},{"dropping-particle":"","family":"Taylor","given":"Joanne","non-dropping-particle":"","parse-names":false,"suffix":""},{"dropping-particle":"","family":"Page","given":"Libby C","non-dropping-particle":"","parse-names":false,"suffix":""},{"dropping-particle":"","family":"Kimball","given":"Anne","non-dropping-particle":"","parse-names":false,"suffix":""},{"dropping-particle":"","family":"Arons","given":"Melissa","non-dropping-particle":"","parse-names":false,"suffix":""}],"container-title":"Morbidity and Mortality Weekly Report","id":"ITEM-1","issue":"14","issued":{"date-parts":[["2020"]]},"page":"416","title":"Detection of SARS-CoV-2 among residents and staff members of an independent and assisted living community for older adults—Seattle, Washington, 2020","type":"article-journal","volume":"69"},"uris":["http://www.mendeley.com/documents/?uuid=040b5028-301c-4409-b6b9-d74920a092ca"]},{"id":"ITEM-2","itemData":{"DOI":"10.1056/NEJMoa2005412","ISBN":"0028-4793 (Print)\r0028-4793","PMID":"32220208","abstract":"BACKGROUND: Long-term care facilities are high-risk settings for severe outcomes from outbreaks of Covid-19, owing to both the advanced age and frequent chronic underlying health conditions of the residents and the movement of health care personnel among facilities in a region. METHODS: After identification on February 28, 2020, of a confirmed case of Covid-19 in a skilled nursing facility in King County, Washington, Public Health-Seattle and King County, aided by the Centers for Disease Control and Prevention, launched a case investigation, contact tracing, quarantine of exposed persons, isolation of confirmed and suspected cases, and on-site enhancement of infection prevention and control. RESULTS: As of March 18, a total of 167 confirmed cases of Covid-19 affecting 101 residents, 50 health care personnel, and 16 visitors were found to be epidemiologically linked to the facility. Most cases among residents included respiratory illness consistent with Covid-19; however, in 7 residents no symptoms were documented. Hospitalization rates for facility residents, visitors, and staff were 54.5%, 50.0%, and 6.0%, respectively. The case fatality rate for residents was 33.7% (34 of 101). As of March 18, a total of 30 long-term care facilities with at least one confirmed case of Covid-19 had been identified in King County. CONCLUSIONS: In the context of rapidly escalating Covid-19 outbreaks, proactive steps by long-term care facilities to identify and exclude potentially infected staff and visitors, actively monitor for potentially infected patients, and implement appropriate infection prevention and control measures are needed to prevent the introduction of Covid-19.","author":[{"dropping-particle":"","family":"McMichael","given":"T M","non-dropping-particle":"","parse-names":false,"suffix":""},{"dropping-particle":"","family":"Currie","given":"D W","non-dropping-particle":"","parse-names":false,"suffix":""},{"dropping-particle":"","family":"Clark","given":"S","non-dropping-particle":"","parse-names":false,"suffix":""},{"dropping-particle":"","family":"Pogosjans","given":"S","non-dropping-particle":"","parse-names":false,"suffix":""},{"dropping-particle":"","family":"Kay","given":"M","non-dropping-particle":"","parse-names":false,"suffix":""},{"dropping-particle":"","family":"Schwartz","given":"N G","non-dropping-particle":"","parse-names":false,"suffix":""},{"dropping-particle":"","family":"Lewis","given":"J","non-dropping-particle":"","parse-names":false,"suffix":""},{"dropping-particle":"","family":"Baer","given":"A","non-dropping-particle":"","parse-names":false,"suffix":""},{"dropping-particle":"","family":"Kawakami","given":"V","non-dropping-particle":"","parse-names":false,"suffix":""},{"dropping-particle":"","family":"Lukoff","given":"M D","non-dropping-particle":"","parse-names":false,"suffix":""},{"dropping-particle":"","family":"Ferro","given":"J","non-dropping-particle":"","parse-names":false,"suffix":""},{"dropping-particle":"","family":"Brostrom-Smith","given":"C","non-dropping-particle":"","parse-names":false,"suffix":""},{"dropping-particle":"","family":"Rea","given":"T D","non-dropping-particle":"","parse-names":false,"suffix":""},{"dropping-particle":"","family":"Sayre","given":"M R","non-dropping-particle":"","parse-names":false,"suffix":""},{"dropping-particle":"","family":"Riedo","given":"F X","non-dropping-particle":"","parse-names":false,"suffix":""},{"dropping-particle":"","family":"Russell","given":"D","non-dropping-particle":"","parse-names":false,"suffix":""},{"dropping-particle":"","family":"Hiatt","given":"B","non-dropping-particle":"","parse-names":false,"suffix":""},{"dropping-particle":"","family":"Montgomery","given":"P","non-dropping-particle":"","parse-names":false,"suffix":""},{"dropping-particle":"","family":"Rao","given":"A K","non-dropping-particle":"","parse-names":false,"suffix":""},{"dropping-particle":"","family":"Chow","given":"E J","non-dropping-particle":"","parse-names":false,"suffix":""},{"dropping-particle":"","family":"Tobolowsky","given":"F","non-dropping-particle":"","parse-names":false,"suffix":""},{"dropping-particle":"","family":"Hughes","given":"M J","non-dropping-particle":"","parse-names":false,"suffix":""},{"dropping-particle":"","family":"Bardossy","given":"A C","non-dropping-particle":"","parse-names":false,"suffix":""},{"dropping-particle":"","family":"Oakley","given":"L P","non-dropping-particle":"","parse-names":false,"suffix":""},{"dropping-particle":"","family":"Jacobs","given":"J R","non-dropping-particle":"","parse-names":false,"suffix":""},{"dropping-particle":"","family":"Stone","given":"N D","non-dropping-particle":"","parse-names":false,"suffix":""},{"dropping-particle":"","family":"Reddy","given":"S C","non-dropping-particle":"","parse-names":false,"suffix":""},{"dropping-particle":"","family":"Jernigan","given":"J A","non-dropping-particle":"","parse-names":false,"suffix":""},{"dropping-particle":"","family":"Honein","given":"M A","non-dropping-particle":"","parse-names":false,"suffix":""},{"dropping-particle":"","family":"Clark","given":"T A","non-dropping-particle":"","parse-names":false,"suffix":""},{"dropping-particle":"","family":"Duchin","given":"J S","non-dropping-particle":"","parse-names":false,"suffix":""}],"container-title":"N Engl J Med","edition":"2020/03/29","id":"ITEM-2","issue":"21","issued":{"date-parts":[["2020"]]},"language":"eng","note":"1533-4406\nMcMichael, Temet M\nCurrie, Dustin W\nClark, Shauna\nPogosjans, Sargis\nKay, Meagan\nSchwartz, Noah G\nLewis, James\nBaer, Atar\nKawakami, Vance\nLukoff, Margaret D\nFerro, Jessica\nBrostrom-Smith, Claire\nRea, Thomas D\nSayre, Michael R\nRiedo, Francis X\nRussell, Denny\nHiatt, Brian\nMontgomery, Patricia\nRao, Agam K\nChow, Eric J\nTobolowsky, Farrell\nHughes, Michael J\nBardossy, Ana C\nOakley, Lisa P\nJacobs, Jesica R\nStone, Nimalie D\nReddy, Sujan C\nJernigan, John A\nHonein, Margaret A\nClark, Thomas A\nDuchin, Jeffrey S\nPublic Health–Seattle and King County, EvergreenHealth, and CDC COVID-19 Investigation Team\nCase Reports\nJournal Article\nN Engl J Med. 2020 May 21;382(21):2005-2011. doi: 10.1056/NEJMoa2005412. Epub 2020 Mar 27.","page":"2005-2011","title":"Epidemiology of Covid-19 in a Long-Term Care Facility in King County, Washington","type":"article-journal","volume":"382"},"uris":["http://www.mendeley.com/documents/?uuid=f9131146-88d9-4622-b18e-a21af680f1ed"]}],"mendeley":{"formattedCitation":"[12,13]","plainTextFormattedCitation":"[12,13]","previouslyFormattedCitation":"[12,13]"},"properties":{"noteIndex":0},"schema":"https://github.com/citation-style-language/schema/raw/master/csl-citation.json"}</w:instrText>
      </w:r>
      <w:r w:rsidR="005F47A7" w:rsidRPr="00012244">
        <w:fldChar w:fldCharType="separate"/>
      </w:r>
      <w:r w:rsidR="00B058AB" w:rsidRPr="00B058AB">
        <w:rPr>
          <w:noProof/>
        </w:rPr>
        <w:t>[12,13]</w:t>
      </w:r>
      <w:r w:rsidR="005F47A7" w:rsidRPr="00012244">
        <w:fldChar w:fldCharType="end"/>
      </w:r>
      <w:r w:rsidR="005F47A7" w:rsidRPr="00012244">
        <w:t xml:space="preserve"> </w:t>
      </w:r>
      <w:r w:rsidRPr="00012244">
        <w:t>index cases</w:t>
      </w:r>
      <w:r>
        <w:t xml:space="preserve"> living in the care home. However only two studies tested all resident contacts regardless of symptom status. These reported</w:t>
      </w:r>
      <w:r w:rsidDel="0A70DC1E">
        <w:t xml:space="preserve"> </w:t>
      </w:r>
      <w:r>
        <w:t xml:space="preserve">attack rates of 30.3% (95% CI: 20.2%-41.9%) </w:t>
      </w:r>
      <w:r>
        <w:fldChar w:fldCharType="begin" w:fldLock="1"/>
      </w:r>
      <w:r w:rsidR="0004151B">
        <w:instrText>ADDIN CSL_CITATION {"citationItems":[{"id":"ITEM-1","itemData":{"author":[{"dropping-particle":"","family":"Kimball","given":"Anne","non-dropping-particle":"","parse-names":false,"suffix":""},{"dropping-particle":"","family":"Hatfield","given":"Kelly M","non-dropping-particle":"","parse-names":false,"suffix":""},{"dropping-particle":"","family":"Arons","given":"Melissa","non-dropping-particle":"","parse-names":false,"suffix":""},{"dropping-particle":"","family":"James","given":"Allison","non-dropping-particle":"","parse-names":false,"suffix":""},{"dropping-particle":"","family":"Taylor","given":"Joanne","non-dropping-particle":"","parse-names":false,"suffix":""},{"dropping-particle":"","family":"Spicer","given":"Kevin","non-dropping-particle":"","parse-names":false,"suffix":""},{"dropping-particle":"","family":"Bardossy","given":"Ana C","non-dropping-particle":"","parse-names":false,"suffix":""},{"dropping-particle":"","family":"Oakley","given":"Lisa P","non-dropping-particle":"","parse-names":false,"suffix":""},{"dropping-particle":"","family":"Tanwar","given":"Sukarma","non-dropping-particle":"","parse-names":false,"suffix":""},{"dropping-particle":"","family":"Chisty","given":"Zeshan","non-dropping-particle":"","parse-names":false,"suffix":""}],"container-title":"Morbidity and Mortality Weekly Report","id":"ITEM-1","issue":"13","issued":{"date-parts":[["2020"]]},"page":"377","title":"Asymptomatic and presymptomatic SARS-CoV-2 infections in residents of a long-term care skilled nursing facility—King County, Washington, March 2020","type":"article-journal","volume":"69"},"uris":["http://www.mendeley.com/documents/?uuid=af65d19e-e8ff-4c61-9a74-75838a303973"]}],"mendeley":{"formattedCitation":"[11]","plainTextFormattedCitation":"[11]","previouslyFormattedCitation":"[11]"},"properties":{"noteIndex":0},"schema":"https://github.com/citation-style-language/schema/raw/master/csl-citation.json"}</w:instrText>
      </w:r>
      <w:r>
        <w:fldChar w:fldCharType="separate"/>
      </w:r>
      <w:r w:rsidR="00B058AB" w:rsidRPr="00B058AB">
        <w:rPr>
          <w:noProof/>
        </w:rPr>
        <w:t>[11]</w:t>
      </w:r>
      <w:r>
        <w:fldChar w:fldCharType="end"/>
      </w:r>
      <w:r>
        <w:t xml:space="preserve"> and 3.8% (95% CI: 0.8%-10.6%) </w:t>
      </w:r>
      <w:r>
        <w:fldChar w:fldCharType="begin" w:fldLock="1"/>
      </w:r>
      <w:r w:rsidR="0004151B">
        <w:instrText>ADDIN CSL_CITATION {"citationItems":[{"id":"ITEM-1","itemData":{"author":[{"dropping-particle":"","family":"Roxby","given":"Alison C","non-dropping-particle":"","parse-names":false,"suffix":""},{"dropping-particle":"","family":"Greninger","given":"Alexander L","non-dropping-particle":"","parse-names":false,"suffix":""},{"dropping-particle":"","family":"Hatfield","given":"Kelly M","non-dropping-particle":"","parse-names":false,"suffix":""},{"dropping-particle":"","family":"Lynch","given":"John B","non-dropping-particle":"","parse-names":false,"suffix":""},{"dropping-particle":"","family":"Dellit","given":"Timothy H","non-dropping-particle":"","parse-names":false,"suffix":""},{"dropping-particle":"","family":"James","given":"Allison","non-dropping-particle":"","parse-names":false,"suffix":""},{"dropping-particle":"","family":"Taylor","given":"Joanne","non-dropping-particle":"","parse-names":false,"suffix":""},{"dropping-particle":"","family":"Page","given":"Libby C","non-dropping-particle":"","parse-names":false,"suffix":""},{"dropping-particle":"","family":"Kimball","given":"Anne","non-dropping-particle":"","parse-names":false,"suffix":""},{"dropping-particle":"","family":"Arons","given":"Melissa","non-dropping-particle":"","parse-names":false,"suffix":""}],"container-title":"Morbidity and Mortality Weekly Report","id":"ITEM-1","issue":"14","issued":{"date-parts":[["2020"]]},"page":"416","title":"Detection of SARS-CoV-2 among residents and staff members of an independent and assisted living community for older adults—Seattle, Washington, 2020","type":"article-journal","volume":"69"},"uris":["http://www.mendeley.com/documents/?uuid=f7ab39b6-8553-4b6f-86ef-694d056df8f8"]}],"mendeley":{"formattedCitation":"[12]","plainTextFormattedCitation":"[12]","previouslyFormattedCitation":"[12]"},"properties":{"noteIndex":0},"schema":"https://github.com/citation-style-language/schema/raw/master/csl-citation.json"}</w:instrText>
      </w:r>
      <w:r>
        <w:fldChar w:fldCharType="separate"/>
      </w:r>
      <w:r w:rsidR="00B058AB" w:rsidRPr="00B058AB">
        <w:rPr>
          <w:noProof/>
        </w:rPr>
        <w:t>[12]</w:t>
      </w:r>
      <w:r>
        <w:fldChar w:fldCharType="end"/>
      </w:r>
      <w:r>
        <w:t>. The third study only tested 118 of around 170 residents</w:t>
      </w:r>
      <w:r w:rsidDel="64AB0DD8">
        <w:t xml:space="preserve"> </w:t>
      </w:r>
      <w:r>
        <w:t>but reported an attack rate of 59.4% (95% CI 51.6%-66.9%, 101/170)</w:t>
      </w:r>
      <w:r>
        <w:fldChar w:fldCharType="begin" w:fldLock="1"/>
      </w:r>
      <w:r w:rsidR="0004151B">
        <w:instrText>ADDIN CSL_CITATION {"citationItems":[{"id":"ITEM-1","itemData":{"DOI":"10.1056/NEJMoa2005412","ISBN":"0028-4793 (Print)\r0028-4793","PMID":"32220208","abstract":"BACKGROUND: Long-term care facilities are high-risk settings for severe outcomes from outbreaks of Covid-19, owing to both the advanced age and frequent chronic underlying health conditions of the residents and the movement of health care personnel among facilities in a region. METHODS: After identification on February 28, 2020, of a confirmed case of Covid-19 in a skilled nursing facility in King County, Washington, Public Health-Seattle and King County, aided by the Centers for Disease Control and Prevention, launched a case investigation, contact tracing, quarantine of exposed persons, isolation of confirmed and suspected cases, and on-site enhancement of infection prevention and control. RESULTS: As of March 18, a total of 167 confirmed cases of Covid-19 affecting 101 residents, 50 health care personnel, and 16 visitors were found to be epidemiologically linked to the facility. Most cases among residents included respiratory illness consistent with Covid-19; however, in 7 residents no symptoms were documented. Hospitalization rates for facility residents, visitors, and staff were 54.5%, 50.0%, and 6.0%, respectively. The case fatality rate for residents was 33.7% (34 of 101). As of March 18, a total of 30 long-term care facilities with at least one confirmed case of Covid-19 had been identified in King County. CONCLUSIONS: In the context of rapidly escalating Covid-19 outbreaks, proactive steps by long-term care facilities to identify and exclude potentially infected staff and visitors, actively monitor for potentially infected patients, and implement appropriate infection prevention and control measures are needed to prevent the introduction of Covid-19.","author":[{"dropping-particle":"","family":"McMichael","given":"T M","non-dropping-particle":"","parse-names":false,"suffix":""},{"dropping-particle":"","family":"Currie","given":"D W","non-dropping-particle":"","parse-names":false,"suffix":""},{"dropping-particle":"","family":"Clark","given":"S","non-dropping-particle":"","parse-names":false,"suffix":""},{"dropping-particle":"","family":"Pogosjans","given":"S","non-dropping-particle":"","parse-names":false,"suffix":""},{"dropping-particle":"","family":"Kay","given":"M","non-dropping-particle":"","parse-names":false,"suffix":""},{"dropping-particle":"","family":"Schwartz","given":"N G","non-dropping-particle":"","parse-names":false,"suffix":""},{"dropping-particle":"","family":"Lewis","given":"J","non-dropping-particle":"","parse-names":false,"suffix":""},{"dropping-particle":"","family":"Baer","given":"A","non-dropping-particle":"","parse-names":false,"suffix":""},{"dropping-particle":"","family":"Kawakami","given":"V","non-dropping-particle":"","parse-names":false,"suffix":""},{"dropping-particle":"","family":"Lukoff","given":"M D","non-dropping-particle":"","parse-names":false,"suffix":""},{"dropping-particle":"","family":"Ferro","given":"J","non-dropping-particle":"","parse-names":false,"suffix":""},{"dropping-particle":"","family":"Brostrom-Smith","given":"C","non-dropping-particle":"","parse-names":false,"suffix":""},{"dropping-particle":"","family":"Rea","given":"T D","non-dropping-particle":"","parse-names":false,"suffix":""},{"dropping-particle":"","family":"Sayre","given":"M R","non-dropping-particle":"","parse-names":false,"suffix":""},{"dropping-particle":"","family":"Riedo","given":"F X","non-dropping-particle":"","parse-names":false,"suffix":""},{"dropping-particle":"","family":"Russell","given":"D","non-dropping-particle":"","parse-names":false,"suffix":""},{"dropping-particle":"","family":"Hiatt","given":"B","non-dropping-particle":"","parse-names":false,"suffix":""},{"dropping-particle":"","family":"Montgomery","given":"P","non-dropping-particle":"","parse-names":false,"suffix":""},{"dropping-particle":"","family":"Rao","given":"A K","non-dropping-particle":"","parse-names":false,"suffix":""},{"dropping-particle":"","family":"Chow","given":"E J","non-dropping-particle":"","parse-names":false,"suffix":""},{"dropping-particle":"","family":"Tobolowsky","given":"F","non-dropping-particle":"","parse-names":false,"suffix":""},{"dropping-particle":"","family":"Hughes","given":"M J","non-dropping-particle":"","parse-names":false,"suffix":""},{"dropping-particle":"","family":"Bardossy","given":"A C","non-dropping-particle":"","parse-names":false,"suffix":""},{"dropping-particle":"","family":"Oakley","given":"L P","non-dropping-particle":"","parse-names":false,"suffix":""},{"dropping-particle":"","family":"Jacobs","given":"J R","non-dropping-particle":"","parse-names":false,"suffix":""},{"dropping-particle":"","family":"Stone","given":"N D","non-dropping-particle":"","parse-names":false,"suffix":""},{"dropping-particle":"","family":"Reddy","given":"S C","non-dropping-particle":"","parse-names":false,"suffix":""},{"dropping-particle":"","family":"Jernigan","given":"J A","non-dropping-particle":"","parse-names":false,"suffix":""},{"dropping-particle":"","family":"Honein","given":"M A","non-dropping-particle":"","parse-names":false,"suffix":""},{"dropping-particle":"","family":"Clark","given":"T A","non-dropping-particle":"","parse-names":false,"suffix":""},{"dropping-particle":"","family":"Duchin","given":"J S","non-dropping-particle":"","parse-names":false,"suffix":""}],"container-title":"N Engl J Med","edition":"2020/03/29","id":"ITEM-1","issue":"21","issued":{"date-parts":[["2020"]]},"language":"eng","note":"1533-4406\nMcMichael, Temet M\nCurrie, Dustin W\nClark, Shauna\nPogosjans, Sargis\nKay, Meagan\nSchwartz, Noah G\nLewis, James\nBaer, Atar\nKawakami, Vance\nLukoff, Margaret D\nFerro, Jessica\nBrostrom-Smith, Claire\nRea, Thomas D\nSayre, Michael R\nRiedo, Francis X\nRussell, Denny\nHiatt, Brian\nMontgomery, Patricia\nRao, Agam K\nChow, Eric J\nTobolowsky, Farrell\nHughes, Michael J\nBardossy, Ana C\nOakley, Lisa P\nJacobs, Jesica R\nStone, Nimalie D\nReddy, Sujan C\nJernigan, John A\nHonein, Margaret A\nClark, Thomas A\nDuchin, Jeffrey S\nPublic Health–Seattle and King County, EvergreenHealth, and CDC COVID-19 Investigation Team\nCase Reports\nJournal Article\nN Engl J Med. 2020 May 21;382(21):2005-2011. doi: 10.1056/NEJMoa2005412. Epub 2020 Mar 27.","page":"2005-2011","title":"Epidemiology of Covid-19 in a Long-Term Care Facility in King County, Washington","type":"article-journal","volume":"382"},"uris":["http://www.mendeley.com/documents/?uuid=f9131146-88d9-4622-b18e-a21af680f1ed"]}],"mendeley":{"formattedCitation":"[13]","plainTextFormattedCitation":"[13]","previouslyFormattedCitation":"[13]"},"properties":{"noteIndex":0},"schema":"https://github.com/citation-style-language/schema/raw/master/csl-citation.json"}</w:instrText>
      </w:r>
      <w:r>
        <w:fldChar w:fldCharType="separate"/>
      </w:r>
      <w:r w:rsidR="00B058AB" w:rsidRPr="00B058AB">
        <w:rPr>
          <w:noProof/>
        </w:rPr>
        <w:t>[13]</w:t>
      </w:r>
      <w:r>
        <w:fldChar w:fldCharType="end"/>
      </w:r>
      <w:r>
        <w:t xml:space="preserve">. </w:t>
      </w:r>
      <w:r w:rsidR="006C5F38">
        <w:t xml:space="preserve">There were important differences between the studies included in this meta-analysis that may explain the variability observed in different facility-level attack rates. In the study by Roxby </w:t>
      </w:r>
      <w:r w:rsidR="006C5F38" w:rsidRPr="2ADDD56A">
        <w:rPr>
          <w:i/>
          <w:iCs/>
        </w:rPr>
        <w:t>et al</w:t>
      </w:r>
      <w:r w:rsidR="006C5F38">
        <w:t xml:space="preserve">, the residential facility implemented high levels of social distancing among residents and low contact with healthcare providers following the identification of an index case </w:t>
      </w:r>
      <w:r w:rsidR="006C5F38">
        <w:fldChar w:fldCharType="begin" w:fldLock="1"/>
      </w:r>
      <w:r w:rsidR="0004151B">
        <w:instrText>ADDIN CSL_CITATION {"citationItems":[{"id":"ITEM-1","itemData":{"author":[{"dropping-particle":"","family":"Roxby","given":"Alison C","non-dropping-particle":"","parse-names":false,"suffix":""},{"dropping-particle":"","family":"Greninger","given":"Alexander L","non-dropping-particle":"","parse-names":false,"suffix":""},{"dropping-particle":"","family":"Hatfield","given":"Kelly M","non-dropping-particle":"","parse-names":false,"suffix":""},{"dropping-particle":"","family":"Lynch","given":"John B","non-dropping-particle":"","parse-names":false,"suffix":""},{"dropping-particle":"","family":"Dellit","given":"Timothy H","non-dropping-particle":"","parse-names":false,"suffix":""},{"dropping-particle":"","family":"James","given":"Allison","non-dropping-particle":"","parse-names":false,"suffix":""},{"dropping-particle":"","family":"Taylor","given":"Joanne","non-dropping-particle":"","parse-names":false,"suffix":""},{"dropping-particle":"","family":"Page","given":"Libby C","non-dropping-particle":"","parse-names":false,"suffix":""},{"dropping-particle":"","family":"Kimball","given":"Anne","non-dropping-particle":"","parse-names":false,"suffix":""},{"dropping-particle":"","family":"Arons","given":"Melissa","non-dropping-particle":"","parse-names":false,"suffix":""}],"container-title":"Morbidity and Mortality Weekly Report","id":"ITEM-1","issue":"14","issued":{"date-parts":[["2020"]]},"page":"416","title":"Detection of SARS-CoV-2 among residents and staff members of an independent and assisted living community for older adults—Seattle, Washington, 2020","type":"article-journal","volume":"69"},"uris":["http://www.mendeley.com/documents/?uuid=f7ab39b6-8553-4b6f-86ef-694d056df8f8"]}],"mendeley":{"formattedCitation":"[12]","plainTextFormattedCitation":"[12]","previouslyFormattedCitation":"[12]"},"properties":{"noteIndex":0},"schema":"https://github.com/citation-style-language/schema/raw/master/csl-citation.json"}</w:instrText>
      </w:r>
      <w:r w:rsidR="006C5F38">
        <w:fldChar w:fldCharType="separate"/>
      </w:r>
      <w:r w:rsidR="00B058AB" w:rsidRPr="00B058AB">
        <w:rPr>
          <w:noProof/>
        </w:rPr>
        <w:t>[12]</w:t>
      </w:r>
      <w:r w:rsidR="006C5F38">
        <w:fldChar w:fldCharType="end"/>
      </w:r>
      <w:r w:rsidR="006C5F38">
        <w:t xml:space="preserve">. Furthermore, both index cases were rapidly isolated. This likely resulted in lower overall transmission in this facility compared with that presented in Kimball </w:t>
      </w:r>
      <w:r w:rsidR="006C5F38" w:rsidRPr="2ADDD56A">
        <w:rPr>
          <w:i/>
          <w:iCs/>
        </w:rPr>
        <w:t>et al</w:t>
      </w:r>
      <w:r w:rsidR="006C5F38">
        <w:t xml:space="preserve"> and McMichael </w:t>
      </w:r>
      <w:r w:rsidR="006C5F38" w:rsidRPr="2ADDD56A">
        <w:rPr>
          <w:i/>
          <w:iCs/>
        </w:rPr>
        <w:t xml:space="preserve">et al, </w:t>
      </w:r>
      <w:r w:rsidR="006C5F38">
        <w:t xml:space="preserve">both from skilled nursing facilities where residents were more likely to be in shared rooms with prolonged close contact with healthcare providers </w:t>
      </w:r>
      <w:r w:rsidR="006C5F38">
        <w:fldChar w:fldCharType="begin" w:fldLock="1"/>
      </w:r>
      <w:r w:rsidR="0004151B">
        <w:instrText>ADDIN CSL_CITATION {"citationItems":[{"id":"ITEM-1","itemData":{"author":[{"dropping-particle":"","family":"Kimball","given":"Anne","non-dropping-particle":"","parse-names":false,"suffix":""},{"dropping-particle":"","family":"Hatfield","given":"Kelly M","non-dropping-particle":"","parse-names":false,"suffix":""},{"dropping-particle":"","family":"Arons","given":"Melissa","non-dropping-particle":"","parse-names":false,"suffix":""},{"dropping-particle":"","family":"James","given":"Allison","non-dropping-particle":"","parse-names":false,"suffix":""},{"dropping-particle":"","family":"Taylor","given":"Joanne","non-dropping-particle":"","parse-names":false,"suffix":""},{"dropping-particle":"","family":"Spicer","given":"Kevin","non-dropping-particle":"","parse-names":false,"suffix":""},{"dropping-particle":"","family":"Bardossy","given":"Ana C","non-dropping-particle":"","parse-names":false,"suffix":""},{"dropping-particle":"","family":"Oakley","given":"Lisa P","non-dropping-particle":"","parse-names":false,"suffix":""},{"dropping-particle":"","family":"Tanwar","given":"Sukarma","non-dropping-particle":"","parse-names":false,"suffix":""},{"dropping-particle":"","family":"Chisty","given":"Zeshan","non-dropping-particle":"","parse-names":false,"suffix":""}],"container-title":"Morbidity and Mortality Weekly Report","id":"ITEM-1","issue":"13","issued":{"date-parts":[["2020"]]},"page":"377","title":"Asymptomatic and presymptomatic SARS-CoV-2 infections in residents of a long-term care skilled nursing facility—King County, Washington, March 2020","type":"article-journal","volume":"69"},"uris":["http://www.mendeley.com/documents/?uuid=af65d19e-e8ff-4c61-9a74-75838a303973"]},{"id":"ITEM-2","itemData":{"DOI":"10.1056/NEJMoa2005412","ISBN":"0028-4793 (Print)\r0028-4793","PMID":"32220208","abstract":"BACKGROUND: Long-term care facilities are high-risk settings for severe outcomes from outbreaks of Covid-19, owing to both the advanced age and frequent chronic underlying health conditions of the residents and the movement of health care personnel among facilities in a region. METHODS: After identification on February 28, 2020, of a confirmed case of Covid-19 in a skilled nursing facility in King County, Washington, Public Health-Seattle and King County, aided by the Centers for Disease Control and Prevention, launched a case investigation, contact tracing, quarantine of exposed persons, isolation of confirmed and suspected cases, and on-site enhancement of infection prevention and control. RESULTS: As of March 18, a total of 167 confirmed cases of Covid-19 affecting 101 residents, 50 health care personnel, and 16 visitors were found to be epidemiologically linked to the facility. Most cases among residents included respiratory illness consistent with Covid-19; however, in 7 residents no symptoms were documented. Hospitalization rates for facility residents, visitors, and staff were 54.5%, 50.0%, and 6.0%, respectively. The case fatality rate for residents was 33.7% (34 of 101). As of March 18, a total of 30 long-term care facilities with at least one confirmed case of Covid-19 had been identified in King County. CONCLUSIONS: In the context of rapidly escalating Covid-19 outbreaks, proactive steps by long-term care facilities to identify and exclude potentially infected staff and visitors, actively monitor for potentially infected patients, and implement appropriate infection prevention and control measures are needed to prevent the introduction of Covid-19.","author":[{"dropping-particle":"","family":"McMichael","given":"T M","non-dropping-particle":"","parse-names":false,"suffix":""},{"dropping-particle":"","family":"Currie","given":"D W","non-dropping-particle":"","parse-names":false,"suffix":""},{"dropping-particle":"","family":"Clark","given":"S","non-dropping-particle":"","parse-names":false,"suffix":""},{"dropping-particle":"","family":"Pogosjans","given":"S","non-dropping-particle":"","parse-names":false,"suffix":""},{"dropping-particle":"","family":"Kay","given":"M","non-dropping-particle":"","parse-names":false,"suffix":""},{"dropping-particle":"","family":"Schwartz","given":"N G","non-dropping-particle":"","parse-names":false,"suffix":""},{"dropping-particle":"","family":"Lewis","given":"J","non-dropping-particle":"","parse-names":false,"suffix":""},{"dropping-particle":"","family":"Baer","given":"A","non-dropping-particle":"","parse-names":false,"suffix":""},{"dropping-particle":"","family":"Kawakami","given":"V","non-dropping-particle":"","parse-names":false,"suffix":""},{"dropping-particle":"","family":"Lukoff","given":"M D","non-dropping-particle":"","parse-names":false,"suffix":""},{"dropping-particle":"","family":"Ferro","given":"J","non-dropping-particle":"","parse-names":false,"suffix":""},{"dropping-particle":"","family":"Brostrom-Smith","given":"C","non-dropping-particle":"","parse-names":false,"suffix":""},{"dropping-particle":"","family":"Rea","given":"T D","non-dropping-particle":"","parse-names":false,"suffix":""},{"dropping-particle":"","family":"Sayre","given":"M R","non-dropping-particle":"","parse-names":false,"suffix":""},{"dropping-particle":"","family":"Riedo","given":"F X","non-dropping-particle":"","parse-names":false,"suffix":""},{"dropping-particle":"","family":"Russell","given":"D","non-dropping-particle":"","parse-names":false,"suffix":""},{"dropping-particle":"","family":"Hiatt","given":"B","non-dropping-particle":"","parse-names":false,"suffix":""},{"dropping-particle":"","family":"Montgomery","given":"P","non-dropping-particle":"","parse-names":false,"suffix":""},{"dropping-particle":"","family":"Rao","given":"A K","non-dropping-particle":"","parse-names":false,"suffix":""},{"dropping-particle":"","family":"Chow","given":"E J","non-dropping-particle":"","parse-names":false,"suffix":""},{"dropping-particle":"","family":"Tobolowsky","given":"F","non-dropping-particle":"","parse-names":false,"suffix":""},{"dropping-particle":"","family":"Hughes","given":"M J","non-dropping-particle":"","parse-names":false,"suffix":""},{"dropping-particle":"","family":"Bardossy","given":"A C","non-dropping-particle":"","parse-names":false,"suffix":""},{"dropping-particle":"","family":"Oakley","given":"L P","non-dropping-particle":"","parse-names":false,"suffix":""},{"dropping-particle":"","family":"Jacobs","given":"J R","non-dropping-particle":"","parse-names":false,"suffix":""},{"dropping-particle":"","family":"Stone","given":"N D","non-dropping-particle":"","parse-names":false,"suffix":""},{"dropping-particle":"","family":"Reddy","given":"S C","non-dropping-particle":"","parse-names":false,"suffix":""},{"dropping-particle":"","family":"Jernigan","given":"J A","non-dropping-particle":"","parse-names":false,"suffix":""},{"dropping-particle":"","family":"Honein","given":"M A","non-dropping-particle":"","parse-names":false,"suffix":""},{"dropping-particle":"","family":"Clark","given":"T A","non-dropping-particle":"","parse-names":false,"suffix":""},{"dropping-particle":"","family":"Duchin","given":"J S","non-dropping-particle":"","parse-names":false,"suffix":""}],"container-title":"N Engl J Med","edition":"2020/03/29","id":"ITEM-2","issue":"21","issued":{"date-parts":[["2020"]]},"language":"eng","note":"1533-4406\nMcMichael, Temet M\nCurrie, Dustin W\nClark, Shauna\nPogosjans, Sargis\nKay, Meagan\nSchwartz, Noah G\nLewis, James\nBaer, Atar\nKawakami, Vance\nLukoff, Margaret D\nFerro, Jessica\nBrostrom-Smith, Claire\nRea, Thomas D\nSayre, Michael R\nRiedo, Francis X\nRussell, Denny\nHiatt, Brian\nMontgomery, Patricia\nRao, Agam K\nChow, Eric J\nTobolowsky, Farrell\nHughes, Michael J\nBardossy, Ana C\nOakley, Lisa P\nJacobs, Jesica R\nStone, Nimalie D\nReddy, Sujan C\nJernigan, John A\nHonein, Margaret A\nClark, Thomas A\nDuchin, Jeffrey S\nPublic Health–Seattle and King County, EvergreenHealth, and CDC COVID-19 Investigation Team\nCase Reports\nJournal Article\nN Engl J Med. 2020 May 21;382(21):2005-2011. doi: 10.1056/NEJMoa2005412. Epub 2020 Mar 27.","page":"2005-2011","title":"Epidemiology of Covid-19 in a Long-Term Care Facility in King County, Washington","type":"article-journal","volume":"382"},"uris":["http://www.mendeley.com/documents/?uuid=f9131146-88d9-4622-b18e-a21af680f1ed"]}],"mendeley":{"formattedCitation":"[11,13]","plainTextFormattedCitation":"[11,13]","previouslyFormattedCitation":"[11,13]"},"properties":{"noteIndex":0},"schema":"https://github.com/citation-style-language/schema/raw/master/csl-citation.json"}</w:instrText>
      </w:r>
      <w:r w:rsidR="006C5F38">
        <w:fldChar w:fldCharType="separate"/>
      </w:r>
      <w:r w:rsidR="00B058AB" w:rsidRPr="00B058AB">
        <w:rPr>
          <w:noProof/>
        </w:rPr>
        <w:t>[11,13]</w:t>
      </w:r>
      <w:r w:rsidR="006C5F38">
        <w:fldChar w:fldCharType="end"/>
      </w:r>
      <w:r w:rsidR="006C5F38">
        <w:t xml:space="preserve">. </w:t>
      </w:r>
    </w:p>
    <w:p w14:paraId="78A7F744" w14:textId="2A2EC582" w:rsidR="00D103D7" w:rsidRDefault="00D103D7" w:rsidP="002F6691">
      <w:pPr>
        <w:jc w:val="both"/>
      </w:pPr>
      <w:r>
        <w:lastRenderedPageBreak/>
        <w:t xml:space="preserve">Another vulnerable population living in group accommodation are the homeless. Only one published study was conducted in a homeless shelter population in Boston, USA following the identification of increasing numbers of cases associated with the facility </w:t>
      </w:r>
      <w:r>
        <w:fldChar w:fldCharType="begin" w:fldLock="1"/>
      </w:r>
      <w:r w:rsidR="001B3AB4">
        <w:instrText>ADDIN CSL_CITATION {"citationItems":[{"id":"ITEM-1","itemData":{"DOI":"10.1001/jama.2020.6887","ISBN":"0098-7484","abstract":"In the United States, 567 715 people were homeless on a single night in January 2019. The congregate nature and hygienic challenges of shelter life create the potential for rapid transmission of severe acute respiratory syndrome coronavirus 2 (SARS-CoV-2) in this vulnerable population.On March 13, 2020, the Boston Health Care for the Homeless Program (BHCHP), in partnership with city and state public health agencies and community partners, rolled out a coronavirus disease 2019 (COVID-19) response strategy that included respiratory symptom screening at shelter front doors, expedited referrals for SARS-CoV-2 testing and isolation for those with respiratory symptoms, dedicated treatment settings for individuals with positive test results, and contact tracing of confirmed COVID-19 cases.","author":[{"dropping-particle":"","family":"Baggett","given":"Travis P","non-dropping-particle":"","parse-names":false,"suffix":""},{"dropping-particle":"","family":"Keyes","given":"Harrison","non-dropping-particle":"","parse-names":false,"suffix":""},{"dropping-particle":"","family":"Sporn","given":"Nora","non-dropping-particle":"","parse-names":false,"suffix":""},{"dropping-particle":"","family":"Gaeta","given":"Jessie M","non-dropping-particle":"","parse-names":false,"suffix":""}],"container-title":"JAMA","id":"ITEM-1","issue":"21","issued":{"date-parts":[["2020"]]},"page":"2191-2192","title":"Prevalence of SARS-CoV-2 Infection in Residents of a Large Homeless Shelter in Boston","type":"article-journal","volume":"323"},"uris":["http://www.mendeley.com/documents/?uuid=e12778ce-9efc-48de-a0a5-f443cc2402be"]}],"mendeley":{"formattedCitation":"[14]","plainTextFormattedCitation":"[14]","previouslyFormattedCitation":"[16]"},"properties":{"noteIndex":0},"schema":"https://github.com/citation-style-language/schema/raw/master/csl-citation.json"}</w:instrText>
      </w:r>
      <w:r>
        <w:fldChar w:fldCharType="separate"/>
      </w:r>
      <w:r w:rsidR="001B3AB4" w:rsidRPr="001B3AB4">
        <w:rPr>
          <w:noProof/>
        </w:rPr>
        <w:t>[14]</w:t>
      </w:r>
      <w:r>
        <w:fldChar w:fldCharType="end"/>
      </w:r>
      <w:r>
        <w:t xml:space="preserve">. This study reports a high attack rate of 36.0% (95% CI: 31.4%-40.8%) with 147/408 residents testing positive, 87.8% of which were asymptomatic </w:t>
      </w:r>
      <w:r>
        <w:fldChar w:fldCharType="begin" w:fldLock="1"/>
      </w:r>
      <w:r w:rsidR="001B3AB4">
        <w:instrText>ADDIN CSL_CITATION {"citationItems":[{"id":"ITEM-1","itemData":{"DOI":"10.1001/jama.2020.6887","ISBN":"0098-7484","abstract":"In the United States, 567 715 people were homeless on a single night in January 2019. The congregate nature and hygienic challenges of shelter life create the potential for rapid transmission of severe acute respiratory syndrome coronavirus 2 (SARS-CoV-2) in this vulnerable population.On March 13, 2020, the Boston Health Care for the Homeless Program (BHCHP), in partnership with city and state public health agencies and community partners, rolled out a coronavirus disease 2019 (COVID-19) response strategy that included respiratory symptom screening at shelter front doors, expedited referrals for SARS-CoV-2 testing and isolation for those with respiratory symptoms, dedicated treatment settings for individuals with positive test results, and contact tracing of confirmed COVID-19 cases.","author":[{"dropping-particle":"","family":"Baggett","given":"Travis P","non-dropping-particle":"","parse-names":false,"suffix":""},{"dropping-particle":"","family":"Keyes","given":"Harrison","non-dropping-particle":"","parse-names":false,"suffix":""},{"dropping-particle":"","family":"Sporn","given":"Nora","non-dropping-particle":"","parse-names":false,"suffix":""},{"dropping-particle":"","family":"Gaeta","given":"Jessie M","non-dropping-particle":"","parse-names":false,"suffix":""}],"container-title":"JAMA","id":"ITEM-1","issue":"21","issued":{"date-parts":[["2020"]]},"page":"2191-2192","title":"Prevalence of SARS-CoV-2 Infection in Residents of a Large Homeless Shelter in Boston","type":"article-journal","volume":"323"},"uris":["http://www.mendeley.com/documents/?uuid=e12778ce-9efc-48de-a0a5-f443cc2402be"]}],"mendeley":{"formattedCitation":"[14]","plainTextFormattedCitation":"[14]","previouslyFormattedCitation":"[16]"},"properties":{"noteIndex":0},"schema":"https://github.com/citation-style-language/schema/raw/master/csl-citation.json"}</w:instrText>
      </w:r>
      <w:r>
        <w:fldChar w:fldCharType="separate"/>
      </w:r>
      <w:r w:rsidR="001B3AB4" w:rsidRPr="001B3AB4">
        <w:rPr>
          <w:noProof/>
        </w:rPr>
        <w:t>[14]</w:t>
      </w:r>
      <w:r>
        <w:fldChar w:fldCharType="end"/>
      </w:r>
      <w:r>
        <w:t xml:space="preserve">. We also identified a study conducted in a military training base, where recruits lived in close quarter barracks. This study did not test all close contacts but only those who were symptomatic </w:t>
      </w:r>
      <w:r>
        <w:fldChar w:fldCharType="begin" w:fldLock="1"/>
      </w:r>
      <w:r w:rsidR="001B3AB4">
        <w:instrText>ADDIN CSL_CITATION {"citationItems":[{"id":"ITEM-1","itemData":{"DOI":"10.15585/mmwr.mm6922e2","ISBN":"0149-2195 (Print)\r0149-2195","PMID":"32497031","abstract":"The coronavirus disease 2019 (COVID-19) pandemic has resulted in substantial morbidity and mortality since it was first described in December 2019 (1). Based on epidemiologic data showing spread in congregate settings (2-4), national, state, and local governments instituted significant restrictions on large gatherings to prevent transmission of disease in early March 2020. This and other nonpharmaceutical interventions (NPIs) have shown initial success in slowing the pandemic across the country (5). This report examines the first 7 weeks (March 1-April 18) of implementation of NPIs in Basic Military Training (BMT) at a U.S. Air Force base. In a population of 10,579 trainees, COVID-19 incidence was limited to five cases (47 per 100,000 persons), three of which were in persons who were contacts of the first patient. Transmission of symptomatic COVID-19 was successfully limited using strategies of quarantine, social distancing, early screening of trainees, rapid isolation of persons with suspected cases, and monitored reentry into training for trainees with positive test results after resolution of symptoms.","author":[{"dropping-particle":"","family":"Marcus","given":"J E","non-dropping-particle":"","parse-names":false,"suffix":""},{"dropping-particle":"","family":"Frankel","given":"D N","non-dropping-particle":"","parse-names":false,"suffix":""},{"dropping-particle":"","family":"Pawlak","given":"M T","non-dropping-particle":"","parse-names":false,"suffix":""},{"dropping-particle":"","family":"Casey","given":"T M","non-dropping-particle":"","parse-names":false,"suffix":""},{"dropping-particle":"","family":"Blackwell","given":"R S","non-dropping-particle":"","parse-names":false,"suffix":""},{"dropping-particle":"V","family":"Tran","given":"F","non-dropping-particle":"","parse-names":false,"suffix":""},{"dropping-particle":"","family":"Dolan","given":"M J","non-dropping-particle":"","parse-names":false,"suffix":""},{"dropping-particle":"","family":"Yun","given":"H C","non-dropping-particle":"","parse-names":false,"suffix":""}],"container-title":"MMWR Morb Mortal Wkly Rep","edition":"2020/06/05","id":"ITEM-1","issue":"22","issued":{"date-parts":[["2020"]]},"language":"eng","note":"1545-861x\nMarcus, Joseph E\nFrankel, Dianne N\nPawlak, Mary T\nCasey, Theresa M\nBlackwell, Rebecca S\nTran, Francis V\nDolan, Mathew J\nYun, Heather C\nJournal Article\nMMWR Morb Mortal Wkly Rep. 2020 Jun 5;69(22):685-688. doi: 10.15585/mmwr.mm6922e2.","page":"685-688","title":"COVID-19 Monitoring and Response Among U.S. Air Force Basic Military Trainees - Texas, March-April 2020","type":"article-journal","volume":"69"},"uris":["http://www.mendeley.com/documents/?uuid=a8cbd3b9-4be8-409e-9d2c-179d51b9335a"]}],"mendeley":{"formattedCitation":"[15]","plainTextFormattedCitation":"[15]","previouslyFormattedCitation":"[17]"},"properties":{"noteIndex":0},"schema":"https://github.com/citation-style-language/schema/raw/master/csl-citation.json"}</w:instrText>
      </w:r>
      <w:r>
        <w:fldChar w:fldCharType="separate"/>
      </w:r>
      <w:r w:rsidR="001B3AB4" w:rsidRPr="001B3AB4">
        <w:rPr>
          <w:noProof/>
        </w:rPr>
        <w:t>[15]</w:t>
      </w:r>
      <w:r>
        <w:fldChar w:fldCharType="end"/>
      </w:r>
      <w:r>
        <w:t xml:space="preserve">. Among 85 tested close contacts from a single index case (from a population of 4,071), 3 additional cases were identified </w:t>
      </w:r>
      <w:r>
        <w:fldChar w:fldCharType="begin" w:fldLock="1"/>
      </w:r>
      <w:r w:rsidR="001B3AB4">
        <w:instrText>ADDIN CSL_CITATION {"citationItems":[{"id":"ITEM-1","itemData":{"DOI":"10.15585/mmwr.mm6922e2","ISBN":"0149-2195 (Print)\r0149-2195","PMID":"32497031","abstract":"The coronavirus disease 2019 (COVID-19) pandemic has resulted in substantial morbidity and mortality since it was first described in December 2019 (1). Based on epidemiologic data showing spread in congregate settings (2-4), national, state, and local governments instituted significant restrictions on large gatherings to prevent transmission of disease in early March 2020. This and other nonpharmaceutical interventions (NPIs) have shown initial success in slowing the pandemic across the country (5). This report examines the first 7 weeks (March 1-April 18) of implementation of NPIs in Basic Military Training (BMT) at a U.S. Air Force base. In a population of 10,579 trainees, COVID-19 incidence was limited to five cases (47 per 100,000 persons), three of which were in persons who were contacts of the first patient. Transmission of symptomatic COVID-19 was successfully limited using strategies of quarantine, social distancing, early screening of trainees, rapid isolation of persons with suspected cases, and monitored reentry into training for trainees with positive test results after resolution of symptoms.","author":[{"dropping-particle":"","family":"Marcus","given":"J E","non-dropping-particle":"","parse-names":false,"suffix":""},{"dropping-particle":"","family":"Frankel","given":"D N","non-dropping-particle":"","parse-names":false,"suffix":""},{"dropping-particle":"","family":"Pawlak","given":"M T","non-dropping-particle":"","parse-names":false,"suffix":""},{"dropping-particle":"","family":"Casey","given":"T M","non-dropping-particle":"","parse-names":false,"suffix":""},{"dropping-particle":"","family":"Blackwell","given":"R S","non-dropping-particle":"","parse-names":false,"suffix":""},{"dropping-particle":"V","family":"Tran","given":"F","non-dropping-particle":"","parse-names":false,"suffix":""},{"dropping-particle":"","family":"Dolan","given":"M J","non-dropping-particle":"","parse-names":false,"suffix":""},{"dropping-particle":"","family":"Yun","given":"H C","non-dropping-particle":"","parse-names":false,"suffix":""}],"container-title":"MMWR Morb Mortal Wkly Rep","edition":"2020/06/05","id":"ITEM-1","issue":"22","issued":{"date-parts":[["2020"]]},"language":"eng","note":"1545-861x\nMarcus, Joseph E\nFrankel, Dianne N\nPawlak, Mary T\nCasey, Theresa M\nBlackwell, Rebecca S\nTran, Francis V\nDolan, Mathew J\nYun, Heather C\nJournal Article\nMMWR Morb Mortal Wkly Rep. 2020 Jun 5;69(22):685-688. doi: 10.15585/mmwr.mm6922e2.","page":"685-688","title":"COVID-19 Monitoring and Response Among U.S. Air Force Basic Military Trainees - Texas, March-April 2020","type":"article-journal","volume":"69"},"uris":["http://www.mendeley.com/documents/?uuid=a8cbd3b9-4be8-409e-9d2c-179d51b9335a"]}],"mendeley":{"formattedCitation":"[15]","plainTextFormattedCitation":"[15]","previouslyFormattedCitation":"[17]"},"properties":{"noteIndex":0},"schema":"https://github.com/citation-style-language/schema/raw/master/csl-citation.json"}</w:instrText>
      </w:r>
      <w:r>
        <w:fldChar w:fldCharType="separate"/>
      </w:r>
      <w:r w:rsidR="001B3AB4" w:rsidRPr="001B3AB4">
        <w:rPr>
          <w:noProof/>
        </w:rPr>
        <w:t>[15]</w:t>
      </w:r>
      <w:r>
        <w:fldChar w:fldCharType="end"/>
      </w:r>
      <w:r>
        <w:t xml:space="preserve">. Finally one study from Louisiana USA reported on SARS-CoV-2 transmission in prison populations, where 489 confirmed cases were detected among 46 different facilities in the State </w:t>
      </w:r>
      <w:r>
        <w:fldChar w:fldCharType="begin" w:fldLock="1"/>
      </w:r>
      <w:r w:rsidR="001B3AB4">
        <w:instrText>ADDIN CSL_CITATION {"citationItems":[{"id":"ITEM-1","itemData":{"author":[{"dropping-particle":"","family":"Wallace","given":"Megan","non-dropping-particle":"","parse-names":false,"suffix":""}],"container-title":"MMWR. Morbidity and Mortality Weekly Report","id":"ITEM-1","issued":{"date-parts":[["2020"]]},"title":"Public Health Response to COVID-19 Cases in Correctional and Detention Facilities—Louisiana, March–April 2020","type":"article-journal","volume":"69"},"uris":["http://www.mendeley.com/documents/?uuid=07fbf28b-0bb1-4414-99b7-397dcd065972"]}],"mendeley":{"formattedCitation":"[16]","plainTextFormattedCitation":"[16]","previouslyFormattedCitation":"[18]"},"properties":{"noteIndex":0},"schema":"https://github.com/citation-style-language/schema/raw/master/csl-citation.json"}</w:instrText>
      </w:r>
      <w:r>
        <w:fldChar w:fldCharType="separate"/>
      </w:r>
      <w:r w:rsidR="001B3AB4" w:rsidRPr="001B3AB4">
        <w:rPr>
          <w:noProof/>
        </w:rPr>
        <w:t>[16]</w:t>
      </w:r>
      <w:r>
        <w:fldChar w:fldCharType="end"/>
      </w:r>
      <w:r>
        <w:t>. However, not all facilities implemented or reported on testing of all contacts regardless of symptom status and therefore power to understand transmission rates in these locations is limited.</w:t>
      </w:r>
      <w:r w:rsidR="00D7097F">
        <w:t xml:space="preserve"> </w:t>
      </w:r>
      <w:r w:rsidR="00271A60">
        <w:t xml:space="preserve">We did not identify any </w:t>
      </w:r>
      <w:r w:rsidR="0042256A">
        <w:t xml:space="preserve">studies looking at other </w:t>
      </w:r>
      <w:r w:rsidR="003550D0">
        <w:t xml:space="preserve">population groups that live in crowded settings such as </w:t>
      </w:r>
      <w:r w:rsidR="00271A60">
        <w:t xml:space="preserve">in refugee camps </w:t>
      </w:r>
      <w:r w:rsidR="000F327B">
        <w:t>or migrant communities</w:t>
      </w:r>
      <w:r w:rsidR="009A09A3">
        <w:t>.</w:t>
      </w:r>
      <w:r w:rsidR="000F327B">
        <w:t xml:space="preserve">  </w:t>
      </w:r>
    </w:p>
    <w:p w14:paraId="346867D2" w14:textId="438FCB53" w:rsidR="00A37D73" w:rsidRPr="00A80249" w:rsidRDefault="00A37D73" w:rsidP="002F6691">
      <w:pPr>
        <w:pStyle w:val="Heading2"/>
        <w:rPr>
          <w:rFonts w:asciiTheme="minorHAnsi" w:hAnsiTheme="minorHAnsi" w:cstheme="minorHAnsi"/>
          <w:sz w:val="24"/>
          <w:szCs w:val="24"/>
        </w:rPr>
      </w:pPr>
      <w:r w:rsidRPr="00A80249">
        <w:rPr>
          <w:rFonts w:asciiTheme="minorHAnsi" w:hAnsiTheme="minorHAnsi" w:cstheme="minorHAnsi"/>
          <w:sz w:val="24"/>
          <w:szCs w:val="24"/>
        </w:rPr>
        <w:t xml:space="preserve">Social Settings </w:t>
      </w:r>
    </w:p>
    <w:p w14:paraId="0E13E356" w14:textId="258EAC40" w:rsidR="00A37D73" w:rsidRDefault="00A37D73" w:rsidP="002F6691">
      <w:pPr>
        <w:jc w:val="both"/>
      </w:pPr>
      <w:r>
        <w:t xml:space="preserve">The following details studies identified in the systematic review </w:t>
      </w:r>
      <w:r w:rsidR="006C15AF">
        <w:t xml:space="preserve">that described contact investigations from social settings but could not be pooled in the meta-analysis. </w:t>
      </w:r>
      <w:r>
        <w:t xml:space="preserve">Two studies reported on transmission from large group faith-based events. The first was a religious pilgrimage over the course of 8 days which resulted in an attack rate of 90.6% (95% CI: 79.3%-96.9%) following the identification of two primary cases with 48/53 of the group testing positive </w:t>
      </w:r>
      <w:r>
        <w:fldChar w:fldCharType="begin" w:fldLock="1"/>
      </w:r>
      <w:r w:rsidR="001B3AB4">
        <w:instrText>ADDIN CSL_CITATION {"citationItems":[{"id":"ITEM-1","itemData":{"DOI":"10.1093/jtm/taaa102","ISBN":"1708-8305","author":[{"dropping-particle":"","family":"Pavli","given":"Androula","non-dropping-particle":"","parse-names":false,"suffix":""},{"dropping-particle":"","family":"Smeti","given":"Paraskevi","non-dropping-particle":"","parse-names":false,"suffix":""},{"dropping-particle":"","family":"Papadima","given":"Kalliopi","non-dropping-particle":"","parse-names":false,"suffix":""},{"dropping-particle":"","family":"Andreopoulou","given":"Anastasia","non-dropping-particle":"","parse-names":false,"suffix":""},{"dropping-particle":"","family":"Hadjianastasiou","given":"Sofia","non-dropping-particle":"","parse-names":false,"suffix":""},{"dropping-particle":"","family":"Triantafillou","given":"Eleni","non-dropping-particle":"","parse-names":false,"suffix":""},{"dropping-particle":"","family":"Vakali","given":"Annita","non-dropping-particle":"","parse-names":false,"suffix":""},{"dropping-particle":"","family":"Kefaloudi","given":"Chrysovalantou","non-dropping-particle":"","parse-names":false,"suffix":""},{"dropping-particle":"","family":"Pervanidou","given":"Danai","non-dropping-particle":"","parse-names":false,"suffix":""},{"dropping-particle":"","family":"Gogos","given":"Charalambos","non-dropping-particle":"","parse-names":false,"suffix":""},{"dropping-particle":"","family":"Maltezou","given":"Helena C","non-dropping-particle":"","parse-names":false,"suffix":""}],"container-title":"Journal of Travel Medicine","id":"ITEM-1","issued":{"date-parts":[["2020"]]},"title":"A cluster of COVID-19 in pilgrims to Israel","type":"article-journal"},"uris":["http://www.mendeley.com/documents/?uuid=3142326b-f024-4451-b2da-d8288cd3c0d2"]}],"mendeley":{"formattedCitation":"[17]","plainTextFormattedCitation":"[17]","previouslyFormattedCitation":"[19]"},"properties":{"noteIndex":0},"schema":"https://github.com/citation-style-language/schema/raw/master/csl-citation.json"}</w:instrText>
      </w:r>
      <w:r>
        <w:fldChar w:fldCharType="separate"/>
      </w:r>
      <w:r w:rsidR="001B3AB4" w:rsidRPr="001B3AB4">
        <w:rPr>
          <w:noProof/>
        </w:rPr>
        <w:t>[17]</w:t>
      </w:r>
      <w:r>
        <w:fldChar w:fldCharType="end"/>
      </w:r>
      <w:r>
        <w:t>. The second was related to a local religious gathering in Brunei which ran throughout the night with participants staying overnight and reported an attack rate of 14.8% (95% CI: 6.6%-27.1%)</w:t>
      </w:r>
      <w:r>
        <w:fldChar w:fldCharType="begin" w:fldLock="1"/>
      </w:r>
      <w:r w:rsidR="001B3AB4">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fldChar w:fldCharType="separate"/>
      </w:r>
      <w:r w:rsidR="001B3AB4" w:rsidRPr="001B3AB4">
        <w:rPr>
          <w:noProof/>
        </w:rPr>
        <w:t>[18]</w:t>
      </w:r>
      <w:r>
        <w:fldChar w:fldCharType="end"/>
      </w:r>
      <w:r>
        <w:t>. Lastly, transmission events related to fitness dance classes in South Korea where 6 pre-symptomatic instructors taught several classes resulting in 57 secondary cases and a SAR of 26.3% (95% CI: 20.5%-32.7%) and a high study R</w:t>
      </w:r>
      <w:r>
        <w:rPr>
          <w:vertAlign w:val="subscript"/>
        </w:rPr>
        <w:t>obs</w:t>
      </w:r>
      <w:r>
        <w:t xml:space="preserve"> of 9.5 (95% CI: 4.8-17.1)</w:t>
      </w:r>
      <w:r w:rsidR="009B7D54">
        <w:t xml:space="preserve"> </w:t>
      </w:r>
      <w:r>
        <w:fldChar w:fldCharType="begin" w:fldLock="1"/>
      </w:r>
      <w:r w:rsidR="001B3AB4">
        <w:instrText>ADDIN CSL_CITATION {"citationItems":[{"id":"ITEM-1","itemData":{"DOI":"10.3201/eid2608.200633","ISBN":"1080-6040 (Print)\r1080-6040","PMID":"32412896","abstract":"During 24 days in Cheonan, South Korea, 112 persons were infected with severe acute respiratory syndrome coronavirus 2 associated with fitness dance classes at 12 sports facilities. Intense physical exercise in densely populated sports facilities could increase risk for infection. Vigorous exercise in confined spaces should be minimized during outbreaks.","author":[{"dropping-particle":"","family":"Jang","given":"S","non-dropping-particle":"","parse-names":false,"suffix":""},{"dropping-particle":"","family":"Han","given":"S H","non-dropping-particle":"","parse-names":false,"suffix":""},{"dropping-particle":"","family":"Rhee","given":"J Y","non-dropping-particle":"","parse-names":false,"suffix":""}],"container-title":"Emerg Infect Dis","edition":"2020/05/16","id":"ITEM-1","issue":"8","issued":{"date-parts":[["2020"]]},"language":"eng","note":"1080-6059\nJang, Sukbin\nHan, Si Hyun\nRhee, Ji-Young\nJournal Article\nEmerg Infect Dis. 2020 Aug;26(8):1917-1920. doi: 10.3201/eid2608.200633. Epub 2020 May 15.","page":"1917-1920","title":"Cluster of Coronavirus Disease Associated with Fitness Dance Classes, South Korea","type":"article-journal","volume":"26"},"uris":["http://www.mendeley.com/documents/?uuid=d89a837b-1cb2-4a6c-9cd2-94181dd3db9d"]}],"mendeley":{"formattedCitation":"[19]","plainTextFormattedCitation":"[19]","previouslyFormattedCitation":"[21]"},"properties":{"noteIndex":0},"schema":"https://github.com/citation-style-language/schema/raw/master/csl-citation.json"}</w:instrText>
      </w:r>
      <w:r>
        <w:fldChar w:fldCharType="separate"/>
      </w:r>
      <w:r w:rsidR="001B3AB4" w:rsidRPr="001B3AB4">
        <w:rPr>
          <w:noProof/>
        </w:rPr>
        <w:t>[19]</w:t>
      </w:r>
      <w:r>
        <w:fldChar w:fldCharType="end"/>
      </w:r>
      <w:r>
        <w:t>. Three clusters were also reported from social event settings resulting from single index cases (and thus likely to be subject to publication bias) – a ski chalet cluster which was one of the first reports of transmission in Europe where 11/15 friends and families sharing an apartment were infected by a single index case (SAR 73.3% [95% CI: 44.9%-92.2%])</w:t>
      </w:r>
      <w:r w:rsidR="009B7D54">
        <w:t xml:space="preserve"> </w:t>
      </w:r>
      <w:r>
        <w:fldChar w:fldCharType="begin" w:fldLock="1"/>
      </w:r>
      <w:r w:rsidR="0004151B">
        <w:instrText>ADDIN CSL_CITATION {"citationItems":[{"id":"ITEM-1","itemData":{"DOI":"10.1093/cid/ciaa424","ISBN":"1058-4838","abstract":"On 7 February 2020, French Health authorities were informed of a confirmed case of severe acute respiratory syndrome coronavirus 2 (SARS-CoV-2) in an Englishman infected in Singapore who had recently stayed in a chalet in the French Alps. We conducted an investigation to identify secondary cases and interrupt transmission.We defined as a confirmed case a person linked to the chalet with a positive reverse-transcription polymerase chain reaction sample for SARS-CoV-2.The index case stayed 4 days in the chalet with 10 English tourists and a family of 5 French residents; SARS-CoV-2 was detected in 5 individuals in France, 6 in England (including the index case), and 1 in Spain (overall attack rate in the chalet: 75%). One pediatric case, with picornavirus and influenza A coinfection, visited 3 different schools while symptomatic. One case was asymptomatic, with similar viral load as that of a symptomatic case. Seven days after the first cases were diagnosed, 1 tertiary case was detected in a symptomatic patient with from the chalet a positive endotracheal aspirate; all previous and concurrent nasopharyngeal specimens were negative. Additionally, 172 contacts were monitored; all contacts tested for SARS-CoV-2 (N = 73) were negative.The occurrence in this cluster of 1 asymptomatic case with similar viral load as a symptomatic patient suggests transmission potential of asymptomatic individuals. The fact that an infected child did not transmit the disease despite close interactions within schools suggests potential different transmission dynamics in children. Finally, the dissociation between upper and lower respiratory tract results underscores the need for close monitoring of the clinical evolution of suspected cases of coronavirus disease 2019.","author":[{"dropping-particle":"","family":"Danis","given":"Kostas","non-dropping-particle":"","parse-names":false,"suffix":""},{"dropping-particle":"","family":"Epaulard","given":"Olivier","non-dropping-particle":"","parse-names":false,"suffix":""},{"dropping-particle":"","family":"Bénet","given":"Thomas","non-dropping-particle":"","parse-names":false,"suffix":""},{"dropping-particle":"","family":"Gaymard","given":"Alexandre","non-dropping-particle":"","parse-names":false,"suffix":""},{"dropping-particle":"","family":"Campoy","given":"Séphora","non-dropping-particle":"","parse-names":false,"suffix":""},{"dropping-particle":"","family":"Botelho-Nevers","given":"Elisabeth","non-dropping-particle":"","parse-names":false,"suffix":""},{"dropping-particle":"","family":"Bouscambert-Duchamp","given":"Maude","non-dropping-particle":"","parse-names":false,"suffix":""},{"dropping-particle":"","family":"Spaccaferri","given":"Guillaume","non-dropping-particle":"","parse-names":false,"suffix":""},{"dropping-particle":"","family":"Ader","given":"Florence","non-dropping-particle":"","parse-names":false,"suffix":""},{"dropping-particle":"","family":"Mailles","given":"Alexandra","non-dropping-particle":"","parse-names":false,"suffix":""},{"dropping-particle":"","family":"Boudalaa","given":"Zoubida","non-dropping-particle":"","parse-names":false,"suffix":""},{"dropping-particle":"","family":"Tolsma","given":"Violaine","non-dropping-particle":"","parse-names":false,"suffix":""},{"dropping-particle":"","family":"Berra","given":"Julien","non-dropping-particle":"","parse-names":false,"suffix":""},{"dropping-particle":"","family":"Vaux","given":"Sophie","non-dropping-particle":"","parse-names":false,"suffix":""},{"dropping-particle":"","family":"Forestier","given":"Emmanuel","non-dropping-particle":"","parse-names":false,"suffix":""},{"dropping-particle":"","family":"Landelle","given":"Caroline","non-dropping-particle":"","parse-names":false,"suffix":""},{"dropping-particle":"","family":"Fougere","given":"Erica","non-dropping-particle":"","parse-names":false,"suffix":""},{"dropping-particle":"","family":"Thabuis","given":"Alexandra","non-dropping-particle":"","parse-names":false,"suffix":""},{"dropping-particle":"","family":"Berthelot","given":"Philippe","non-dropping-particle":"","parse-names":false,"suffix":""},{"dropping-particle":"","family":"Veil","given":"Raphael","non-dropping-particle":"","parse-names":false,"suffix":""},{"dropping-particle":"","family":"Levy-Bruhl","given":"Daniel","non-dropping-particle":"","parse-names":false,"suffix":""},{"dropping-particle":"","family":"Chidiac","given":"Christian","non-dropping-particle":"","parse-names":false,"suffix":""},{"dropping-particle":"","family":"Lina","given":"Bruno","non-dropping-particle":"","parse-names":false,"suffix":""},{"dropping-particle":"","family":"Coignard","given":"Bruno","non-dropping-particle":"","parse-names":false,"suffix":""},{"dropping-particle":"","family":"Saura","given":"Christine","non-dropping-particle":"","parse-names":false,"suffix":""},{"dropping-particle":"","family":"Team","given":"Investigation","non-dropping-particle":"","parse-names":false,"suffix":""}],"container-title":"Clinical Infectious Diseases","id":"ITEM-1","issue":"15","issued":{"date-parts":[["2020"]]},"page":"825-832","title":"Cluster of Coronavirus Disease 2019 (COVID-19) in the French Alps, February 2020","type":"article-journal","volume":"71"},"uris":["http://www.mendeley.com/documents/?uuid=fed2edb7-e23c-48a2-b81b-991db79fe2eb"]}],"mendeley":{"formattedCitation":"[5]","plainTextFormattedCitation":"[5]","previouslyFormattedCitation":"[5]"},"properties":{"noteIndex":0},"schema":"https://github.com/citation-style-language/schema/raw/master/csl-citation.json"}</w:instrText>
      </w:r>
      <w:r>
        <w:fldChar w:fldCharType="separate"/>
      </w:r>
      <w:r w:rsidR="00B058AB" w:rsidRPr="00B058AB">
        <w:rPr>
          <w:noProof/>
        </w:rPr>
        <w:t>[5]</w:t>
      </w:r>
      <w:r>
        <w:fldChar w:fldCharType="end"/>
      </w:r>
      <w:r>
        <w:t>, a wedding in Jordan where 76/350 guests tested positive following interaction with the symptomatic father of the bride (SAR 21.7% [95% CI: 17.5%-26.5%])</w:t>
      </w:r>
      <w:r w:rsidR="00C14C75">
        <w:t xml:space="preserve"> </w:t>
      </w:r>
      <w:r>
        <w:fldChar w:fldCharType="begin" w:fldLock="1"/>
      </w:r>
      <w:r w:rsidR="001B3AB4">
        <w:instrText>ADDIN CSL_CITATION {"citationItems":[{"id":"ITEM-1","itemData":{"DOI":"10.3201/eid2609.201469","ISBN":"1080-6040","PMID":"32433907","abstract":"In March 2020, a wedding in Jordan led to a large outbreak of coronavirus disease (COVID-19). We collected data on 350 wedding attendees, 76 who of whom developed COVID-19. Our study shows high communicability of COVID-19 and the enormous risk for severe acute respiratory syndrome 2 virus transmission during mass gatherings.","author":[{"dropping-particle":"","family":"Yusef","given":"D","non-dropping-particle":"","parse-names":false,"suffix":""},{"dropping-particle":"","family":"Hayajneh","given":"W","non-dropping-particle":"","parse-names":false,"suffix":""},{"dropping-particle":"","family":"Awad","given":"S","non-dropping-particle":"","parse-names":false,"suffix":""},{"dropping-particle":"","family":"Momany","given":"S","non-dropping-particle":"","parse-names":false,"suffix":""},{"dropping-particle":"","family":"Khassawneh","given":"B","non-dropping-particle":"","parse-names":false,"suffix":""},{"dropping-particle":"","family":"Samrah","given":"S","non-dropping-particle":"","parse-names":false,"suffix":""},{"dropping-particle":"","family":"Obeidat","given":"B","non-dropping-particle":"","parse-names":false,"suffix":""},{"dropping-particle":"","family":"Raffee","given":"L","non-dropping-particle":"","parse-names":false,"suffix":""},{"dropping-particle":"","family":"Al-Faouri","given":"I","non-dropping-particle":"","parse-names":false,"suffix":""},{"dropping-particle":"","family":"Issa","given":"A B","non-dropping-particle":"","parse-names":false,"suffix":""},{"dropping-particle":"","family":"Zamel","given":"H","non-dropping-particle":"Al","parse-names":false,"suffix":""},{"dropping-particle":"","family":"Bataineh","given":"E","non-dropping-particle":"","parse-names":false,"suffix":""},{"dropping-particle":"","family":"Qdaisat","given":"R","non-dropping-particle":"","parse-names":false,"suffix":""}],"container-title":"Emerg Infect Dis","edition":"2020/05/21","id":"ITEM-1","issue":"9","issued":{"date-parts":[["2020"]]},"language":"eng","note":"1080-6059\nYusef, Dawood\nHayajneh, Wail\nAwad, Samah\nMomany, Suleiman\nKhassawneh, Basheer\nSamrah, Shaher\nObeidat, Basil\nRaffee, Liqaa\nAl-Faouri, Ibrahim\nIssa, Ali Bani\nAl Zamel, Heba\nBataineh, Enas\nQdaisat, Reem\nJournal Article\nUnited States\nEmerg Infect Dis. 2020 May 20;26(9). doi: 10.3201/eid2609.201469.","title":"Large Outbreak of Coronavirus Disease among Wedding Attendees, Jordan","type":"article-journal","volume":"26"},"uris":["http://www.mendeley.com/documents/?uuid=a23cdc67-7b03-4083-86fe-72625add70fe"]}],"mendeley":{"formattedCitation":"[20]","plainTextFormattedCitation":"[20]","previouslyFormattedCitation":"[22]"},"properties":{"noteIndex":0},"schema":"https://github.com/citation-style-language/schema/raw/master/csl-citation.json"}</w:instrText>
      </w:r>
      <w:r>
        <w:fldChar w:fldCharType="separate"/>
      </w:r>
      <w:r w:rsidR="001B3AB4" w:rsidRPr="001B3AB4">
        <w:rPr>
          <w:noProof/>
        </w:rPr>
        <w:t>[20]</w:t>
      </w:r>
      <w:r>
        <w:fldChar w:fldCharType="end"/>
      </w:r>
      <w:r>
        <w:t xml:space="preserve"> and a social meeting between friends including a dinner and karaoke with an asymptomatic index case which resulted in 7/17 friends testing positive (SAR 41.1% [95% CI: 18.4%-67.1%])</w:t>
      </w:r>
      <w:r w:rsidR="00EA00F4">
        <w:t xml:space="preserve"> </w:t>
      </w:r>
      <w:r>
        <w:fldChar w:fldCharType="begin" w:fldLock="1"/>
      </w:r>
      <w:r w:rsidR="001B3AB4">
        <w:instrText>ADDIN CSL_CITATION {"citationItems":[{"id":"ITEM-1","itemData":{"DOI":"10.1016/j.jinf.2020.03.006","ISBN":"0163-4453 (Print)\r0163-4453","PMID":"32283156","abstract":"BACKGROUND: The outbreak of coronavirus-disease-2019 (COVID-19) has rapidly spread to many places outside Wuhan. Previous studies on COVID-19 mostly included older hospitalized-adults. Little information on infectivity among and characteristics of youngsters with COVID-19 is available. METHODS: A cluster of 22 close-contacts of a 22-year-old male (Patient-Index) including youngsters with laboratory-confirmed COVID-19 and hospitalized close-contacts testing negative for severe-acute-respiratory-syndrome-coronavirus-2 (SARS-CoV-2) in Anhui Province, China was prospectively-traced. RESULTS: Since January 23, 2020, we enrolled a cluster of eight youngsters with COVID-19 (median age [range], 22 [16-23] years; six males) originating from Patient-Index returning from Wuhan to Hefei on January 19. Patient-Index visited his 16-year-old female cousin in the evening on his return, and met 15 previous classmates in a get-together on January 21. He reported being totally asymptomatic and were described by all his contacts as healthy on January 19-21. His very first symptoms were itchy eyes and fever developed at noon and in the afternoon on January 22, respectively. Seven youngsters (his cousin and six classmates) became infected with COVID-19 after a-few-hour-contact with Patient-Index. None of the patients and contacts had visited Wuhan (except Patient-Index), or had any exposure to wet-markets, wild-animals, or medical-institutes within three months. For affected youngsters, the median incubation-period was 2 days (range, 1-4). The median serial-interval was 1 day (range, 0-4). Half or more of the eight COVID-19-infected youngsters had fever, cough, sputum production, nasal congestion, and fatigue on admission. All patients had mild conditions. Six patients developed pneumonia (all mild; one bilateral) on admission. As of February 20, four patients were discharged. CONCLUSIONS: SARS-CoV-2-infection presented strong infectivity during the incubation-period with rapid transmission in this cluster of youngsters outside Wuhan. COVID-19 developed in these youngsters had fast onset and various nonspecific atypical manifestations, and were much milder than in older patients as previously reported.","author":[{"dropping-particle":"","family":"Huang","given":"L","non-dropping-particle":"","parse-names":false,"suffix":""},{"dropping-particle":"","family":"Zhang","given":"X","non-dropping-particle":"","parse-names":false,"suffix":""},{"dropping-particle":"","family":"Zhang","given":"X","non-dropping-particle":"","parse-names":false,"suffix":""},{"dropping-particle":"","family":"Wei","given":"Z","non-dropping-particle":"","parse-names":false,"suffix":""},{"dropping-particle":"","family":"Zhang","given":"L","non-dropping-particle":"","parse-names":false,"suffix":""},{"dropping-particle":"","family":"Xu","given":"J","non-dropping-particle":"","parse-names":false,"suffix":""},{"dropping-particle":"","family":"Liang","given":"P","non-dropping-particle":"","parse-names":false,"suffix":""},{"dropping-particle":"","family":"Xu","given":"Y","non-dropping-particle":"","parse-names":false,"suffix":""},{"dropping-particle":"","family":"Zhang","given":"C","non-dropping-particle":"","parse-names":false,"suffix":""},{"dropping-particle":"","family":"Xu","given":"A","non-dropping-particle":"","parse-names":false,"suffix":""}],"container-title":"J Infect","edition":"2020/04/14","id":"ITEM-1","issue":"6","issued":{"date-parts":[["2020"]]},"language":"eng","note":"1532-2742\nHuang, Lei\nZhang, Xiuwen\nZhang, Xinyue\nWei, Zhijian\nZhang, Lingli\nXu, Jingjing\nLiang, Peipei\nXu, Yuanhong\nZhang, Chengyuan\nXu, Aman\nJournal Article\nResearch Support, Non-U.S. Gov't\nJ Infect. 2020 Jun;80(6):e1-e13. doi: 10.1016/j.jinf.2020.03.006. Epub 2020 Apr 10.","page":"e1-e13","title":"Rapid asymptomatic transmission of COVID-19 during the incubation period demonstrating strong infectivity in a cluster of youngsters aged 16-23 years outside Wuhan and characteristics of young patients with COVID-19: A prospective contact-tracing study","type":"article-journal","volume":"80"},"uris":["http://www.mendeley.com/documents/?uuid=ae8e28f6-f334-4911-ad72-1ec4013d4f70"]}],"mendeley":{"formattedCitation":"[21]","plainTextFormattedCitation":"[21]","previouslyFormattedCitation":"[23]"},"properties":{"noteIndex":0},"schema":"https://github.com/citation-style-language/schema/raw/master/csl-citation.json"}</w:instrText>
      </w:r>
      <w:r>
        <w:fldChar w:fldCharType="separate"/>
      </w:r>
      <w:r w:rsidR="001B3AB4" w:rsidRPr="001B3AB4">
        <w:rPr>
          <w:noProof/>
        </w:rPr>
        <w:t>[21]</w:t>
      </w:r>
      <w:r>
        <w:fldChar w:fldCharType="end"/>
      </w:r>
      <w:r>
        <w:t xml:space="preserve">. </w:t>
      </w:r>
      <w:r w:rsidR="004867FA">
        <w:t>These studies all highlight the potential for large clusters to be associated wi</w:t>
      </w:r>
      <w:r w:rsidR="00B2349F">
        <w:t xml:space="preserve">th transmission from a single index case suggesting social settings could facilitate large super spreading events. </w:t>
      </w:r>
    </w:p>
    <w:p w14:paraId="37A97022" w14:textId="77777777" w:rsidR="00C77E4A" w:rsidRDefault="00C77E4A" w:rsidP="00A37D73">
      <w:pPr>
        <w:ind w:left="709"/>
        <w:sectPr w:rsidR="00C77E4A" w:rsidSect="002F6691">
          <w:pgSz w:w="11906" w:h="16838" w:code="9"/>
          <w:pgMar w:top="1440" w:right="1440" w:bottom="1440" w:left="1440" w:header="709" w:footer="709" w:gutter="0"/>
          <w:cols w:space="708"/>
          <w:docGrid w:linePitch="360"/>
        </w:sectPr>
      </w:pPr>
    </w:p>
    <w:p w14:paraId="328A2DE0" w14:textId="75911A23" w:rsidR="00A80249" w:rsidRDefault="000C40FD" w:rsidP="001F3689">
      <w:pPr>
        <w:pStyle w:val="Heading2"/>
        <w:rPr>
          <w:rFonts w:asciiTheme="minorHAnsi" w:hAnsiTheme="minorHAnsi" w:cstheme="minorHAnsi"/>
          <w:bCs/>
          <w:sz w:val="28"/>
          <w:szCs w:val="28"/>
        </w:rPr>
      </w:pPr>
      <w:r>
        <w:rPr>
          <w:rFonts w:asciiTheme="minorHAnsi" w:hAnsiTheme="minorHAnsi" w:cstheme="minorHAnsi"/>
          <w:bCs/>
          <w:sz w:val="28"/>
          <w:szCs w:val="28"/>
        </w:rPr>
        <w:lastRenderedPageBreak/>
        <w:t>Supplementary T</w:t>
      </w:r>
      <w:r w:rsidR="000D1FB5" w:rsidRPr="000D1FB5">
        <w:rPr>
          <w:rFonts w:asciiTheme="minorHAnsi" w:hAnsiTheme="minorHAnsi" w:cstheme="minorHAnsi"/>
          <w:bCs/>
          <w:sz w:val="28"/>
          <w:szCs w:val="28"/>
        </w:rPr>
        <w:t>ables</w:t>
      </w:r>
    </w:p>
    <w:p w14:paraId="6D253323" w14:textId="5AA49A83" w:rsidR="001F3689" w:rsidRPr="00A80249" w:rsidRDefault="001F3689" w:rsidP="001F3689">
      <w:pPr>
        <w:pStyle w:val="Heading2"/>
        <w:rPr>
          <w:rFonts w:asciiTheme="minorHAnsi" w:hAnsiTheme="minorHAnsi" w:cstheme="minorHAnsi"/>
          <w:bCs/>
          <w:sz w:val="24"/>
          <w:szCs w:val="24"/>
        </w:rPr>
      </w:pPr>
      <w:r w:rsidRPr="00A80249">
        <w:rPr>
          <w:rFonts w:asciiTheme="minorHAnsi" w:hAnsiTheme="minorHAnsi" w:cstheme="minorHAnsi"/>
          <w:bCs/>
          <w:sz w:val="24"/>
          <w:szCs w:val="24"/>
        </w:rPr>
        <w:t xml:space="preserve">Households </w:t>
      </w:r>
    </w:p>
    <w:p w14:paraId="65963302" w14:textId="412B9BB7" w:rsidR="00943CC8" w:rsidRPr="000D1FB5" w:rsidRDefault="00943CC8" w:rsidP="00943CC8">
      <w:pPr>
        <w:rPr>
          <w:sz w:val="20"/>
          <w:szCs w:val="20"/>
        </w:rPr>
      </w:pPr>
      <w:r w:rsidRPr="000D1FB5">
        <w:rPr>
          <w:b/>
          <w:bCs/>
          <w:sz w:val="20"/>
          <w:szCs w:val="20"/>
        </w:rPr>
        <w:t>Table</w:t>
      </w:r>
      <w:r w:rsidR="000C40FD">
        <w:rPr>
          <w:b/>
          <w:bCs/>
          <w:sz w:val="20"/>
          <w:szCs w:val="20"/>
        </w:rPr>
        <w:t xml:space="preserve"> </w:t>
      </w:r>
      <w:r w:rsidRPr="000D1FB5">
        <w:rPr>
          <w:b/>
          <w:bCs/>
          <w:sz w:val="20"/>
          <w:szCs w:val="20"/>
        </w:rPr>
        <w:t xml:space="preserve">1. </w:t>
      </w:r>
      <w:r w:rsidR="00665AEE" w:rsidRPr="000D1FB5">
        <w:rPr>
          <w:b/>
          <w:bCs/>
          <w:sz w:val="20"/>
          <w:szCs w:val="20"/>
        </w:rPr>
        <w:t>Summary of studies reporting on household contacts of index cases</w:t>
      </w:r>
      <w:r w:rsidR="006D7E39" w:rsidRPr="000D1FB5">
        <w:rPr>
          <w:b/>
          <w:bCs/>
          <w:sz w:val="20"/>
          <w:szCs w:val="20"/>
        </w:rPr>
        <w:t xml:space="preserve">. </w:t>
      </w:r>
      <w:r w:rsidR="006D7E39" w:rsidRPr="000D1FB5">
        <w:rPr>
          <w:sz w:val="20"/>
          <w:szCs w:val="20"/>
        </w:rPr>
        <w:t xml:space="preserve">Where index cases were not broken down by exposure location the study level number of index cases is provided. </w:t>
      </w:r>
    </w:p>
    <w:tbl>
      <w:tblPr>
        <w:tblW w:w="16161" w:type="dxa"/>
        <w:tblInd w:w="-993" w:type="dxa"/>
        <w:tblLayout w:type="fixed"/>
        <w:tblLook w:val="04A0" w:firstRow="1" w:lastRow="0" w:firstColumn="1" w:lastColumn="0" w:noHBand="0" w:noVBand="1"/>
      </w:tblPr>
      <w:tblGrid>
        <w:gridCol w:w="1135"/>
        <w:gridCol w:w="1135"/>
        <w:gridCol w:w="1276"/>
        <w:gridCol w:w="1134"/>
        <w:gridCol w:w="2268"/>
        <w:gridCol w:w="3117"/>
        <w:gridCol w:w="1276"/>
        <w:gridCol w:w="992"/>
        <w:gridCol w:w="851"/>
        <w:gridCol w:w="850"/>
        <w:gridCol w:w="993"/>
        <w:gridCol w:w="1134"/>
      </w:tblGrid>
      <w:tr w:rsidR="000F13C3" w:rsidRPr="008C4D21" w14:paraId="41199A08" w14:textId="77777777" w:rsidTr="006C15AF">
        <w:trPr>
          <w:trHeight w:val="733"/>
        </w:trPr>
        <w:tc>
          <w:tcPr>
            <w:tcW w:w="1135" w:type="dxa"/>
            <w:tcBorders>
              <w:top w:val="single" w:sz="12" w:space="0" w:color="auto"/>
              <w:left w:val="nil"/>
              <w:bottom w:val="single" w:sz="12" w:space="0" w:color="auto"/>
              <w:right w:val="nil"/>
            </w:tcBorders>
            <w:shd w:val="clear" w:color="000000" w:fill="FFFFFF"/>
            <w:vAlign w:val="center"/>
          </w:tcPr>
          <w:p w14:paraId="751A4A1E" w14:textId="0C0C4445" w:rsidR="00F90771" w:rsidRPr="008C4D21" w:rsidRDefault="00487707" w:rsidP="00410ABF">
            <w:pPr>
              <w:spacing w:after="0" w:line="240" w:lineRule="auto"/>
              <w:jc w:val="center"/>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 xml:space="preserve">Main text reference </w:t>
            </w:r>
            <w:r w:rsidR="008C4D21" w:rsidRPr="008C4D21">
              <w:rPr>
                <w:rFonts w:ascii="Calibri" w:eastAsia="Times New Roman" w:hAnsi="Calibri" w:cs="Calibri"/>
                <w:b/>
                <w:bCs/>
                <w:color w:val="000000"/>
                <w:sz w:val="18"/>
                <w:szCs w:val="18"/>
                <w:lang w:eastAsia="en-GB"/>
              </w:rPr>
              <w:t>number</w:t>
            </w:r>
          </w:p>
        </w:tc>
        <w:tc>
          <w:tcPr>
            <w:tcW w:w="1135" w:type="dxa"/>
            <w:tcBorders>
              <w:top w:val="single" w:sz="12" w:space="0" w:color="auto"/>
              <w:left w:val="nil"/>
              <w:bottom w:val="single" w:sz="12" w:space="0" w:color="auto"/>
              <w:right w:val="nil"/>
            </w:tcBorders>
            <w:shd w:val="clear" w:color="000000" w:fill="FFFFFF"/>
            <w:vAlign w:val="center"/>
            <w:hideMark/>
          </w:tcPr>
          <w:p w14:paraId="7777E691" w14:textId="6AD47F08" w:rsidR="00F90771" w:rsidRPr="008C4D21" w:rsidRDefault="00F90771" w:rsidP="00A96094">
            <w:pPr>
              <w:spacing w:after="0" w:line="240" w:lineRule="auto"/>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Author</w:t>
            </w:r>
          </w:p>
        </w:tc>
        <w:tc>
          <w:tcPr>
            <w:tcW w:w="1276" w:type="dxa"/>
            <w:tcBorders>
              <w:top w:val="single" w:sz="12" w:space="0" w:color="auto"/>
              <w:left w:val="nil"/>
              <w:bottom w:val="single" w:sz="12" w:space="0" w:color="auto"/>
              <w:right w:val="nil"/>
            </w:tcBorders>
            <w:shd w:val="clear" w:color="000000" w:fill="FFFFFF"/>
            <w:vAlign w:val="center"/>
            <w:hideMark/>
          </w:tcPr>
          <w:p w14:paraId="4DD54030" w14:textId="77777777" w:rsidR="00F90771" w:rsidRPr="008C4D21" w:rsidRDefault="00F90771" w:rsidP="00A96094">
            <w:pPr>
              <w:spacing w:after="0" w:line="240" w:lineRule="auto"/>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Region</w:t>
            </w:r>
          </w:p>
        </w:tc>
        <w:tc>
          <w:tcPr>
            <w:tcW w:w="1134" w:type="dxa"/>
            <w:tcBorders>
              <w:top w:val="single" w:sz="12" w:space="0" w:color="auto"/>
              <w:left w:val="nil"/>
              <w:bottom w:val="single" w:sz="12" w:space="0" w:color="auto"/>
              <w:right w:val="nil"/>
            </w:tcBorders>
            <w:shd w:val="clear" w:color="000000" w:fill="FFFFFF"/>
            <w:vAlign w:val="center"/>
            <w:hideMark/>
          </w:tcPr>
          <w:p w14:paraId="090C407E" w14:textId="77777777" w:rsidR="00F90771" w:rsidRPr="008C4D21" w:rsidRDefault="00F90771" w:rsidP="00A96094">
            <w:pPr>
              <w:spacing w:after="0" w:line="240" w:lineRule="auto"/>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Country</w:t>
            </w:r>
          </w:p>
        </w:tc>
        <w:tc>
          <w:tcPr>
            <w:tcW w:w="2268" w:type="dxa"/>
            <w:tcBorders>
              <w:top w:val="single" w:sz="12" w:space="0" w:color="auto"/>
              <w:left w:val="nil"/>
              <w:bottom w:val="single" w:sz="12" w:space="0" w:color="auto"/>
              <w:right w:val="nil"/>
            </w:tcBorders>
            <w:shd w:val="clear" w:color="000000" w:fill="FFFFFF"/>
            <w:vAlign w:val="center"/>
            <w:hideMark/>
          </w:tcPr>
          <w:p w14:paraId="3612C717" w14:textId="77777777" w:rsidR="00F90771" w:rsidRPr="008C4D21" w:rsidRDefault="00F90771" w:rsidP="00A96094">
            <w:pPr>
              <w:spacing w:after="0" w:line="240" w:lineRule="auto"/>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Study design</w:t>
            </w:r>
          </w:p>
        </w:tc>
        <w:tc>
          <w:tcPr>
            <w:tcW w:w="3117" w:type="dxa"/>
            <w:tcBorders>
              <w:top w:val="single" w:sz="12" w:space="0" w:color="auto"/>
              <w:left w:val="nil"/>
              <w:bottom w:val="single" w:sz="12" w:space="0" w:color="auto"/>
              <w:right w:val="nil"/>
            </w:tcBorders>
            <w:shd w:val="clear" w:color="000000" w:fill="FFFFFF"/>
            <w:vAlign w:val="center"/>
            <w:hideMark/>
          </w:tcPr>
          <w:p w14:paraId="096C825E" w14:textId="77777777" w:rsidR="00F90771" w:rsidRPr="008C4D21" w:rsidRDefault="00F90771" w:rsidP="00A96094">
            <w:pPr>
              <w:spacing w:after="0" w:line="240" w:lineRule="auto"/>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Contact definition</w:t>
            </w:r>
          </w:p>
        </w:tc>
        <w:tc>
          <w:tcPr>
            <w:tcW w:w="1276" w:type="dxa"/>
            <w:tcBorders>
              <w:top w:val="single" w:sz="12" w:space="0" w:color="auto"/>
              <w:left w:val="nil"/>
              <w:bottom w:val="single" w:sz="12" w:space="0" w:color="auto"/>
              <w:right w:val="nil"/>
            </w:tcBorders>
            <w:shd w:val="clear" w:color="000000" w:fill="FFFFFF"/>
            <w:vAlign w:val="center"/>
            <w:hideMark/>
          </w:tcPr>
          <w:p w14:paraId="22D20ECA" w14:textId="77777777" w:rsidR="00F90771" w:rsidRPr="008C4D21" w:rsidRDefault="00F90771" w:rsidP="00A96094">
            <w:pPr>
              <w:spacing w:after="0" w:line="240" w:lineRule="auto"/>
              <w:jc w:val="center"/>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Testing strategy</w:t>
            </w:r>
          </w:p>
        </w:tc>
        <w:tc>
          <w:tcPr>
            <w:tcW w:w="992" w:type="dxa"/>
            <w:tcBorders>
              <w:top w:val="single" w:sz="12" w:space="0" w:color="auto"/>
              <w:left w:val="nil"/>
              <w:bottom w:val="single" w:sz="12" w:space="0" w:color="auto"/>
              <w:right w:val="nil"/>
            </w:tcBorders>
            <w:shd w:val="clear" w:color="000000" w:fill="FFFFFF"/>
            <w:vAlign w:val="center"/>
            <w:hideMark/>
          </w:tcPr>
          <w:p w14:paraId="6F8E2F86" w14:textId="77777777" w:rsidR="00F90771" w:rsidRPr="008C4D21" w:rsidRDefault="00F90771" w:rsidP="00A96094">
            <w:pPr>
              <w:spacing w:after="0" w:line="240" w:lineRule="auto"/>
              <w:jc w:val="center"/>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Testing method</w:t>
            </w:r>
          </w:p>
        </w:tc>
        <w:tc>
          <w:tcPr>
            <w:tcW w:w="851" w:type="dxa"/>
            <w:tcBorders>
              <w:top w:val="single" w:sz="12" w:space="0" w:color="auto"/>
              <w:left w:val="nil"/>
              <w:bottom w:val="single" w:sz="12" w:space="0" w:color="auto"/>
              <w:right w:val="nil"/>
            </w:tcBorders>
            <w:shd w:val="clear" w:color="000000" w:fill="FFFFFF"/>
            <w:vAlign w:val="center"/>
            <w:hideMark/>
          </w:tcPr>
          <w:p w14:paraId="3CC22735" w14:textId="27C59623" w:rsidR="00F90771" w:rsidRPr="008C4D21" w:rsidRDefault="00F90771" w:rsidP="00A96094">
            <w:pPr>
              <w:spacing w:after="0" w:line="240" w:lineRule="auto"/>
              <w:jc w:val="right"/>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Index cases</w:t>
            </w:r>
          </w:p>
        </w:tc>
        <w:tc>
          <w:tcPr>
            <w:tcW w:w="850" w:type="dxa"/>
            <w:tcBorders>
              <w:top w:val="single" w:sz="12" w:space="0" w:color="auto"/>
              <w:left w:val="nil"/>
              <w:bottom w:val="single" w:sz="12" w:space="0" w:color="auto"/>
              <w:right w:val="nil"/>
            </w:tcBorders>
            <w:shd w:val="clear" w:color="000000" w:fill="FFFFFF"/>
            <w:vAlign w:val="center"/>
            <w:hideMark/>
          </w:tcPr>
          <w:p w14:paraId="7F66FC15" w14:textId="77777777" w:rsidR="00F90771" w:rsidRPr="008C4D21" w:rsidRDefault="00F90771" w:rsidP="00A96094">
            <w:pPr>
              <w:spacing w:after="0" w:line="240" w:lineRule="auto"/>
              <w:jc w:val="right"/>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Contacts traced</w:t>
            </w:r>
          </w:p>
        </w:tc>
        <w:tc>
          <w:tcPr>
            <w:tcW w:w="993" w:type="dxa"/>
            <w:tcBorders>
              <w:top w:val="single" w:sz="12" w:space="0" w:color="auto"/>
              <w:left w:val="nil"/>
              <w:bottom w:val="single" w:sz="12" w:space="0" w:color="auto"/>
              <w:right w:val="nil"/>
            </w:tcBorders>
            <w:shd w:val="clear" w:color="000000" w:fill="FFFFFF"/>
            <w:vAlign w:val="center"/>
            <w:hideMark/>
          </w:tcPr>
          <w:p w14:paraId="2CE1BE0C" w14:textId="77777777" w:rsidR="00F90771" w:rsidRPr="008C4D21" w:rsidRDefault="00F90771" w:rsidP="00A96094">
            <w:pPr>
              <w:spacing w:after="0" w:line="240" w:lineRule="auto"/>
              <w:jc w:val="right"/>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Contacts tested</w:t>
            </w:r>
          </w:p>
        </w:tc>
        <w:tc>
          <w:tcPr>
            <w:tcW w:w="1134" w:type="dxa"/>
            <w:tcBorders>
              <w:top w:val="single" w:sz="12" w:space="0" w:color="auto"/>
              <w:left w:val="nil"/>
              <w:bottom w:val="single" w:sz="12" w:space="0" w:color="auto"/>
              <w:right w:val="nil"/>
            </w:tcBorders>
            <w:shd w:val="clear" w:color="000000" w:fill="FFFFFF"/>
            <w:vAlign w:val="center"/>
            <w:hideMark/>
          </w:tcPr>
          <w:p w14:paraId="6B44951E" w14:textId="77777777" w:rsidR="00F90771" w:rsidRPr="008C4D21" w:rsidRDefault="00F90771" w:rsidP="00A96094">
            <w:pPr>
              <w:spacing w:after="0" w:line="240" w:lineRule="auto"/>
              <w:jc w:val="right"/>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Secondary cases</w:t>
            </w:r>
          </w:p>
        </w:tc>
      </w:tr>
      <w:tr w:rsidR="000F13C3" w:rsidRPr="008C4D21" w14:paraId="08337C73" w14:textId="77777777" w:rsidTr="006C15AF">
        <w:trPr>
          <w:cantSplit/>
          <w:trHeight w:val="531"/>
        </w:trPr>
        <w:tc>
          <w:tcPr>
            <w:tcW w:w="1135" w:type="dxa"/>
            <w:tcBorders>
              <w:top w:val="nil"/>
              <w:left w:val="nil"/>
              <w:bottom w:val="single" w:sz="8" w:space="0" w:color="000000"/>
              <w:right w:val="nil"/>
            </w:tcBorders>
            <w:vAlign w:val="center"/>
          </w:tcPr>
          <w:p w14:paraId="5F503FD4"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nil"/>
              <w:left w:val="nil"/>
              <w:bottom w:val="single" w:sz="8" w:space="0" w:color="000000"/>
              <w:right w:val="nil"/>
            </w:tcBorders>
            <w:shd w:val="clear" w:color="auto" w:fill="auto"/>
            <w:vAlign w:val="center"/>
            <w:hideMark/>
          </w:tcPr>
          <w:p w14:paraId="0E3701BF" w14:textId="79D2AD5D"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Arnedo</w:t>
            </w:r>
            <w:proofErr w:type="spellEnd"/>
            <w:r w:rsidRPr="008C4D21">
              <w:rPr>
                <w:rFonts w:ascii="Calibri" w:eastAsia="Times New Roman" w:hAnsi="Calibri" w:cs="Calibri"/>
                <w:color w:val="000000"/>
                <w:sz w:val="18"/>
                <w:szCs w:val="18"/>
                <w:lang w:eastAsia="en-GB"/>
              </w:rPr>
              <w:t xml:space="preserve">-Pena et al </w:t>
            </w:r>
            <w:r w:rsidR="008249F1">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author":[{"dropping-particle":"","family":"Arnedo-Pena","given":"A","non-dropping-particle":"","parse-names":false,"suffix":""},{"dropping-particle":"","family":"Sabater-Vidal","given":"S","non-dropping-particle":"","parse-names":false,"suffix":""},{"dropping-particle":"","family":"Meseguer-Ferrer","given":"N","non-dropping-particle":"","parse-names":false,"suffix":""},{"dropping-particle":"","family":"Pac-Sa","given":"R","non-dropping-particle":"","parse-names":false,"suffix":""},{"dropping-particle":"","family":"Mañes-Flor","given":"P","non-dropping-particle":"","parse-names":false,"suffix":""},{"dropping-particle":"","family":"Gascó-Laborda","given":"J C","non-dropping-particle":"","parse-names":false,"suffix":""},{"dropping-particle":"","family":"Larrea","given":"R","non-dropping-particle":"","parse-names":false,"suffix":""},{"dropping-particle":"","family":"Tirado-Balaguer","given":"D","non-dropping-particle":"","parse-names":false,"suffix":""},{"dropping-particle":"","family":"Romeu-García","given":"A","non-dropping-particle":"","parse-names":false,"suffix":""},{"dropping-particle":"","family":"Gil-Fortuño","given":"M","non-dropping-particle":"","parse-names":false,"suffix":""},{"dropping-particle":"","family":"Safont-Adsuara","given":"L","non-dropping-particle":"","parse-names":false,"suffix":""},{"dropping-particle":"","family":"Blasco","given":"A","non-dropping-particle":"","parse-names":false,"suffix":""},{"dropping-particle":"","family":"Gomila-Sar","given":"B","non-dropping-particle":"","parse-names":false,"suffix":""},{"dropping-particle":"","family":"Moreno-Muñoz","given":"R","non-dropping-particle":"","parse-names":false,"suffix":""},{"dropping-particle":"","family":"Bellido-Blasco","given":"J B","non-dropping-particle":"","parse-names":false,"suffix":""}],"container-title":"Rev Enf Emerg","id":"ITEM-1","issue":"2","issued":{"date-parts":[["2020"]]},"page":"64-70","title":"COVID-19 secondary attack rate and risk factors in household contacts in Castellon (Spain): Preliminary report","type":"article-journal","volume":"19"},"uris":["http://www.mendeley.com/documents/?uuid=43edfbc9-33c1-445e-acfe-6bbd4d5d6026"]}],"mendeley":{"formattedCitation":"[22]","plainTextFormattedCitation":"[22]","previouslyFormattedCitation":"[24]"},"properties":{"noteIndex":0},"schema":"https://github.com/citation-style-language/schema/raw/master/csl-citation.json"}</w:instrText>
            </w:r>
            <w:r w:rsidR="008249F1">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[22]</w:t>
            </w:r>
            <w:r w:rsidR="008249F1">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noWrap/>
            <w:vAlign w:val="center"/>
            <w:hideMark/>
          </w:tcPr>
          <w:p w14:paraId="6F4AB1E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Castellon</w:t>
            </w:r>
          </w:p>
        </w:tc>
        <w:tc>
          <w:tcPr>
            <w:tcW w:w="1134" w:type="dxa"/>
            <w:tcBorders>
              <w:top w:val="nil"/>
              <w:left w:val="nil"/>
              <w:bottom w:val="single" w:sz="8" w:space="0" w:color="000000"/>
              <w:right w:val="nil"/>
            </w:tcBorders>
            <w:shd w:val="clear" w:color="000000" w:fill="FFFFFF"/>
            <w:noWrap/>
            <w:vAlign w:val="center"/>
            <w:hideMark/>
          </w:tcPr>
          <w:p w14:paraId="1F971F78"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Spain</w:t>
            </w:r>
          </w:p>
        </w:tc>
        <w:tc>
          <w:tcPr>
            <w:tcW w:w="2268" w:type="dxa"/>
            <w:tcBorders>
              <w:top w:val="nil"/>
              <w:left w:val="nil"/>
              <w:bottom w:val="single" w:sz="8" w:space="0" w:color="000000"/>
              <w:right w:val="nil"/>
            </w:tcBorders>
            <w:shd w:val="clear" w:color="000000" w:fill="FFFFFF"/>
            <w:vAlign w:val="center"/>
            <w:hideMark/>
          </w:tcPr>
          <w:p w14:paraId="039EF585"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Retrospective cohort study</w:t>
            </w:r>
          </w:p>
        </w:tc>
        <w:tc>
          <w:tcPr>
            <w:tcW w:w="3117" w:type="dxa"/>
            <w:tcBorders>
              <w:top w:val="nil"/>
              <w:left w:val="nil"/>
              <w:bottom w:val="single" w:sz="8" w:space="0" w:color="000000"/>
              <w:right w:val="nil"/>
            </w:tcBorders>
            <w:shd w:val="clear" w:color="000000" w:fill="FFFFFF"/>
            <w:vAlign w:val="center"/>
            <w:hideMark/>
          </w:tcPr>
          <w:p w14:paraId="043DA844"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close contacts living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4C6CEDFA"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symptomatic</w:t>
            </w:r>
          </w:p>
        </w:tc>
        <w:tc>
          <w:tcPr>
            <w:tcW w:w="992" w:type="dxa"/>
            <w:tcBorders>
              <w:top w:val="nil"/>
              <w:left w:val="nil"/>
              <w:bottom w:val="single" w:sz="8" w:space="0" w:color="000000"/>
              <w:right w:val="nil"/>
            </w:tcBorders>
            <w:shd w:val="clear" w:color="000000" w:fill="FFFFFF"/>
            <w:vAlign w:val="center"/>
            <w:hideMark/>
          </w:tcPr>
          <w:p w14:paraId="09F26F48"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34A3E05E"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347</w:t>
            </w:r>
          </w:p>
        </w:tc>
        <w:tc>
          <w:tcPr>
            <w:tcW w:w="850" w:type="dxa"/>
            <w:tcBorders>
              <w:top w:val="nil"/>
              <w:left w:val="nil"/>
              <w:bottom w:val="single" w:sz="8" w:space="0" w:color="000000"/>
              <w:right w:val="nil"/>
            </w:tcBorders>
            <w:shd w:val="clear" w:color="000000" w:fill="FFFFFF"/>
            <w:vAlign w:val="center"/>
            <w:hideMark/>
          </w:tcPr>
          <w:p w14:paraId="0DE34D5E"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745</w:t>
            </w:r>
          </w:p>
        </w:tc>
        <w:tc>
          <w:tcPr>
            <w:tcW w:w="993" w:type="dxa"/>
            <w:tcBorders>
              <w:top w:val="nil"/>
              <w:left w:val="nil"/>
              <w:bottom w:val="single" w:sz="8" w:space="0" w:color="000000"/>
              <w:right w:val="nil"/>
            </w:tcBorders>
            <w:shd w:val="clear" w:color="000000" w:fill="FFFFFF"/>
            <w:vAlign w:val="center"/>
            <w:hideMark/>
          </w:tcPr>
          <w:p w14:paraId="641BD31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745</w:t>
            </w:r>
          </w:p>
        </w:tc>
        <w:tc>
          <w:tcPr>
            <w:tcW w:w="1134" w:type="dxa"/>
            <w:tcBorders>
              <w:top w:val="nil"/>
              <w:left w:val="nil"/>
              <w:bottom w:val="single" w:sz="8" w:space="0" w:color="000000"/>
              <w:right w:val="nil"/>
            </w:tcBorders>
            <w:shd w:val="clear" w:color="000000" w:fill="FFFFFF"/>
            <w:vAlign w:val="center"/>
            <w:hideMark/>
          </w:tcPr>
          <w:p w14:paraId="1A7EA959"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83</w:t>
            </w:r>
          </w:p>
        </w:tc>
      </w:tr>
      <w:tr w:rsidR="000F13C3" w:rsidRPr="008C4D21" w14:paraId="08A00EAF" w14:textId="77777777" w:rsidTr="0041155E">
        <w:trPr>
          <w:cantSplit/>
          <w:trHeight w:val="516"/>
        </w:trPr>
        <w:tc>
          <w:tcPr>
            <w:tcW w:w="1135" w:type="dxa"/>
            <w:tcBorders>
              <w:top w:val="nil"/>
              <w:left w:val="nil"/>
              <w:bottom w:val="single" w:sz="8" w:space="0" w:color="000000"/>
              <w:right w:val="nil"/>
            </w:tcBorders>
            <w:vAlign w:val="center"/>
          </w:tcPr>
          <w:p w14:paraId="658E33A4"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nil"/>
              <w:left w:val="nil"/>
              <w:bottom w:val="single" w:sz="8" w:space="0" w:color="000000"/>
              <w:right w:val="nil"/>
            </w:tcBorders>
            <w:shd w:val="clear" w:color="auto" w:fill="auto"/>
            <w:vAlign w:val="center"/>
            <w:hideMark/>
          </w:tcPr>
          <w:p w14:paraId="3A39F556" w14:textId="1049006E"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Bai et al</w:t>
            </w:r>
            <w:r w:rsidR="008249F1">
              <w:rPr>
                <w:rFonts w:ascii="Calibri" w:eastAsia="Times New Roman" w:hAnsi="Calibri" w:cs="Calibri"/>
                <w:color w:val="000000"/>
                <w:sz w:val="18"/>
                <w:szCs w:val="18"/>
                <w:lang w:eastAsia="en-GB"/>
              </w:rPr>
              <w:t xml:space="preserve"> </w:t>
            </w:r>
            <w:r w:rsidR="008249F1">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{"citationItems":[{"id":"ITEM-1","itemData":{"DOI":"10.3760/cma.j.issn.0253-9624.2020.0005","ISBN":"0253-9624 (Print)\r0253-9624","PMID":"32064855","abstract":"The epidemiological history and clinical characteristics of 7 cases of COVID-19 and 1 case of close contact in the first family aggregation epidemic of COVID-19 in Gansu Province were analyzed. The first patient A developed on January 22, 2020, with a history of residence in Wuhan, and confirmed severe cases of NCP on January 24, 2020; patient B, on January 23, 2020, diagnosed on January 31, severe cases; patient C, asymptomatic, diagnosed on January 27; patient D, asymptomatic, diagnosed on January 27; patient E, on January 24, diagnosed on January 28; patient F, asymptomatic, diagnosed on January 31; Patient G was asymptomatic and was diagnosed on January 31. In close contact, H was asymptomatic, PCR test was negative and asymptomatic, and he was discharged early. Among the 7 patients, 1 case died of (B) aggravation, and the other patients' condition was effectively controlled after active treatment. Except for the discharged cases, 5 cases were positive for COVID-19 specific IgM antibody and 1 case was negative. In this clustering outbreak, 4 patients remained asymptomatic, but PCR and IgM antibodies were positive, indicating that asymptomatic patients may be the key point to control the epidemic. Specific IgM antibody screening for patients whose pharyngeal swab nucleic acid test is negative but with ground glass-like lung lesions is very important for early detection and early isolation.","author":[{"dropping-particle":"","family":"Bai","given":"S L","non-dropping-particle":"","parse-names":false,"suffix":""},{"dropping-particle":"","family":"Wang","given":"J Y","non-dropping-particle":"","parse-names":false,"suffix":""},{"dropping-particle":"","family":"Zhou","given":"Y Q","non-dropping-particle":"","parse-names":false,"suffix":""},{"dropping-particle":"","family":"Yu","given":"D S","non-dropping-particle":"","parse-names":false,"suffix":""},{"dropping-particle":"","family":"Gao","given":"X M","non-dropping-particle":"","parse-names":false,"suffix":""},{"dropping-particle":"","family":"Li","given":"L L","non-dropping-particle":"","parse-names":false,"suffix":""},{"dropping-particle":"","family":"Yang","given":"F","non-dropping-particle":"","parse-names":false,"suffix":""}],"container-title":"Zhonghua Yu Fang Yi Xue Za Zhi","edition":"2020/02/18","id":"ITEM-1","issue":"0","issued":{"date-parts":[["2020"]]},"language":"chi","note":"Bai, S L\nWang, J Y\nZhou, Y Q\nYu, D S\nGao, X M\nLi, L L\nYang, F\nEnglish Abstract\nJournal Article\nChina\nZhonghua Yu Fang Yi Xue Za Zhi. 2020 Feb 17;54(0):E005. doi: 10.3760/cma.j.issn.0253-9624.2020.0005.","page":"E005","title":"[Analysis of the first cluster of cases in a family of novel coronavirus pneumonia in Gansu Province]","type":"article-journal","volume":"54"},"uris":["http://www.mendeley.com/documents/?uuid=38b61d00-69e9-45f2-a5cc-d2476653b8e8"]}],"mendeley":{"formattedCitation":"[23]","plainTextFormattedCitation":"[23]","previouslyFormattedCitation":"[25]"},"properties":{"noteIndex":0},"schema":"https://github.com/citation-style-language/schema/raw/master/csl-citation.json"}</w:instrText>
            </w:r>
            <w:r w:rsidR="008249F1">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[23]</w:t>
            </w:r>
            <w:r w:rsidR="008249F1">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5C85A88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Gansu</w:t>
            </w:r>
          </w:p>
        </w:tc>
        <w:tc>
          <w:tcPr>
            <w:tcW w:w="1134" w:type="dxa"/>
            <w:tcBorders>
              <w:top w:val="nil"/>
              <w:left w:val="nil"/>
              <w:bottom w:val="single" w:sz="8" w:space="0" w:color="000000"/>
              <w:right w:val="nil"/>
            </w:tcBorders>
            <w:shd w:val="clear" w:color="000000" w:fill="FFFFFF"/>
            <w:vAlign w:val="center"/>
            <w:hideMark/>
          </w:tcPr>
          <w:p w14:paraId="0E9E228D"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63A02BD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Familial cluster investigation</w:t>
            </w:r>
          </w:p>
        </w:tc>
        <w:tc>
          <w:tcPr>
            <w:tcW w:w="3117" w:type="dxa"/>
            <w:tcBorders>
              <w:top w:val="nil"/>
              <w:left w:val="nil"/>
              <w:bottom w:val="single" w:sz="8" w:space="0" w:color="000000"/>
              <w:right w:val="nil"/>
            </w:tcBorders>
            <w:shd w:val="clear" w:color="000000" w:fill="FFFFFF"/>
            <w:vAlign w:val="center"/>
            <w:hideMark/>
          </w:tcPr>
          <w:p w14:paraId="12BF1F9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492CA692"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50FF1564"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64E47BD0"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w:t>
            </w:r>
          </w:p>
        </w:tc>
        <w:tc>
          <w:tcPr>
            <w:tcW w:w="850" w:type="dxa"/>
            <w:tcBorders>
              <w:top w:val="nil"/>
              <w:left w:val="nil"/>
              <w:bottom w:val="single" w:sz="8" w:space="0" w:color="000000"/>
              <w:right w:val="nil"/>
            </w:tcBorders>
            <w:shd w:val="clear" w:color="000000" w:fill="FFFFFF"/>
            <w:vAlign w:val="center"/>
            <w:hideMark/>
          </w:tcPr>
          <w:p w14:paraId="2C6EB64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w:t>
            </w:r>
          </w:p>
        </w:tc>
        <w:tc>
          <w:tcPr>
            <w:tcW w:w="993" w:type="dxa"/>
            <w:tcBorders>
              <w:top w:val="nil"/>
              <w:left w:val="nil"/>
              <w:bottom w:val="single" w:sz="8" w:space="0" w:color="000000"/>
              <w:right w:val="nil"/>
            </w:tcBorders>
            <w:shd w:val="clear" w:color="000000" w:fill="FFFFFF"/>
            <w:vAlign w:val="center"/>
            <w:hideMark/>
          </w:tcPr>
          <w:p w14:paraId="2E5381D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w:t>
            </w:r>
          </w:p>
        </w:tc>
        <w:tc>
          <w:tcPr>
            <w:tcW w:w="1134" w:type="dxa"/>
            <w:tcBorders>
              <w:top w:val="nil"/>
              <w:left w:val="nil"/>
              <w:bottom w:val="single" w:sz="8" w:space="0" w:color="000000"/>
              <w:right w:val="nil"/>
            </w:tcBorders>
            <w:shd w:val="clear" w:color="000000" w:fill="FFFFFF"/>
            <w:vAlign w:val="center"/>
            <w:hideMark/>
          </w:tcPr>
          <w:p w14:paraId="54A9940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w:t>
            </w:r>
          </w:p>
        </w:tc>
      </w:tr>
      <w:tr w:rsidR="000F13C3" w:rsidRPr="008C4D21" w14:paraId="3B056B98" w14:textId="77777777" w:rsidTr="0041155E">
        <w:trPr>
          <w:cantSplit/>
          <w:trHeight w:val="680"/>
        </w:trPr>
        <w:tc>
          <w:tcPr>
            <w:tcW w:w="1135" w:type="dxa"/>
            <w:tcBorders>
              <w:top w:val="nil"/>
              <w:left w:val="nil"/>
              <w:bottom w:val="single" w:sz="8" w:space="0" w:color="000000"/>
              <w:right w:val="nil"/>
            </w:tcBorders>
            <w:vAlign w:val="center"/>
          </w:tcPr>
          <w:p w14:paraId="3C1D2789" w14:textId="1EE48739" w:rsidR="00F90771" w:rsidRPr="008C4D21" w:rsidRDefault="001D1E50"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10</w:t>
            </w:r>
          </w:p>
        </w:tc>
        <w:tc>
          <w:tcPr>
            <w:tcW w:w="1135" w:type="dxa"/>
            <w:tcBorders>
              <w:top w:val="nil"/>
              <w:left w:val="nil"/>
              <w:bottom w:val="single" w:sz="8" w:space="0" w:color="000000"/>
              <w:right w:val="nil"/>
            </w:tcBorders>
            <w:shd w:val="clear" w:color="auto" w:fill="auto"/>
            <w:vAlign w:val="center"/>
            <w:hideMark/>
          </w:tcPr>
          <w:p w14:paraId="7F601002" w14:textId="67589D16"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Bi et al </w:t>
            </w:r>
            <w:r w:rsidR="008249F1">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{"citationItems":[{"id":"ITEM-1","itemData":{"DOI":"10.1016/S1473-3099(20)30287-5","ISBN":"1474-4457\r1473-3099","PMID":"32353347","abstract":"BACKGROUND: Rapid spread of severe acute respiratory syndrome coronavirus 2 (SARS-CoV-2) in Wuhan, China, prompted heightened surveillance in Shenzhen, China. The resulting data provide a rare opportunity to measure key metrics of disease course, transmission, and the impact of control measures. METHODS: 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 FINDINGS: 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vs population average of 6·6%). The observed reproductive number (R) was 0·4 (95% CI 0·3-0·5), with a mean serial interval of 6·3 days (95% CI 5·2-7·6). INTERPRETATION: Our data on cases as well as their infected and uninfected close contacts provide key insights into the epidemiology of SARS-CoV-2. This analysis shows that isolation and contact tracing reduce the time during which cases are infectious in the community, thereby reducing the R.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 FUNDING: Emergency Response Program of Harbin Institute of Technology, Emergency Response Program of Peng Cheng Laboratory, US Cente…","author":[{"dropping-particle":"","family":"Bi","given":"Qifang","non-dropping-particle":"","parse-names":false,"suffix":""},{"dropping-particle":"","family":"Wu","given":"Yongsheng","non-dropping-particle":"","parse-names":false,"suffix":""},{"dropping-particle":"","family":"Mei","given":"Shujiang","non-dropping-particle":"","parse-names":false,"suffix":""},{"dropping-particle":"","family":"Ye","given":"Chenfei","non-dropping-particle":"","parse-names":false,"suffix":""},{"dropping-particle":"","family":"Zou","given":"Xuan","non-dropping-particle":"","parse-names":false,"suffix":""},{"dropping-particle":"","family":"Zhang","given":"Zhen","non-dropping-particle":"","parse-names":false,"suffix":""},{"dropping-particle":"","family":"Liu","given":"Xiaojian","non-dropping-particle":"","parse-names":false,"suffix":""},{"dropping-particle":"","family":"Wei","given":"Lan","non-dropping-particle":"","parse-names":false,"suffix":""},{"dropping-particle":"","family":"Truelove","given":"Shaun A","non-dropping-particle":"","parse-names":false,"suffix":""},{"dropping-particle":"","family":"Zhang","given":"Tong","non-dropping-particle":"","parse-names":false,"suffix":""},{"dropping-particle":"","family":"Gao","given":"Wei","non-dropping-particle":"","parse-names":false,"suffix":""},{"dropping-particle":"","family":"Cheng","given":"Cong","non-dropping-particle":"","parse-names":false,"suffix":""},{"dropping-particle":"","family":"Tang","given":"Xiujuan","non-dropping-particle":"","parse-names":false,"suffix":""},{"dropping-particle":"","family":"Wu","given":"Xiaoliang","non-dropping-particle":"","parse-names":false,"suffix":""},{"dropping-particle":"","family":"Wu","given":"Yu","non-dropping-particle":"","parse-names":false,"suffix":""},{"dropping-particle":"","family":"Sun","given":"Binbin","non-dropping-particle":"","parse-names":false,"suffix":""},{"dropping-particle":"","family":"Huang","given":"Suli","non-dropping-particle":"","parse-names":false,"suffix":""},{"dropping-particle":"","family":"Sun","given":"Yu","non-dropping-particle":"","parse-names":false,"suffix":""},{"dropping-particle":"","family":"Zhang","given":"Juncen","non-dropping-particle":"","parse-names":false,"suffix":""},{"dropping-particle":"","family":"Ma","given":"Ting","non-dropping-particle":"","parse-names":false,"suffix":""},{"dropping-particle":"","family":"Lessler","given":"Justin","non-dropping-particle":"","parse-names":false,"suffix":""},{"dropping-particle":"","family":"Feng","given":"Tiejian","non-dropping-particle":"","parse-names":false,"suffix":""}],"container-title":"The Lancet. Infectious diseases","edition":"2020/04/27","id":"ITEM-1","issue":"8","issued":{"date-parts":[["2020"]]},"language":"eng","note":"32353347[pmid]\nPMC7185944[pmcid]\nS1473-3099(20)30287-5[PII]","page":"911-919","publisher":"Elsevier Ltd.","title":"Epidemiology and transmission of COVID-19 in 391 cases and 1286 of their close contacts in Shenzhen, China: a retrospective cohort study","type":"article-journal","volume":"20"},"uris":["http://www.mendeley.com/documents/?uuid=d9ff52aa-b3fc-4498-a591-264bdc48137b"]}],"mendeley":{"formattedCitation":"[24]","plainTextFormattedCitation":"[24]","previouslyFormattedCitation":"[26]"},"properties":{"noteIndex":0},"schema":"https://github.com/citation-style-language/schema/raw/master/csl-citation.json"}</w:instrText>
            </w:r>
            <w:r w:rsidR="008249F1">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[24]</w:t>
            </w:r>
            <w:r w:rsidR="008249F1">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23532506"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Shenzhen</w:t>
            </w:r>
          </w:p>
        </w:tc>
        <w:tc>
          <w:tcPr>
            <w:tcW w:w="1134" w:type="dxa"/>
            <w:tcBorders>
              <w:top w:val="nil"/>
              <w:left w:val="nil"/>
              <w:bottom w:val="single" w:sz="8" w:space="0" w:color="000000"/>
              <w:right w:val="nil"/>
            </w:tcBorders>
            <w:shd w:val="clear" w:color="000000" w:fill="FFFFFF"/>
            <w:vAlign w:val="center"/>
            <w:hideMark/>
          </w:tcPr>
          <w:p w14:paraId="47C01A3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2FBB85C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4808FC0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Lived in the same apartment with an index case 2 days before symptom onset</w:t>
            </w:r>
          </w:p>
        </w:tc>
        <w:tc>
          <w:tcPr>
            <w:tcW w:w="1276" w:type="dxa"/>
            <w:tcBorders>
              <w:top w:val="nil"/>
              <w:left w:val="nil"/>
              <w:bottom w:val="single" w:sz="8" w:space="0" w:color="000000"/>
              <w:right w:val="nil"/>
            </w:tcBorders>
            <w:shd w:val="clear" w:color="000000" w:fill="FFFFFF"/>
            <w:vAlign w:val="center"/>
            <w:hideMark/>
          </w:tcPr>
          <w:p w14:paraId="1BB9DB0F"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4415969B"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0B3F8F14"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391</w:t>
            </w:r>
          </w:p>
        </w:tc>
        <w:tc>
          <w:tcPr>
            <w:tcW w:w="850" w:type="dxa"/>
            <w:tcBorders>
              <w:top w:val="nil"/>
              <w:left w:val="nil"/>
              <w:bottom w:val="single" w:sz="8" w:space="0" w:color="000000"/>
              <w:right w:val="nil"/>
            </w:tcBorders>
            <w:shd w:val="clear" w:color="000000" w:fill="FFFFFF"/>
            <w:vAlign w:val="center"/>
            <w:hideMark/>
          </w:tcPr>
          <w:p w14:paraId="2060B2C8"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686</w:t>
            </w:r>
          </w:p>
        </w:tc>
        <w:tc>
          <w:tcPr>
            <w:tcW w:w="993" w:type="dxa"/>
            <w:tcBorders>
              <w:top w:val="nil"/>
              <w:left w:val="nil"/>
              <w:bottom w:val="single" w:sz="8" w:space="0" w:color="000000"/>
              <w:right w:val="nil"/>
            </w:tcBorders>
            <w:shd w:val="clear" w:color="000000" w:fill="FFFFFF"/>
            <w:vAlign w:val="center"/>
            <w:hideMark/>
          </w:tcPr>
          <w:p w14:paraId="38B76531"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686</w:t>
            </w:r>
          </w:p>
        </w:tc>
        <w:tc>
          <w:tcPr>
            <w:tcW w:w="1134" w:type="dxa"/>
            <w:tcBorders>
              <w:top w:val="nil"/>
              <w:left w:val="nil"/>
              <w:bottom w:val="single" w:sz="8" w:space="0" w:color="000000"/>
              <w:right w:val="nil"/>
            </w:tcBorders>
            <w:shd w:val="clear" w:color="000000" w:fill="FFFFFF"/>
            <w:vAlign w:val="center"/>
            <w:hideMark/>
          </w:tcPr>
          <w:p w14:paraId="6EB1EE0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77</w:t>
            </w:r>
          </w:p>
        </w:tc>
      </w:tr>
      <w:tr w:rsidR="000F13C3" w:rsidRPr="008C4D21" w14:paraId="1B5A4845" w14:textId="77777777" w:rsidTr="0041155E">
        <w:trPr>
          <w:cantSplit/>
          <w:trHeight w:val="562"/>
        </w:trPr>
        <w:tc>
          <w:tcPr>
            <w:tcW w:w="1135" w:type="dxa"/>
            <w:tcBorders>
              <w:top w:val="nil"/>
              <w:left w:val="nil"/>
              <w:bottom w:val="single" w:sz="8" w:space="0" w:color="000000"/>
              <w:right w:val="nil"/>
            </w:tcBorders>
            <w:vAlign w:val="center"/>
          </w:tcPr>
          <w:p w14:paraId="3038AFBD" w14:textId="43C0AEDE" w:rsidR="00F90771" w:rsidRPr="008C4D21" w:rsidRDefault="001D1E50"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11</w:t>
            </w:r>
          </w:p>
        </w:tc>
        <w:tc>
          <w:tcPr>
            <w:tcW w:w="1135" w:type="dxa"/>
            <w:tcBorders>
              <w:top w:val="nil"/>
              <w:left w:val="nil"/>
              <w:bottom w:val="single" w:sz="8" w:space="0" w:color="000000"/>
              <w:right w:val="nil"/>
            </w:tcBorders>
            <w:shd w:val="clear" w:color="auto" w:fill="auto"/>
            <w:vAlign w:val="center"/>
            <w:hideMark/>
          </w:tcPr>
          <w:p w14:paraId="59FD732B" w14:textId="24666F0F"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Bohmer</w:t>
            </w:r>
            <w:proofErr w:type="spellEnd"/>
            <w:r w:rsidRPr="008C4D21">
              <w:rPr>
                <w:rFonts w:ascii="Calibri" w:eastAsia="Times New Roman" w:hAnsi="Calibri" w:cs="Calibri"/>
                <w:color w:val="000000"/>
                <w:sz w:val="18"/>
                <w:szCs w:val="18"/>
                <w:lang w:eastAsia="en-GB"/>
              </w:rPr>
              <w:t xml:space="preserve"> et al </w:t>
            </w:r>
            <w:r w:rsidR="008249F1">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{"citationItems":[{"id":"ITEM-1","itemData":{"DOI":"10.1016/S1473-3099(20)30314-5","ISBN":"1474-4457\r1473-3099","PMID":"32422201","abstract":"BACKGROUND: In December, 2019, the newly identified severe acute respiratory syndrome coronavirus 2 (SARS-CoV-2) emerged in Wuhan, China, causing COVID-19, a respiratory disease presenting with fever, cough, and often pneumonia. WHO has set the strategic objective to interrupt spread of SARS-CoV-2 worldwide. An outbreak in Bavaria, Germany, starting at the end of January, 2020, provided the opportunity to study transmission events, incubation period, and secondary attack rates. METHODS: A case was defined as a person with SARS-CoV-2 infection confirmed by RT-PCR. Case interviews were done to describe timing of onset and nature of symptoms and to identify and classify contacts as high risk (had cumulative face-to-face contact with a confirmed case for ≥15 min, direct contact with secretions or body fluids of a patient with confirmed COVID-19, or, in the case of health-care workers, had worked within 2 m of a patient with confirmed COVID-19 without personal protective equipment) or low risk (all other contacts). High-risk contacts were ordered to stay at home in quarantine for 14 days and were actively followed up and monitored for symptoms, and low-risk contacts were tested upon self-reporting of symptoms. We defined fever and cough as specific symptoms, and defined a prodromal phase as the presence of non-specific symptoms for at least 1 day before the onset of specific symptoms. Whole genome sequencing was used to confirm epidemiological links and clarify transmission events where contact histories were ambiguous; integration with epidemiological data enabled precise reconstruction of exposure events and incubation periods. Secondary attack rates were calculated as the number of cases divided by the number of contacts, using Fisher's exact test for the 95% CIs. FINDINGS: Patient 0 was a Chinese resident who visited Germany for professional reasons. 16 subsequent cases, often with mild and non-specific symptoms, emerged in four transmission generations. Signature mutations in the viral genome occurred upon foundation of generation 2, as well as in one case pertaining to generation 4. The median incubation period was 4·0 days (IQR 2·3-4·3) and the median serial interval was 4·0 days (3·0-5·0). Transmission events were likely to have occurred presymptomatically for one case (possibly five more), at the day of symptom onset for four cases (possibly five more), and the remainder after the day of symptom onset or unknown. One or two cases resulted from conta…","author":[{"dropping-particle":"","family":"Böhmer","given":"Merle M","non-dropping-particle":"","parse-names":false,"suffix":""},{"dropping-particle":"","family":"Buchholz","given":"Udo","non-dropping-particle":"","parse-names":false,"suffix":""},{"dropping-particle":"","family":"Corman","given":"Victor M","non-dropping-particle":"","parse-names":false,"suffix":""},{"dropping-particle":"","family":"Hoch","given":"Martin","non-dropping-particle":"","parse-names":false,"suffix":""},{"dropping-particle":"","family":"Katz","given":"Katharina","non-dropping-particle":"","parse-names":false,"suffix":""},{"dropping-particle":"V","family":"Marosevic","given":"Durdica","non-dropping-particle":"","parse-names":false,"suffix":""},{"dropping-particle":"","family":"Böhm","given":"Stefanie","non-dropping-particle":"","parse-names":false,"suffix":""},{"dropping-particle":"","family":"Woudenberg","given":"Tom","non-dropping-particle":"","parse-names":false,"suffix":""},{"dropping-particle":"","family":"Ackermann","given":"Nikolaus","non-dropping-particle":"","parse-names":false,"suffix":""},{"dropping-particle":"","family":"Konrad","given":"Regina","non-dropping-particle":"","parse-names":false,"suffix":""},{"dropping-particle":"","family":"Eberle","given":"Ute","non-dropping-particle":"","parse-names":false,"suffix":""},{"dropping-particle":"","family":"Treis","given":"Bianca","non-dropping-particle":"","parse-names":false,"suffix":""},{"dropping-particle":"","family":"Dangel","given":"Alexandra","non-dropping-particle":"","parse-names":false,"suffix":""},{"dropping-particle":"","family":"Bengs","given":"Katja","non-dropping-particle":"","parse-names":false,"suffix":""},{"dropping-particle":"","family":"Fingerle","given":"Volker","non-dropping-particle":"","parse-names":false,"suffix":""},{"dropping-particle":"","family":"Berger","given":"Anja","non-dropping-particle":"","parse-names":false,"suffix":""},{"dropping-particle":"","family":"Hörmansdorfer","given":"Stefan","non-dropping-particle":"","parse-names":false,"suffix":""},{"dropping-particle":"","family":"Ippisch","given":"Siegfried","non-dropping-particle":"","parse-names":false,"suffix":""},{"dropping-particle":"","family":"Wicklein","given":"Bernd","non-dropping-particle":"","parse-names":false,"suffix":""},{"dropping-particle":"","family":"Grahl","given":"Andreas","non-dropping-particle":"","parse-names":false,"suffix":""},{"dropping-particle":"","family":"Pörtner","given":"Kirsten","non-dropping-particle":"","parse-names":false,"suffix":""},{"dropping-particle":"","family":"Muller","given":"Nadine","non-dropping-particle":"","parse-names":false,"suffix":""},{"dropping-particle":"","family":"Zeitlmann","given":"Nadine","non-dropping-particle":"","parse-names":false,"suffix":""},{"dropping-particle":"","family":"Boender","given":"T Sonia","non-dropping-particle":"","parse-names":false,"suffix":""},{"dropping-particle":"","family":"Cai","given":"Wei","non-dropping-particle":"","parse-names":false,"suffix":""},{"dropping-particle":"","family":"Reich","given":"Andreas","non-dropping-particle":"","parse-names":false,"suffix":""},{"dropping-particle":"","family":"An der Heiden","given":"Maria","non-dropping-particle":"","parse-names":false,"suffix":""},{"dropping-particle":"","family":"Rexroth","given":"Ute","non-dropping-particle":"","parse-names":false,"suffix":""},{"dropping-particle":"","family":"Hamouda","given":"Osamah","non-dropping-particle":"","parse-names":false,"suffix":""},{"dropping-particle":"","family":"Schneider","given":"Julia","non-dropping-particle":"","parse-names":false,"suffix":""},{"dropping-particle":"","family":"Veith","given":"Talitha","non-dropping-particle":"","parse-names":false,"suffix":""},{"dropping-particle":"","family":"Mühlemann","given":"Barbara","non-dropping-particle":"","parse-names":false,"suffix":""},{"dropping-particle":"","family":"Wölfel","given":"Roman","non-dropping-particle":"","parse-names":false,"suffix":""},{"dropping-particle":"","family":"Antwerpen","given":"Markus","non-dropping-particle":"","parse-names":false,"suffix":""},{"dropping-particle":"","family":"Walter","given":"Mathias","non-dropping-particle":"","parse-names":false,"suffix":""},{"dropping-particle":"","family":"Protzer","given":"Ulrike","non-dropping-particle":"","parse-names":false,"suffix":""},{"dropping-particle":"","family":"Liebl","given":"Bernhard","non-dropping-particle":"","parse-names":false,"suffix":""},{"dropping-particle":"","family":"Haas","given":"Walter","non-dropping-particle":"","parse-names":false,"suffix":""},{"dropping-particle":"","family":"Sing","given":"Andreas","non-dropping-particle":"","parse-names":false,"suffix":""},{"dropping-particle":"","family":"Drosten","given":"Christian","non-dropping-particle":"","parse-names":false,"suffix":""},{"dropping-particle":"","family":"Zapf","given":"Andreas","non-dropping-particle":"","parse-names":false,"suffix":""}],"container-title":"The Lancet. Infectious diseases","edition":"2020/05/15","id":"ITEM-1","issue":"8","issued":{"date-parts":[["2020"]]},"language":"eng","note":"32422201[pmid]\nPMC7228725[pmcid]\nS1473-3099(20)30314-5[PII]","page":"920-928","publisher":"Elsevier Ltd.","title":"Investigation of a COVID-19 outbreak in Germany resulting from a single travel-associated primary case: a case series","type":"article-journal","volume":"20"},"uris":["http://www.mendeley.com/documents/?uuid=4d8c40b8-ee69-496e-89da-71221888c618"]}],"mendeley":{"formattedCitation":"[25]","plainTextFormattedCitation":"[25]","previouslyFormattedCitation":"[27]"},"properties":{"noteIndex":0},"schema":"https://github.com/citation-style-language/schema/raw/master/csl-citation.json"}</w:instrText>
            </w:r>
            <w:r w:rsidR="008249F1">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[25]</w:t>
            </w:r>
            <w:r w:rsidR="008249F1">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6B38275D"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Bavaria</w:t>
            </w:r>
          </w:p>
        </w:tc>
        <w:tc>
          <w:tcPr>
            <w:tcW w:w="1134" w:type="dxa"/>
            <w:tcBorders>
              <w:top w:val="nil"/>
              <w:left w:val="nil"/>
              <w:bottom w:val="single" w:sz="8" w:space="0" w:color="000000"/>
              <w:right w:val="nil"/>
            </w:tcBorders>
            <w:shd w:val="clear" w:color="000000" w:fill="FFFFFF"/>
            <w:vAlign w:val="center"/>
            <w:hideMark/>
          </w:tcPr>
          <w:p w14:paraId="644B0675"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Germany </w:t>
            </w:r>
          </w:p>
        </w:tc>
        <w:tc>
          <w:tcPr>
            <w:tcW w:w="2268" w:type="dxa"/>
            <w:tcBorders>
              <w:top w:val="nil"/>
              <w:left w:val="nil"/>
              <w:bottom w:val="single" w:sz="8" w:space="0" w:color="000000"/>
              <w:right w:val="nil"/>
            </w:tcBorders>
            <w:shd w:val="clear" w:color="000000" w:fill="FFFFFF"/>
            <w:vAlign w:val="center"/>
            <w:hideMark/>
          </w:tcPr>
          <w:p w14:paraId="2D439118"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Outbreak investigation and contact tracing </w:t>
            </w:r>
          </w:p>
        </w:tc>
        <w:tc>
          <w:tcPr>
            <w:tcW w:w="3117" w:type="dxa"/>
            <w:tcBorders>
              <w:top w:val="nil"/>
              <w:left w:val="nil"/>
              <w:bottom w:val="single" w:sz="8" w:space="0" w:color="000000"/>
              <w:right w:val="nil"/>
            </w:tcBorders>
            <w:shd w:val="clear" w:color="000000" w:fill="FFFFFF"/>
            <w:vAlign w:val="center"/>
            <w:hideMark/>
          </w:tcPr>
          <w:p w14:paraId="1422105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Sharing living space with the index case </w:t>
            </w:r>
          </w:p>
        </w:tc>
        <w:tc>
          <w:tcPr>
            <w:tcW w:w="1276" w:type="dxa"/>
            <w:tcBorders>
              <w:top w:val="nil"/>
              <w:left w:val="nil"/>
              <w:bottom w:val="single" w:sz="8" w:space="0" w:color="000000"/>
              <w:right w:val="nil"/>
            </w:tcBorders>
            <w:shd w:val="clear" w:color="000000" w:fill="FFFFFF"/>
            <w:vAlign w:val="center"/>
            <w:hideMark/>
          </w:tcPr>
          <w:p w14:paraId="79D9FCDF"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3AC6EF59"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7CD8F861"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16</w:t>
            </w:r>
          </w:p>
        </w:tc>
        <w:tc>
          <w:tcPr>
            <w:tcW w:w="850" w:type="dxa"/>
            <w:tcBorders>
              <w:top w:val="nil"/>
              <w:left w:val="nil"/>
              <w:bottom w:val="single" w:sz="8" w:space="0" w:color="000000"/>
              <w:right w:val="nil"/>
            </w:tcBorders>
            <w:shd w:val="clear" w:color="000000" w:fill="FFFFFF"/>
            <w:vAlign w:val="center"/>
            <w:hideMark/>
          </w:tcPr>
          <w:p w14:paraId="2ABD9348"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24</w:t>
            </w:r>
          </w:p>
        </w:tc>
        <w:tc>
          <w:tcPr>
            <w:tcW w:w="993" w:type="dxa"/>
            <w:tcBorders>
              <w:top w:val="nil"/>
              <w:left w:val="nil"/>
              <w:bottom w:val="single" w:sz="8" w:space="0" w:color="000000"/>
              <w:right w:val="nil"/>
            </w:tcBorders>
            <w:shd w:val="clear" w:color="000000" w:fill="FFFFFF"/>
            <w:vAlign w:val="center"/>
            <w:hideMark/>
          </w:tcPr>
          <w:p w14:paraId="45C7F651"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24</w:t>
            </w:r>
          </w:p>
        </w:tc>
        <w:tc>
          <w:tcPr>
            <w:tcW w:w="1134" w:type="dxa"/>
            <w:tcBorders>
              <w:top w:val="nil"/>
              <w:left w:val="nil"/>
              <w:bottom w:val="single" w:sz="8" w:space="0" w:color="000000"/>
              <w:right w:val="nil"/>
            </w:tcBorders>
            <w:shd w:val="clear" w:color="000000" w:fill="FFFFFF"/>
            <w:vAlign w:val="center"/>
            <w:hideMark/>
          </w:tcPr>
          <w:p w14:paraId="23414E01"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w:t>
            </w:r>
          </w:p>
        </w:tc>
      </w:tr>
      <w:tr w:rsidR="000F13C3" w:rsidRPr="008C4D21" w14:paraId="2AB8204F" w14:textId="77777777" w:rsidTr="0041155E">
        <w:trPr>
          <w:cantSplit/>
          <w:trHeight w:val="968"/>
        </w:trPr>
        <w:tc>
          <w:tcPr>
            <w:tcW w:w="1135" w:type="dxa"/>
            <w:tcBorders>
              <w:top w:val="nil"/>
              <w:left w:val="nil"/>
              <w:bottom w:val="single" w:sz="8" w:space="0" w:color="000000"/>
              <w:right w:val="nil"/>
            </w:tcBorders>
            <w:vAlign w:val="center"/>
          </w:tcPr>
          <w:p w14:paraId="1C26A73E" w14:textId="647E590A" w:rsidR="00F90771" w:rsidRPr="008C4D21" w:rsidRDefault="001D1E50"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22</w:t>
            </w:r>
          </w:p>
        </w:tc>
        <w:tc>
          <w:tcPr>
            <w:tcW w:w="1135" w:type="dxa"/>
            <w:tcBorders>
              <w:top w:val="nil"/>
              <w:left w:val="nil"/>
              <w:bottom w:val="single" w:sz="8" w:space="0" w:color="000000"/>
              <w:right w:val="nil"/>
            </w:tcBorders>
            <w:shd w:val="clear" w:color="auto" w:fill="auto"/>
            <w:vAlign w:val="center"/>
            <w:hideMark/>
          </w:tcPr>
          <w:p w14:paraId="7193329D" w14:textId="32E9DC2D"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Burke et al </w:t>
            </w:r>
            <w:r w:rsidR="007538F9">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{"citationItems":[{"id":"ITEM-1","itemData":{"DOI":"10.1371/journal.pone.0238342","ISSN":"19326203","PMID":"32877446","abstract":"Coronavirus disease 2019 (COVID-19), the respiratory disease caused by severe acute respiratory syndrome coronavirus 2 (SARS-CoV-2), was first identified in Wuhan, China and has since become pandemic. In response to the first cases identified in the United States, close contacts of confirmed COVID-19 cases were investigated to enable early identification and isolation of additional cases and to learn more about risk factors for transmission. Close contacts of nine early travel-related cases in the United States were identified and monitored daily for development of symptoms (active monitoring). Selected close contacts (including those with exposures categorized as higher risk) were targeted for collection of additional exposure information and respiratory samples. Respiratory samples were tested for SARS-CoV-2 by real-time reverse transcription polymerase chain reaction at the Centers for Disease Control and Prevention. Four hundred four close contacts were actively monitored in the jurisdictions that managed the travel-related cases. Three hundred thirty-eight of the 404 close contacts provided at least basic exposure information, of whom 159 close contacts had ≥1 set of respiratory samples collected and tested. Across all actively monitored close contacts, two additional symptomatic COVID-19 cases (i.e., secondary cases) were identified; both secondary cases were in spouses of travel-associated case patients. When considering only household members, all of whom had ≥1 respiratory sample tested for SARS-CoV-2, the secondary attack rate (i.e., the number of secondary cases as a proportion of total close contacts) was 13% (95% CI: 4–38%). The results from these contact tracing investigations suggest that household members, especially significant others, of COVID-19 cases are at highest risk of becoming infected. The importance of personal protective equipment for healthcare workers is also underlined. Isolation of persons with COVID-19, in combination with quarantine of exposed close contacts and practice of everyday preventive behaviors, is important to mitigate spread of COVID-19.","author":[{"dropping-particle":"","family":"Burke","given":"Rachel M.","non-dropping-particle":"","parse-names":false,"suffix":""},{"dropping-particle":"","family":"Balter","given":"Sharon","non-dropping-particle":"","parse-names":false,"suffix":""},{"dropping-particle":"","family":"Barnes","given":"Emily","non-dropping-particle":"","parse-names":false,"suffix":""},{"dropping-particle":"","family":"Barry","given":"Vaughn","non-dropping-particle":"","parse-names":false,"suffix":""},{"dropping-particle":"","family":"Bartlett","given":"Karri","non-dropping-particle":"","parse-names":false,"suffix":""},{"dropping-particle":"","family":"Beer","given":"Karlyn D.","non-dropping-particle":"","parse-names":false,"suffix":""},{"dropping-particle":"","family":"Benowitz","given":"Isaac","non-dropping-particle":"","parse-names":false,"suffix":""},{"dropping-particle":"","family":"Biggs","given":"Holly M.","non-dropping-particle":"","parse-names":false,"suffix":""},{"dropping-particle":"","family":"Bruce","given":"Hollianne","non-dropping-particle":"","parse-names":false,"suffix":""},{"dropping-particle":"","family":"Bryant-Genevier","given":"Jonathan","non-dropping-particle":"","parse-names":false,"suffix":""},{"dropping-particle":"","family":"Cates","given":"Jordan","non-dropping-particle":"","parse-names":false,"suffix":""},{"dropping-particle":"","family":"Chatham-Stephens","given":"Kevin","non-dropping-particle":"","parse-names":false,"suffix":""},{"dropping-particle":"","family":"Chea","given":"Nora","non-dropping-particle":"","parse-names":false,"suffix":""},{"dropping-particle":"","family":"Chiou","given":"Howard","non-dropping-particle":"","parse-names":false,"suffix":""},{"dropping-particle":"","family":"Christiansen","given":"Demian","non-dropping-particle":"","parse-names":false,"suffix":""},{"dropping-particle":"","family":"Chu","given":"Victoria T.","non-dropping-particle":"","parse-names":false,"suffix":""},{"dropping-particle":"","family":"Clark","given":"Shauna","non-dropping-particle":"","parse-names":false,"suffix":""},{"dropping-particle":"","family":"Cody","given":"Sara H.","non-dropping-particle":"","parse-names":false,"suffix":""},{"dropping-particle":"","family":"Cohen","given":"Max","non-dropping-particle":"","parse-names":false,"suffix":""},{"dropping-particle":"","family":"Conners","given":"Erin E.","non-dropping-particle":"","parse-names":false,"suffix":""},{"dropping-particle":"","family":"Dasari","given":"Vishal","non-dropping-particle":"","parse-names":false,"suffix":""},{"dropping-particle":"","family":"Dawson","given":"Patrick","non-dropping-particle":"","parse-names":false,"suffix":""},{"dropping-particle":"","family":"DeSalvo","given":"Traci","non-dropping-particle":"","parse-names":false,"suffix":""},{"dropping-particle":"","family":"Donahue","given":"Matthew","non-dropping-particle":"","parse-names":false,"suffix":""},{"dropping-particle":"","family":"Dratch","given":"Alissa","non-dropping-particle":"","parse-names":false,"suffix":""},{"dropping-particle":"","family":"Duca","given":"Lindsey","non-dropping-particle":"","parse-names":false,"suffix":""},{"dropping-particle":"","family":"Duchin","given":"Jeffrey","non-dropping-particle":"","parse-names":false,"suffix":""},{"dropping-particle":"","family":"Dyal","given":"Jonathan W.","non-dropping-particle":"","parse-names":false,"suffix":""},{"dropping-particle":"","family":"Feldstein","given":"Leora R.","non-dropping-particle":"","parse-names":false,"suffix":""},{"dropping-particle":"","family":"Fenstersheib","given":"Marty","non-dropping-particle":"","parse-names":false,"suffix":""},{"dropping-particle":"","family":"Fischer","given":"Marc","non-dropping-particle":"","parse-names":false,"suffix":""},{"dropping-particle":"","family":"Fisher","given":"Rebecca","non-dropping-particle":"","parse-names":false,"suffix":""},{"dropping-particle":"","family":"Foo","given":"Chelsea","non-dropping-particle":"","parse-names":false,"suffix":""},{"dropping-particle":"","family":"Freeman-Ponder","given":"Brandi","non-dropping-particle":"","parse-names":false,"suffix":""},{"dropping-particle":"","family":"Fry","given":"Alicia M.","non-dropping-particle":"","parse-names":false,"suffix":""},{"dropping-particle":"","family":"Gant","given":"Jessica","non-dropping-particle":"","parse-names":false,"suffix":""},{"dropping-particle":"","family":"Gautom","given":"Romesh","non-dropping-particle":"","parse-names":false,"suffix":""},{"dropping-particle":"","family":"Ghinai","given":"Isaac","non-dropping-particle":"","parse-names":false,"suffix":""},{"dropping-particle":"","family":"Gounder","given":"Prabhu","non-dropping-particle":"","parse-names":false,"suffix":""},{"dropping-particle":"","family":"Grigg","given":"Cheri T.","non-dropping-particle":"","parse-names":false,"suffix":""},{"dropping-particle":"","family":"Gunzenhauser","given":"Jeffrey","non-dropping-particle":"","parse-names":false,"suffix":""},{"dropping-particle":"","family":"Hall","given":"Aron J.","non-dropping-particle":"","parse-names":false,"suffix":""},{"dropping-particle":"","family":"Han","given":"George S.","non-dropping-particle":"","parse-names":false,"suffix":""},{"dropping-particle":"","family":"Haupt","given":"Thomas","non-dropping-particle":"","parse-names":false,"suffix":""},{"dropping-particle":"","family":"Holshue","given":"Michelle","non-dropping-particle":"","parse-names":false,"suffix":""},{"dropping-particle":"","family":"Hunter","given":"Jennifer","non-dropping-particle":"","parse-names":false,"suffix":""},{"dropping-particle":"","family":"Ibrahim","given":"Mireille B.","non-dropping-particle":"","parse-names":false,"suffix":""},{"dropping-particle":"","family":"Jacobs","given":"Max W.","non-dropping-particle":"","parse-names":false,"suffix":""},{"dropping-particle":"","family":"Jarashow","given":"M. Claire","non-dropping-particle":"","parse-names":false,"suffix":""},{"dropping-particle":"","family":"Joshi","given":"Kiran","non-dropping-particle":"","parse-names":false,"suffix":""},{"dropping-particle":"","family":"Kamali","given":"Talar","non-dropping-particle":"","parse-names":false,"suffix":""},{"dropping-particle":"","family":"Kawakami","given":"Vance","non-dropping-particle":"","parse-names":false,"suffix":""},{"dropping-particle":"","family":"Kim","given":"Moon","non-dropping-particle":"","parse-names":false,"suffix":""},{"dropping-particle":"","family":"Kirking","given":"Hannah L.","non-dropping-particle":"","parse-names":false,"suffix":""},{"dropping-particle":"","family":"Kita-Yarbro","given":"Amanda","non-dropping-particle":"","parse-names":false,"suffix":""},{"dropping-particle":"","family":"Klos","given":"Rachel","non-dropping-particle":"","parse-names":false,"suffix":""},{"dropping-particle":"","family":"Kobayashi","given":"Miwako","non-dropping-particle":"","parse-names":false,"suffix":""},{"dropping-particle":"","family":"Kocharian","given":"Anna","non-dropping-particle":"","parse-names":false,"suffix":""},{"dropping-particle":"","family":"Lang","given":"Misty","non-dropping-particle":"","parse-names":false,"suffix":""},{"dropping-particle":"","family":"Layden","given":"Jennifer","non-dropping-particle":"","parse-names":false,"suffix":""},{"dropping-particle":"","family":"Leidman","given":"Eva","non-dropping-particle":"","parse-names":false,"suffix":""},{"dropping-particle":"","family":"Lindquist","given":"Scott","non-dropping-particle":"","parse-names":false,"suffix":""},{"dropping-particle":"","family":"Lindstrom","given":"Stephen","non-dropping-particle":"","parse-names":false,"suffix":""},{"dropping-particle":"","family":"Link-Gelles","given":"Ruth","non-dropping-particle":"","parse-names":false,"suffix":""},{"dropping-particle":"","family":"Marlow","given":"Mariel","non-dropping-particle":"","parse-names":false,"suffix":""},{"dropping-particle":"","family":"Mattison","given":"Claire P.","non-dropping-particle":"","parse-names":false,"suffix":""},{"dropping-particle":"","family":"McClung","given":"Nancy","non-dropping-particle":"","parse-names":false,"suffix":""},{"dropping-particle":"","family":"McPherson","given":"Tristan D.","non-dropping-particle":"","parse-names":false,"suffix":""},{"dropping-particle":"","family":"Mello","given":"Lynn","non-dropping-particle":"","parse-names":false,"suffix":""},{"dropping-particle":"","family":"Midgley","given":"Claire M.","non-dropping-particle":"","parse-names":false,"suffix":""},{"dropping-particle":"","family":"Novosad","given":"Shannon","non-dropping-particle":"","parse-names":false,"suffix":""},{"dropping-particle":"","family":"Patel","given":"Megan T.","non-dropping-particle":"","parse-names":false,"suffix":""},{"dropping-particle":"","family":"Pettrone","given":"Kristen","non-dropping-particle":"","parse-names":false,"suffix":""},{"dropping-particle":"","family":"Pillai","given":"Satish K.","non-dropping-particle":"","parse-names":false,"suffix":""},{"dropping-particle":"","family":"Pray","given":"Ian W.","non-dropping-particle":"","parse-names":false,"suffix":""},{"dropping-particle":"","family":"Reese","given":"Heather E.","non-dropping-particle":"","parse-names":false,"suffix":""},{"dropping-particle":"","family":"Rhodes","given":"Heather","non-dropping-particle":"","parse-names":false,"suffix":""},{"dropping-particle":"","family":"Robinson","given":"Susan","non-dropping-particle":"","parse-names":false,"suffix":""},{"dropping-particle":"","family":"Rolfes","given":"Melissa","non-dropping-particle":"","parse-names":false,"suffix":""},{"dropping-particle":"","family":"Routh","given":"Janell","non-dropping-particle":"","parse-names":false,"suffix":""},{"dropping-particle":"","family":"Rubin","given":"Rachel","non-dropping-particle":"","parse-names":false,"suffix":""},{"dropping-particle":"","family":"Rudman","given":"Sarah L.","non-dropping-particle":"","parse-names":false,"suffix":""},{"dropping-particle":"","family":"Russell","given":"Denny","non-dropping-particle":"","parse-names":false,"suffix":""},{"dropping-particle":"","family":"Scott","given":"Sarah","non-dropping-particle":"","parse-names":false,"suffix":""},{"dropping-particle":"","family":"Shetty","given":"Varun","non-dropping-particle":"","parse-names":false,"suffix":""},{"dropping-particle":"","family":"Smith-Jeffcoat","given":"Sarah E.","non-dropping-particle":"","parse-names":false,"suffix":""},{"dropping-particle":"","family":"Soda","given":"Elizabeth A.","non-dropping-particle":"","parse-names":false,"suffix":""},{"dropping-particle":"","family":"Spitters","given":"Christopher","non-dropping-particle":"","parse-names":false,"suffix":""},{"dropping-particle":"","family":"Stierman","given":"Bryan","non-dropping-particle":"","parse-names":false,"suffix":""},{"dropping-particle":"","family":"Sunenshine","given":"Rebecca","non-dropping-particle":"","parse-names":false,"suffix":""},{"dropping-particle":"","family":"Terashita","given":"Dawn","non-dropping-particle":"","parse-names":false,"suffix":""},{"dropping-particle":"","family":"Traub","given":"Elizabeth","non-dropping-particle":"","parse-names":false,"suffix":""},{"dropping-particle":"","family":"Vahey","given":"Grace M.","non-dropping-particle":"","parse-names":false,"suffix":""},{"dropping-particle":"","family":"Verani","given":"Jennifer R.","non-dropping-particle":"","parse-names":false,"suffix":""},{"dropping-particle":"","family":"Wallace","given":"Megan","non-dropping-particle":"","parse-names":false,"suffix":""},{"dropping-particle":"","family":"Westercamp","given":"Matthew","non-dropping-particle":"","parse-names":false,"suffix":""},{"dropping-particle":"","family":"Wortham","given":"Jonathan","non-dropping-particle":"","parse-names":false,"suffix":""},{"dropping-particle":"","family":"Xie","given":"Amy","non-dropping-particle":"","parse-names":false,"suffix":""},{"dropping-particle":"","family":"Yousaf","given":"Anna","non-dropping-particle":"","parse-names":false,"suffix":""},{"dropping-particle":"","family":"Zahn","given":"Matthew","non-dropping-particle":"","parse-names":false,"suffix":""}],"container-title":"PLoS ONE","id":"ITEM-1","issue":"9 September","issued":{"date-parts":[["2020","9","1"]]},"publisher":"Public Library of Science","title":"Enhanced contact investigations for nine early travel-related cases of SARS-CoV-2 in the United States","type":"article-journal","volume":"15"},"uris":["http://www.mendeley.com/documents/?uuid=d05b388a-6090-3826-9e4c-776f6e1c71c8"]}],"mendeley":{"formattedCitation":"[26]","plainTextFormattedCitation":"[26]","previouslyFormattedCitation":"[28]"},"properties":{"noteIndex":0},"schema":"https://github.com/citation-style-language/schema/raw/master/csl-citation.json"}</w:instrText>
            </w:r>
            <w:r w:rsidR="007538F9">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[26]</w:t>
            </w:r>
            <w:r w:rsidR="007538F9">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3709B00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Not specified</w:t>
            </w:r>
          </w:p>
        </w:tc>
        <w:tc>
          <w:tcPr>
            <w:tcW w:w="1134" w:type="dxa"/>
            <w:tcBorders>
              <w:top w:val="nil"/>
              <w:left w:val="nil"/>
              <w:bottom w:val="single" w:sz="8" w:space="0" w:color="000000"/>
              <w:right w:val="nil"/>
            </w:tcBorders>
            <w:shd w:val="clear" w:color="000000" w:fill="FFFFFF"/>
            <w:vAlign w:val="center"/>
            <w:hideMark/>
          </w:tcPr>
          <w:p w14:paraId="09B344F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USA</w:t>
            </w:r>
          </w:p>
        </w:tc>
        <w:tc>
          <w:tcPr>
            <w:tcW w:w="2268" w:type="dxa"/>
            <w:tcBorders>
              <w:top w:val="nil"/>
              <w:left w:val="nil"/>
              <w:bottom w:val="single" w:sz="8" w:space="0" w:color="000000"/>
              <w:right w:val="nil"/>
            </w:tcBorders>
            <w:shd w:val="clear" w:color="000000" w:fill="FFFFFF"/>
            <w:vAlign w:val="center"/>
            <w:hideMark/>
          </w:tcPr>
          <w:p w14:paraId="3D6A0064"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269DC07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Family members/friends of a travel-associated case patient who spent at least one night in the same residence during the presumed infectious period</w:t>
            </w:r>
          </w:p>
        </w:tc>
        <w:tc>
          <w:tcPr>
            <w:tcW w:w="1276" w:type="dxa"/>
            <w:tcBorders>
              <w:top w:val="nil"/>
              <w:left w:val="nil"/>
              <w:bottom w:val="single" w:sz="8" w:space="0" w:color="000000"/>
              <w:right w:val="nil"/>
            </w:tcBorders>
            <w:shd w:val="clear" w:color="000000" w:fill="FFFFFF"/>
            <w:vAlign w:val="center"/>
            <w:hideMark/>
          </w:tcPr>
          <w:p w14:paraId="0CEC66CD"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64307F57"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339227A4"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9</w:t>
            </w:r>
          </w:p>
        </w:tc>
        <w:tc>
          <w:tcPr>
            <w:tcW w:w="850" w:type="dxa"/>
            <w:tcBorders>
              <w:top w:val="nil"/>
              <w:left w:val="nil"/>
              <w:bottom w:val="single" w:sz="8" w:space="0" w:color="000000"/>
              <w:right w:val="nil"/>
            </w:tcBorders>
            <w:shd w:val="clear" w:color="000000" w:fill="FFFFFF"/>
            <w:vAlign w:val="center"/>
            <w:hideMark/>
          </w:tcPr>
          <w:p w14:paraId="09077BC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15</w:t>
            </w:r>
          </w:p>
        </w:tc>
        <w:tc>
          <w:tcPr>
            <w:tcW w:w="993" w:type="dxa"/>
            <w:tcBorders>
              <w:top w:val="nil"/>
              <w:left w:val="nil"/>
              <w:bottom w:val="single" w:sz="8" w:space="0" w:color="000000"/>
              <w:right w:val="nil"/>
            </w:tcBorders>
            <w:shd w:val="clear" w:color="000000" w:fill="FFFFFF"/>
            <w:vAlign w:val="center"/>
            <w:hideMark/>
          </w:tcPr>
          <w:p w14:paraId="7F2503F1"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15</w:t>
            </w:r>
          </w:p>
        </w:tc>
        <w:tc>
          <w:tcPr>
            <w:tcW w:w="1134" w:type="dxa"/>
            <w:tcBorders>
              <w:top w:val="nil"/>
              <w:left w:val="nil"/>
              <w:bottom w:val="single" w:sz="8" w:space="0" w:color="000000"/>
              <w:right w:val="nil"/>
            </w:tcBorders>
            <w:shd w:val="clear" w:color="000000" w:fill="FFFFFF"/>
            <w:vAlign w:val="center"/>
            <w:hideMark/>
          </w:tcPr>
          <w:p w14:paraId="4A1535A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w:t>
            </w:r>
          </w:p>
        </w:tc>
      </w:tr>
      <w:tr w:rsidR="000F13C3" w:rsidRPr="008C4D21" w14:paraId="2B052738" w14:textId="77777777" w:rsidTr="0041155E">
        <w:trPr>
          <w:cantSplit/>
          <w:trHeight w:val="542"/>
        </w:trPr>
        <w:tc>
          <w:tcPr>
            <w:tcW w:w="1135" w:type="dxa"/>
            <w:tcBorders>
              <w:top w:val="nil"/>
              <w:left w:val="nil"/>
              <w:bottom w:val="single" w:sz="8" w:space="0" w:color="000000"/>
              <w:right w:val="nil"/>
            </w:tcBorders>
            <w:vAlign w:val="center"/>
          </w:tcPr>
          <w:p w14:paraId="102094E7" w14:textId="6BB749FD" w:rsidR="00F90771" w:rsidRPr="008C4D21" w:rsidRDefault="0035338B"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31</w:t>
            </w:r>
          </w:p>
        </w:tc>
        <w:tc>
          <w:tcPr>
            <w:tcW w:w="1135" w:type="dxa"/>
            <w:tcBorders>
              <w:top w:val="nil"/>
              <w:left w:val="nil"/>
              <w:bottom w:val="single" w:sz="8" w:space="0" w:color="000000"/>
              <w:right w:val="nil"/>
            </w:tcBorders>
            <w:shd w:val="clear" w:color="auto" w:fill="auto"/>
            <w:vAlign w:val="center"/>
            <w:hideMark/>
          </w:tcPr>
          <w:p w14:paraId="74BC4BF7" w14:textId="21AB081A"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Chaw et al </w:t>
            </w:r>
            <w:r w:rsidR="00303169">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rsidR="00303169">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[18]</w:t>
            </w:r>
            <w:r w:rsidR="00303169">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76BB37B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Not specified</w:t>
            </w:r>
          </w:p>
        </w:tc>
        <w:tc>
          <w:tcPr>
            <w:tcW w:w="1134" w:type="dxa"/>
            <w:tcBorders>
              <w:top w:val="nil"/>
              <w:left w:val="nil"/>
              <w:bottom w:val="single" w:sz="8" w:space="0" w:color="000000"/>
              <w:right w:val="nil"/>
            </w:tcBorders>
            <w:shd w:val="clear" w:color="000000" w:fill="FFFFFF"/>
            <w:vAlign w:val="center"/>
            <w:hideMark/>
          </w:tcPr>
          <w:p w14:paraId="07546FF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Brunei </w:t>
            </w:r>
          </w:p>
        </w:tc>
        <w:tc>
          <w:tcPr>
            <w:tcW w:w="2268" w:type="dxa"/>
            <w:tcBorders>
              <w:top w:val="nil"/>
              <w:left w:val="nil"/>
              <w:bottom w:val="single" w:sz="8" w:space="0" w:color="000000"/>
              <w:right w:val="nil"/>
            </w:tcBorders>
            <w:shd w:val="clear" w:color="000000" w:fill="FFFFFF"/>
            <w:vAlign w:val="center"/>
            <w:hideMark/>
          </w:tcPr>
          <w:p w14:paraId="4D5861D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Cluster investigation and contact tracing </w:t>
            </w:r>
          </w:p>
        </w:tc>
        <w:tc>
          <w:tcPr>
            <w:tcW w:w="3117" w:type="dxa"/>
            <w:tcBorders>
              <w:top w:val="nil"/>
              <w:left w:val="nil"/>
              <w:bottom w:val="single" w:sz="8" w:space="0" w:color="000000"/>
              <w:right w:val="nil"/>
            </w:tcBorders>
            <w:shd w:val="clear" w:color="000000" w:fill="FFFFFF"/>
            <w:vAlign w:val="center"/>
            <w:hideMark/>
          </w:tcPr>
          <w:p w14:paraId="52AF8D9D"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33D8A590"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195463E0"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558844B1" w14:textId="28246345"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19</w:t>
            </w:r>
          </w:p>
        </w:tc>
        <w:tc>
          <w:tcPr>
            <w:tcW w:w="850" w:type="dxa"/>
            <w:tcBorders>
              <w:top w:val="nil"/>
              <w:left w:val="nil"/>
              <w:bottom w:val="single" w:sz="8" w:space="0" w:color="000000"/>
              <w:right w:val="nil"/>
            </w:tcBorders>
            <w:shd w:val="clear" w:color="000000" w:fill="FFFFFF"/>
            <w:vAlign w:val="center"/>
            <w:hideMark/>
          </w:tcPr>
          <w:p w14:paraId="67C01C9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123</w:t>
            </w:r>
          </w:p>
        </w:tc>
        <w:tc>
          <w:tcPr>
            <w:tcW w:w="993" w:type="dxa"/>
            <w:tcBorders>
              <w:top w:val="nil"/>
              <w:left w:val="nil"/>
              <w:bottom w:val="single" w:sz="8" w:space="0" w:color="000000"/>
              <w:right w:val="nil"/>
            </w:tcBorders>
            <w:shd w:val="clear" w:color="000000" w:fill="FFFFFF"/>
            <w:vAlign w:val="center"/>
            <w:hideMark/>
          </w:tcPr>
          <w:p w14:paraId="50164C2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123</w:t>
            </w:r>
          </w:p>
        </w:tc>
        <w:tc>
          <w:tcPr>
            <w:tcW w:w="1134" w:type="dxa"/>
            <w:tcBorders>
              <w:top w:val="nil"/>
              <w:left w:val="nil"/>
              <w:bottom w:val="single" w:sz="8" w:space="0" w:color="000000"/>
              <w:right w:val="nil"/>
            </w:tcBorders>
            <w:shd w:val="clear" w:color="000000" w:fill="FFFFFF"/>
            <w:vAlign w:val="center"/>
            <w:hideMark/>
          </w:tcPr>
          <w:p w14:paraId="0273AEC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16</w:t>
            </w:r>
          </w:p>
        </w:tc>
      </w:tr>
      <w:tr w:rsidR="000F13C3" w:rsidRPr="008C4D21" w14:paraId="5C2EC6BC" w14:textId="77777777" w:rsidTr="006C15AF">
        <w:trPr>
          <w:cantSplit/>
          <w:trHeight w:val="540"/>
        </w:trPr>
        <w:tc>
          <w:tcPr>
            <w:tcW w:w="1135" w:type="dxa"/>
            <w:tcBorders>
              <w:top w:val="nil"/>
              <w:left w:val="nil"/>
              <w:bottom w:val="single" w:sz="8" w:space="0" w:color="auto"/>
              <w:right w:val="nil"/>
            </w:tcBorders>
            <w:vAlign w:val="center"/>
          </w:tcPr>
          <w:p w14:paraId="376EE39B"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nil"/>
              <w:left w:val="nil"/>
              <w:bottom w:val="single" w:sz="8" w:space="0" w:color="auto"/>
              <w:right w:val="nil"/>
            </w:tcBorders>
            <w:shd w:val="clear" w:color="auto" w:fill="auto"/>
            <w:vAlign w:val="center"/>
            <w:hideMark/>
          </w:tcPr>
          <w:p w14:paraId="7FBE4CC9" w14:textId="5A82F5D9"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Chen et al</w:t>
            </w:r>
            <w:r w:rsidR="00303169">
              <w:rPr>
                <w:rFonts w:ascii="Calibri" w:eastAsia="Times New Roman" w:hAnsi="Calibri" w:cs="Calibri"/>
                <w:color w:val="000000"/>
                <w:sz w:val="18"/>
                <w:szCs w:val="18"/>
                <w:lang w:eastAsia="en-GB"/>
              </w:rPr>
              <w:t xml:space="preserve"> </w:t>
            </w:r>
            <w:r w:rsidR="00475556">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{"citationItems":[{"id":"ITEM-1","itemData":{"DOI":"https://doi.org/10.1016/j.jiph.2020.05.018","ISBN":"1876-0341","abstract":"Information on SARS-CoV-2 asymptomatic infection and infectivity in children is limited. In this study, we aimed to report the epidemiological and clinical characteristics of a familial cluster infection including children with SARS-CoV-2. On February 1, 2020, two children(case 1 and case 2), an 8-year-old girl and a 9-year-old boy, were admitted to the isolation ward in Xiangyang Central Hospital, Hubei province, China, with the diagnosis of COVID-19. Before admission, they had been staying at home with their father and never contacted with any confirmed patients except their mother (case 3) who returned from Wuhan on January 22. Both case 1 and case 2 got mild symptoms. Case 3 did not develop any symptoms until February 6, 2020, with an asymptomatic period of 15 days. She was transferred to ICU and administered multiple treatment according to the disease progression and chest CT manifestations. Her nucleic acid test turned positive until Feb 21, 2020, 15 days after symptoms onset, 30 days after her return from Wuhan. Our data showed that patients with SARS-CoV-2 may have the ability to transmit during their asymptomatic period even with the negative of viral nucleic acid in pharyngeal swabs.","author":[{"dropping-particle":"","family":"Chen","given":"Ming","non-dropping-particle":"","parse-names":false,"suffix":""},{"dropping-particle":"","family":"Fan","given":"Panpan","non-dropping-particle":"","parse-names":false,"suffix":""},{"dropping-particle":"","family":"Liu","given":"Zhi","non-dropping-particle":"","parse-names":false,"suffix":""},{"dropping-particle":"","family":"Pan","given":"Rui","non-dropping-particle":"","parse-names":false,"suffix":""},{"dropping-particle":"","family":"Huang","given":"Shaowu","non-dropping-particle":"","parse-names":false,"suffix":""},{"dropping-particle":"","family":"Li","given":"Junhua","non-dropping-particle":"","parse-names":false,"suffix":""},{"dropping-particle":"","family":"Zhao","given":"Dongchi","non-dropping-particle":"","parse-names":false,"suffix":""}],"container-title":"Journal of Infection and Public Health","id":"ITEM-1","issue":"6","issued":{"date-parts":[["2020"]]},"page":"883-886","title":"A SARS-CoV-2 familial cluster infection reveals asymptomatic transmission to children","type":"article-journal","volume":"13"},"uris":["http://www.mendeley.com/documents/?uuid=cbba7795-510f-419a-b43e-4d835b8e9c4a"]}],"mendeley":{"formattedCitation":"[27]","plainTextFormattedCitation":"[27]","previouslyFormattedCitation":"[29]"},"properties":{"noteIndex":0},"schema":"https://github.com/citation-style-language/schema/raw/master/csl-citation.json"}</w:instrText>
            </w:r>
            <w:r w:rsidR="00475556">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[27]</w:t>
            </w:r>
            <w:r w:rsidR="00475556">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auto"/>
              <w:right w:val="nil"/>
            </w:tcBorders>
            <w:shd w:val="clear" w:color="000000" w:fill="FFFFFF"/>
            <w:vAlign w:val="center"/>
            <w:hideMark/>
          </w:tcPr>
          <w:p w14:paraId="4294A9C4"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Xiangyang</w:t>
            </w:r>
            <w:proofErr w:type="spellEnd"/>
          </w:p>
        </w:tc>
        <w:tc>
          <w:tcPr>
            <w:tcW w:w="1134" w:type="dxa"/>
            <w:tcBorders>
              <w:top w:val="nil"/>
              <w:left w:val="nil"/>
              <w:bottom w:val="single" w:sz="8" w:space="0" w:color="auto"/>
              <w:right w:val="nil"/>
            </w:tcBorders>
            <w:shd w:val="clear" w:color="000000" w:fill="FFFFFF"/>
            <w:vAlign w:val="center"/>
            <w:hideMark/>
          </w:tcPr>
          <w:p w14:paraId="5C4189A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auto"/>
              <w:right w:val="nil"/>
            </w:tcBorders>
            <w:shd w:val="clear" w:color="000000" w:fill="FFFFFF"/>
            <w:vAlign w:val="center"/>
            <w:hideMark/>
          </w:tcPr>
          <w:p w14:paraId="594B00D8"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Familial cluster investigation</w:t>
            </w:r>
          </w:p>
        </w:tc>
        <w:tc>
          <w:tcPr>
            <w:tcW w:w="3117" w:type="dxa"/>
            <w:tcBorders>
              <w:top w:val="nil"/>
              <w:left w:val="nil"/>
              <w:bottom w:val="single" w:sz="8" w:space="0" w:color="auto"/>
              <w:right w:val="nil"/>
            </w:tcBorders>
            <w:shd w:val="clear" w:color="000000" w:fill="FFFFFF"/>
            <w:vAlign w:val="center"/>
            <w:hideMark/>
          </w:tcPr>
          <w:p w14:paraId="2D6C404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Family members who lived in the same household as the index case </w:t>
            </w:r>
          </w:p>
        </w:tc>
        <w:tc>
          <w:tcPr>
            <w:tcW w:w="1276" w:type="dxa"/>
            <w:tcBorders>
              <w:top w:val="nil"/>
              <w:left w:val="nil"/>
              <w:bottom w:val="single" w:sz="8" w:space="0" w:color="auto"/>
              <w:right w:val="nil"/>
            </w:tcBorders>
            <w:shd w:val="clear" w:color="000000" w:fill="FFFFFF"/>
            <w:vAlign w:val="center"/>
            <w:hideMark/>
          </w:tcPr>
          <w:p w14:paraId="2CE9B2AA"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hideMark/>
          </w:tcPr>
          <w:p w14:paraId="1C77EE50"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auto"/>
              <w:right w:val="nil"/>
            </w:tcBorders>
            <w:shd w:val="clear" w:color="000000" w:fill="FFFFFF"/>
            <w:vAlign w:val="center"/>
            <w:hideMark/>
          </w:tcPr>
          <w:p w14:paraId="3FFE42A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w:t>
            </w:r>
          </w:p>
        </w:tc>
        <w:tc>
          <w:tcPr>
            <w:tcW w:w="850" w:type="dxa"/>
            <w:tcBorders>
              <w:top w:val="nil"/>
              <w:left w:val="nil"/>
              <w:bottom w:val="single" w:sz="8" w:space="0" w:color="auto"/>
              <w:right w:val="nil"/>
            </w:tcBorders>
            <w:shd w:val="clear" w:color="000000" w:fill="FFFFFF"/>
            <w:vAlign w:val="center"/>
            <w:hideMark/>
          </w:tcPr>
          <w:p w14:paraId="184F3D4F"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w:t>
            </w:r>
          </w:p>
        </w:tc>
        <w:tc>
          <w:tcPr>
            <w:tcW w:w="993" w:type="dxa"/>
            <w:tcBorders>
              <w:top w:val="nil"/>
              <w:left w:val="nil"/>
              <w:bottom w:val="single" w:sz="8" w:space="0" w:color="auto"/>
              <w:right w:val="nil"/>
            </w:tcBorders>
            <w:shd w:val="clear" w:color="000000" w:fill="FFFFFF"/>
            <w:vAlign w:val="center"/>
            <w:hideMark/>
          </w:tcPr>
          <w:p w14:paraId="32EFCE3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nil"/>
            </w:tcBorders>
            <w:shd w:val="clear" w:color="000000" w:fill="FFFFFF"/>
            <w:vAlign w:val="center"/>
            <w:hideMark/>
          </w:tcPr>
          <w:p w14:paraId="34C7485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w:t>
            </w:r>
          </w:p>
        </w:tc>
      </w:tr>
      <w:tr w:rsidR="000F13C3" w:rsidRPr="008C4D21" w14:paraId="0E6D3B95" w14:textId="77777777" w:rsidTr="007C6E44">
        <w:trPr>
          <w:cantSplit/>
          <w:trHeight w:val="558"/>
        </w:trPr>
        <w:tc>
          <w:tcPr>
            <w:tcW w:w="1135" w:type="dxa"/>
            <w:tcBorders>
              <w:top w:val="single" w:sz="8" w:space="0" w:color="auto"/>
              <w:left w:val="nil"/>
              <w:bottom w:val="single" w:sz="8" w:space="0" w:color="000000"/>
              <w:right w:val="nil"/>
            </w:tcBorders>
            <w:vAlign w:val="center"/>
          </w:tcPr>
          <w:p w14:paraId="24A842EC" w14:textId="65A77FC5" w:rsidR="00F90771" w:rsidRPr="008C4D21" w:rsidRDefault="0035338B"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39</w:t>
            </w:r>
          </w:p>
        </w:tc>
        <w:tc>
          <w:tcPr>
            <w:tcW w:w="1135" w:type="dxa"/>
            <w:tcBorders>
              <w:top w:val="single" w:sz="8" w:space="0" w:color="auto"/>
              <w:left w:val="nil"/>
              <w:bottom w:val="single" w:sz="8" w:space="0" w:color="000000"/>
              <w:right w:val="nil"/>
            </w:tcBorders>
            <w:shd w:val="clear" w:color="auto" w:fill="auto"/>
            <w:vAlign w:val="center"/>
            <w:hideMark/>
          </w:tcPr>
          <w:p w14:paraId="098AFCAE" w14:textId="11BB8292"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Chen et al </w:t>
            </w:r>
            <w:r w:rsidR="00475556">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10.3760/cma.j.cn112338-20200304-00251","author":[{"dropping-particle":"","family":"Chen","given":"Yi","non-dropping-particle":"","parse-names":false,"suffix":""},{"dropping-particle":"","family":"Wang","given":"Aihong","non-dropping-particle":"","parse-names":false,"suffix":""},{"dropping-particle":"","family":"Yi","given":"Bo","non-dropping-particle":"","parse-names":false,"suffix":""},{"dropping-particle":"","family":"Ding","given":"Keqin","non-dropping-particle":"","parse-names":false,"suffix":""},{"dropping-particle":"","family":"Wang","given":"Haibo","non-dropping-particle":"","parse-names":false,"suffix":""},{"dropping-particle":"","family":"Wang","given":"Jianmei","non-dropping-particle":"","parse-names":false,"suffix":""},{"dropping-particle":"","family":"Shi","given":"Hongbo","non-dropping-particle":"","parse-names":false,"suffix":""},{"dropping-particle":"","family":"Wang","given":"Sijia","non-dropping-particle":"","parse-names":false,"suffix":""},{"dropping-particle":"","family":"Xu","given":"Guozhang","non-dropping-particle":"","parse-names":false,"suffix":""}],"container-title":"Chinese Journal of Epidemiology","id":"ITEM-1","issued":{"date-parts":[["2020"]]},"title":"Epidemiological analysis of infection among close contacts of novel coronavirus pneumonia in Ningbo","type":"article-journal","volume":"41"},"uris":["http://www.mendeley.com/documents/?uuid=978fb15b-8773-4e7b-a513-1fd6611718ea"]}],"mendeley":{"formattedCitation":"[28]","plainTextFormattedCitation":"[28]","previouslyFormattedCitation":"[30]"},"properties":{"noteIndex":0},"schema":"https://github.com/citation-style-language/schema/raw/master/csl-citation.json"}</w:instrText>
            </w:r>
            <w:r w:rsidR="00475556">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[28]</w:t>
            </w:r>
            <w:r w:rsidR="00475556">
              <w:rPr>
                <w:rFonts w:ascii="Calibri" w:eastAsia="Times New Roman" w:hAnsi="Calibri" w:cs="Calibri"/>
                <w:color w:val="000000"/>
                <w:sz w:val="18"/>
                <w:szCs w:val="18"/>
                <w:lang w:eastAsia="en-GB"/>
              </w:rPr>
              <w:fldChar w:fldCharType="end"/>
            </w:r>
          </w:p>
        </w:tc>
        <w:tc>
          <w:tcPr>
            <w:tcW w:w="1276" w:type="dxa"/>
            <w:tcBorders>
              <w:top w:val="single" w:sz="8" w:space="0" w:color="auto"/>
              <w:left w:val="nil"/>
              <w:bottom w:val="single" w:sz="8" w:space="0" w:color="000000"/>
              <w:right w:val="nil"/>
            </w:tcBorders>
            <w:shd w:val="clear" w:color="000000" w:fill="FFFFFF"/>
            <w:vAlign w:val="center"/>
            <w:hideMark/>
          </w:tcPr>
          <w:p w14:paraId="340C65A5"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Ningbo</w:t>
            </w:r>
          </w:p>
        </w:tc>
        <w:tc>
          <w:tcPr>
            <w:tcW w:w="1134" w:type="dxa"/>
            <w:tcBorders>
              <w:top w:val="single" w:sz="8" w:space="0" w:color="auto"/>
              <w:left w:val="nil"/>
              <w:bottom w:val="single" w:sz="8" w:space="0" w:color="000000"/>
              <w:right w:val="nil"/>
            </w:tcBorders>
            <w:shd w:val="clear" w:color="000000" w:fill="FFFFFF"/>
            <w:vAlign w:val="center"/>
            <w:hideMark/>
          </w:tcPr>
          <w:p w14:paraId="5AA43AE3"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single" w:sz="8" w:space="0" w:color="auto"/>
              <w:left w:val="nil"/>
              <w:bottom w:val="single" w:sz="8" w:space="0" w:color="000000"/>
              <w:right w:val="nil"/>
            </w:tcBorders>
            <w:shd w:val="clear" w:color="000000" w:fill="FFFFFF"/>
            <w:vAlign w:val="center"/>
            <w:hideMark/>
          </w:tcPr>
          <w:p w14:paraId="69740F66"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single" w:sz="8" w:space="0" w:color="auto"/>
              <w:left w:val="nil"/>
              <w:bottom w:val="single" w:sz="8" w:space="0" w:color="000000"/>
              <w:right w:val="nil"/>
            </w:tcBorders>
            <w:shd w:val="clear" w:color="000000" w:fill="FFFFFF"/>
            <w:vAlign w:val="center"/>
            <w:hideMark/>
          </w:tcPr>
          <w:p w14:paraId="247F9C57"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single" w:sz="8" w:space="0" w:color="auto"/>
              <w:left w:val="nil"/>
              <w:bottom w:val="single" w:sz="8" w:space="0" w:color="000000"/>
              <w:right w:val="nil"/>
            </w:tcBorders>
            <w:shd w:val="clear" w:color="000000" w:fill="FFFFFF"/>
            <w:vAlign w:val="center"/>
            <w:hideMark/>
          </w:tcPr>
          <w:p w14:paraId="4E9D78BE"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single" w:sz="8" w:space="0" w:color="auto"/>
              <w:left w:val="nil"/>
              <w:bottom w:val="single" w:sz="8" w:space="0" w:color="000000"/>
              <w:right w:val="nil"/>
            </w:tcBorders>
            <w:shd w:val="clear" w:color="000000" w:fill="FFFFFF"/>
            <w:vAlign w:val="center"/>
            <w:hideMark/>
          </w:tcPr>
          <w:p w14:paraId="0A2DE146"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single" w:sz="8" w:space="0" w:color="auto"/>
              <w:left w:val="nil"/>
              <w:bottom w:val="single" w:sz="8" w:space="0" w:color="000000"/>
              <w:right w:val="nil"/>
            </w:tcBorders>
            <w:shd w:val="clear" w:color="000000" w:fill="FFFFFF"/>
            <w:vAlign w:val="center"/>
            <w:hideMark/>
          </w:tcPr>
          <w:p w14:paraId="1D28028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187</w:t>
            </w:r>
          </w:p>
        </w:tc>
        <w:tc>
          <w:tcPr>
            <w:tcW w:w="850" w:type="dxa"/>
            <w:tcBorders>
              <w:top w:val="single" w:sz="8" w:space="0" w:color="auto"/>
              <w:left w:val="nil"/>
              <w:bottom w:val="single" w:sz="8" w:space="0" w:color="000000"/>
              <w:right w:val="nil"/>
            </w:tcBorders>
            <w:shd w:val="clear" w:color="000000" w:fill="FFFFFF"/>
            <w:vAlign w:val="center"/>
            <w:hideMark/>
          </w:tcPr>
          <w:p w14:paraId="22F52B64"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279</w:t>
            </w:r>
          </w:p>
        </w:tc>
        <w:tc>
          <w:tcPr>
            <w:tcW w:w="993" w:type="dxa"/>
            <w:tcBorders>
              <w:top w:val="single" w:sz="8" w:space="0" w:color="auto"/>
              <w:left w:val="nil"/>
              <w:bottom w:val="single" w:sz="8" w:space="0" w:color="000000"/>
              <w:right w:val="nil"/>
            </w:tcBorders>
            <w:shd w:val="clear" w:color="000000" w:fill="FFFFFF"/>
            <w:vAlign w:val="center"/>
            <w:hideMark/>
          </w:tcPr>
          <w:p w14:paraId="328E5FF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279</w:t>
            </w:r>
          </w:p>
        </w:tc>
        <w:tc>
          <w:tcPr>
            <w:tcW w:w="1134" w:type="dxa"/>
            <w:tcBorders>
              <w:top w:val="single" w:sz="8" w:space="0" w:color="auto"/>
              <w:left w:val="nil"/>
              <w:bottom w:val="single" w:sz="8" w:space="0" w:color="000000"/>
              <w:right w:val="nil"/>
            </w:tcBorders>
            <w:shd w:val="clear" w:color="000000" w:fill="FFFFFF"/>
            <w:vAlign w:val="center"/>
            <w:hideMark/>
          </w:tcPr>
          <w:p w14:paraId="1B0448E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37</w:t>
            </w:r>
          </w:p>
        </w:tc>
      </w:tr>
      <w:tr w:rsidR="000F13C3" w:rsidRPr="008C4D21" w14:paraId="28A35666" w14:textId="77777777" w:rsidTr="007C6E44">
        <w:trPr>
          <w:cantSplit/>
          <w:trHeight w:val="552"/>
        </w:trPr>
        <w:tc>
          <w:tcPr>
            <w:tcW w:w="1135" w:type="dxa"/>
            <w:tcBorders>
              <w:top w:val="nil"/>
              <w:left w:val="nil"/>
              <w:bottom w:val="single" w:sz="8" w:space="0" w:color="auto"/>
              <w:right w:val="nil"/>
            </w:tcBorders>
            <w:vAlign w:val="center"/>
          </w:tcPr>
          <w:p w14:paraId="79B8EAF4" w14:textId="3ADD9FEA" w:rsidR="00F90771" w:rsidRPr="008C4D21" w:rsidRDefault="00D922BE"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33</w:t>
            </w:r>
          </w:p>
        </w:tc>
        <w:tc>
          <w:tcPr>
            <w:tcW w:w="1135" w:type="dxa"/>
            <w:tcBorders>
              <w:top w:val="nil"/>
              <w:left w:val="nil"/>
              <w:bottom w:val="single" w:sz="8" w:space="0" w:color="auto"/>
              <w:right w:val="nil"/>
            </w:tcBorders>
            <w:shd w:val="clear" w:color="auto" w:fill="auto"/>
            <w:vAlign w:val="center"/>
            <w:hideMark/>
          </w:tcPr>
          <w:p w14:paraId="0F93740F" w14:textId="685531A4"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Cheng et al </w:t>
            </w:r>
            <w:r w:rsidR="00475556">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{"citationItems":[{"id":"ITEM-1","itemData":{"DOI":"10.1001/jamainternmed.2020.2020","ISBN":"2168-6106","abstract":"The dynamics of coronavirus disease 2019 (COVID-19) transmissibility are yet to be fully understood. Better understanding of the transmission dynamics is important for the development and evaluation of effective control policies.To delineate the transmission dynamics of COVID-19 and evaluate the transmission risk at different exposure window periods before and after symptom onset.This prospective case-ascertained study in Taiwan included laboratory-confirmed cases of COVID-19 and their contacts. The study period was from January 15 to March 18, 2020. All close contacts were quarantined at home for 14 days after their last exposure to the index case. During the quarantine period, any relevant symptoms (fever, cough, or other respiratory symptoms) of contacts triggered a COVID-19 test. The final follow-up date was April 2, 2020.Secondary clinical attack rate (considering symptomatic cases only) for different exposure time windows of the index cases and for different exposure settings (such as household, family, and health care).We enrolled 100 confirmed patients, with a median age of 44 years (range, 11-88 years), including 56 men and 44 women. Among their 2761 close contacts, there were 22 paired index-secondary cases. The overall secondary clinical attack rate was 0.7% (95% CI, 0.4%-1.0%). The attack rate was higher among the 1818 contacts whose exposure to index cases started within 5 days of symptom onset (1.0% [95% CI, 0.6%-1.6%]) compared with those who were exposed later (0 cases from 852 contacts; 95% CI, 0%-0.4%). The 299 contacts with exclusive presymptomatic exposures were also at risk (attack rate, 0.7% [95% CI, 0.2%-2.4%]). The attack rate was higher among household (4.6% [95% CI, 2.3%-9.3%]) and nonhousehold (5.3% [95% CI, 2.1%-12.8%]) family contacts than that in health care or other settings. The attack rates were higher among those aged 40 to 59 years (1.1% [95% CI, 0.6%-2.1%]) and those aged 60 years and older (0.9% [95% CI, 0.3%-2.6%]).In this study, high transmissibility of COVID-19 before and immediately after symptom onset suggests that finding and isolating symptomatic patients alone may not suffice to contain the epidemic, and more generalized measures may be required, such as social distancing.","author":[{"dropping-particle":"","family":"Cheng","given":"Hao-Yuan","non-dropping-particle":"","parse-names":false,"suffix":""},{"dropping-particle":"","family":"Jian","given":"Shu-Wan","non-dropping-particle":"","parse-names":false,"suffix":""},{"dropping-particle":"","family":"Liu","given":"Ding-Ping","non-dropping-particle":"","parse-names":false,"suffix":""},{"dropping-particle":"","family":"Ng","given":"Ta-Chou","non-dropping-particle":"","parse-names":false,"suffix":""},{"dropping-particle":"","family":"Huang","given":"Wan-Ting","non-dropping-particle":"","parse-names":false,"suffix":""},{"dropping-particle":"","family":"Lin","given":"Hsien-Ho","non-dropping-particle":"","parse-names":false,"suffix":""},{"dropping-particle":"","family":"Team","given":"for the Taiwan COVID-19 Outbreak Investigation","non-dropping-particle":"","parse-names":false,"suffix":""}],"container-title":"JAMA Internal Medicine","id":"ITEM-1","issued":{"date-parts":[["2020"]]},"title":"Contact Tracing Assessment of COVID-19 Transmission Dynamics in Taiwan and Risk at Different Exposure Periods Before and After Symptom Onset","type":"article-journal"},"uris":["http://www.mendeley.com/documents/?uuid=6284de53-4a95-43df-904f-87721ab687d2"]}],"mendeley":{"formattedCitation":"[29]","plainTextFormattedCitation":"[29]","previouslyFormattedCitation":"[31]"},"properties":{"noteIndex":0},"schema":"https://github.com/citation-style-language/schema/raw/master/csl-citation.json"}</w:instrText>
            </w:r>
            <w:r w:rsidR="00475556">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[29]</w:t>
            </w:r>
            <w:r w:rsidR="00475556">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auto"/>
              <w:right w:val="nil"/>
            </w:tcBorders>
            <w:shd w:val="clear" w:color="000000" w:fill="FFFFFF"/>
            <w:vAlign w:val="center"/>
            <w:hideMark/>
          </w:tcPr>
          <w:p w14:paraId="26D82E6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Not specified</w:t>
            </w:r>
          </w:p>
        </w:tc>
        <w:tc>
          <w:tcPr>
            <w:tcW w:w="1134" w:type="dxa"/>
            <w:tcBorders>
              <w:top w:val="nil"/>
              <w:left w:val="nil"/>
              <w:bottom w:val="single" w:sz="8" w:space="0" w:color="auto"/>
              <w:right w:val="nil"/>
            </w:tcBorders>
            <w:shd w:val="clear" w:color="000000" w:fill="FFFFFF"/>
            <w:vAlign w:val="center"/>
            <w:hideMark/>
          </w:tcPr>
          <w:p w14:paraId="4E780B4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Taiwan</w:t>
            </w:r>
          </w:p>
        </w:tc>
        <w:tc>
          <w:tcPr>
            <w:tcW w:w="2268" w:type="dxa"/>
            <w:tcBorders>
              <w:top w:val="nil"/>
              <w:left w:val="nil"/>
              <w:bottom w:val="single" w:sz="8" w:space="0" w:color="auto"/>
              <w:right w:val="nil"/>
            </w:tcBorders>
            <w:shd w:val="clear" w:color="000000" w:fill="FFFFFF"/>
            <w:vAlign w:val="center"/>
            <w:hideMark/>
          </w:tcPr>
          <w:p w14:paraId="6E55FDB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auto"/>
              <w:right w:val="nil"/>
            </w:tcBorders>
            <w:shd w:val="clear" w:color="000000" w:fill="FFFFFF"/>
            <w:vAlign w:val="center"/>
            <w:hideMark/>
          </w:tcPr>
          <w:p w14:paraId="73F3E5B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auto"/>
              <w:right w:val="nil"/>
            </w:tcBorders>
            <w:shd w:val="clear" w:color="000000" w:fill="FFFFFF"/>
            <w:vAlign w:val="center"/>
            <w:hideMark/>
          </w:tcPr>
          <w:p w14:paraId="6EBFB3C1"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hideMark/>
          </w:tcPr>
          <w:p w14:paraId="4B5FE813"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auto"/>
              <w:right w:val="nil"/>
            </w:tcBorders>
            <w:shd w:val="clear" w:color="000000" w:fill="FFFFFF"/>
            <w:vAlign w:val="center"/>
            <w:hideMark/>
          </w:tcPr>
          <w:p w14:paraId="39570F92"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100</w:t>
            </w:r>
          </w:p>
        </w:tc>
        <w:tc>
          <w:tcPr>
            <w:tcW w:w="850" w:type="dxa"/>
            <w:tcBorders>
              <w:top w:val="nil"/>
              <w:left w:val="nil"/>
              <w:bottom w:val="single" w:sz="8" w:space="0" w:color="auto"/>
              <w:right w:val="nil"/>
            </w:tcBorders>
            <w:shd w:val="clear" w:color="000000" w:fill="FFFFFF"/>
            <w:vAlign w:val="center"/>
            <w:hideMark/>
          </w:tcPr>
          <w:p w14:paraId="5BFD38BE"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151</w:t>
            </w:r>
          </w:p>
        </w:tc>
        <w:tc>
          <w:tcPr>
            <w:tcW w:w="993" w:type="dxa"/>
            <w:tcBorders>
              <w:top w:val="nil"/>
              <w:left w:val="nil"/>
              <w:bottom w:val="single" w:sz="8" w:space="0" w:color="auto"/>
              <w:right w:val="nil"/>
            </w:tcBorders>
            <w:shd w:val="clear" w:color="000000" w:fill="FFFFFF"/>
            <w:vAlign w:val="center"/>
            <w:hideMark/>
          </w:tcPr>
          <w:p w14:paraId="1C76AFA9"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151</w:t>
            </w:r>
          </w:p>
        </w:tc>
        <w:tc>
          <w:tcPr>
            <w:tcW w:w="1134" w:type="dxa"/>
            <w:tcBorders>
              <w:top w:val="nil"/>
              <w:left w:val="nil"/>
              <w:bottom w:val="single" w:sz="8" w:space="0" w:color="auto"/>
              <w:right w:val="nil"/>
            </w:tcBorders>
            <w:shd w:val="clear" w:color="000000" w:fill="FFFFFF"/>
            <w:vAlign w:val="center"/>
            <w:hideMark/>
          </w:tcPr>
          <w:p w14:paraId="103DA9AF"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w:t>
            </w:r>
          </w:p>
        </w:tc>
      </w:tr>
      <w:tr w:rsidR="000F13C3" w:rsidRPr="008C4D21" w14:paraId="185F8A82" w14:textId="77777777" w:rsidTr="006C15AF">
        <w:trPr>
          <w:cantSplit/>
          <w:trHeight w:val="689"/>
        </w:trPr>
        <w:tc>
          <w:tcPr>
            <w:tcW w:w="1135" w:type="dxa"/>
            <w:tcBorders>
              <w:top w:val="single" w:sz="8" w:space="0" w:color="auto"/>
              <w:left w:val="nil"/>
              <w:bottom w:val="single" w:sz="8" w:space="0" w:color="000000"/>
              <w:right w:val="nil"/>
            </w:tcBorders>
            <w:vAlign w:val="center"/>
          </w:tcPr>
          <w:p w14:paraId="1F2D7DF6" w14:textId="0FAA7D66" w:rsidR="00F90771" w:rsidRPr="008C4D21" w:rsidRDefault="00D922BE"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34</w:t>
            </w:r>
          </w:p>
        </w:tc>
        <w:tc>
          <w:tcPr>
            <w:tcW w:w="1135" w:type="dxa"/>
            <w:tcBorders>
              <w:top w:val="single" w:sz="8" w:space="0" w:color="auto"/>
              <w:left w:val="nil"/>
              <w:bottom w:val="single" w:sz="8" w:space="0" w:color="000000"/>
              <w:right w:val="nil"/>
            </w:tcBorders>
            <w:shd w:val="clear" w:color="auto" w:fill="auto"/>
            <w:vAlign w:val="center"/>
            <w:hideMark/>
          </w:tcPr>
          <w:p w14:paraId="1D3646E5" w14:textId="3F1B2D85"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Dattner et al </w:t>
            </w:r>
            <w:r w:rsidR="007F05F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author":[{"dropping-particle":"","family":"Dattner","given":"Itai","non-dropping-particle":"","parse-names":false,"suffix":""},{"dropping-particle":"","family":"Goldberg","given":"Yair","non-dropping-particle":"","parse-names":false,"suffix":""},{"dropping-particle":"","family":"Katriel","given":"Guy","non-dropping-particle":"","parse-names":false,"suffix":""},{"dropping-particle":"","family":"Yaari","given":"Rami","non-dropping-particle":"","parse-names":false,"suffix":""},{"dropping-particle":"","family":"Gal","given":"Nurit","non-dropping-particle":"","parse-names":false,"suffix":""},{"dropping-particle":"","family":"Miron","given":"Yoav","non-dropping-particle":"","parse-names":false,"suffix":""},{"dropping-particle":"","family":"Ziv","given":"Arnona","non-dropping-particle":"","parse-names":false,"suffix":""},{"dropping-particle":"","family":"Hamo","given":"Yoram","non-dropping-particle":"","parse-names":false,"suffix":""},{"dropping-particle":"","family":"Huppert","given":"Amit","non-dropping-particle":"","parse-names":false,"suffix":""}],"container-title":"medRxiv","id":"ITEM-1","issued":{"date-parts":[["2020"]]},"publisher":"Cold Spring Harbor Laboratory Press","title":"The role of children in the spread of COVID-19: Using household data from Bnei Brak, Israel, to estimate the relative susceptibility and infectivity of children","type":"article-journal"},"uris":["http://www.mendeley.com/documents/?uuid=b58dc6e5-e75a-4e42-b322-76d4d8d48db0"]}],"mendeley":{"formattedCitation":"[30]","plainTextFormattedCitation":"[30]","previouslyFormattedCitation":"[32]"},"properties":{"noteIndex":0},"schema":"https://github.com/citation-style-language/schema/raw/master/csl-citation.json"}</w:instrText>
            </w:r>
            <w:r w:rsidR="007F05F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[30]</w:t>
            </w:r>
            <w:r w:rsidR="007F05F7">
              <w:rPr>
                <w:rFonts w:ascii="Calibri" w:eastAsia="Times New Roman" w:hAnsi="Calibri" w:cs="Calibri"/>
                <w:color w:val="000000"/>
                <w:sz w:val="18"/>
                <w:szCs w:val="18"/>
                <w:lang w:eastAsia="en-GB"/>
              </w:rPr>
              <w:fldChar w:fldCharType="end"/>
            </w:r>
          </w:p>
        </w:tc>
        <w:tc>
          <w:tcPr>
            <w:tcW w:w="1276" w:type="dxa"/>
            <w:tcBorders>
              <w:top w:val="single" w:sz="8" w:space="0" w:color="auto"/>
              <w:left w:val="nil"/>
              <w:bottom w:val="single" w:sz="8" w:space="0" w:color="000000"/>
              <w:right w:val="nil"/>
            </w:tcBorders>
            <w:shd w:val="clear" w:color="000000" w:fill="FFFFFF"/>
            <w:vAlign w:val="center"/>
            <w:hideMark/>
          </w:tcPr>
          <w:p w14:paraId="464A8FBD"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Bnei</w:t>
            </w:r>
            <w:proofErr w:type="spellEnd"/>
            <w:r w:rsidRPr="008C4D21">
              <w:rPr>
                <w:rFonts w:ascii="Calibri" w:eastAsia="Times New Roman" w:hAnsi="Calibri" w:cs="Calibri"/>
                <w:color w:val="000000"/>
                <w:sz w:val="18"/>
                <w:szCs w:val="18"/>
                <w:lang w:eastAsia="en-GB"/>
              </w:rPr>
              <w:t xml:space="preserve"> </w:t>
            </w:r>
            <w:proofErr w:type="spellStart"/>
            <w:r w:rsidRPr="008C4D21">
              <w:rPr>
                <w:rFonts w:ascii="Calibri" w:eastAsia="Times New Roman" w:hAnsi="Calibri" w:cs="Calibri"/>
                <w:color w:val="000000"/>
                <w:sz w:val="18"/>
                <w:szCs w:val="18"/>
                <w:lang w:eastAsia="en-GB"/>
              </w:rPr>
              <w:t>Brak</w:t>
            </w:r>
            <w:proofErr w:type="spellEnd"/>
          </w:p>
        </w:tc>
        <w:tc>
          <w:tcPr>
            <w:tcW w:w="1134" w:type="dxa"/>
            <w:tcBorders>
              <w:top w:val="single" w:sz="8" w:space="0" w:color="auto"/>
              <w:left w:val="nil"/>
              <w:bottom w:val="single" w:sz="8" w:space="0" w:color="000000"/>
              <w:right w:val="nil"/>
            </w:tcBorders>
            <w:shd w:val="clear" w:color="000000" w:fill="FFFFFF"/>
            <w:vAlign w:val="center"/>
            <w:hideMark/>
          </w:tcPr>
          <w:p w14:paraId="3579299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Israel </w:t>
            </w:r>
          </w:p>
        </w:tc>
        <w:tc>
          <w:tcPr>
            <w:tcW w:w="2268" w:type="dxa"/>
            <w:tcBorders>
              <w:top w:val="single" w:sz="8" w:space="0" w:color="auto"/>
              <w:left w:val="nil"/>
              <w:bottom w:val="single" w:sz="8" w:space="0" w:color="000000"/>
              <w:right w:val="nil"/>
            </w:tcBorders>
            <w:shd w:val="clear" w:color="000000" w:fill="FFFFFF"/>
            <w:vAlign w:val="center"/>
            <w:hideMark/>
          </w:tcPr>
          <w:p w14:paraId="043E51B8"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single" w:sz="8" w:space="0" w:color="auto"/>
              <w:left w:val="nil"/>
              <w:bottom w:val="single" w:sz="8" w:space="0" w:color="000000"/>
              <w:right w:val="nil"/>
            </w:tcBorders>
            <w:shd w:val="clear" w:color="000000" w:fill="FFFFFF"/>
            <w:vAlign w:val="center"/>
            <w:hideMark/>
          </w:tcPr>
          <w:p w14:paraId="65D19F9D"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single" w:sz="8" w:space="0" w:color="auto"/>
              <w:left w:val="nil"/>
              <w:bottom w:val="single" w:sz="8" w:space="0" w:color="000000"/>
              <w:right w:val="nil"/>
            </w:tcBorders>
            <w:shd w:val="clear" w:color="000000" w:fill="FFFFFF"/>
            <w:vAlign w:val="center"/>
            <w:hideMark/>
          </w:tcPr>
          <w:p w14:paraId="35E52479"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single" w:sz="8" w:space="0" w:color="auto"/>
              <w:left w:val="nil"/>
              <w:bottom w:val="single" w:sz="8" w:space="0" w:color="000000"/>
              <w:right w:val="nil"/>
            </w:tcBorders>
            <w:shd w:val="clear" w:color="000000" w:fill="FFFFFF"/>
            <w:vAlign w:val="center"/>
            <w:hideMark/>
          </w:tcPr>
          <w:p w14:paraId="32B51903"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single" w:sz="8" w:space="0" w:color="auto"/>
              <w:left w:val="nil"/>
              <w:bottom w:val="single" w:sz="8" w:space="0" w:color="000000"/>
              <w:right w:val="nil"/>
            </w:tcBorders>
            <w:shd w:val="clear" w:color="000000" w:fill="FFFFFF"/>
            <w:vAlign w:val="center"/>
            <w:hideMark/>
          </w:tcPr>
          <w:p w14:paraId="688D66DF"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637</w:t>
            </w:r>
          </w:p>
        </w:tc>
        <w:tc>
          <w:tcPr>
            <w:tcW w:w="850" w:type="dxa"/>
            <w:tcBorders>
              <w:top w:val="single" w:sz="8" w:space="0" w:color="auto"/>
              <w:left w:val="nil"/>
              <w:bottom w:val="single" w:sz="8" w:space="0" w:color="000000"/>
              <w:right w:val="nil"/>
            </w:tcBorders>
            <w:shd w:val="clear" w:color="000000" w:fill="FFFFFF"/>
            <w:vAlign w:val="center"/>
            <w:hideMark/>
          </w:tcPr>
          <w:p w14:paraId="13B0709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2,716</w:t>
            </w:r>
          </w:p>
        </w:tc>
        <w:tc>
          <w:tcPr>
            <w:tcW w:w="993" w:type="dxa"/>
            <w:tcBorders>
              <w:top w:val="single" w:sz="8" w:space="0" w:color="auto"/>
              <w:left w:val="nil"/>
              <w:bottom w:val="single" w:sz="8" w:space="0" w:color="000000"/>
              <w:right w:val="nil"/>
            </w:tcBorders>
            <w:shd w:val="clear" w:color="000000" w:fill="FFFFFF"/>
            <w:vAlign w:val="center"/>
            <w:hideMark/>
          </w:tcPr>
          <w:p w14:paraId="72DC7386"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2,716</w:t>
            </w:r>
          </w:p>
        </w:tc>
        <w:tc>
          <w:tcPr>
            <w:tcW w:w="1134" w:type="dxa"/>
            <w:tcBorders>
              <w:top w:val="single" w:sz="8" w:space="0" w:color="auto"/>
              <w:left w:val="nil"/>
              <w:bottom w:val="single" w:sz="8" w:space="0" w:color="000000"/>
              <w:right w:val="nil"/>
            </w:tcBorders>
            <w:shd w:val="clear" w:color="000000" w:fill="FFFFFF"/>
            <w:vAlign w:val="center"/>
            <w:hideMark/>
          </w:tcPr>
          <w:p w14:paraId="0E48C2A2"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873</w:t>
            </w:r>
          </w:p>
        </w:tc>
      </w:tr>
      <w:tr w:rsidR="000F13C3" w:rsidRPr="008C4D21" w14:paraId="31453E28" w14:textId="77777777" w:rsidTr="007C6E44">
        <w:trPr>
          <w:cantSplit/>
          <w:trHeight w:val="831"/>
        </w:trPr>
        <w:tc>
          <w:tcPr>
            <w:tcW w:w="1135" w:type="dxa"/>
            <w:tcBorders>
              <w:top w:val="nil"/>
              <w:left w:val="nil"/>
              <w:bottom w:val="single" w:sz="8" w:space="0" w:color="000000"/>
              <w:right w:val="nil"/>
            </w:tcBorders>
            <w:vAlign w:val="center"/>
          </w:tcPr>
          <w:p w14:paraId="29B55ADC" w14:textId="2206FDB6" w:rsidR="00F90771" w:rsidRPr="008C4D21" w:rsidRDefault="00D922BE"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lastRenderedPageBreak/>
              <w:t>35</w:t>
            </w:r>
          </w:p>
        </w:tc>
        <w:tc>
          <w:tcPr>
            <w:tcW w:w="1135" w:type="dxa"/>
            <w:tcBorders>
              <w:top w:val="nil"/>
              <w:left w:val="nil"/>
              <w:bottom w:val="single" w:sz="8" w:space="0" w:color="000000"/>
              <w:right w:val="nil"/>
            </w:tcBorders>
            <w:shd w:val="clear" w:color="auto" w:fill="auto"/>
            <w:vAlign w:val="center"/>
            <w:hideMark/>
          </w:tcPr>
          <w:p w14:paraId="245165E9" w14:textId="48D888EC"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Dawson et al</w:t>
            </w:r>
            <w:r w:rsidR="007F05F7">
              <w:rPr>
                <w:rFonts w:ascii="Calibri" w:eastAsia="Times New Roman" w:hAnsi="Calibri" w:cs="Calibri"/>
                <w:color w:val="000000"/>
                <w:sz w:val="18"/>
                <w:szCs w:val="18"/>
                <w:lang w:eastAsia="en-GB"/>
              </w:rPr>
              <w:t xml:space="preserve"> </w:t>
            </w:r>
            <w:r w:rsidR="007F05F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{"citationItems":[{"id":"ITEM-1","itemData":{"DOI":"10.1093/cid/ciaa799","ISSN":"1058-4838","abstract":"In a household study, loss of taste and/or smell was the fourth most reported symptom (26/42 [62%]) among coronavirus disease 2019 (COVID-19) case patients and had the highest positive predictive value (83% [95% confidence interval [CI], 55%–95%) among household contacts. Olfactory and taste dysfunctions should be considered for COVID-19 case identification and testing prioritization.","author":[{"dropping-particle":"","family":"Dawson","given":"Patrick","non-dropping-particle":"","parse-names":false,"suffix":""},{"dropping-particle":"","family":"Rabold","given":"Elizabeth M","non-dropping-particle":"","parse-names":false,"suffix":""},{"dropping-particle":"","family":"Laws","given":"Rebecca L","non-dropping-particle":"","parse-names":false,"suffix":""},{"dropping-particle":"","family":"Conners","given":"Erin E","non-dropping-particle":"","parse-names":false,"suffix":""},{"dropping-particle":"","family":"Gharpure","given":"Radhika","non-dropping-particle":"","parse-names":false,"suffix":""},{"dropping-particle":"","family":"Yin","given":"Sherry","non-dropping-particle":"","parse-names":false,"suffix":""},{"dropping-particle":"","family":"Buono","given":"Sean A","non-dropping-particle":"","parse-names":false,"suffix":""},{"dropping-particle":"","family":"Dasu","given":"Trivikram","non-dropping-particle":"","parse-names":false,"suffix":""},{"dropping-particle":"","family":"Bhattacharyya","given":"Sanjib","non-dropping-particle":"","parse-names":false,"suffix":""},{"dropping-particle":"","family":"Westergaard","given":"Ryan P","non-dropping-particle":"","parse-names":false,"suffix":""},{"dropping-particle":"","family":"Pray","given":"Ian W","non-dropping-particle":"","parse-names":false,"suffix":""},{"dropping-particle":"","family":"Ye","given":"Dongni","non-dropping-particle":"","parse-names":false,"suffix":""},{"dropping-particle":"","family":"Nabity","given":"Scott A","non-dropping-particle":"","parse-names":false,"suffix":""},{"dropping-particle":"","family":"Tate","given":"Jacqueline E","non-dropping-particle":"","parse-names":false,"suffix":""},{"dropping-particle":"","family":"Kirking","given":"Hannah L","non-dropping-particle":"","parse-names":false,"suffix":""}],"container-title":"Clinical Infectious Diseases","id":"ITEM-1","issued":{"date-parts":[["2020","6","21"]]},"title":"Loss of Taste and Smell as Distinguishing Symptoms of Coronavirus Disease 2019","type":"article-journal"},"uris":["http://www.mendeley.com/documents/?uuid=46595bc5-01cd-440c-b932-7a79d126499a"]}],"mendeley":{"formattedCitation":"[31]","plainTextFormattedCitation":"[31]","previouslyFormattedCitation":"[33]"},"properties":{"noteIndex":0},"schema":"https://github.com/citation-style-language/schema/raw/master/csl-citation.json"}</w:instrText>
            </w:r>
            <w:r w:rsidR="007F05F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[31]</w:t>
            </w:r>
            <w:r w:rsidR="007F05F7">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61BF5676"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Wisconsin</w:t>
            </w:r>
          </w:p>
        </w:tc>
        <w:tc>
          <w:tcPr>
            <w:tcW w:w="1134" w:type="dxa"/>
            <w:tcBorders>
              <w:top w:val="nil"/>
              <w:left w:val="nil"/>
              <w:bottom w:val="single" w:sz="8" w:space="0" w:color="000000"/>
              <w:right w:val="nil"/>
            </w:tcBorders>
            <w:shd w:val="clear" w:color="000000" w:fill="FFFFFF"/>
            <w:vAlign w:val="center"/>
            <w:hideMark/>
          </w:tcPr>
          <w:p w14:paraId="0464DD43"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USA</w:t>
            </w:r>
          </w:p>
        </w:tc>
        <w:tc>
          <w:tcPr>
            <w:tcW w:w="2268" w:type="dxa"/>
            <w:tcBorders>
              <w:top w:val="nil"/>
              <w:left w:val="nil"/>
              <w:bottom w:val="single" w:sz="8" w:space="0" w:color="000000"/>
              <w:right w:val="nil"/>
            </w:tcBorders>
            <w:shd w:val="clear" w:color="000000" w:fill="FFFFFF"/>
            <w:vAlign w:val="center"/>
            <w:hideMark/>
          </w:tcPr>
          <w:p w14:paraId="2C89188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Convenience sample of households with confirmed index case &lt;10 days from diagnosis</w:t>
            </w:r>
          </w:p>
        </w:tc>
        <w:tc>
          <w:tcPr>
            <w:tcW w:w="3117" w:type="dxa"/>
            <w:tcBorders>
              <w:top w:val="nil"/>
              <w:left w:val="nil"/>
              <w:bottom w:val="single" w:sz="8" w:space="0" w:color="000000"/>
              <w:right w:val="nil"/>
            </w:tcBorders>
            <w:shd w:val="clear" w:color="000000" w:fill="FFFFFF"/>
            <w:vAlign w:val="center"/>
            <w:hideMark/>
          </w:tcPr>
          <w:p w14:paraId="227DB314"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4B4BD22B"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36CA9589"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14D7816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26</w:t>
            </w:r>
          </w:p>
        </w:tc>
        <w:tc>
          <w:tcPr>
            <w:tcW w:w="850" w:type="dxa"/>
            <w:tcBorders>
              <w:top w:val="nil"/>
              <w:left w:val="nil"/>
              <w:bottom w:val="single" w:sz="8" w:space="0" w:color="000000"/>
              <w:right w:val="nil"/>
            </w:tcBorders>
            <w:shd w:val="clear" w:color="000000" w:fill="FFFFFF"/>
            <w:vAlign w:val="center"/>
            <w:hideMark/>
          </w:tcPr>
          <w:p w14:paraId="2A8C6E6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64</w:t>
            </w:r>
          </w:p>
        </w:tc>
        <w:tc>
          <w:tcPr>
            <w:tcW w:w="993" w:type="dxa"/>
            <w:tcBorders>
              <w:top w:val="nil"/>
              <w:left w:val="nil"/>
              <w:bottom w:val="single" w:sz="8" w:space="0" w:color="000000"/>
              <w:right w:val="nil"/>
            </w:tcBorders>
            <w:shd w:val="clear" w:color="000000" w:fill="FFFFFF"/>
            <w:vAlign w:val="center"/>
            <w:hideMark/>
          </w:tcPr>
          <w:p w14:paraId="6874A71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64</w:t>
            </w:r>
          </w:p>
        </w:tc>
        <w:tc>
          <w:tcPr>
            <w:tcW w:w="1134" w:type="dxa"/>
            <w:tcBorders>
              <w:top w:val="nil"/>
              <w:left w:val="nil"/>
              <w:bottom w:val="single" w:sz="8" w:space="0" w:color="000000"/>
              <w:right w:val="nil"/>
            </w:tcBorders>
            <w:shd w:val="clear" w:color="000000" w:fill="FFFFFF"/>
            <w:vAlign w:val="center"/>
            <w:hideMark/>
          </w:tcPr>
          <w:p w14:paraId="5E3BA56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16</w:t>
            </w:r>
          </w:p>
        </w:tc>
      </w:tr>
      <w:tr w:rsidR="000F13C3" w:rsidRPr="008C4D21" w14:paraId="2A737E65" w14:textId="77777777" w:rsidTr="006C15AF">
        <w:trPr>
          <w:cantSplit/>
          <w:trHeight w:val="550"/>
        </w:trPr>
        <w:tc>
          <w:tcPr>
            <w:tcW w:w="1135" w:type="dxa"/>
            <w:tcBorders>
              <w:top w:val="nil"/>
              <w:left w:val="nil"/>
              <w:bottom w:val="single" w:sz="8" w:space="0" w:color="000000"/>
              <w:right w:val="nil"/>
            </w:tcBorders>
            <w:vAlign w:val="center"/>
          </w:tcPr>
          <w:p w14:paraId="3A98D822" w14:textId="1A2D8A7A" w:rsidR="00F90771" w:rsidRPr="008C4D21" w:rsidRDefault="00897865"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36</w:t>
            </w:r>
          </w:p>
        </w:tc>
        <w:tc>
          <w:tcPr>
            <w:tcW w:w="1135" w:type="dxa"/>
            <w:tcBorders>
              <w:top w:val="nil"/>
              <w:left w:val="nil"/>
              <w:bottom w:val="single" w:sz="8" w:space="0" w:color="000000"/>
              <w:right w:val="nil"/>
            </w:tcBorders>
            <w:shd w:val="clear" w:color="auto" w:fill="auto"/>
            <w:vAlign w:val="center"/>
            <w:hideMark/>
          </w:tcPr>
          <w:p w14:paraId="486E40EC" w14:textId="39F82546"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Dong et al</w:t>
            </w:r>
            <w:r w:rsidR="007F05F7">
              <w:rPr>
                <w:rFonts w:ascii="Calibri" w:eastAsia="Times New Roman" w:hAnsi="Calibri" w:cs="Calibri"/>
                <w:color w:val="000000"/>
                <w:sz w:val="18"/>
                <w:szCs w:val="18"/>
                <w:lang w:eastAsia="en-GB"/>
              </w:rPr>
              <w:t xml:space="preserve"> </w:t>
            </w:r>
            <w:r w:rsidR="007F05F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{"citationItems":[{"id":"ITEM-1","itemData":{"DOI":"10.3760/cma.j.cn112338-20200221-00146","ISBN":"0254-6450","PMID":"32164400","author":[{"dropping-particle":"","family":"Dong","given":"X C","non-dropping-particle":"","parse-names":false,"suffix":""},{"dropping-particle":"","family":"Li","given":"J M","non-dropping-particle":"","parse-names":false,"suffix":""},{"dropping-particle":"","family":"Bai","given":"J Y","non-dropping-particle":"","parse-names":false,"suffix":""},{"dropping-particle":"","family":"Liu","given":"Z Q","non-dropping-particle":"","parse-names":false,"suffix":""},{"dropping-particle":"","family":"Zhou","given":"P H","non-dropping-particle":"","parse-names":false,"suffix":""},{"dropping-particle":"","family":"Gao","given":"L","non-dropping-particle":"","parse-names":false,"suffix":""},{"dropping-particle":"","family":"Li","given":"X Y","non-dropping-particle":"","parse-names":false,"suffix":""},{"dropping-particle":"","family":"Zhang","given":"Y","non-dropping-particle":"","parse-names":false,"suffix":""}],"container-title":"Zhonghua liu xing bing xue za zhi = Zhonghua liuxingbingxue zazhi","id":"ITEM-1","issue":"5","issued":{"date-parts":[["2020"]]},"language":"chi","page":"638-641","title":"[Epidemiological characteristics of confirmed COVID-19 cases in Tianjin]","type":"article-journal","volume":"41"},"uris":["http://www.mendeley.com/documents/?uuid=82e998fe-2e0e-47bb-a1a1-f8f9fc4439e2"]}],"mendeley":{"formattedCitation":"[32]","plainTextFormattedCitation":"[32]","previouslyFormattedCitation":"[34]"},"properties":{"noteIndex":0},"schema":"https://github.com/citation-style-language/schema/raw/master/csl-citation.json"}</w:instrText>
            </w:r>
            <w:r w:rsidR="007F05F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[32]</w:t>
            </w:r>
            <w:r w:rsidR="007F05F7">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48BD870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Tianjin</w:t>
            </w:r>
          </w:p>
        </w:tc>
        <w:tc>
          <w:tcPr>
            <w:tcW w:w="1134" w:type="dxa"/>
            <w:tcBorders>
              <w:top w:val="nil"/>
              <w:left w:val="nil"/>
              <w:bottom w:val="single" w:sz="8" w:space="0" w:color="000000"/>
              <w:right w:val="nil"/>
            </w:tcBorders>
            <w:shd w:val="clear" w:color="000000" w:fill="FFFFFF"/>
            <w:vAlign w:val="center"/>
            <w:hideMark/>
          </w:tcPr>
          <w:p w14:paraId="29F1396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China </w:t>
            </w:r>
          </w:p>
        </w:tc>
        <w:tc>
          <w:tcPr>
            <w:tcW w:w="2268" w:type="dxa"/>
            <w:tcBorders>
              <w:top w:val="nil"/>
              <w:left w:val="nil"/>
              <w:bottom w:val="single" w:sz="8" w:space="0" w:color="000000"/>
              <w:right w:val="nil"/>
            </w:tcBorders>
            <w:shd w:val="clear" w:color="000000" w:fill="FFFFFF"/>
            <w:vAlign w:val="center"/>
            <w:hideMark/>
          </w:tcPr>
          <w:p w14:paraId="26352BC5"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60DCF33D"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176C60BA"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33C772D3"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058CC56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26</w:t>
            </w:r>
          </w:p>
        </w:tc>
        <w:tc>
          <w:tcPr>
            <w:tcW w:w="850" w:type="dxa"/>
            <w:tcBorders>
              <w:top w:val="nil"/>
              <w:left w:val="nil"/>
              <w:bottom w:val="single" w:sz="8" w:space="0" w:color="000000"/>
              <w:right w:val="nil"/>
            </w:tcBorders>
            <w:shd w:val="clear" w:color="000000" w:fill="FFFFFF"/>
            <w:vAlign w:val="center"/>
            <w:hideMark/>
          </w:tcPr>
          <w:p w14:paraId="047E7FA1"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259</w:t>
            </w:r>
          </w:p>
        </w:tc>
        <w:tc>
          <w:tcPr>
            <w:tcW w:w="993" w:type="dxa"/>
            <w:tcBorders>
              <w:top w:val="nil"/>
              <w:left w:val="nil"/>
              <w:bottom w:val="single" w:sz="8" w:space="0" w:color="000000"/>
              <w:right w:val="nil"/>
            </w:tcBorders>
            <w:shd w:val="clear" w:color="000000" w:fill="FFFFFF"/>
            <w:vAlign w:val="center"/>
            <w:hideMark/>
          </w:tcPr>
          <w:p w14:paraId="03F2EA3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259</w:t>
            </w:r>
          </w:p>
        </w:tc>
        <w:tc>
          <w:tcPr>
            <w:tcW w:w="1134" w:type="dxa"/>
            <w:tcBorders>
              <w:top w:val="nil"/>
              <w:left w:val="nil"/>
              <w:bottom w:val="single" w:sz="8" w:space="0" w:color="000000"/>
              <w:right w:val="nil"/>
            </w:tcBorders>
            <w:shd w:val="clear" w:color="000000" w:fill="FFFFFF"/>
            <w:vAlign w:val="center"/>
            <w:hideMark/>
          </w:tcPr>
          <w:p w14:paraId="19108964"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53</w:t>
            </w:r>
          </w:p>
        </w:tc>
      </w:tr>
      <w:tr w:rsidR="000F13C3" w:rsidRPr="008C4D21" w14:paraId="3BDFEDFB" w14:textId="77777777" w:rsidTr="006C15AF">
        <w:trPr>
          <w:cantSplit/>
          <w:trHeight w:val="714"/>
        </w:trPr>
        <w:tc>
          <w:tcPr>
            <w:tcW w:w="1135" w:type="dxa"/>
            <w:tcBorders>
              <w:top w:val="nil"/>
              <w:left w:val="nil"/>
              <w:bottom w:val="single" w:sz="8" w:space="0" w:color="000000"/>
              <w:right w:val="nil"/>
            </w:tcBorders>
            <w:vAlign w:val="center"/>
          </w:tcPr>
          <w:p w14:paraId="243A09AE"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nil"/>
              <w:left w:val="nil"/>
              <w:bottom w:val="single" w:sz="8" w:space="0" w:color="000000"/>
              <w:right w:val="nil"/>
            </w:tcBorders>
            <w:shd w:val="clear" w:color="auto" w:fill="auto"/>
            <w:vAlign w:val="center"/>
            <w:hideMark/>
          </w:tcPr>
          <w:p w14:paraId="2BC4C3F5" w14:textId="432C9A5A"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Draper et al </w:t>
            </w:r>
            <w:r w:rsidR="00811A64">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{"citationItems":[{"id":"ITEM-1","itemData":{"DOI":"10.33321/cdi.2020.44.53","ISSN":"22096051","PMID":"32615916","abstract":"The Northern Territory (NT) Centre for Disease Control (CDC) undertook contact tracing of all notified cases of coronavirus disease 2019 (COVID-19) within the Territory. There were 28 cases of COVID-19 notified in the NT between 1 March and 30 April 2020. In total 527 people were identified as close contacts over the same period; 493 were successfully contacted; 445 were located in the NT and were subsequently quarantined and monitored for disease symptoms daily for 14 days after contact with a confirmed COVID-19 case. Of these 445 close contacts, 4 tested positive for COVID-19 after developing symptoms; 2/46 contacts who were cruise ship passengers (4.3%, 95% CI 0.5-14.8%) and 2/51 household contacts (3.9%, 95% CI 0.5-13.5%). None of the 326 aircraft passengers or 4 healthcare workers who were being monitored in the NT as close contacts became cases.","author":[{"dropping-particle":"","family":"Draper","given":"Anthony Dk","non-dropping-particle":"","parse-names":false,"suffix":""},{"dropping-particle":"","family":"Dempsey","given":"Karen E.","non-dropping-particle":"","parse-names":false,"suffix":""},{"dropping-particle":"","family":"Boyd","given":"Rowena H.","non-dropping-particle":"","parse-names":false,"suffix":""},{"dropping-particle":"","family":"Childs","given":"Emma M.","non-dropping-particle":"","parse-names":false,"suffix":""},{"dropping-particle":"","family":"Black","given":"Hayley M.","non-dropping-particle":"","parse-names":false,"suffix":""},{"dropping-particle":"","family":"Francis","given":"Laura A.","non-dropping-particle":"","parse-names":false,"suffix":""},{"dropping-particle":"","family":"Markey","given":"Peter G.","non-dropping-particle":"","parse-names":false,"suffix":""},{"dropping-particle":"","family":"Krause","given":"Vicki L.","non-dropping-particle":"","parse-names":false,"suffix":""}],"container-title":"Communicable diseases intelligence (2018)","id":"ITEM-1","issued":{"date-parts":[["2020","7","2"]]},"publisher":"NLM (Medline)","title":"The first 2 months of COVID-19 contact tracing in the Northern Territory of Australia, March-April 2020","type":"article-journal","volume":"44"},"uris":["http://www.mendeley.com/documents/?uuid=c132361d-0779-3507-8e95-3025717d99c8"]}],"mendeley":{"formattedCitation":"[33]","plainTextFormattedCitation":"[33]","previouslyFormattedCitation":"[35]"},"properties":{"noteIndex":0},"schema":"https://github.com/citation-style-language/schema/raw/master/csl-citation.json"}</w:instrText>
            </w:r>
            <w:r w:rsidR="00811A64">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[33]</w:t>
            </w:r>
            <w:r w:rsidR="00811A64">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369E4A9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Northern Territory</w:t>
            </w:r>
          </w:p>
        </w:tc>
        <w:tc>
          <w:tcPr>
            <w:tcW w:w="1134" w:type="dxa"/>
            <w:tcBorders>
              <w:top w:val="nil"/>
              <w:left w:val="nil"/>
              <w:bottom w:val="single" w:sz="8" w:space="0" w:color="000000"/>
              <w:right w:val="nil"/>
            </w:tcBorders>
            <w:shd w:val="clear" w:color="000000" w:fill="FFFFFF"/>
            <w:vAlign w:val="center"/>
            <w:hideMark/>
          </w:tcPr>
          <w:p w14:paraId="71A18D93"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Australia</w:t>
            </w:r>
          </w:p>
        </w:tc>
        <w:tc>
          <w:tcPr>
            <w:tcW w:w="2268" w:type="dxa"/>
            <w:tcBorders>
              <w:top w:val="nil"/>
              <w:left w:val="nil"/>
              <w:bottom w:val="single" w:sz="8" w:space="0" w:color="000000"/>
              <w:right w:val="nil"/>
            </w:tcBorders>
            <w:shd w:val="clear" w:color="000000" w:fill="FFFFFF"/>
            <w:vAlign w:val="center"/>
            <w:hideMark/>
          </w:tcPr>
          <w:p w14:paraId="5DC13C1C"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592BD3D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0169C402"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symptomatic</w:t>
            </w:r>
          </w:p>
        </w:tc>
        <w:tc>
          <w:tcPr>
            <w:tcW w:w="992" w:type="dxa"/>
            <w:tcBorders>
              <w:top w:val="nil"/>
              <w:left w:val="nil"/>
              <w:bottom w:val="single" w:sz="8" w:space="0" w:color="000000"/>
              <w:right w:val="nil"/>
            </w:tcBorders>
            <w:shd w:val="clear" w:color="000000" w:fill="FFFFFF"/>
            <w:vAlign w:val="center"/>
            <w:hideMark/>
          </w:tcPr>
          <w:p w14:paraId="5191345A"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4A92404E"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28</w:t>
            </w:r>
          </w:p>
        </w:tc>
        <w:tc>
          <w:tcPr>
            <w:tcW w:w="850" w:type="dxa"/>
            <w:tcBorders>
              <w:top w:val="nil"/>
              <w:left w:val="nil"/>
              <w:bottom w:val="single" w:sz="8" w:space="0" w:color="000000"/>
              <w:right w:val="nil"/>
            </w:tcBorders>
            <w:shd w:val="clear" w:color="000000" w:fill="FFFFFF"/>
            <w:vAlign w:val="center"/>
            <w:hideMark/>
          </w:tcPr>
          <w:p w14:paraId="67B9CCF2"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52</w:t>
            </w:r>
          </w:p>
        </w:tc>
        <w:tc>
          <w:tcPr>
            <w:tcW w:w="993" w:type="dxa"/>
            <w:tcBorders>
              <w:top w:val="nil"/>
              <w:left w:val="nil"/>
              <w:bottom w:val="single" w:sz="8" w:space="0" w:color="000000"/>
              <w:right w:val="nil"/>
            </w:tcBorders>
            <w:shd w:val="clear" w:color="000000" w:fill="FFFFFF"/>
            <w:vAlign w:val="center"/>
            <w:hideMark/>
          </w:tcPr>
          <w:p w14:paraId="5DF84D3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not specified</w:t>
            </w:r>
          </w:p>
        </w:tc>
        <w:tc>
          <w:tcPr>
            <w:tcW w:w="1134" w:type="dxa"/>
            <w:tcBorders>
              <w:top w:val="nil"/>
              <w:left w:val="nil"/>
              <w:bottom w:val="single" w:sz="8" w:space="0" w:color="000000"/>
              <w:right w:val="nil"/>
            </w:tcBorders>
            <w:shd w:val="clear" w:color="000000" w:fill="FFFFFF"/>
            <w:vAlign w:val="center"/>
            <w:hideMark/>
          </w:tcPr>
          <w:p w14:paraId="19B7D12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w:t>
            </w:r>
          </w:p>
        </w:tc>
      </w:tr>
      <w:tr w:rsidR="000F13C3" w:rsidRPr="008C4D21" w14:paraId="76F21287" w14:textId="77777777" w:rsidTr="006C15AF">
        <w:trPr>
          <w:cantSplit/>
          <w:trHeight w:val="540"/>
        </w:trPr>
        <w:tc>
          <w:tcPr>
            <w:tcW w:w="1135" w:type="dxa"/>
            <w:tcBorders>
              <w:top w:val="nil"/>
              <w:left w:val="nil"/>
              <w:bottom w:val="single" w:sz="8" w:space="0" w:color="000000"/>
              <w:right w:val="nil"/>
            </w:tcBorders>
            <w:vAlign w:val="center"/>
          </w:tcPr>
          <w:p w14:paraId="4A56BEF6"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nil"/>
              <w:left w:val="nil"/>
              <w:bottom w:val="single" w:sz="8" w:space="0" w:color="000000"/>
              <w:right w:val="nil"/>
            </w:tcBorders>
            <w:shd w:val="clear" w:color="auto" w:fill="auto"/>
            <w:vAlign w:val="center"/>
            <w:hideMark/>
          </w:tcPr>
          <w:p w14:paraId="18B99917" w14:textId="4D29C562"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Guallar</w:t>
            </w:r>
            <w:proofErr w:type="spellEnd"/>
            <w:r w:rsidRPr="008C4D21">
              <w:rPr>
                <w:rFonts w:ascii="Calibri" w:eastAsia="Times New Roman" w:hAnsi="Calibri" w:cs="Calibri"/>
                <w:color w:val="000000"/>
                <w:sz w:val="18"/>
                <w:szCs w:val="18"/>
                <w:lang w:eastAsia="en-GB"/>
              </w:rPr>
              <w:t xml:space="preserve"> et al</w:t>
            </w:r>
            <w:r w:rsidR="00811A64">
              <w:rPr>
                <w:rFonts w:ascii="Calibri" w:eastAsia="Times New Roman" w:hAnsi="Calibri" w:cs="Calibri"/>
                <w:color w:val="000000"/>
                <w:sz w:val="18"/>
                <w:szCs w:val="18"/>
                <w:lang w:eastAsia="en-GB"/>
              </w:rPr>
              <w:t xml:space="preserve"> </w:t>
            </w:r>
            <w:r w:rsidR="00811A64">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{"citationItems":[{"id":"ITEM-1","itemData":{"DOI":"https://doi.org/10.1016/j.ijid.2020.06.035","ISBN":"1201-9712","abstract":"A relationship between the infecting dose and the risk of disease severity has not been demonstrated for SARS-CoV-2 infection. Here, we report three clusters of individuals that were potentially exposed to distinct inoculum in Madrid. Overall each group developed divergent clinical forms of COVID-19. Our data support that a greater viral inoculum at the time of SARS-CoV-2 exposure might determine a higher risk of severe COVID-19.","author":[{"dropping-particle":"","family":"Guallar","given":"María Pilar","non-dropping-particle":"","parse-names":false,"suffix":""},{"dropping-particle":"","family":"Meiriño","given":"Rosa","non-dropping-particle":"","parse-names":false,"suffix":""},{"dropping-particle":"","family":"Donat-Vargas","given":"Carolina","non-dropping-particle":"","parse-names":false,"suffix":""},{"dropping-particle":"","family":"Corral","given":"Octavio","non-dropping-particle":"","parse-names":false,"suffix":""},{"dropping-particle":"","family":"Jouvé","given":"Nicolás","non-dropping-particle":"","parse-names":false,"suffix":""},{"dropping-particle":"","family":"Soriano","given":"Vicente","non-dropping-particle":"","parse-names":false,"suffix":""}],"container-title":"International Journal of Infectious Diseases","id":"ITEM-1","issued":{"date-parts":[["2020"]]},"page":"290-292","title":"Inoculum at the time of SARS-CoV-2 exposure and risk of disease severity","type":"article-journal","volume":"97"},"uris":["http://www.mendeley.com/documents/?uuid=5dec071a-1b4f-4fe9-a47f-7ba61f9a6c33"]}],"mendeley":{"formattedCitation":"[34]","plainTextFormattedCitation":"[34]","previouslyFormattedCitation":"[36]"},"properties":{"noteIndex":0},"schema":"https://github.com/citation-style-language/schema/raw/master/csl-citation.json"}</w:instrText>
            </w:r>
            <w:r w:rsidR="00811A64">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[34]</w:t>
            </w:r>
            <w:r w:rsidR="00811A64">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noWrap/>
            <w:vAlign w:val="center"/>
            <w:hideMark/>
          </w:tcPr>
          <w:p w14:paraId="2332D835"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Madrid</w:t>
            </w:r>
          </w:p>
        </w:tc>
        <w:tc>
          <w:tcPr>
            <w:tcW w:w="1134" w:type="dxa"/>
            <w:tcBorders>
              <w:top w:val="nil"/>
              <w:left w:val="nil"/>
              <w:bottom w:val="single" w:sz="8" w:space="0" w:color="000000"/>
              <w:right w:val="nil"/>
            </w:tcBorders>
            <w:shd w:val="clear" w:color="000000" w:fill="FFFFFF"/>
            <w:noWrap/>
            <w:vAlign w:val="center"/>
            <w:hideMark/>
          </w:tcPr>
          <w:p w14:paraId="709D1C5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Spain</w:t>
            </w:r>
          </w:p>
        </w:tc>
        <w:tc>
          <w:tcPr>
            <w:tcW w:w="2268" w:type="dxa"/>
            <w:tcBorders>
              <w:top w:val="nil"/>
              <w:left w:val="nil"/>
              <w:bottom w:val="single" w:sz="8" w:space="0" w:color="000000"/>
              <w:right w:val="nil"/>
            </w:tcBorders>
            <w:shd w:val="clear" w:color="000000" w:fill="FFFFFF"/>
            <w:noWrap/>
            <w:vAlign w:val="center"/>
            <w:hideMark/>
          </w:tcPr>
          <w:p w14:paraId="5655A44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Cluster investigation</w:t>
            </w:r>
          </w:p>
        </w:tc>
        <w:tc>
          <w:tcPr>
            <w:tcW w:w="3117" w:type="dxa"/>
            <w:tcBorders>
              <w:top w:val="nil"/>
              <w:left w:val="nil"/>
              <w:bottom w:val="single" w:sz="8" w:space="0" w:color="000000"/>
              <w:right w:val="nil"/>
            </w:tcBorders>
            <w:shd w:val="clear" w:color="000000" w:fill="FFFFFF"/>
            <w:vAlign w:val="center"/>
            <w:hideMark/>
          </w:tcPr>
          <w:p w14:paraId="2E8B195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2957321C"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112A356A"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serology (all) and RT-PCR (subset)</w:t>
            </w:r>
          </w:p>
        </w:tc>
        <w:tc>
          <w:tcPr>
            <w:tcW w:w="851" w:type="dxa"/>
            <w:tcBorders>
              <w:top w:val="nil"/>
              <w:left w:val="nil"/>
              <w:bottom w:val="single" w:sz="8" w:space="0" w:color="000000"/>
              <w:right w:val="nil"/>
            </w:tcBorders>
            <w:shd w:val="clear" w:color="000000" w:fill="FFFFFF"/>
            <w:vAlign w:val="center"/>
            <w:hideMark/>
          </w:tcPr>
          <w:p w14:paraId="1B4FE3CD"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w:t>
            </w:r>
          </w:p>
        </w:tc>
        <w:tc>
          <w:tcPr>
            <w:tcW w:w="850" w:type="dxa"/>
            <w:tcBorders>
              <w:top w:val="nil"/>
              <w:left w:val="nil"/>
              <w:bottom w:val="single" w:sz="8" w:space="0" w:color="000000"/>
              <w:right w:val="nil"/>
            </w:tcBorders>
            <w:shd w:val="clear" w:color="000000" w:fill="FFFFFF"/>
            <w:vAlign w:val="center"/>
            <w:hideMark/>
          </w:tcPr>
          <w:p w14:paraId="62E2DD1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36</w:t>
            </w:r>
          </w:p>
        </w:tc>
        <w:tc>
          <w:tcPr>
            <w:tcW w:w="993" w:type="dxa"/>
            <w:tcBorders>
              <w:top w:val="nil"/>
              <w:left w:val="nil"/>
              <w:bottom w:val="single" w:sz="8" w:space="0" w:color="000000"/>
              <w:right w:val="nil"/>
            </w:tcBorders>
            <w:shd w:val="clear" w:color="000000" w:fill="FFFFFF"/>
            <w:vAlign w:val="center"/>
            <w:hideMark/>
          </w:tcPr>
          <w:p w14:paraId="3449200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36</w:t>
            </w:r>
          </w:p>
        </w:tc>
        <w:tc>
          <w:tcPr>
            <w:tcW w:w="1134" w:type="dxa"/>
            <w:tcBorders>
              <w:top w:val="nil"/>
              <w:left w:val="nil"/>
              <w:bottom w:val="single" w:sz="8" w:space="0" w:color="000000"/>
              <w:right w:val="nil"/>
            </w:tcBorders>
            <w:shd w:val="clear" w:color="000000" w:fill="FFFFFF"/>
            <w:vAlign w:val="center"/>
            <w:hideMark/>
          </w:tcPr>
          <w:p w14:paraId="745EE131"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32</w:t>
            </w:r>
          </w:p>
        </w:tc>
      </w:tr>
      <w:tr w:rsidR="000F13C3" w:rsidRPr="008C4D21" w14:paraId="4319AE85" w14:textId="77777777" w:rsidTr="006C15AF">
        <w:trPr>
          <w:cantSplit/>
          <w:trHeight w:val="668"/>
        </w:trPr>
        <w:tc>
          <w:tcPr>
            <w:tcW w:w="1135" w:type="dxa"/>
            <w:tcBorders>
              <w:top w:val="nil"/>
              <w:left w:val="nil"/>
              <w:bottom w:val="single" w:sz="8" w:space="0" w:color="000000"/>
              <w:right w:val="nil"/>
            </w:tcBorders>
            <w:vAlign w:val="center"/>
          </w:tcPr>
          <w:p w14:paraId="5B3DEB33"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nil"/>
              <w:left w:val="nil"/>
              <w:bottom w:val="single" w:sz="8" w:space="0" w:color="000000"/>
              <w:right w:val="nil"/>
            </w:tcBorders>
            <w:shd w:val="clear" w:color="auto" w:fill="auto"/>
            <w:vAlign w:val="center"/>
            <w:hideMark/>
          </w:tcPr>
          <w:p w14:paraId="3FBDBD74" w14:textId="655053C6"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Hu et al</w:t>
            </w:r>
            <w:r w:rsidR="00811A64">
              <w:rPr>
                <w:rFonts w:ascii="Calibri" w:eastAsia="Times New Roman" w:hAnsi="Calibri" w:cs="Calibri"/>
                <w:color w:val="000000"/>
                <w:sz w:val="18"/>
                <w:szCs w:val="18"/>
                <w:lang w:eastAsia="en-GB"/>
              </w:rPr>
              <w:t xml:space="preserve"> </w:t>
            </w:r>
            <w:r w:rsidR="004E647B">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{"citationItems":[{"id":"ITEM-1","itemData":{"DOI":"10.1007/s11427-020-1661-4","ISBN":"1674-7305 (Print)\r1674-7305","PMID":"32146694","abstract":"Previous studies have showed clinical characteristics of patients with the 2019 novel coronavirus disease (COVID-19) and the evidence of person-to-person transmission. Limited data are available for asymptomatic infections. This study aims to present the clinical characteristics of 24 cases with asymptomatic infection screened from close contacts and to show the transmission potential of asymptomatic COVID-19 virus carriers. Epidemiological investigations were conducted among all close contacts of COVID-19 patients (or suspected patients) in Nanjing, Jiangsu Province, China, from Jan 28 to Feb 9, 2020, both in clinic and in community. Asymptomatic carriers were laboratory-confirmed positive for the COVID-19 virus by testing the nucleic acid of the pharyngeal swab samples. Their clinical records, laboratory assessments, and chest CT scans were reviewed. As a result, none of the 24 asymptomatic cases presented any obvious symptoms while nucleic acid screening. Five cases (20.8%) developed symptoms (fever, cough, fatigue, etc.) during hospitalization. Twelve (50.0%) cases showed typical CT images of ground-glass chest and 5 (20.8%) presented stripe shadowing in the lungs. The remaining 7 (29.2%) cases showed normal CT image and had no symptoms during hospitalization. These 7 cases were younger (median age: 14.0 years; P=0.012) than the rest. None of the 24 cases developed severe COVID-19 pneumonia or died. The median communicable period, defined as the interval from the first day of positive nucleic acid tests to the first day of continuous negative tests, was 9.5 days (up to 21 days among the 24 asymptomatic cases). Through epidemiological investigation, we observed a typical asymptomatic transmission to the cohabiting family members, which even caused severe COVID-19 pneumonia. Overall, the asymptomatic carriers identified from close contacts were prone to be mildly ill during hospitalization. However, the communicable period could be up to three weeks and the communicated patients could develop severe illness. These results highlighted the importance of close contact tracing and longitudinally surveillance via virus nucleic acid tests. Further isolation recommendation and continuous nucleic acid tests may also be recommended to the patients discharged.","author":[{"dropping-particle":"","family":"Hu","given":"Z","non-dropping-particle":"","parse-names":false,"suffix":""},{"dropping-particle":"","family":"Song","given":"C","non-dropping-particle":"","parse-names":false,"suffix":""},{"dropping-particle":"","family":"Xu","given":"C","non-dropping-particle":"","parse-names":false,"suffix":""},{"dropping-particle":"","family":"Jin","given":"G","non-dropping-particle":"","parse-names":false,"suffix":""},{"dropping-particle":"","family":"Chen","given":"Y","non-dropping-particle":"","parse-names":false,"suffix":""},{"dropping-particle":"","family":"Xu","given":"X","non-dropping-particle":"","parse-names":false,"suffix":""},{"dropping-particle":"","family":"Ma","given":"H","non-dropping-particle":"","parse-names":false,"suffix":""},{"dropping-particle":"","family":"Chen","given":"W","non-dropping-particle":"","parse-names":false,"suffix":""},{"dropping-particle":"","family":"Lin","given":"Y","non-dropping-particle":"","parse-names":false,"suffix":""},{"dropping-particle":"","family":"Zheng","given":"Y","non-dropping-particle":"","parse-names":false,"suffix":""},{"dropping-particle":"","family":"Wang","given":"J","non-dropping-particle":"","parse-names":false,"suffix":""},{"dropping-particle":"","family":"Hu","given":"Z","non-dropping-particle":"","parse-names":false,"suffix":""},{"dropping-particle":"","family":"Yi","given":"Y","non-dropping-particle":"","parse-names":false,"suffix":""},{"dropping-particle":"","family":"Shen","given":"H","non-dropping-particle":"","parse-names":false,"suffix":""}],"container-title":"Sci China Life Sci","edition":"2020/03/09","id":"ITEM-1","issue":"5","issued":{"date-parts":[["2020"]]},"language":"eng","note":"1869-1889\nHu, Zhiliang\nSong, Ci\nXu, Chuanjun\nJin, Guangfu\nChen, Yaling\nXu, Xin\nMa, Hongxia\nChen, Wei\nLin, Yuan\nZheng, Yishan\nWang, Jianming\nHu, Zhibin\nYi, Yongxiang\nShen, Hongbing\nJournal Article\nResearch Support, Non-U.S. Gov't\nSci China Life Sci. 2020 May;63(5):706-711. doi: 10.1007/s11427-020-1661-4. Epub 2020 Mar 4.","page":"706-711","title":"Clinical characteristics of 24 asymptomatic infections with COVID-19 screened among close contacts in Nanjing, China","type":"article-journal","volume":"63"},"uris":["http://www.mendeley.com/documents/?uuid=58fffe87-d76a-4bde-be80-f7ace4a81bec"]}],"mendeley":{"formattedCitation":"[35]","plainTextFormattedCitation":"[35]","previouslyFormattedCitation":"[37]"},"properties":{"noteIndex":0},"schema":"https://github.com/citation-style-language/schema/raw/master/csl-citation.json"}</w:instrText>
            </w:r>
            <w:r w:rsidR="004E647B">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[35]</w:t>
            </w:r>
            <w:r w:rsidR="004E647B">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6D19E115" w14:textId="43DB5026"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Nanjing</w:t>
            </w:r>
          </w:p>
        </w:tc>
        <w:tc>
          <w:tcPr>
            <w:tcW w:w="1134" w:type="dxa"/>
            <w:tcBorders>
              <w:top w:val="nil"/>
              <w:left w:val="nil"/>
              <w:bottom w:val="single" w:sz="8" w:space="0" w:color="000000"/>
              <w:right w:val="nil"/>
            </w:tcBorders>
            <w:shd w:val="clear" w:color="000000" w:fill="FFFFFF"/>
            <w:vAlign w:val="center"/>
            <w:hideMark/>
          </w:tcPr>
          <w:p w14:paraId="14DCC995"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752E22C8"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05F941B4"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465A515C"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11F00E64"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4164CF3F"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w:t>
            </w:r>
          </w:p>
        </w:tc>
        <w:tc>
          <w:tcPr>
            <w:tcW w:w="850" w:type="dxa"/>
            <w:tcBorders>
              <w:top w:val="nil"/>
              <w:left w:val="nil"/>
              <w:bottom w:val="single" w:sz="8" w:space="0" w:color="000000"/>
              <w:right w:val="nil"/>
            </w:tcBorders>
            <w:shd w:val="clear" w:color="000000" w:fill="FFFFFF"/>
            <w:vAlign w:val="center"/>
            <w:hideMark/>
          </w:tcPr>
          <w:p w14:paraId="536F7136"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w:t>
            </w:r>
          </w:p>
        </w:tc>
        <w:tc>
          <w:tcPr>
            <w:tcW w:w="993" w:type="dxa"/>
            <w:tcBorders>
              <w:top w:val="nil"/>
              <w:left w:val="nil"/>
              <w:bottom w:val="single" w:sz="8" w:space="0" w:color="000000"/>
              <w:right w:val="nil"/>
            </w:tcBorders>
            <w:shd w:val="clear" w:color="000000" w:fill="FFFFFF"/>
            <w:vAlign w:val="center"/>
            <w:hideMark/>
          </w:tcPr>
          <w:p w14:paraId="75570FD6"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w:t>
            </w:r>
          </w:p>
        </w:tc>
        <w:tc>
          <w:tcPr>
            <w:tcW w:w="1134" w:type="dxa"/>
            <w:tcBorders>
              <w:top w:val="nil"/>
              <w:left w:val="nil"/>
              <w:bottom w:val="single" w:sz="8" w:space="0" w:color="000000"/>
              <w:right w:val="nil"/>
            </w:tcBorders>
            <w:shd w:val="clear" w:color="000000" w:fill="FFFFFF"/>
            <w:vAlign w:val="center"/>
            <w:hideMark/>
          </w:tcPr>
          <w:p w14:paraId="2807822D"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w:t>
            </w:r>
          </w:p>
        </w:tc>
      </w:tr>
      <w:tr w:rsidR="000F13C3" w:rsidRPr="008C4D21" w14:paraId="7A195F11" w14:textId="77777777" w:rsidTr="006C15AF">
        <w:trPr>
          <w:cantSplit/>
          <w:trHeight w:val="692"/>
        </w:trPr>
        <w:tc>
          <w:tcPr>
            <w:tcW w:w="1135" w:type="dxa"/>
            <w:tcBorders>
              <w:top w:val="nil"/>
              <w:left w:val="nil"/>
              <w:bottom w:val="single" w:sz="8" w:space="0" w:color="000000"/>
              <w:right w:val="nil"/>
            </w:tcBorders>
            <w:vAlign w:val="center"/>
          </w:tcPr>
          <w:p w14:paraId="16FB1390"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nil"/>
              <w:left w:val="nil"/>
              <w:bottom w:val="single" w:sz="8" w:space="0" w:color="000000"/>
              <w:right w:val="nil"/>
            </w:tcBorders>
            <w:shd w:val="clear" w:color="auto" w:fill="auto"/>
            <w:vAlign w:val="center"/>
            <w:hideMark/>
          </w:tcPr>
          <w:p w14:paraId="4B490AAB" w14:textId="3A506C0E"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Hua et al </w:t>
            </w:r>
            <w:r w:rsidR="004E647B">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ISSN":"0146-6615","author":[{"dropping-particle":"","family":"Hua","given":"Chun‐Zhen","non-dropping-particle":"","parse-names":false,"suffix":""},{"dropping-particle":"","family":"Miao","given":"Zi‐Ping","non-dropping-particle":"","parse-names":false,"suffix":""},{"dropping-particle":"","family":"Zheng","given":"Ji‐Shan","non-dropping-particle":"","parse-names":false,"suffix":""},{"dropping-particle":"","family":"Huang","given":"Qian","non-dropping-particle":"","parse-names":false,"suffix":""},{"dropping-particle":"","family":"Sun","given":"Qing‐Feng","non-dropping-particle":"","parse-names":false,"suffix":""},{"dropping-particle":"","family":"Lu","given":"Hong‐Ping","non-dropping-particle":"","parse-names":false,"suffix":""},{"dropping-particle":"","family":"Su","given":"Fei‐Fei","non-dropping-particle":"","parse-names":false,"suffix":""},{"dropping-particle":"","family":"Wang","given":"Wei‐Hong","non-dropping-particle":"","parse-names":false,"suffix":""},{"dropping-particle":"","family":"Huang","given":"Lie‐Ping","non-dropping-particle":"","parse-names":false,"suffix":""},{"dropping-particle":"","family":"Chen","given":"Da‐Qing","non-dropping-particle":"","parse-names":false,"suffix":""}],"container-title":"Journal of medical virology","id":"ITEM-1","issued":{"date-parts":[["2020"]]},"publisher":"Wiley Online Library","title":"Epidemiological features and viral shedding in children with SARS‐CoV‐2 infection","type":"article-journal"},"uris":["http://www.mendeley.com/documents/?uuid=2809955a-60ba-4ca6-951f-fba0187cd049"]}],"mendeley":{"formattedCitation":"[36]","plainTextFormattedCitation":"[36]","previouslyFormattedCitation":"[38]"},"properties":{"noteIndex":0},"schema":"https://github.com/citation-style-language/schema/raw/master/csl-citation.json"}</w:instrText>
            </w:r>
            <w:r w:rsidR="004E647B">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[36]</w:t>
            </w:r>
            <w:r w:rsidR="004E647B">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4C2B209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Zhejiang</w:t>
            </w:r>
          </w:p>
        </w:tc>
        <w:tc>
          <w:tcPr>
            <w:tcW w:w="1134" w:type="dxa"/>
            <w:tcBorders>
              <w:top w:val="nil"/>
              <w:left w:val="nil"/>
              <w:bottom w:val="single" w:sz="8" w:space="0" w:color="000000"/>
              <w:right w:val="nil"/>
            </w:tcBorders>
            <w:shd w:val="clear" w:color="000000" w:fill="FFFFFF"/>
            <w:vAlign w:val="center"/>
            <w:hideMark/>
          </w:tcPr>
          <w:p w14:paraId="2D8EB606"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56E9C43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Retrospective cohort study</w:t>
            </w:r>
          </w:p>
        </w:tc>
        <w:tc>
          <w:tcPr>
            <w:tcW w:w="3117" w:type="dxa"/>
            <w:tcBorders>
              <w:top w:val="nil"/>
              <w:left w:val="nil"/>
              <w:bottom w:val="single" w:sz="8" w:space="0" w:color="000000"/>
              <w:right w:val="nil"/>
            </w:tcBorders>
            <w:shd w:val="clear" w:color="000000" w:fill="FFFFFF"/>
            <w:vAlign w:val="center"/>
            <w:hideMark/>
          </w:tcPr>
          <w:p w14:paraId="611A63F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4C7A4569"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subset</w:t>
            </w:r>
          </w:p>
        </w:tc>
        <w:tc>
          <w:tcPr>
            <w:tcW w:w="992" w:type="dxa"/>
            <w:tcBorders>
              <w:top w:val="nil"/>
              <w:left w:val="nil"/>
              <w:bottom w:val="single" w:sz="8" w:space="0" w:color="000000"/>
              <w:right w:val="nil"/>
            </w:tcBorders>
            <w:shd w:val="clear" w:color="000000" w:fill="FFFFFF"/>
            <w:vAlign w:val="center"/>
            <w:hideMark/>
          </w:tcPr>
          <w:p w14:paraId="09C5B3F3"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00952CD9"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314</w:t>
            </w:r>
          </w:p>
        </w:tc>
        <w:tc>
          <w:tcPr>
            <w:tcW w:w="850" w:type="dxa"/>
            <w:tcBorders>
              <w:top w:val="nil"/>
              <w:left w:val="nil"/>
              <w:bottom w:val="single" w:sz="8" w:space="0" w:color="000000"/>
              <w:right w:val="nil"/>
            </w:tcBorders>
            <w:shd w:val="clear" w:color="000000" w:fill="FFFFFF"/>
            <w:vAlign w:val="center"/>
            <w:hideMark/>
          </w:tcPr>
          <w:p w14:paraId="75E643D1" w14:textId="0B0F6FCC"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1049</w:t>
            </w:r>
          </w:p>
        </w:tc>
        <w:tc>
          <w:tcPr>
            <w:tcW w:w="993" w:type="dxa"/>
            <w:tcBorders>
              <w:top w:val="nil"/>
              <w:left w:val="nil"/>
              <w:bottom w:val="single" w:sz="8" w:space="0" w:color="000000"/>
              <w:right w:val="nil"/>
            </w:tcBorders>
            <w:shd w:val="clear" w:color="000000" w:fill="FFFFFF"/>
            <w:vAlign w:val="center"/>
            <w:hideMark/>
          </w:tcPr>
          <w:p w14:paraId="1DC4919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835</w:t>
            </w:r>
          </w:p>
        </w:tc>
        <w:tc>
          <w:tcPr>
            <w:tcW w:w="1134" w:type="dxa"/>
            <w:tcBorders>
              <w:top w:val="nil"/>
              <w:left w:val="nil"/>
              <w:bottom w:val="single" w:sz="8" w:space="0" w:color="000000"/>
              <w:right w:val="nil"/>
            </w:tcBorders>
            <w:shd w:val="clear" w:color="000000" w:fill="FFFFFF"/>
            <w:vAlign w:val="center"/>
            <w:hideMark/>
          </w:tcPr>
          <w:p w14:paraId="19129CE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151</w:t>
            </w:r>
          </w:p>
        </w:tc>
      </w:tr>
      <w:tr w:rsidR="000F13C3" w:rsidRPr="008C4D21" w14:paraId="73FFEB25" w14:textId="77777777" w:rsidTr="006C15AF">
        <w:trPr>
          <w:cantSplit/>
          <w:trHeight w:val="829"/>
        </w:trPr>
        <w:tc>
          <w:tcPr>
            <w:tcW w:w="1135" w:type="dxa"/>
            <w:tcBorders>
              <w:top w:val="single" w:sz="8" w:space="0" w:color="auto"/>
              <w:left w:val="nil"/>
              <w:bottom w:val="single" w:sz="8" w:space="0" w:color="000000"/>
              <w:right w:val="nil"/>
            </w:tcBorders>
            <w:vAlign w:val="center"/>
          </w:tcPr>
          <w:p w14:paraId="47E151F8"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single" w:sz="8" w:space="0" w:color="auto"/>
              <w:left w:val="nil"/>
              <w:bottom w:val="single" w:sz="8" w:space="0" w:color="000000"/>
              <w:right w:val="nil"/>
            </w:tcBorders>
            <w:shd w:val="clear" w:color="auto" w:fill="auto"/>
            <w:vAlign w:val="center"/>
            <w:hideMark/>
          </w:tcPr>
          <w:p w14:paraId="3A610EA1" w14:textId="32444FC0"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Jiang et al</w:t>
            </w:r>
            <w:r w:rsidR="004E647B">
              <w:rPr>
                <w:rFonts w:ascii="Calibri" w:eastAsia="Times New Roman" w:hAnsi="Calibri" w:cs="Calibri"/>
                <w:color w:val="000000"/>
                <w:sz w:val="18"/>
                <w:szCs w:val="18"/>
                <w:lang w:eastAsia="en-GB"/>
              </w:rPr>
              <w:t xml:space="preserve"> </w:t>
            </w:r>
            <w:r w:rsidR="0035071D">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{"citationItems":[{"id":"ITEM-1","itemData":{"DOI":"10.1093/infdis/jiaa206","ISBN":"0022-1899 (Print)\r0022-1899","PMID":"32319519","abstract":"Data concerning the transmission of severe acute respiratory syndrome coronavirus 2 (SARS-CoV-2) in asymptomatic and paucisymptomatic patients are lacking. We report a 3-family cluster of infections involving asymptomatic and paucisymptomatic transmission. Eight of 15 (53%) members from 3 families were confirmed with SARS-CoV-2 infection. Of 8 patients, 3 were asymptomatic and 1 was paucisymptomatic. An asymptomatic mother transmitted the virus to her son, and a paucisymptomatic father transmitted the virus to his 3-month-old daughter. SARS-CoV-2 was detected in the environment of 1 household. The complete genomes of SARS-CoV-2 from the patients were &gt; 99.9% identical and were clustered with other SARS-CoV-2 sequences reported from China and other countries.","author":[{"dropping-particle":"","family":"Jiang","given":"X L","non-dropping-particle":"","parse-names":false,"suffix":""},{"dropping-particle":"","family":"Zhang","given":"X L","non-dropping-particle":"","parse-names":false,"suffix":""},{"dropping-particle":"","family":"Zhao","given":"X N","non-dropping-particle":"","parse-names":false,"suffix":""},{"dropping-particle":"","family":"Li","given":"C B","non-dropping-particle":"","parse-names":false,"suffix":""},{"dropping-particle":"","family":"Lei","given":"J","non-dropping-particle":"","parse-names":false,"suffix":""},{"dropping-particle":"","family":"Kou","given":"Z Q","non-dropping-particle":"","parse-names":false,"suffix":""},{"dropping-particle":"","family":"Sun","given":"W K","non-dropping-particle":"","parse-names":false,"suffix":""},{"dropping-particle":"","family":"Hang","given":"Y","non-dropping-particle":"","parse-names":false,"suffix":""},{"dropping-particle":"","family":"Gao","given":"F","non-dropping-particle":"","parse-names":false,"suffix":""},{"dropping-particle":"","family":"Ji","given":"S X","non-dropping-particle":"","parse-names":false,"suffix":""},{"dropping-particle":"","family":"Lin","given":"C F","non-dropping-particle":"","parse-names":false,"suffix":""},{"dropping-particle":"","family":"Pang","given":"B","non-dropping-particle":"","parse-names":false,"suffix":""},{"dropping-particle":"","family":"Yao","given":"M X","non-dropping-particle":"","parse-names":false,"suffix":""},{"dropping-particle":"","family":"Anderson","given":"B D","non-dropping-particle":"","parse-names":false,"suffix":""},{"dropping-particle":"","family":"Wang","given":"G L","non-dropping-particle":"","parse-names":false,"suffix":""},{"dropping-particle":"","family":"Yao","given":"L","non-dropping-particle":"","parse-names":false,"suffix":""},{"dropping-particle":"","family":"Duan","given":"L J","non-dropping-particle":"","parse-names":false,"suffix":""},{"dropping-particle":"","family":"Kang","given":"D M","non-dropping-particle":"","parse-names":false,"suffix":""},{"dropping-particle":"","family":"Ma","given":"M J","non-dropping-particle":"","parse-names":false,"suffix":""}],"container-title":"J Infect Dis","edition":"2020/04/23","id":"ITEM-1","issue":"12","issued":{"date-parts":[["2020"]]},"language":"eng","note":"1537-6613\nJiang, Xiao-Lin\nZhang, Xiao-Li\nZhao, Xiang-Na\nLi, Cun-Bao\nLei, Jie\nKou, Zeng-Qiang\nSun, Wen-Kui\nHang, Yang\nGao, Feng\nJi, Sheng-Xiang\nLin, Can-Fang\nPang, Bo\nYao, Ming-Xiao\nAnderson, Benjamin D\nWang, Guo-Lin\nYao, Lin\nDuan, Li-Jun\nKang, Dian-Min\nMa, Mai-Juan\nJournal Article\nJ Infect Dis. 2020 Jun 11;221(12):1948-1952. doi: 10.1093/infdis/jiaa206.","page":"1948-1952","title":"Transmission Potential of Asymptomatic and Paucisymptomatic Severe Acute Respiratory Syndrome Coronavirus 2 Infections: A 3-Family Cluster Study in China","type":"article-journal","volume":"221"},"uris":["http://www.mendeley.com/documents/?uuid=244a80d8-6631-4ad5-9831-10a95fedd7d5"]}],"mendeley":{"formattedCitation":"[37]","plainTextFormattedCitation":"[37]","previouslyFormattedCitation":"[39]"},"properties":{"noteIndex":0},"schema":"https://github.com/citation-style-language/schema/raw/master/csl-citation.json"}</w:instrText>
            </w:r>
            <w:r w:rsidR="0035071D">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[37]</w:t>
            </w:r>
            <w:r w:rsidR="0035071D">
              <w:rPr>
                <w:rFonts w:ascii="Calibri" w:eastAsia="Times New Roman" w:hAnsi="Calibri" w:cs="Calibri"/>
                <w:color w:val="000000"/>
                <w:sz w:val="18"/>
                <w:szCs w:val="18"/>
                <w:lang w:eastAsia="en-GB"/>
              </w:rPr>
              <w:fldChar w:fldCharType="end"/>
            </w:r>
          </w:p>
        </w:tc>
        <w:tc>
          <w:tcPr>
            <w:tcW w:w="1276" w:type="dxa"/>
            <w:tcBorders>
              <w:top w:val="single" w:sz="8" w:space="0" w:color="auto"/>
              <w:left w:val="nil"/>
              <w:bottom w:val="single" w:sz="8" w:space="0" w:color="000000"/>
              <w:right w:val="nil"/>
            </w:tcBorders>
            <w:shd w:val="clear" w:color="000000" w:fill="FFFFFF"/>
            <w:vAlign w:val="center"/>
            <w:hideMark/>
          </w:tcPr>
          <w:p w14:paraId="387B0F47"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Shandong Province</w:t>
            </w:r>
          </w:p>
        </w:tc>
        <w:tc>
          <w:tcPr>
            <w:tcW w:w="1134" w:type="dxa"/>
            <w:tcBorders>
              <w:top w:val="single" w:sz="8" w:space="0" w:color="auto"/>
              <w:left w:val="nil"/>
              <w:bottom w:val="single" w:sz="8" w:space="0" w:color="000000"/>
              <w:right w:val="nil"/>
            </w:tcBorders>
            <w:shd w:val="clear" w:color="000000" w:fill="FFFFFF"/>
            <w:vAlign w:val="center"/>
            <w:hideMark/>
          </w:tcPr>
          <w:p w14:paraId="6405F9F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single" w:sz="8" w:space="0" w:color="auto"/>
              <w:left w:val="nil"/>
              <w:bottom w:val="single" w:sz="8" w:space="0" w:color="000000"/>
              <w:right w:val="nil"/>
            </w:tcBorders>
            <w:shd w:val="clear" w:color="000000" w:fill="FFFFFF"/>
            <w:vAlign w:val="center"/>
            <w:hideMark/>
          </w:tcPr>
          <w:p w14:paraId="5454985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Epidemiological cluster investigation</w:t>
            </w:r>
          </w:p>
        </w:tc>
        <w:tc>
          <w:tcPr>
            <w:tcW w:w="3117" w:type="dxa"/>
            <w:tcBorders>
              <w:top w:val="single" w:sz="8" w:space="0" w:color="auto"/>
              <w:left w:val="nil"/>
              <w:bottom w:val="single" w:sz="8" w:space="0" w:color="000000"/>
              <w:right w:val="nil"/>
            </w:tcBorders>
            <w:shd w:val="clear" w:color="000000" w:fill="FFFFFF"/>
            <w:vAlign w:val="center"/>
            <w:hideMark/>
          </w:tcPr>
          <w:p w14:paraId="4C65CA67"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Family members who lived in the same household as the index case </w:t>
            </w:r>
          </w:p>
        </w:tc>
        <w:tc>
          <w:tcPr>
            <w:tcW w:w="1276" w:type="dxa"/>
            <w:tcBorders>
              <w:top w:val="single" w:sz="8" w:space="0" w:color="auto"/>
              <w:left w:val="nil"/>
              <w:bottom w:val="single" w:sz="8" w:space="0" w:color="000000"/>
              <w:right w:val="nil"/>
            </w:tcBorders>
            <w:shd w:val="clear" w:color="000000" w:fill="FFFFFF"/>
            <w:vAlign w:val="center"/>
            <w:hideMark/>
          </w:tcPr>
          <w:p w14:paraId="7812A81B"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single" w:sz="8" w:space="0" w:color="auto"/>
              <w:left w:val="nil"/>
              <w:bottom w:val="single" w:sz="8" w:space="0" w:color="000000"/>
              <w:right w:val="nil"/>
            </w:tcBorders>
            <w:shd w:val="clear" w:color="000000" w:fill="FFFFFF"/>
            <w:vAlign w:val="center"/>
            <w:hideMark/>
          </w:tcPr>
          <w:p w14:paraId="7EC81A14"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single" w:sz="8" w:space="0" w:color="auto"/>
              <w:left w:val="nil"/>
              <w:bottom w:val="single" w:sz="8" w:space="0" w:color="000000"/>
              <w:right w:val="nil"/>
            </w:tcBorders>
            <w:shd w:val="clear" w:color="000000" w:fill="FFFFFF"/>
            <w:vAlign w:val="center"/>
            <w:hideMark/>
          </w:tcPr>
          <w:p w14:paraId="5D9D5E49" w14:textId="327D4E7C"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1/2 </w:t>
            </w:r>
          </w:p>
        </w:tc>
        <w:tc>
          <w:tcPr>
            <w:tcW w:w="850" w:type="dxa"/>
            <w:tcBorders>
              <w:top w:val="single" w:sz="8" w:space="0" w:color="auto"/>
              <w:left w:val="nil"/>
              <w:bottom w:val="single" w:sz="8" w:space="0" w:color="000000"/>
              <w:right w:val="nil"/>
            </w:tcBorders>
            <w:shd w:val="clear" w:color="000000" w:fill="FFFFFF"/>
            <w:vAlign w:val="center"/>
            <w:hideMark/>
          </w:tcPr>
          <w:p w14:paraId="7936FB72"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w:t>
            </w:r>
          </w:p>
        </w:tc>
        <w:tc>
          <w:tcPr>
            <w:tcW w:w="993" w:type="dxa"/>
            <w:tcBorders>
              <w:top w:val="single" w:sz="8" w:space="0" w:color="auto"/>
              <w:left w:val="nil"/>
              <w:bottom w:val="single" w:sz="8" w:space="0" w:color="000000"/>
              <w:right w:val="nil"/>
            </w:tcBorders>
            <w:shd w:val="clear" w:color="000000" w:fill="FFFFFF"/>
            <w:vAlign w:val="center"/>
            <w:hideMark/>
          </w:tcPr>
          <w:p w14:paraId="4D5937F4"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w:t>
            </w:r>
          </w:p>
        </w:tc>
        <w:tc>
          <w:tcPr>
            <w:tcW w:w="1134" w:type="dxa"/>
            <w:tcBorders>
              <w:top w:val="single" w:sz="8" w:space="0" w:color="auto"/>
              <w:left w:val="nil"/>
              <w:bottom w:val="single" w:sz="8" w:space="0" w:color="000000"/>
              <w:right w:val="nil"/>
            </w:tcBorders>
            <w:shd w:val="clear" w:color="000000" w:fill="FFFFFF"/>
            <w:vAlign w:val="center"/>
            <w:hideMark/>
          </w:tcPr>
          <w:p w14:paraId="72C4691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w:t>
            </w:r>
          </w:p>
        </w:tc>
      </w:tr>
      <w:tr w:rsidR="00F90771" w:rsidRPr="008C4D21" w14:paraId="6C80D912" w14:textId="77777777" w:rsidTr="006C15AF">
        <w:trPr>
          <w:cantSplit/>
          <w:trHeight w:val="842"/>
        </w:trPr>
        <w:tc>
          <w:tcPr>
            <w:tcW w:w="1135" w:type="dxa"/>
            <w:tcBorders>
              <w:top w:val="nil"/>
              <w:left w:val="nil"/>
              <w:bottom w:val="single" w:sz="8" w:space="0" w:color="000000"/>
              <w:right w:val="nil"/>
            </w:tcBorders>
            <w:vAlign w:val="center"/>
          </w:tcPr>
          <w:p w14:paraId="2E15A510" w14:textId="5EEBD6F1" w:rsidR="00F90771" w:rsidRPr="008C4D21" w:rsidRDefault="00897865"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37</w:t>
            </w:r>
          </w:p>
        </w:tc>
        <w:tc>
          <w:tcPr>
            <w:tcW w:w="1135" w:type="dxa"/>
            <w:tcBorders>
              <w:top w:val="nil"/>
              <w:left w:val="nil"/>
              <w:bottom w:val="single" w:sz="8" w:space="0" w:color="000000"/>
              <w:right w:val="nil"/>
            </w:tcBorders>
            <w:shd w:val="clear" w:color="auto" w:fill="auto"/>
            <w:vAlign w:val="center"/>
            <w:hideMark/>
          </w:tcPr>
          <w:p w14:paraId="3BECE45A" w14:textId="175822BF"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Jing et al</w:t>
            </w:r>
            <w:r w:rsidR="0035071D">
              <w:rPr>
                <w:rFonts w:ascii="Calibri" w:eastAsia="Times New Roman" w:hAnsi="Calibri" w:cs="Calibri"/>
                <w:color w:val="000000"/>
                <w:sz w:val="18"/>
                <w:szCs w:val="18"/>
                <w:lang w:eastAsia="en-GB"/>
              </w:rPr>
              <w:t xml:space="preserve"> </w:t>
            </w:r>
            <w:r w:rsidR="0035071D">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ISBN":"1473-3099","author":[{"dropping-particle":"","family":"Jing","given":"Qin-Long","non-dropping-particle":"","parse-names":false,"suffix":""},{"dropping-particle":"","family":"Liu","given":"Ming-Jin","non-dropping-particle":"","parse-names":false,"suffix":""},{"dropping-particle":"","family":"Zhang","given":"Zhou-Bin","non-dropping-particle":"","parse-names":false,"suffix":""},{"dropping-particle":"","family":"Fang","given":"Li-Qun","non-dropping-particle":"","parse-names":false,"suffix":""},{"dropping-particle":"","family":"Yuan","given":"Jun","non-dropping-particle":"","parse-names":false,"suffix":""},{"dropping-particle":"","family":"Zhang","given":"An-Ran","non-dropping-particle":"","parse-names":false,"suffix":""},{"dropping-particle":"","family":"Dean","given":"Natalie E","non-dropping-particle":"","parse-names":false,"suffix":""},{"dropping-particle":"","family":"Luo","given":"Lei","non-dropping-particle":"","parse-names":false,"suffix":""},{"dropping-particle":"","family":"Ma","given":"Meng-Meng","non-dropping-particle":"","parse-names":false,"suffix":""},{"dropping-particle":"","family":"Longini","given":"Ira","non-dropping-particle":"","parse-names":false,"suffix":""}],"container-title":"The Lancet Infectious Diseases","id":"ITEM-1","issued":{"date-parts":[["2020"]]},"title":"Household secondary attack rate of COVID-19 and associated determinants in Guangzhou, China: a retrospective cohort study","type":"article-journal"},"uris":["http://www.mendeley.com/documents/?uuid=bf18fc7e-31b3-490c-a428-7aeea8d8096a"]}],"mendeley":{"formattedCitation":"[38]","plainTextFormattedCitation":"[38]","previouslyFormattedCitation":"[40]"},"properties":{"noteIndex":0},"schema":"https://github.com/citation-style-language/schema/raw/master/csl-citation.json"}</w:instrText>
            </w:r>
            <w:r w:rsidR="0035071D">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[38]</w:t>
            </w:r>
            <w:r w:rsidR="0035071D">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auto" w:fill="auto"/>
            <w:vAlign w:val="center"/>
            <w:hideMark/>
          </w:tcPr>
          <w:p w14:paraId="0A01188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Guangzhou</w:t>
            </w:r>
          </w:p>
        </w:tc>
        <w:tc>
          <w:tcPr>
            <w:tcW w:w="1134" w:type="dxa"/>
            <w:tcBorders>
              <w:top w:val="nil"/>
              <w:left w:val="nil"/>
              <w:bottom w:val="single" w:sz="8" w:space="0" w:color="000000"/>
              <w:right w:val="nil"/>
            </w:tcBorders>
            <w:shd w:val="clear" w:color="auto" w:fill="auto"/>
            <w:vAlign w:val="center"/>
            <w:hideMark/>
          </w:tcPr>
          <w:p w14:paraId="6717BA7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auto" w:fill="auto"/>
            <w:vAlign w:val="center"/>
            <w:hideMark/>
          </w:tcPr>
          <w:p w14:paraId="1459D1A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Retrospective contact investigation</w:t>
            </w:r>
          </w:p>
        </w:tc>
        <w:tc>
          <w:tcPr>
            <w:tcW w:w="3117" w:type="dxa"/>
            <w:tcBorders>
              <w:top w:val="nil"/>
              <w:left w:val="nil"/>
              <w:bottom w:val="single" w:sz="8" w:space="0" w:color="000000"/>
              <w:right w:val="nil"/>
            </w:tcBorders>
            <w:shd w:val="clear" w:color="auto" w:fill="auto"/>
            <w:vAlign w:val="center"/>
            <w:hideMark/>
          </w:tcPr>
          <w:p w14:paraId="54CDE79C"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Unprotected close contact within 1m of index case</w:t>
            </w:r>
          </w:p>
        </w:tc>
        <w:tc>
          <w:tcPr>
            <w:tcW w:w="1276" w:type="dxa"/>
            <w:tcBorders>
              <w:top w:val="nil"/>
              <w:left w:val="nil"/>
              <w:bottom w:val="single" w:sz="8" w:space="0" w:color="000000"/>
              <w:right w:val="nil"/>
            </w:tcBorders>
            <w:shd w:val="clear" w:color="auto" w:fill="auto"/>
            <w:vAlign w:val="center"/>
            <w:hideMark/>
          </w:tcPr>
          <w:p w14:paraId="7A3B3EFC"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auto" w:fill="auto"/>
            <w:vAlign w:val="center"/>
            <w:hideMark/>
          </w:tcPr>
          <w:p w14:paraId="4DEC384A"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auto" w:fill="auto"/>
            <w:vAlign w:val="center"/>
            <w:hideMark/>
          </w:tcPr>
          <w:p w14:paraId="7A385AB4"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215</w:t>
            </w:r>
          </w:p>
        </w:tc>
        <w:tc>
          <w:tcPr>
            <w:tcW w:w="850" w:type="dxa"/>
            <w:tcBorders>
              <w:top w:val="nil"/>
              <w:left w:val="nil"/>
              <w:bottom w:val="single" w:sz="8" w:space="0" w:color="000000"/>
              <w:right w:val="nil"/>
            </w:tcBorders>
            <w:shd w:val="clear" w:color="auto" w:fill="auto"/>
            <w:vAlign w:val="center"/>
            <w:hideMark/>
          </w:tcPr>
          <w:p w14:paraId="5EFC93D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784</w:t>
            </w:r>
          </w:p>
        </w:tc>
        <w:tc>
          <w:tcPr>
            <w:tcW w:w="993" w:type="dxa"/>
            <w:tcBorders>
              <w:top w:val="nil"/>
              <w:left w:val="nil"/>
              <w:bottom w:val="single" w:sz="8" w:space="0" w:color="000000"/>
              <w:right w:val="nil"/>
            </w:tcBorders>
            <w:shd w:val="clear" w:color="auto" w:fill="auto"/>
            <w:vAlign w:val="center"/>
            <w:hideMark/>
          </w:tcPr>
          <w:p w14:paraId="1AC0810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784</w:t>
            </w:r>
          </w:p>
        </w:tc>
        <w:tc>
          <w:tcPr>
            <w:tcW w:w="1134" w:type="dxa"/>
            <w:tcBorders>
              <w:top w:val="nil"/>
              <w:left w:val="nil"/>
              <w:bottom w:val="single" w:sz="8" w:space="0" w:color="000000"/>
              <w:right w:val="nil"/>
            </w:tcBorders>
            <w:shd w:val="clear" w:color="auto" w:fill="auto"/>
            <w:vAlign w:val="center"/>
            <w:hideMark/>
          </w:tcPr>
          <w:p w14:paraId="66231F9E"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103</w:t>
            </w:r>
          </w:p>
        </w:tc>
      </w:tr>
      <w:tr w:rsidR="000F13C3" w:rsidRPr="008C4D21" w14:paraId="64871A35" w14:textId="77777777" w:rsidTr="006C15AF">
        <w:trPr>
          <w:cantSplit/>
          <w:trHeight w:val="698"/>
        </w:trPr>
        <w:tc>
          <w:tcPr>
            <w:tcW w:w="1135" w:type="dxa"/>
            <w:tcBorders>
              <w:top w:val="nil"/>
              <w:left w:val="nil"/>
              <w:bottom w:val="single" w:sz="8" w:space="0" w:color="000000"/>
              <w:right w:val="nil"/>
            </w:tcBorders>
            <w:vAlign w:val="center"/>
          </w:tcPr>
          <w:p w14:paraId="5F7F1D2A"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nil"/>
              <w:left w:val="nil"/>
              <w:bottom w:val="single" w:sz="8" w:space="0" w:color="000000"/>
              <w:right w:val="nil"/>
            </w:tcBorders>
            <w:shd w:val="clear" w:color="auto" w:fill="auto"/>
            <w:vAlign w:val="center"/>
            <w:hideMark/>
          </w:tcPr>
          <w:p w14:paraId="26147E3A" w14:textId="2ED8B1AF"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Laxminaraya</w:t>
            </w:r>
            <w:proofErr w:type="spellEnd"/>
            <w:r w:rsidRPr="008C4D21">
              <w:rPr>
                <w:rFonts w:ascii="Calibri" w:eastAsia="Times New Roman" w:hAnsi="Calibri" w:cs="Calibri"/>
                <w:color w:val="000000"/>
                <w:sz w:val="18"/>
                <w:szCs w:val="18"/>
                <w:lang w:eastAsia="en-GB"/>
              </w:rPr>
              <w:t xml:space="preserve"> et al</w:t>
            </w:r>
            <w:r w:rsidR="0035071D">
              <w:rPr>
                <w:rFonts w:ascii="Calibri" w:eastAsia="Times New Roman" w:hAnsi="Calibri" w:cs="Calibri"/>
                <w:color w:val="000000"/>
                <w:sz w:val="18"/>
                <w:szCs w:val="18"/>
                <w:lang w:eastAsia="en-GB"/>
              </w:rPr>
              <w:t xml:space="preserve"> </w:t>
            </w:r>
            <w:r w:rsidR="0035071D">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ISSN":"0036-8075","author":[{"dropping-particle":"","family":"Laxminarayan","given":"Ramanan","non-dropping-particle":"","parse-names":false,"suffix":""},{"dropping-particle":"","family":"Wahl","given":"Brian","non-dropping-particle":"","parse-names":false,"suffix":""},{"dropping-particle":"","family":"Dudala","given":"Shankar Reddy","non-dropping-particle":"","parse-names":false,"suffix":""},{"dropping-particle":"","family":"Gopal","given":"K","non-dropping-particle":"","parse-names":false,"suffix":""},{"dropping-particle":"","family":"Mohan","given":"Chandra","non-dropping-particle":"","parse-names":false,"suffix":""},{"dropping-particle":"","family":"Neelima","given":"S","non-dropping-particle":"","parse-names":false,"suffix":""},{"dropping-particle":"","family":"Reddy","given":"K S Jawahar","non-dropping-particle":"","parse-names":false,"suffix":""},{"dropping-particle":"","family":"Radhakrishnan","given":"J","non-dropping-particle":"","parse-names":false,"suffix":""},{"dropping-particle":"","family":"Lewnard","given":"Joseph A","non-dropping-particle":"","parse-names":false,"suffix":""}],"container-title":"Science","id":"ITEM-1","issued":{"date-parts":[["2020"]]},"publisher":"American Association for the Advancement of Science","title":"Epidemiology and transmission dynamics of COVID-19 in two Indian states","type":"article-journal"},"uris":["http://www.mendeley.com/documents/?uuid=50bc64e2-786a-4312-9153-40afe2ff1157"]}],"mendeley":{"formattedCitation":"[39]","plainTextFormattedCitation":"[39]","previouslyFormattedCitation":"[41]"},"properties":{"noteIndex":0},"schema":"https://github.com/citation-style-language/schema/raw/master/csl-citation.json"}</w:instrText>
            </w:r>
            <w:r w:rsidR="0035071D">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[39]</w:t>
            </w:r>
            <w:r w:rsidR="0035071D">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7B3B461E" w14:textId="7A183F9C"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sz w:val="18"/>
                <w:szCs w:val="18"/>
              </w:rPr>
              <w:t>Tamil Nadu and Andhra Pradesh</w:t>
            </w:r>
          </w:p>
        </w:tc>
        <w:tc>
          <w:tcPr>
            <w:tcW w:w="1134" w:type="dxa"/>
            <w:tcBorders>
              <w:top w:val="nil"/>
              <w:left w:val="nil"/>
              <w:bottom w:val="single" w:sz="8" w:space="0" w:color="000000"/>
              <w:right w:val="nil"/>
            </w:tcBorders>
            <w:shd w:val="clear" w:color="000000" w:fill="FFFFFF"/>
            <w:vAlign w:val="center"/>
            <w:hideMark/>
          </w:tcPr>
          <w:p w14:paraId="2BFDDEF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India</w:t>
            </w:r>
          </w:p>
        </w:tc>
        <w:tc>
          <w:tcPr>
            <w:tcW w:w="2268" w:type="dxa"/>
            <w:tcBorders>
              <w:top w:val="nil"/>
              <w:left w:val="nil"/>
              <w:bottom w:val="single" w:sz="8" w:space="0" w:color="000000"/>
              <w:right w:val="nil"/>
            </w:tcBorders>
            <w:shd w:val="clear" w:color="000000" w:fill="FFFFFF"/>
            <w:vAlign w:val="center"/>
            <w:hideMark/>
          </w:tcPr>
          <w:p w14:paraId="455E88B6"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56AF7AB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2502CA92"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subset</w:t>
            </w:r>
          </w:p>
        </w:tc>
        <w:tc>
          <w:tcPr>
            <w:tcW w:w="992" w:type="dxa"/>
            <w:tcBorders>
              <w:top w:val="nil"/>
              <w:left w:val="nil"/>
              <w:bottom w:val="single" w:sz="8" w:space="0" w:color="000000"/>
              <w:right w:val="nil"/>
            </w:tcBorders>
            <w:shd w:val="clear" w:color="000000" w:fill="FFFFFF"/>
            <w:vAlign w:val="center"/>
            <w:hideMark/>
          </w:tcPr>
          <w:p w14:paraId="7721F696"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6CFDD77E"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997</w:t>
            </w:r>
          </w:p>
        </w:tc>
        <w:tc>
          <w:tcPr>
            <w:tcW w:w="850" w:type="dxa"/>
            <w:tcBorders>
              <w:top w:val="nil"/>
              <w:left w:val="nil"/>
              <w:bottom w:val="single" w:sz="8" w:space="0" w:color="000000"/>
              <w:right w:val="nil"/>
            </w:tcBorders>
            <w:shd w:val="clear" w:color="000000" w:fill="FFFFFF"/>
            <w:vAlign w:val="center"/>
            <w:hideMark/>
          </w:tcPr>
          <w:p w14:paraId="6140F87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4,066</w:t>
            </w:r>
          </w:p>
        </w:tc>
        <w:tc>
          <w:tcPr>
            <w:tcW w:w="993" w:type="dxa"/>
            <w:tcBorders>
              <w:top w:val="nil"/>
              <w:left w:val="nil"/>
              <w:bottom w:val="single" w:sz="8" w:space="0" w:color="000000"/>
              <w:right w:val="nil"/>
            </w:tcBorders>
            <w:shd w:val="clear" w:color="000000" w:fill="FFFFFF"/>
            <w:vAlign w:val="center"/>
            <w:hideMark/>
          </w:tcPr>
          <w:p w14:paraId="14895C54"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not specified</w:t>
            </w:r>
          </w:p>
        </w:tc>
        <w:tc>
          <w:tcPr>
            <w:tcW w:w="1134" w:type="dxa"/>
            <w:tcBorders>
              <w:top w:val="nil"/>
              <w:left w:val="nil"/>
              <w:bottom w:val="single" w:sz="8" w:space="0" w:color="000000"/>
              <w:right w:val="nil"/>
            </w:tcBorders>
            <w:shd w:val="clear" w:color="000000" w:fill="FFFFFF"/>
            <w:vAlign w:val="center"/>
            <w:hideMark/>
          </w:tcPr>
          <w:p w14:paraId="74A7CD9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380</w:t>
            </w:r>
          </w:p>
        </w:tc>
      </w:tr>
      <w:tr w:rsidR="000F13C3" w:rsidRPr="008C4D21" w14:paraId="28E667EF" w14:textId="77777777" w:rsidTr="006C15AF">
        <w:trPr>
          <w:cantSplit/>
          <w:trHeight w:val="689"/>
        </w:trPr>
        <w:tc>
          <w:tcPr>
            <w:tcW w:w="1135" w:type="dxa"/>
            <w:tcBorders>
              <w:top w:val="nil"/>
              <w:left w:val="nil"/>
              <w:bottom w:val="single" w:sz="8" w:space="0" w:color="auto"/>
              <w:right w:val="nil"/>
            </w:tcBorders>
            <w:vAlign w:val="center"/>
          </w:tcPr>
          <w:p w14:paraId="152D6551" w14:textId="00CA05DF" w:rsidR="00F90771" w:rsidRPr="008C4D21" w:rsidRDefault="00897865"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29</w:t>
            </w:r>
          </w:p>
        </w:tc>
        <w:tc>
          <w:tcPr>
            <w:tcW w:w="1135" w:type="dxa"/>
            <w:tcBorders>
              <w:top w:val="nil"/>
              <w:left w:val="nil"/>
              <w:bottom w:val="single" w:sz="8" w:space="0" w:color="auto"/>
              <w:right w:val="nil"/>
            </w:tcBorders>
            <w:shd w:val="clear" w:color="auto" w:fill="auto"/>
            <w:vAlign w:val="center"/>
            <w:hideMark/>
          </w:tcPr>
          <w:p w14:paraId="2E0542F0" w14:textId="4CA20A00"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Li et al</w:t>
            </w:r>
            <w:r w:rsidR="0035071D">
              <w:rPr>
                <w:rFonts w:ascii="Calibri" w:eastAsia="Times New Roman" w:hAnsi="Calibri" w:cs="Calibri"/>
                <w:color w:val="000000"/>
                <w:sz w:val="18"/>
                <w:szCs w:val="18"/>
                <w:lang w:eastAsia="en-GB"/>
              </w:rPr>
              <w:t xml:space="preserve"> </w:t>
            </w:r>
            <w:r w:rsidR="003F7DDB">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{"citationItems":[{"id":"ITEM-1","itemData":{"DOI":"10.1093/cid/ciaa450","ISBN":"1058-4838","abstract":"Since December 2019, SARS-CoV-2 has extended to most parts of China with &amp;gt;80 000 cases and to at least 100 countries with &amp;gt;60 000 international cases as of 15 March 2020. Here we used a household cohort study to determine the features of household transmission of COVID-19.A total of 105 index patients and 392 household contacts were enrolled. Both index patients and household members were tested by SARS-CoV-2 RT-PCR. Information on all recruited individuals was extracted from medical records and confirmed or supplemented by telephone interviews. The baseline characteristics of index cases and contact patients were described. Secondary attack rates of SARS-CoV-2 to contact members were computed and the risk factors for transmission within the household were estimated.Secondary transmission of SARS-CoV-2 developed in 64 of 392 household contacts (16.3%). The secondary attack rate to children was 4% compared with 17.1% for adults. The secondary attack rate to the contacts within the households with index patients quarantined by themselves since onset of symptoms was 0% compared with 16.9% for contacts without quarantined index patients. The secondary attack rate to contacts who were spouses of index cases was 27.8% compared with 17.3% for other adult members in the households.The secondary attack rate of SARS-CoV-2 in household is 16.3%. Age of household contacts and spousal relationship to the index case are risk factors for transmission of SARS-CoV-2 within a household. Quarantine of index patients at home since onset of symptoms is useful to prevent the transmission of SARS-Co-2 within a household.","author":[{"dropping-particle":"","family":"Li","given":"Wei","non-dropping-particle":"","parse-names":false,"suffix":""},{"dropping-particle":"","family":"Zhang","given":"Bo","non-dropping-particle":"","parse-names":false,"suffix":""},{"dropping-particle":"","family":"Lu","given":"Jianhua","non-dropping-particle":"","parse-names":false,"suffix":""},{"dropping-particle":"","family":"Liu","given":"Shihua","non-dropping-particle":"","parse-names":false,"suffix":""},{"dropping-particle":"","family":"Chang","given":"Zhiqiang","non-dropping-particle":"","parse-names":false,"suffix":""},{"dropping-particle":"","family":"Peng","given":"Cao","non-dropping-particle":"","parse-names":false,"suffix":""},{"dropping-particle":"","family":"Liu","given":"Xinghua","non-dropping-particle":"","parse-names":false,"suffix":""},{"dropping-particle":"","family":"Zhang","given":"Peng","non-dropping-particle":"","parse-names":false,"suffix":""},{"dropping-particle":"","family":"Ling","given":"Yan","non-dropping-particle":"","parse-names":false,"suffix":""},{"dropping-particle":"","family":"Tao","given":"Kaixiong","non-dropping-particle":"","parse-names":false,"suffix":""},{"dropping-particle":"","family":"Chen","given":"Jianying","non-dropping-particle":"","parse-names":false,"suffix":""}],"container-title":"Clinical Infectious Diseases","id":"ITEM-1","issued":{"date-parts":[["2020"]]},"title":"Characteristics of Household Transmission of COVID-19","type":"article-journal"},"uris":["http://www.mendeley.com/documents/?uuid=98b33ca6-5d12-4cec-bc24-67006aba725f"]}],"mendeley":{"formattedCitation":"[40]","plainTextFormattedCitation":"[40]","previouslyFormattedCitation":"[42]"},"properties":{"noteIndex":0},"schema":"https://github.com/citation-style-language/schema/raw/master/csl-citation.json"}</w:instrText>
            </w:r>
            <w:r w:rsidR="003F7DDB">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[40]</w:t>
            </w:r>
            <w:r w:rsidR="003F7DDB">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auto"/>
              <w:right w:val="nil"/>
            </w:tcBorders>
            <w:shd w:val="clear" w:color="000000" w:fill="FFFFFF"/>
            <w:noWrap/>
            <w:vAlign w:val="center"/>
            <w:hideMark/>
          </w:tcPr>
          <w:p w14:paraId="1AE5C94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Zaoyang</w:t>
            </w:r>
            <w:proofErr w:type="spellEnd"/>
            <w:r w:rsidRPr="008C4D21">
              <w:rPr>
                <w:rFonts w:ascii="Calibri" w:eastAsia="Times New Roman" w:hAnsi="Calibri" w:cs="Calibri"/>
                <w:color w:val="000000"/>
                <w:sz w:val="18"/>
                <w:szCs w:val="18"/>
                <w:lang w:eastAsia="en-GB"/>
              </w:rPr>
              <w:t xml:space="preserve"> and </w:t>
            </w:r>
            <w:proofErr w:type="spellStart"/>
            <w:r w:rsidRPr="008C4D21">
              <w:rPr>
                <w:rFonts w:ascii="Calibri" w:eastAsia="Times New Roman" w:hAnsi="Calibri" w:cs="Calibri"/>
                <w:color w:val="000000"/>
                <w:sz w:val="18"/>
                <w:szCs w:val="18"/>
                <w:lang w:eastAsia="en-GB"/>
              </w:rPr>
              <w:t>Chibi</w:t>
            </w:r>
            <w:proofErr w:type="spellEnd"/>
          </w:p>
        </w:tc>
        <w:tc>
          <w:tcPr>
            <w:tcW w:w="1134" w:type="dxa"/>
            <w:tcBorders>
              <w:top w:val="nil"/>
              <w:left w:val="nil"/>
              <w:bottom w:val="single" w:sz="8" w:space="0" w:color="auto"/>
              <w:right w:val="nil"/>
            </w:tcBorders>
            <w:shd w:val="clear" w:color="000000" w:fill="FFFFFF"/>
            <w:noWrap/>
            <w:vAlign w:val="center"/>
            <w:hideMark/>
          </w:tcPr>
          <w:p w14:paraId="7C68803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auto"/>
              <w:right w:val="nil"/>
            </w:tcBorders>
            <w:shd w:val="clear" w:color="000000" w:fill="FFFFFF"/>
            <w:vAlign w:val="center"/>
            <w:hideMark/>
          </w:tcPr>
          <w:p w14:paraId="500A9CE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Retrospective contacts investigation</w:t>
            </w:r>
          </w:p>
        </w:tc>
        <w:tc>
          <w:tcPr>
            <w:tcW w:w="3117" w:type="dxa"/>
            <w:tcBorders>
              <w:top w:val="nil"/>
              <w:left w:val="nil"/>
              <w:bottom w:val="single" w:sz="8" w:space="0" w:color="auto"/>
              <w:right w:val="nil"/>
            </w:tcBorders>
            <w:shd w:val="clear" w:color="000000" w:fill="FFFFFF"/>
            <w:vAlign w:val="center"/>
            <w:hideMark/>
          </w:tcPr>
          <w:p w14:paraId="4231763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Household members living at least 24 hrs in the same residence as the index case</w:t>
            </w:r>
          </w:p>
        </w:tc>
        <w:tc>
          <w:tcPr>
            <w:tcW w:w="1276" w:type="dxa"/>
            <w:tcBorders>
              <w:top w:val="nil"/>
              <w:left w:val="nil"/>
              <w:bottom w:val="single" w:sz="8" w:space="0" w:color="auto"/>
              <w:right w:val="nil"/>
            </w:tcBorders>
            <w:shd w:val="clear" w:color="000000" w:fill="FFFFFF"/>
            <w:vAlign w:val="center"/>
            <w:hideMark/>
          </w:tcPr>
          <w:p w14:paraId="7E9146AA"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hideMark/>
          </w:tcPr>
          <w:p w14:paraId="2650DF6C"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auto"/>
              <w:right w:val="nil"/>
            </w:tcBorders>
            <w:shd w:val="clear" w:color="000000" w:fill="FFFFFF"/>
            <w:vAlign w:val="center"/>
            <w:hideMark/>
          </w:tcPr>
          <w:p w14:paraId="0797E8D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105</w:t>
            </w:r>
          </w:p>
        </w:tc>
        <w:tc>
          <w:tcPr>
            <w:tcW w:w="850" w:type="dxa"/>
            <w:tcBorders>
              <w:top w:val="nil"/>
              <w:left w:val="nil"/>
              <w:bottom w:val="single" w:sz="8" w:space="0" w:color="auto"/>
              <w:right w:val="nil"/>
            </w:tcBorders>
            <w:shd w:val="clear" w:color="000000" w:fill="FFFFFF"/>
            <w:noWrap/>
            <w:vAlign w:val="center"/>
            <w:hideMark/>
          </w:tcPr>
          <w:p w14:paraId="69CD035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392</w:t>
            </w:r>
          </w:p>
        </w:tc>
        <w:tc>
          <w:tcPr>
            <w:tcW w:w="993" w:type="dxa"/>
            <w:tcBorders>
              <w:top w:val="nil"/>
              <w:left w:val="nil"/>
              <w:bottom w:val="single" w:sz="8" w:space="0" w:color="auto"/>
              <w:right w:val="nil"/>
            </w:tcBorders>
            <w:shd w:val="clear" w:color="000000" w:fill="FFFFFF"/>
            <w:noWrap/>
            <w:vAlign w:val="center"/>
            <w:hideMark/>
          </w:tcPr>
          <w:p w14:paraId="7906A62D"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392</w:t>
            </w:r>
          </w:p>
        </w:tc>
        <w:tc>
          <w:tcPr>
            <w:tcW w:w="1134" w:type="dxa"/>
            <w:tcBorders>
              <w:top w:val="nil"/>
              <w:left w:val="nil"/>
              <w:bottom w:val="single" w:sz="8" w:space="0" w:color="auto"/>
              <w:right w:val="nil"/>
            </w:tcBorders>
            <w:shd w:val="clear" w:color="000000" w:fill="FFFFFF"/>
            <w:noWrap/>
            <w:vAlign w:val="center"/>
            <w:hideMark/>
          </w:tcPr>
          <w:p w14:paraId="0F2210AD"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64</w:t>
            </w:r>
          </w:p>
        </w:tc>
      </w:tr>
      <w:tr w:rsidR="000F13C3" w:rsidRPr="008C4D21" w14:paraId="0F3A7BB5" w14:textId="77777777" w:rsidTr="006C15AF">
        <w:trPr>
          <w:cantSplit/>
          <w:trHeight w:val="689"/>
        </w:trPr>
        <w:tc>
          <w:tcPr>
            <w:tcW w:w="1135" w:type="dxa"/>
            <w:tcBorders>
              <w:top w:val="single" w:sz="8" w:space="0" w:color="auto"/>
              <w:left w:val="nil"/>
              <w:bottom w:val="single" w:sz="8" w:space="0" w:color="000000"/>
              <w:right w:val="nil"/>
            </w:tcBorders>
            <w:vAlign w:val="center"/>
          </w:tcPr>
          <w:p w14:paraId="3495C6EE"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single" w:sz="8" w:space="0" w:color="auto"/>
              <w:left w:val="nil"/>
              <w:bottom w:val="single" w:sz="8" w:space="0" w:color="000000"/>
              <w:right w:val="nil"/>
            </w:tcBorders>
            <w:shd w:val="clear" w:color="auto" w:fill="auto"/>
            <w:vAlign w:val="center"/>
            <w:hideMark/>
          </w:tcPr>
          <w:p w14:paraId="2A2E004F" w14:textId="1ED78E35"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Li et al</w:t>
            </w:r>
            <w:r w:rsidR="003F7DDB">
              <w:rPr>
                <w:rFonts w:ascii="Calibri" w:eastAsia="Times New Roman" w:hAnsi="Calibri" w:cs="Calibri"/>
                <w:color w:val="000000"/>
                <w:sz w:val="18"/>
                <w:szCs w:val="18"/>
                <w:lang w:eastAsia="en-GB"/>
              </w:rPr>
              <w:t xml:space="preserve"> </w:t>
            </w:r>
            <w:r w:rsidR="00A7236F">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{"citationItems":[{"id":"ITEM-1","itemData":{"DOI":"https://doi.org/10.1016/j.ijid.2020.03.027","ISBN":"1201-9712","abstract":"We report a familial cluster of 2019 novel coronavirus disease (COVID-19) to assess its potential transmission during the incubation period. The first patient in this familial cluster was identified during the presymptomatic period, as a close contact of a confirmed patient. Five family members had close contact with this first patient during his incubation period, with four of them confirmed positive for severe acute respiratory syndrome coronavirus 2 (SARS-CoV-2) infection in the subsequent sampling tests.","author":[{"dropping-particle":"","family":"Li","given":"Peng","non-dropping-particle":"","parse-names":false,"suffix":""},{"dropping-particle":"","family":"Fu","given":"Ji-Bo","non-dropping-particle":"","parse-names":false,"suffix":""},{"dropping-particle":"","family":"Li","given":"Ke-Feng","non-dropping-particle":"","parse-names":false,"suffix":""},{"dropping-particle":"","family":"Liu","given":"Jie-Nan","non-dropping-particle":"","parse-names":false,"suffix":""},{"dropping-particle":"","family":"Wang","given":"Hong-Ling","non-dropping-particle":"","parse-names":false,"suffix":""},{"dropping-particle":"","family":"Liu","given":"Lei-Jie","non-dropping-particle":"","parse-names":false,"suffix":""},{"dropping-particle":"","family":"Chen","given":"Yan","non-dropping-particle":"","parse-names":false,"suffix":""},{"dropping-particle":"","family":"Zhang","given":"Yong-Li","non-dropping-particle":"","parse-names":false,"suffix":""},{"dropping-particle":"","family":"Liu","given":"She-Lan","non-dropping-particle":"","parse-names":false,"suffix":""},{"dropping-particle":"","family":"Tang","given":"An","non-dropping-particle":"","parse-names":false,"suffix":""},{"dropping-particle":"","family":"Tong","given":"Zhen-Dong","non-dropping-particle":"","parse-names":false,"suffix":""},{"dropping-particle":"","family":"Yan","given":"Jian-Bo","non-dropping-particle":"","parse-names":false,"suffix":""}],"container-title":"International Journal of Infectious Diseases","id":"ITEM-1","issued":{"date-parts":[["2020"]]},"page":"452-453","title":"Transmission of COVID-19 in the terminal stages of the incubation period: A familial cluster","type":"article-journal","volume":"96"},"uris":["http://www.mendeley.com/documents/?uuid=269422ab-de64-4b2d-a80e-6b588db69aae"]}],"mendeley":{"formattedCitation":"[41]","plainTextFormattedCitation":"[41]","previouslyFormattedCitation":"[43]"},"properties":{"noteIndex":0},"schema":"https://github.com/citation-style-language/schema/raw/master/csl-citation.json"}</w:instrText>
            </w:r>
            <w:r w:rsidR="00A7236F">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[41]</w:t>
            </w:r>
            <w:r w:rsidR="00A7236F">
              <w:rPr>
                <w:rFonts w:ascii="Calibri" w:eastAsia="Times New Roman" w:hAnsi="Calibri" w:cs="Calibri"/>
                <w:color w:val="000000"/>
                <w:sz w:val="18"/>
                <w:szCs w:val="18"/>
                <w:lang w:eastAsia="en-GB"/>
              </w:rPr>
              <w:fldChar w:fldCharType="end"/>
            </w:r>
          </w:p>
        </w:tc>
        <w:tc>
          <w:tcPr>
            <w:tcW w:w="1276" w:type="dxa"/>
            <w:tcBorders>
              <w:top w:val="single" w:sz="8" w:space="0" w:color="auto"/>
              <w:left w:val="nil"/>
              <w:bottom w:val="single" w:sz="8" w:space="0" w:color="000000"/>
              <w:right w:val="nil"/>
            </w:tcBorders>
            <w:shd w:val="clear" w:color="000000" w:fill="FFFFFF"/>
            <w:vAlign w:val="center"/>
            <w:hideMark/>
          </w:tcPr>
          <w:p w14:paraId="41CEB14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Jiangsu</w:t>
            </w:r>
          </w:p>
        </w:tc>
        <w:tc>
          <w:tcPr>
            <w:tcW w:w="1134" w:type="dxa"/>
            <w:tcBorders>
              <w:top w:val="single" w:sz="8" w:space="0" w:color="auto"/>
              <w:left w:val="nil"/>
              <w:bottom w:val="single" w:sz="8" w:space="0" w:color="000000"/>
              <w:right w:val="nil"/>
            </w:tcBorders>
            <w:shd w:val="clear" w:color="000000" w:fill="FFFFFF"/>
            <w:vAlign w:val="center"/>
            <w:hideMark/>
          </w:tcPr>
          <w:p w14:paraId="31742E83"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single" w:sz="8" w:space="0" w:color="auto"/>
              <w:left w:val="nil"/>
              <w:bottom w:val="single" w:sz="8" w:space="0" w:color="000000"/>
              <w:right w:val="nil"/>
            </w:tcBorders>
            <w:shd w:val="clear" w:color="000000" w:fill="FFFFFF"/>
            <w:vAlign w:val="center"/>
            <w:hideMark/>
          </w:tcPr>
          <w:p w14:paraId="51292E2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Familial cluster investigation</w:t>
            </w:r>
          </w:p>
        </w:tc>
        <w:tc>
          <w:tcPr>
            <w:tcW w:w="3117" w:type="dxa"/>
            <w:tcBorders>
              <w:top w:val="single" w:sz="8" w:space="0" w:color="auto"/>
              <w:left w:val="nil"/>
              <w:bottom w:val="single" w:sz="8" w:space="0" w:color="000000"/>
              <w:right w:val="nil"/>
            </w:tcBorders>
            <w:shd w:val="clear" w:color="000000" w:fill="FFFFFF"/>
            <w:vAlign w:val="center"/>
            <w:hideMark/>
          </w:tcPr>
          <w:p w14:paraId="33DBA053"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single" w:sz="8" w:space="0" w:color="auto"/>
              <w:left w:val="nil"/>
              <w:bottom w:val="single" w:sz="8" w:space="0" w:color="000000"/>
              <w:right w:val="nil"/>
            </w:tcBorders>
            <w:shd w:val="clear" w:color="000000" w:fill="FFFFFF"/>
            <w:vAlign w:val="center"/>
            <w:hideMark/>
          </w:tcPr>
          <w:p w14:paraId="0BA25F0E"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single" w:sz="8" w:space="0" w:color="auto"/>
              <w:left w:val="nil"/>
              <w:bottom w:val="single" w:sz="8" w:space="0" w:color="000000"/>
              <w:right w:val="nil"/>
            </w:tcBorders>
            <w:shd w:val="clear" w:color="000000" w:fill="FFFFFF"/>
            <w:vAlign w:val="center"/>
            <w:hideMark/>
          </w:tcPr>
          <w:p w14:paraId="6F2559D3"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single" w:sz="8" w:space="0" w:color="auto"/>
              <w:left w:val="nil"/>
              <w:bottom w:val="single" w:sz="8" w:space="0" w:color="000000"/>
              <w:right w:val="nil"/>
            </w:tcBorders>
            <w:shd w:val="clear" w:color="000000" w:fill="FFFFFF"/>
            <w:vAlign w:val="center"/>
            <w:hideMark/>
          </w:tcPr>
          <w:p w14:paraId="06F3E74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w:t>
            </w:r>
          </w:p>
        </w:tc>
        <w:tc>
          <w:tcPr>
            <w:tcW w:w="850" w:type="dxa"/>
            <w:tcBorders>
              <w:top w:val="single" w:sz="8" w:space="0" w:color="auto"/>
              <w:left w:val="nil"/>
              <w:bottom w:val="single" w:sz="8" w:space="0" w:color="000000"/>
              <w:right w:val="nil"/>
            </w:tcBorders>
            <w:shd w:val="clear" w:color="000000" w:fill="FFFFFF"/>
            <w:vAlign w:val="center"/>
            <w:hideMark/>
          </w:tcPr>
          <w:p w14:paraId="55FC0008"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w:t>
            </w:r>
          </w:p>
        </w:tc>
        <w:tc>
          <w:tcPr>
            <w:tcW w:w="993" w:type="dxa"/>
            <w:tcBorders>
              <w:top w:val="single" w:sz="8" w:space="0" w:color="auto"/>
              <w:left w:val="nil"/>
              <w:bottom w:val="single" w:sz="8" w:space="0" w:color="000000"/>
              <w:right w:val="nil"/>
            </w:tcBorders>
            <w:shd w:val="clear" w:color="000000" w:fill="FFFFFF"/>
            <w:vAlign w:val="center"/>
            <w:hideMark/>
          </w:tcPr>
          <w:p w14:paraId="3F9A1510"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w:t>
            </w:r>
          </w:p>
        </w:tc>
        <w:tc>
          <w:tcPr>
            <w:tcW w:w="1134" w:type="dxa"/>
            <w:tcBorders>
              <w:top w:val="single" w:sz="8" w:space="0" w:color="auto"/>
              <w:left w:val="nil"/>
              <w:bottom w:val="single" w:sz="8" w:space="0" w:color="000000"/>
              <w:right w:val="nil"/>
            </w:tcBorders>
            <w:shd w:val="clear" w:color="000000" w:fill="FFFFFF"/>
            <w:vAlign w:val="center"/>
            <w:hideMark/>
          </w:tcPr>
          <w:p w14:paraId="1526DEB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w:t>
            </w:r>
          </w:p>
        </w:tc>
      </w:tr>
      <w:tr w:rsidR="000F13C3" w:rsidRPr="008C4D21" w14:paraId="3472C358" w14:textId="77777777" w:rsidTr="006C15AF">
        <w:trPr>
          <w:cantSplit/>
          <w:trHeight w:val="855"/>
        </w:trPr>
        <w:tc>
          <w:tcPr>
            <w:tcW w:w="1135" w:type="dxa"/>
            <w:tcBorders>
              <w:top w:val="nil"/>
              <w:left w:val="nil"/>
              <w:bottom w:val="single" w:sz="8" w:space="0" w:color="000000"/>
              <w:right w:val="nil"/>
            </w:tcBorders>
            <w:vAlign w:val="center"/>
          </w:tcPr>
          <w:p w14:paraId="6DF1F09D" w14:textId="551FE185" w:rsidR="00F90771" w:rsidRPr="008C4D21" w:rsidRDefault="00897865"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lastRenderedPageBreak/>
              <w:t>32</w:t>
            </w:r>
          </w:p>
        </w:tc>
        <w:tc>
          <w:tcPr>
            <w:tcW w:w="1135" w:type="dxa"/>
            <w:tcBorders>
              <w:top w:val="nil"/>
              <w:left w:val="nil"/>
              <w:bottom w:val="single" w:sz="8" w:space="0" w:color="000000"/>
              <w:right w:val="nil"/>
            </w:tcBorders>
            <w:shd w:val="clear" w:color="auto" w:fill="auto"/>
            <w:vAlign w:val="center"/>
            <w:hideMark/>
          </w:tcPr>
          <w:p w14:paraId="51A879D6" w14:textId="0C63B7E5"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Li et al</w:t>
            </w:r>
            <w:r w:rsidR="003F7DDB">
              <w:rPr>
                <w:rFonts w:ascii="Calibri" w:eastAsia="Times New Roman" w:hAnsi="Calibri" w:cs="Calibri"/>
                <w:color w:val="000000"/>
                <w:sz w:val="18"/>
                <w:szCs w:val="18"/>
                <w:lang w:eastAsia="en-GB"/>
              </w:rPr>
              <w:t xml:space="preserve"> </w:t>
            </w:r>
            <w:r w:rsidR="001B1379">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{"citationItems":[{"id":"ITEM-1","itemData":{"DOI":"10.1016/j.virusres.2020.198043","ISBN":"1872-7492\r0168-1702","PMID":"32502551","abstract":"An epidemic caused by SARS-Coronavirus-2 (SARS-CoV-2) infection has appeared in Wuhan City in December 2019. The disease has shown a \"clustering epidemic\" pattern, and family-clustered onset has been the main characteristic. We collected data about 130 cases from 35 cluster-onset families (COFs) and 41 cases from 16 solitary-onset families (SOFs). The incidence of 2019 coronavirus disease (COVID-19) in COFs was significantly higher than that of SOFs. Our study also showed that patients with exposure to high-risk factors (respiratory droplets and close contact), advanced age, and comorbidities were more likely to develop COVID-19 in the COFs. In addition, advanced age and elevated neutrophil/lymphocyte ratio (NLR) were risk factors for death in patients with SARS-CoV-2 infection in the COFs.","author":[{"dropping-particle":"","family":"Li","given":"Jinzhong","non-dropping-particle":"","parse-names":false,"suffix":""},{"dropping-particle":"","family":"Gong","given":"Xiaobing","non-dropping-particle":"","parse-names":false,"suffix":""},{"dropping-particle":"","family":"Wang","given":"Zhigang","non-dropping-particle":"","parse-names":false,"suffix":""},{"dropping-particle":"","family":"Chen","given":"Renzhou","non-dropping-particle":"","parse-names":false,"suffix":""},{"dropping-particle":"","family":"Li","given":"Taoyuan","non-dropping-particle":"","parse-names":false,"suffix":""},{"dropping-particle":"","family":"Zeng","given":"Dongyu","non-dropping-particle":"","parse-names":false,"suffix":""},{"dropping-particle":"","family":"Li","given":"Minran","non-dropping-particle":"","parse-names":false,"suffix":""}],"container-title":"Virus research","id":"ITEM-1","issued":{"date-parts":[["2020"]]},"language":"eng","note":"32502551[pmid]\nPMC7265838[pmcid]\nS0168-1702(20)30368-3[PII]","page":"198043","publisher":"Elsevier B.V.","title":"Clinical features of familial clustering in patients infected with 2019 novel coronavirus in Wuhan, China","type":"article-journal","volume":"286"},"uris":["http://www.mendeley.com/documents/?uuid=b17b45f1-c885-468c-ab1b-e986e269a27d"]}],"mendeley":{"formattedCitation":"[42]","plainTextFormattedCitation":"[42]","previouslyFormattedCitation":"[44]"},"properties":{"noteIndex":0},"schema":"https://github.com/citation-style-language/schema/raw/master/csl-citation.json"}</w:instrText>
            </w:r>
            <w:r w:rsidR="001B1379">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[42]</w:t>
            </w:r>
            <w:r w:rsidR="001B1379">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4756F197"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Wuhan</w:t>
            </w:r>
          </w:p>
        </w:tc>
        <w:tc>
          <w:tcPr>
            <w:tcW w:w="1134" w:type="dxa"/>
            <w:tcBorders>
              <w:top w:val="nil"/>
              <w:left w:val="nil"/>
              <w:bottom w:val="single" w:sz="8" w:space="0" w:color="000000"/>
              <w:right w:val="nil"/>
            </w:tcBorders>
            <w:shd w:val="clear" w:color="000000" w:fill="FFFFFF"/>
            <w:vAlign w:val="center"/>
            <w:hideMark/>
          </w:tcPr>
          <w:p w14:paraId="6D7F087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3D73C80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1DCE248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085C941C" w14:textId="72D53E11" w:rsidR="00F90771" w:rsidRPr="008C4D21" w:rsidRDefault="008C2E53" w:rsidP="00A96094">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62AA9EB5"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 Serology/Clinical diagnosis</w:t>
            </w:r>
          </w:p>
        </w:tc>
        <w:tc>
          <w:tcPr>
            <w:tcW w:w="851" w:type="dxa"/>
            <w:tcBorders>
              <w:top w:val="nil"/>
              <w:left w:val="nil"/>
              <w:bottom w:val="single" w:sz="8" w:space="0" w:color="000000"/>
              <w:right w:val="nil"/>
            </w:tcBorders>
            <w:shd w:val="clear" w:color="000000" w:fill="FFFFFF"/>
            <w:vAlign w:val="center"/>
            <w:hideMark/>
          </w:tcPr>
          <w:p w14:paraId="469769D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51</w:t>
            </w:r>
          </w:p>
        </w:tc>
        <w:tc>
          <w:tcPr>
            <w:tcW w:w="850" w:type="dxa"/>
            <w:tcBorders>
              <w:top w:val="nil"/>
              <w:left w:val="nil"/>
              <w:bottom w:val="single" w:sz="8" w:space="0" w:color="000000"/>
              <w:right w:val="nil"/>
            </w:tcBorders>
            <w:shd w:val="clear" w:color="000000" w:fill="FFFFFF"/>
            <w:vAlign w:val="center"/>
            <w:hideMark/>
          </w:tcPr>
          <w:p w14:paraId="39C4EA2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120</w:t>
            </w:r>
          </w:p>
        </w:tc>
        <w:tc>
          <w:tcPr>
            <w:tcW w:w="993" w:type="dxa"/>
            <w:tcBorders>
              <w:top w:val="nil"/>
              <w:left w:val="nil"/>
              <w:bottom w:val="single" w:sz="8" w:space="0" w:color="000000"/>
              <w:right w:val="nil"/>
            </w:tcBorders>
            <w:shd w:val="clear" w:color="000000" w:fill="FFFFFF"/>
            <w:vAlign w:val="center"/>
            <w:hideMark/>
          </w:tcPr>
          <w:p w14:paraId="52587E3D"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120</w:t>
            </w:r>
          </w:p>
        </w:tc>
        <w:tc>
          <w:tcPr>
            <w:tcW w:w="1134" w:type="dxa"/>
            <w:tcBorders>
              <w:top w:val="nil"/>
              <w:left w:val="nil"/>
              <w:bottom w:val="single" w:sz="8" w:space="0" w:color="000000"/>
              <w:right w:val="nil"/>
            </w:tcBorders>
            <w:shd w:val="clear" w:color="000000" w:fill="FFFFFF"/>
            <w:vAlign w:val="center"/>
            <w:hideMark/>
          </w:tcPr>
          <w:p w14:paraId="27EFC55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59</w:t>
            </w:r>
          </w:p>
        </w:tc>
      </w:tr>
      <w:tr w:rsidR="000F13C3" w:rsidRPr="008C4D21" w14:paraId="46DCECEA" w14:textId="77777777" w:rsidTr="006C15AF">
        <w:trPr>
          <w:cantSplit/>
          <w:trHeight w:val="712"/>
        </w:trPr>
        <w:tc>
          <w:tcPr>
            <w:tcW w:w="1135" w:type="dxa"/>
            <w:tcBorders>
              <w:top w:val="nil"/>
              <w:left w:val="nil"/>
              <w:bottom w:val="single" w:sz="8" w:space="0" w:color="000000"/>
              <w:right w:val="nil"/>
            </w:tcBorders>
            <w:vAlign w:val="center"/>
          </w:tcPr>
          <w:p w14:paraId="75A01DD3" w14:textId="2E06CCC9" w:rsidR="00F90771" w:rsidRPr="008C4D21" w:rsidRDefault="00897865"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30</w:t>
            </w:r>
          </w:p>
        </w:tc>
        <w:tc>
          <w:tcPr>
            <w:tcW w:w="1135" w:type="dxa"/>
            <w:tcBorders>
              <w:top w:val="nil"/>
              <w:left w:val="nil"/>
              <w:bottom w:val="single" w:sz="8" w:space="0" w:color="000000"/>
              <w:right w:val="nil"/>
            </w:tcBorders>
            <w:shd w:val="clear" w:color="auto" w:fill="auto"/>
            <w:noWrap/>
            <w:vAlign w:val="center"/>
            <w:hideMark/>
          </w:tcPr>
          <w:p w14:paraId="31BCE2E8" w14:textId="54B0BAE9"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Luo et al </w:t>
            </w:r>
            <w:r w:rsidR="00A7236F">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{"citationItems":[{"id":"ITEM-1","itemData":{"DOI":"10.1101/2020.03.24.20042606","abstract":"Background Rapid spread of SARS-CoV-2 in Wuhan prompted heightened surveillance in Guangzhou and elsewhere in China. Modes of contact and risk of transmission among close contacts have not been well estimated. Methods We included 4950 closes contacts from Guangzhou, and extracted data including modes of contact, laboratory testing, clinical characteristics of confirmed cases and source cases. We used logistic regression analysis to explore the risk factors associated with infection of close contacts. Results Among 4950 closes contacts, the median age was 38.0 years, and males accounted for 50.2% (2484). During quarantine period, 129 cases (2.6%) were diagnosed, with 8 asymptomatic (6.2%), 49 mild (38.0%), and 5 (3.9%) severe to critical cases. The sensitivity of throat swab was 71.32% and 92.19% at first to second PCR test. Among different modes of contact, household contacts were the most dangerous in catching with infection of COVID-19, with an incidence of 10.2%. As the increase of age for close contacts and severity of source cases, the incidence of COVID-19 presented an increasing trend from 1.8% (0-17 years) to 4.2% (60 or over years), and from 0.33% for asymptomatic, 3.3% for mild, to 6.2% for severe and critical source cases, respectively. Manifestation of expectoration in source cases was also highly associated with an increased risk of infection in their close contacts (13.6%). Secondary cases were in general clinically milder and were less likely to have common symptoms than those of source cases. Conclusions In conclusion, the proportion of asymptomatic and mild infections account for almost half of the confirmed cases among close contacts. The household contacts were the main transmission mode, and clinically more severe cases were more likely to pass the infection to their close contacts. Generally, the secondary cases were clinically milder than those of source cases.Competing Interest StatementThe authors have declared no competing interest.Funding StatementSupported by the Project Supported by Guangdong Province Higher Vocational Colleges &amp;amp; Schools Pearl River Scholar Funded Scheme (2019), the Construction of High-level University of Guangdong (G619339521 and G618339167), and the Zhejiang University special scientific research fund for COVID-19 prevention and control (K920330111). Author DeclarationsAll relevant ethical guidelines have been followed; any necessary IRB and/or ethics committee approvals have been obtained and details …","author":[{"dropping-particle":"","family":"Luo","given":"Lei","non-dropping-particle":"","parse-names":false,"suffix":""},{"dropping-particle":"","family":"Liu","given":"Dan","non-dropping-particle":"","parse-names":false,"suffix":""},{"dropping-particle":"","family":"Liao","given":"Xin-long","non-dropping-particle":"","parse-names":false,"suffix":""},{"dropping-particle":"","family":"Wu","given":"Xian-bo","non-dropping-particle":"","parse-names":false,"suffix":""},{"dropping-particle":"","family":"Jing","given":"Qin-long","non-dropping-particle":"","parse-names":false,"suffix":""},{"dropping-particle":"","family":"Zheng","given":"Jia-zhen","non-dropping-particle":"","parse-names":false,"suffix":""},{"dropping-particle":"","family":"Liu","given":"Fang-hua","non-dropping-particle":"","parse-names":false,"suffix":""},{"dropping-particle":"","family":"Yang","given":"Shi-gui","non-dropping-particle":"","parse-names":false,"suffix":""},{"dropping-particle":"","family":"Bi","given":"Bi","non-dropping-particle":"","parse-names":false,"suffix":""},{"dropping-particle":"","family":"Li","given":"Zhi-hao","non-dropping-particle":"","parse-names":false,"suffix":""},{"dropping-particle":"","family":"Liu","given":"Jian-ping","non-dropping-particle":"","parse-names":false,"suffix":""},{"dropping-particle":"","family":"Song","given":"Wei-qi","non-dropping-particle":"","parse-names":false,"suffix":""},{"dropping-particle":"","family":"Zhu","given":"Wei","non-dropping-particle":"","parse-names":false,"suffix":""},{"dropping-particle":"","family":"Wang","given":"Zheng-he","non-dropping-particle":"","parse-names":false,"suffix":""},{"dropping-particle":"","family":"Zhang","given":"Xi-ru","non-dropping-particle":"","parse-names":false,"suffix":""},{"dropping-particle":"","family":"Chen","given":"Pei-liang","non-dropping-particle":"","parse-names":false,"suffix":""},{"dropping-particle":"","family":"Liu","given":"Hua-min","non-dropping-particle":"","parse-names":false,"suffix":""},{"dropping-particle":"","family":"Cheng","given":"Xin","non-dropping-particle":"","parse-names":false,"suffix":""},{"dropping-particle":"","family":"Cai","given":"Miao-chun","non-dropping-particle":"","parse-names":false,"suffix":""},{"dropping-particle":"","family":"Huang","given":"Qing-mei","non-dropping-particle":"","parse-names":false,"suffix":""},{"dropping-particle":"","family":"Yang","given":"Pei","non-dropping-particle":"","parse-names":false,"suffix":""},{"dropping-particle":"","family":"Yang","given":"Xin-fen","non-dropping-particle":"","parse-names":false,"suffix":""},{"dropping-particle":"","family":"Huang","given":"Zhi-gang","non-dropping-particle":"","parse-names":false,"suffix":""},{"dropping-particle":"","family":"Tang","given":"Jin-ling","non-dropping-particle":"","parse-names":false,"suffix":""},{"dropping-particle":"","family":"Ma","given":"Yu","non-dropping-particle":"","parse-names":false,"suffix":""},{"dropping-particle":"","family":"Mao","given":"Chen","non-dropping-particle":"","parse-names":false,"suffix":""}],"container-title":"medRxiv","id":"ITEM-1","issued":{"date-parts":[["2020"]]},"page":"2020.03.24.20042606","title":"Modes of contact and risk of transmission in COVID-19 among close contacts","type":"article-journal"},"uris":["http://www.mendeley.com/documents/?uuid=49eec9d5-e019-473d-9f47-a00aa14a65ec"]}],"mendeley":{"formattedCitation":"[43]","plainTextFormattedCitation":"[43]","previouslyFormattedCitation":"[45]"},"properties":{"noteIndex":0},"schema":"https://github.com/citation-style-language/schema/raw/master/csl-citation.json"}</w:instrText>
            </w:r>
            <w:r w:rsidR="00A7236F">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[43]</w:t>
            </w:r>
            <w:r w:rsidR="00A7236F">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noWrap/>
            <w:vAlign w:val="center"/>
            <w:hideMark/>
          </w:tcPr>
          <w:p w14:paraId="3659B34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Guangzhou</w:t>
            </w:r>
          </w:p>
        </w:tc>
        <w:tc>
          <w:tcPr>
            <w:tcW w:w="1134" w:type="dxa"/>
            <w:tcBorders>
              <w:top w:val="nil"/>
              <w:left w:val="nil"/>
              <w:bottom w:val="single" w:sz="8" w:space="0" w:color="000000"/>
              <w:right w:val="nil"/>
            </w:tcBorders>
            <w:shd w:val="clear" w:color="000000" w:fill="FFFFFF"/>
            <w:noWrap/>
            <w:vAlign w:val="center"/>
            <w:hideMark/>
          </w:tcPr>
          <w:p w14:paraId="2A3E7757"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39751D5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5CF2AF06"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noWrap/>
            <w:vAlign w:val="center"/>
            <w:hideMark/>
          </w:tcPr>
          <w:p w14:paraId="65316A05"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33BD30C9"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7C05693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347</w:t>
            </w:r>
          </w:p>
        </w:tc>
        <w:tc>
          <w:tcPr>
            <w:tcW w:w="850" w:type="dxa"/>
            <w:tcBorders>
              <w:top w:val="nil"/>
              <w:left w:val="nil"/>
              <w:bottom w:val="single" w:sz="8" w:space="0" w:color="000000"/>
              <w:right w:val="nil"/>
            </w:tcBorders>
            <w:shd w:val="clear" w:color="000000" w:fill="FFFFFF"/>
            <w:noWrap/>
            <w:vAlign w:val="center"/>
            <w:hideMark/>
          </w:tcPr>
          <w:p w14:paraId="76A2F0F2"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946</w:t>
            </w:r>
          </w:p>
        </w:tc>
        <w:tc>
          <w:tcPr>
            <w:tcW w:w="993" w:type="dxa"/>
            <w:tcBorders>
              <w:top w:val="nil"/>
              <w:left w:val="nil"/>
              <w:bottom w:val="single" w:sz="8" w:space="0" w:color="000000"/>
              <w:right w:val="nil"/>
            </w:tcBorders>
            <w:shd w:val="clear" w:color="000000" w:fill="FFFFFF"/>
            <w:noWrap/>
            <w:vAlign w:val="center"/>
            <w:hideMark/>
          </w:tcPr>
          <w:p w14:paraId="64025F22"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946</w:t>
            </w:r>
          </w:p>
        </w:tc>
        <w:tc>
          <w:tcPr>
            <w:tcW w:w="1134" w:type="dxa"/>
            <w:tcBorders>
              <w:top w:val="nil"/>
              <w:left w:val="nil"/>
              <w:bottom w:val="single" w:sz="8" w:space="0" w:color="000000"/>
              <w:right w:val="nil"/>
            </w:tcBorders>
            <w:shd w:val="clear" w:color="000000" w:fill="FFFFFF"/>
            <w:noWrap/>
            <w:vAlign w:val="center"/>
            <w:hideMark/>
          </w:tcPr>
          <w:p w14:paraId="4A0898D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96</w:t>
            </w:r>
          </w:p>
        </w:tc>
      </w:tr>
      <w:tr w:rsidR="000F13C3" w:rsidRPr="008C4D21" w14:paraId="52DA7A4F" w14:textId="77777777" w:rsidTr="006C15AF">
        <w:trPr>
          <w:cantSplit/>
          <w:trHeight w:val="694"/>
        </w:trPr>
        <w:tc>
          <w:tcPr>
            <w:tcW w:w="1135" w:type="dxa"/>
            <w:tcBorders>
              <w:top w:val="nil"/>
              <w:left w:val="nil"/>
              <w:bottom w:val="single" w:sz="8" w:space="0" w:color="000000"/>
              <w:right w:val="nil"/>
            </w:tcBorders>
            <w:vAlign w:val="center"/>
          </w:tcPr>
          <w:p w14:paraId="3820D90C" w14:textId="069E30F7" w:rsidR="00F90771" w:rsidRPr="008C4D21" w:rsidRDefault="00AC51A7"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w:t>
            </w:r>
            <w:r w:rsidR="00A93CAE">
              <w:rPr>
                <w:rFonts w:ascii="Calibri" w:eastAsia="Times New Roman" w:hAnsi="Calibri" w:cs="Calibri"/>
                <w:color w:val="000000"/>
                <w:sz w:val="18"/>
                <w:szCs w:val="18"/>
                <w:lang w:eastAsia="en-GB"/>
              </w:rPr>
              <w:t>8</w:t>
            </w:r>
          </w:p>
        </w:tc>
        <w:tc>
          <w:tcPr>
            <w:tcW w:w="1135" w:type="dxa"/>
            <w:tcBorders>
              <w:top w:val="nil"/>
              <w:left w:val="nil"/>
              <w:bottom w:val="single" w:sz="8" w:space="0" w:color="000000"/>
              <w:right w:val="nil"/>
            </w:tcBorders>
            <w:shd w:val="clear" w:color="auto" w:fill="auto"/>
            <w:vAlign w:val="center"/>
            <w:hideMark/>
          </w:tcPr>
          <w:p w14:paraId="2479A14E" w14:textId="57986B6E"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Mahapure</w:t>
            </w:r>
            <w:proofErr w:type="spellEnd"/>
            <w:r w:rsidRPr="008C4D21">
              <w:rPr>
                <w:rFonts w:ascii="Calibri" w:eastAsia="Times New Roman" w:hAnsi="Calibri" w:cs="Calibri"/>
                <w:color w:val="000000"/>
                <w:sz w:val="18"/>
                <w:szCs w:val="18"/>
                <w:lang w:eastAsia="en-GB"/>
              </w:rPr>
              <w:t xml:space="preserve"> et al</w:t>
            </w:r>
            <w:r w:rsidR="00A7236F">
              <w:rPr>
                <w:rFonts w:ascii="Calibri" w:eastAsia="Times New Roman" w:hAnsi="Calibri" w:cs="Calibri"/>
                <w:color w:val="000000"/>
                <w:sz w:val="18"/>
                <w:szCs w:val="18"/>
                <w:lang w:eastAsia="en-GB"/>
              </w:rPr>
              <w:t xml:space="preserve"> </w:t>
            </w:r>
            <w:r w:rsidR="00A7236F">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{"citationItems":[{"id":"ITEM-1","itemData":{"DOI":"10.4103/jgid.jgid_64_20","ISBN":"0974-777X\r0974-8245","PMID":"32774003","author":[{"dropping-particle":"","family":"Mahapure","given":"Kiran Sunil","non-dropping-particle":"","parse-names":false,"suffix":""},{"dropping-particle":"","family":"Kulkarni","given":"Nachiikait Shirish","non-dropping-particle":"","parse-names":false,"suffix":""}],"container-title":"Journal of global infectious diseases","id":"ITEM-1","issue":"2","issued":{"date-parts":[["2020"]]},"language":"eng","note":"32774003[pmid]\nPMC7384687[pmcid]\nJGID-12-115[PII]","page":"115-116","publisher":"Wolters Kluwer - Medknow","title":"Asymptomatic Transmission of Severe Acute Respiratory Syndrome-Coronavirus 2 within a Family Cluster of 26 Cases: Why Quarantine is Important?","type":"article-journal","volume":"12"},"uris":["http://www.mendeley.com/documents/?uuid=a17c5c90-ee64-4a01-8591-0eefb60cb58e"]}],"mendeley":{"formattedCitation":"[44]","plainTextFormattedCitation":"[44]","previouslyFormattedCitation":"[46]"},"properties":{"noteIndex":0},"schema":"https://github.com/citation-style-language/schema/raw/master/csl-citation.json"}</w:instrText>
            </w:r>
            <w:r w:rsidR="00A7236F">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[44]</w:t>
            </w:r>
            <w:r w:rsidR="00A7236F">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692DEE1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Maharashtra</w:t>
            </w:r>
          </w:p>
        </w:tc>
        <w:tc>
          <w:tcPr>
            <w:tcW w:w="1134" w:type="dxa"/>
            <w:tcBorders>
              <w:top w:val="nil"/>
              <w:left w:val="nil"/>
              <w:bottom w:val="single" w:sz="8" w:space="0" w:color="000000"/>
              <w:right w:val="nil"/>
            </w:tcBorders>
            <w:shd w:val="clear" w:color="000000" w:fill="FFFFFF"/>
            <w:vAlign w:val="center"/>
            <w:hideMark/>
          </w:tcPr>
          <w:p w14:paraId="2213265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India</w:t>
            </w:r>
          </w:p>
        </w:tc>
        <w:tc>
          <w:tcPr>
            <w:tcW w:w="2268" w:type="dxa"/>
            <w:tcBorders>
              <w:top w:val="nil"/>
              <w:left w:val="nil"/>
              <w:bottom w:val="single" w:sz="8" w:space="0" w:color="000000"/>
              <w:right w:val="nil"/>
            </w:tcBorders>
            <w:shd w:val="clear" w:color="000000" w:fill="FFFFFF"/>
            <w:vAlign w:val="center"/>
            <w:hideMark/>
          </w:tcPr>
          <w:p w14:paraId="53B2D6D5"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0EE8938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Family members sharing a </w:t>
            </w:r>
            <w:proofErr w:type="gramStart"/>
            <w:r w:rsidRPr="008C4D21">
              <w:rPr>
                <w:rFonts w:ascii="Calibri" w:eastAsia="Times New Roman" w:hAnsi="Calibri" w:cs="Calibri"/>
                <w:color w:val="000000"/>
                <w:sz w:val="18"/>
                <w:szCs w:val="18"/>
                <w:lang w:eastAsia="en-GB"/>
              </w:rPr>
              <w:t>large crowded</w:t>
            </w:r>
            <w:proofErr w:type="gramEnd"/>
            <w:r w:rsidRPr="008C4D21">
              <w:rPr>
                <w:rFonts w:ascii="Calibri" w:eastAsia="Times New Roman" w:hAnsi="Calibri" w:cs="Calibri"/>
                <w:color w:val="000000"/>
                <w:sz w:val="18"/>
                <w:szCs w:val="18"/>
                <w:lang w:eastAsia="en-GB"/>
              </w:rPr>
              <w:t xml:space="preserve"> household</w:t>
            </w:r>
          </w:p>
        </w:tc>
        <w:tc>
          <w:tcPr>
            <w:tcW w:w="1276" w:type="dxa"/>
            <w:tcBorders>
              <w:top w:val="nil"/>
              <w:left w:val="nil"/>
              <w:bottom w:val="single" w:sz="8" w:space="0" w:color="000000"/>
              <w:right w:val="nil"/>
            </w:tcBorders>
            <w:shd w:val="clear" w:color="000000" w:fill="FFFFFF"/>
            <w:vAlign w:val="center"/>
            <w:hideMark/>
          </w:tcPr>
          <w:p w14:paraId="0B7170D3"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1A021803"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5D5FD7E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w:t>
            </w:r>
          </w:p>
        </w:tc>
        <w:tc>
          <w:tcPr>
            <w:tcW w:w="850" w:type="dxa"/>
            <w:tcBorders>
              <w:top w:val="nil"/>
              <w:left w:val="nil"/>
              <w:bottom w:val="single" w:sz="8" w:space="0" w:color="000000"/>
              <w:right w:val="nil"/>
            </w:tcBorders>
            <w:shd w:val="clear" w:color="000000" w:fill="FFFFFF"/>
            <w:vAlign w:val="center"/>
            <w:hideMark/>
          </w:tcPr>
          <w:p w14:paraId="40EA5DD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43</w:t>
            </w:r>
          </w:p>
        </w:tc>
        <w:tc>
          <w:tcPr>
            <w:tcW w:w="993" w:type="dxa"/>
            <w:tcBorders>
              <w:top w:val="nil"/>
              <w:left w:val="nil"/>
              <w:bottom w:val="single" w:sz="8" w:space="0" w:color="000000"/>
              <w:right w:val="nil"/>
            </w:tcBorders>
            <w:shd w:val="clear" w:color="000000" w:fill="FFFFFF"/>
            <w:vAlign w:val="center"/>
            <w:hideMark/>
          </w:tcPr>
          <w:p w14:paraId="7A1F897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22</w:t>
            </w:r>
          </w:p>
        </w:tc>
        <w:tc>
          <w:tcPr>
            <w:tcW w:w="1134" w:type="dxa"/>
            <w:tcBorders>
              <w:top w:val="nil"/>
              <w:left w:val="nil"/>
              <w:bottom w:val="single" w:sz="8" w:space="0" w:color="000000"/>
              <w:right w:val="nil"/>
            </w:tcBorders>
            <w:shd w:val="clear" w:color="000000" w:fill="FFFFFF"/>
            <w:vAlign w:val="center"/>
            <w:hideMark/>
          </w:tcPr>
          <w:p w14:paraId="26E8FA6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22</w:t>
            </w:r>
          </w:p>
        </w:tc>
      </w:tr>
      <w:tr w:rsidR="000F13C3" w:rsidRPr="008C4D21" w14:paraId="2ECDF522" w14:textId="77777777" w:rsidTr="006C15AF">
        <w:trPr>
          <w:cantSplit/>
          <w:trHeight w:val="676"/>
        </w:trPr>
        <w:tc>
          <w:tcPr>
            <w:tcW w:w="1135" w:type="dxa"/>
            <w:tcBorders>
              <w:top w:val="nil"/>
              <w:left w:val="nil"/>
              <w:bottom w:val="single" w:sz="8" w:space="0" w:color="000000"/>
              <w:right w:val="nil"/>
            </w:tcBorders>
            <w:vAlign w:val="center"/>
          </w:tcPr>
          <w:p w14:paraId="4E7D53D6" w14:textId="5184D09E" w:rsidR="00F90771" w:rsidRPr="008C4D21" w:rsidRDefault="00A93CAE"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12</w:t>
            </w:r>
          </w:p>
        </w:tc>
        <w:tc>
          <w:tcPr>
            <w:tcW w:w="1135" w:type="dxa"/>
            <w:tcBorders>
              <w:top w:val="nil"/>
              <w:left w:val="nil"/>
              <w:bottom w:val="single" w:sz="8" w:space="0" w:color="000000"/>
              <w:right w:val="nil"/>
            </w:tcBorders>
            <w:shd w:val="clear" w:color="auto" w:fill="auto"/>
            <w:vAlign w:val="center"/>
            <w:hideMark/>
          </w:tcPr>
          <w:p w14:paraId="22931A71" w14:textId="455FAB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Park et al </w:t>
            </w:r>
            <w:r w:rsidR="00671B54">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{"citationItems":[{"id":"ITEM-1","itemData":{"DOI":"10.3201/eid2610.201315","ISBN":"1080-6040","PMID":"32673193","abstract":"We analyzed reports for 59,073 contacts of 5,706 coronavirus disease (COVID-19) index patients reported in South Korea during January 20-March 27, 2020. Of 10,592 household contacts, 11.8% had COVID-19. Of 48,481 nonhousehold contacts, 1.9% had COVID-19. Use of personal protective measures and social distancing reduces the likelihood of transmission.","author":[{"dropping-particle":"","family":"Park","given":"Y J","non-dropping-particle":"","parse-names":false,"suffix":""},{"dropping-particle":"","family":"Choe","given":"Y J","non-dropping-particle":"","parse-names":false,"suffix":""},{"dropping-particle":"","family":"Park","given":"O","non-dropping-particle":"","parse-names":false,"suffix":""},{"dropping-particle":"","family":"Park","given":"S Y","non-dropping-particle":"","parse-names":false,"suffix":""},{"dropping-particle":"","family":"Kim","given":"Y M","non-dropping-particle":"","parse-names":false,"suffix":""},{"dropping-particle":"","family":"Kim","given":"J","non-dropping-particle":"","parse-names":false,"suffix":""},{"dropping-particle":"","family":"Kweon","given":"S","non-dropping-particle":"","parse-names":false,"suffix":""},{"dropping-particle":"","family":"Woo","given":"Y","non-dropping-particle":"","parse-names":false,"suffix":""},{"dropping-particle":"","family":"Gwack","given":"J","non-dropping-particle":"","parse-names":false,"suffix":""},{"dropping-particle":"","family":"Kim","given":"S S","non-dropping-particle":"","parse-names":false,"suffix":""},{"dropping-particle":"","family":"Lee","given":"J","non-dropping-particle":"","parse-names":false,"suffix":""},{"dropping-particle":"","family":"Hyun","given":"J","non-dropping-particle":"","parse-names":false,"suffix":""},{"dropping-particle":"","family":"Ryu","given":"B","non-dropping-particle":"","parse-names":false,"suffix":""},{"dropping-particle":"","family":"Jang","given":"Y S","non-dropping-particle":"","parse-names":false,"suffix":""},{"dropping-particle":"","family":"Kim","given":"H","non-dropping-particle":"","parse-names":false,"suffix":""},{"dropping-particle":"","family":"Shin","given":"S H","non-dropping-particle":"","parse-names":false,"suffix":""},{"dropping-particle":"","family":"Yi","given":"S","non-dropping-particle":"","parse-names":false,"suffix":""},{"dropping-particle":"","family":"Lee","given":"S","non-dropping-particle":"","parse-names":false,"suffix":""},{"dropping-particle":"","family":"Kim","given":"H K","non-dropping-particle":"","parse-names":false,"suffix":""},{"dropping-particle":"","family":"Lee","given":"H","non-dropping-particle":"","parse-names":false,"suffix":""},{"dropping-particle":"","family":"Jin","given":"Y","non-dropping-particle":"","parse-names":false,"suffix":""},{"dropping-particle":"","family":"Park","given":"E","non-dropping-particle":"","parse-names":false,"suffix":""},{"dropping-particle":"","family":"Choi","given":"S W","non-dropping-particle":"","parse-names":false,"suffix":""},{"dropping-particle":"","family":"Kim","given":"M","non-dropping-particle":"","parse-names":false,"suffix":""},{"dropping-particle":"","family":"Song","given":"J","non-dropping-particle":"","parse-names":false,"suffix":""},{"dropping-particle":"","family":"Choi","given":"S W","non-dropping-particle":"","parse-names":false,"suffix":""},{"dropping-particle":"","family":"Kim","given":"D","non-dropping-particle":"","parse-names":false,"suffix":""},{"dropping-particle":"","family":"Jeon","given":"B H","non-dropping-particle":"","parse-names":false,"suffix":""},{"dropping-particle":"","family":"Yoo","given":"H","non-dropping-particle":"","parse-names":false,"suffix":""},{"dropping-particle":"","family":"Jeong","given":"E K","non-dropping-particle":"","parse-names":false,"suffix":""}],"container-title":"Emerg Infect Dis","edition":"2020/07/17","id":"ITEM-1","issue":"10","issued":{"date-parts":[["2020"]]},"language":"eng","note":"1080-6059\nPark, Young Joon\nChoe, Young June\nPark, Ok\nPark, Shin Young\nKim, Young-Man\nKim, Jieun\nKweon, Sanghui\nWoo, Yeonhee\nGwack, Jin\nKim, Seong Sun\nLee, Jin\nHyun, Junghee\nRyu, Boyeong\nJang, Yoon Suk\nKim, Hwami\nShin, Seung Hwan\nYi, Seonju\nLee, Sangeun\nKim, Hee Kyoung\nLee, Hyeyoung\nJin, Yeowon\nPark, Eunmi\nChoi, Seung Woo\nKim, Miyoung\nSong, Jeongsuk\nChoi, Si Won\nKim, Dongwook\nJeon, Byoung-Hak\nYoo, Hyosoon\nJeong, Eun Kyeong\nCOVID-19 National Emergency Response Center, Epidemiology and Case Management Team\nJournal Article\nUnited States\nEmerg Infect Dis. 2020 Jul 16;26(10). doi: 10.3201/eid2610.201315.","title":"Contact Tracing during Coronavirus Disease Outbreak, South Korea, 2020","type":"article-journal","volume":"26"},"uris":["http://www.mendeley.com/documents/?uuid=bb979aaa-ef20-41ed-a970-eaf21073cbba"]}],"mendeley":{"formattedCitation":"[45]","plainTextFormattedCitation":"[45]","previouslyFormattedCitation":"[47]"},"properties":{"noteIndex":0},"schema":"https://github.com/citation-style-language/schema/raw/master/csl-citation.json"}</w:instrText>
            </w:r>
            <w:r w:rsidR="00671B54">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[45]</w:t>
            </w:r>
            <w:r w:rsidR="00671B54">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006A308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Nationwide</w:t>
            </w:r>
          </w:p>
        </w:tc>
        <w:tc>
          <w:tcPr>
            <w:tcW w:w="1134" w:type="dxa"/>
            <w:tcBorders>
              <w:top w:val="nil"/>
              <w:left w:val="nil"/>
              <w:bottom w:val="single" w:sz="8" w:space="0" w:color="000000"/>
              <w:right w:val="nil"/>
            </w:tcBorders>
            <w:shd w:val="clear" w:color="000000" w:fill="FFFFFF"/>
            <w:vAlign w:val="center"/>
            <w:hideMark/>
          </w:tcPr>
          <w:p w14:paraId="04D5605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South Korea</w:t>
            </w:r>
          </w:p>
        </w:tc>
        <w:tc>
          <w:tcPr>
            <w:tcW w:w="2268" w:type="dxa"/>
            <w:tcBorders>
              <w:top w:val="nil"/>
              <w:left w:val="nil"/>
              <w:bottom w:val="single" w:sz="8" w:space="0" w:color="000000"/>
              <w:right w:val="nil"/>
            </w:tcBorders>
            <w:shd w:val="clear" w:color="000000" w:fill="FFFFFF"/>
            <w:vAlign w:val="center"/>
            <w:hideMark/>
          </w:tcPr>
          <w:p w14:paraId="08DE08FC"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Outbreak investigation</w:t>
            </w:r>
          </w:p>
        </w:tc>
        <w:tc>
          <w:tcPr>
            <w:tcW w:w="3117" w:type="dxa"/>
            <w:tcBorders>
              <w:top w:val="nil"/>
              <w:left w:val="nil"/>
              <w:bottom w:val="single" w:sz="8" w:space="0" w:color="000000"/>
              <w:right w:val="nil"/>
            </w:tcBorders>
            <w:shd w:val="clear" w:color="000000" w:fill="FFFFFF"/>
            <w:vAlign w:val="center"/>
            <w:hideMark/>
          </w:tcPr>
          <w:p w14:paraId="490B519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52451414"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3F201E9B"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4E42E3E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5706</w:t>
            </w:r>
          </w:p>
        </w:tc>
        <w:tc>
          <w:tcPr>
            <w:tcW w:w="850" w:type="dxa"/>
            <w:tcBorders>
              <w:top w:val="nil"/>
              <w:left w:val="nil"/>
              <w:bottom w:val="single" w:sz="8" w:space="0" w:color="000000"/>
              <w:right w:val="nil"/>
            </w:tcBorders>
            <w:shd w:val="clear" w:color="000000" w:fill="FFFFFF"/>
            <w:vAlign w:val="center"/>
            <w:hideMark/>
          </w:tcPr>
          <w:p w14:paraId="772D9BE2"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10,592</w:t>
            </w:r>
          </w:p>
        </w:tc>
        <w:tc>
          <w:tcPr>
            <w:tcW w:w="993" w:type="dxa"/>
            <w:tcBorders>
              <w:top w:val="nil"/>
              <w:left w:val="nil"/>
              <w:bottom w:val="single" w:sz="8" w:space="0" w:color="000000"/>
              <w:right w:val="nil"/>
            </w:tcBorders>
            <w:shd w:val="clear" w:color="000000" w:fill="FFFFFF"/>
            <w:vAlign w:val="center"/>
            <w:hideMark/>
          </w:tcPr>
          <w:p w14:paraId="2BC2292F"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10,592</w:t>
            </w:r>
          </w:p>
        </w:tc>
        <w:tc>
          <w:tcPr>
            <w:tcW w:w="1134" w:type="dxa"/>
            <w:tcBorders>
              <w:top w:val="nil"/>
              <w:left w:val="nil"/>
              <w:bottom w:val="single" w:sz="8" w:space="0" w:color="000000"/>
              <w:right w:val="nil"/>
            </w:tcBorders>
            <w:shd w:val="clear" w:color="000000" w:fill="FFFFFF"/>
            <w:vAlign w:val="center"/>
            <w:hideMark/>
          </w:tcPr>
          <w:p w14:paraId="52B2C21F"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1,248</w:t>
            </w:r>
          </w:p>
        </w:tc>
      </w:tr>
      <w:tr w:rsidR="000F13C3" w:rsidRPr="008C4D21" w14:paraId="15258671" w14:textId="77777777" w:rsidTr="006C15AF">
        <w:trPr>
          <w:cantSplit/>
          <w:trHeight w:val="771"/>
        </w:trPr>
        <w:tc>
          <w:tcPr>
            <w:tcW w:w="1135" w:type="dxa"/>
            <w:tcBorders>
              <w:top w:val="single" w:sz="8" w:space="0" w:color="auto"/>
              <w:left w:val="nil"/>
              <w:bottom w:val="single" w:sz="8" w:space="0" w:color="000000"/>
              <w:right w:val="nil"/>
            </w:tcBorders>
            <w:vAlign w:val="center"/>
          </w:tcPr>
          <w:p w14:paraId="2ED743BD" w14:textId="565EE97A" w:rsidR="00F90771" w:rsidRPr="008C4D21" w:rsidRDefault="00A93CAE"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13</w:t>
            </w:r>
          </w:p>
        </w:tc>
        <w:tc>
          <w:tcPr>
            <w:tcW w:w="1135" w:type="dxa"/>
            <w:tcBorders>
              <w:top w:val="single" w:sz="8" w:space="0" w:color="auto"/>
              <w:left w:val="nil"/>
              <w:bottom w:val="single" w:sz="8" w:space="0" w:color="000000"/>
              <w:right w:val="nil"/>
            </w:tcBorders>
            <w:shd w:val="clear" w:color="auto" w:fill="auto"/>
            <w:vAlign w:val="center"/>
            <w:hideMark/>
          </w:tcPr>
          <w:p w14:paraId="2E41D2F9" w14:textId="5D5C3441"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Pollan et al </w:t>
            </w:r>
            <w:r w:rsidR="00671B54">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ISSN":"0140-6736","author":[{"dropping-particle":"","family":"Pollán","given":"Marina","non-dropping-particle":"","parse-names":false,"suffix":""},{"dropping-particle":"","family":"Pérez-Gómez","given":"Beatriz","non-dropping-particle":"","parse-names":false,"suffix":""},{"dropping-particle":"","family":"Pastor-Barriuso","given":"Roberto","non-dropping-particle":"","parse-names":false,"suffix":""},{"dropping-particle":"","family":"Oteo","given":"Jesús","non-dropping-particle":"","parse-names":false,"suffix":""},{"dropping-particle":"","family":"Hernán","given":"Miguel A","non-dropping-particle":"","parse-names":false,"suffix":""},{"dropping-particle":"","family":"Pérez-Olmeda","given":"Mayte","non-dropping-particle":"","parse-names":false,"suffix":""},{"dropping-particle":"","family":"Sanmartín","given":"Jose L","non-dropping-particle":"","parse-names":false,"suffix":""},{"dropping-particle":"","family":"Fernández-García","given":"Aurora","non-dropping-particle":"","parse-names":false,"suffix":""},{"dropping-particle":"","family":"Cruz","given":"Israel","non-dropping-particle":"","parse-names":false,"suffix":""},{"dropping-particle":"","family":"Larrea","given":"Nerea Fernández","non-dropping-particle":"de","parse-names":false,"suffix":""}],"container-title":"The Lancet","id":"ITEM-1","issue":"10250","issued":{"date-parts":[["2020"]]},"page":"535-544","publisher":"Elsevier","title":"Prevalence of SARS-CoV-2 in Spain (ENE-COVID): a nationwide, population-based seroepidemiological study","type":"article-journal","volume":"396"},"uris":["http://www.mendeley.com/documents/?uuid=94db7b8f-9534-4dab-8a72-9753c6041a80"]}],"mendeley":{"formattedCitation":"[46]","plainTextFormattedCitation":"[46]","previouslyFormattedCitation":"[48]"},"properties":{"noteIndex":0},"schema":"https://github.com/citation-style-language/schema/raw/master/csl-citation.json"}</w:instrText>
            </w:r>
            <w:r w:rsidR="00671B54">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[46]</w:t>
            </w:r>
            <w:r w:rsidR="00671B54">
              <w:rPr>
                <w:rFonts w:ascii="Calibri" w:eastAsia="Times New Roman" w:hAnsi="Calibri" w:cs="Calibri"/>
                <w:color w:val="000000"/>
                <w:sz w:val="18"/>
                <w:szCs w:val="18"/>
                <w:lang w:eastAsia="en-GB"/>
              </w:rPr>
              <w:fldChar w:fldCharType="end"/>
            </w:r>
          </w:p>
        </w:tc>
        <w:tc>
          <w:tcPr>
            <w:tcW w:w="1276" w:type="dxa"/>
            <w:tcBorders>
              <w:top w:val="single" w:sz="8" w:space="0" w:color="auto"/>
              <w:left w:val="nil"/>
              <w:bottom w:val="single" w:sz="8" w:space="0" w:color="000000"/>
              <w:right w:val="nil"/>
            </w:tcBorders>
            <w:shd w:val="clear" w:color="000000" w:fill="FFFFFF"/>
            <w:vAlign w:val="center"/>
            <w:hideMark/>
          </w:tcPr>
          <w:p w14:paraId="2E476816"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Nationwide</w:t>
            </w:r>
          </w:p>
        </w:tc>
        <w:tc>
          <w:tcPr>
            <w:tcW w:w="1134" w:type="dxa"/>
            <w:tcBorders>
              <w:top w:val="single" w:sz="8" w:space="0" w:color="auto"/>
              <w:left w:val="nil"/>
              <w:bottom w:val="single" w:sz="8" w:space="0" w:color="000000"/>
              <w:right w:val="nil"/>
            </w:tcBorders>
            <w:shd w:val="clear" w:color="000000" w:fill="FFFFFF"/>
            <w:vAlign w:val="center"/>
            <w:hideMark/>
          </w:tcPr>
          <w:p w14:paraId="0470CE5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Spain</w:t>
            </w:r>
          </w:p>
        </w:tc>
        <w:tc>
          <w:tcPr>
            <w:tcW w:w="2268" w:type="dxa"/>
            <w:tcBorders>
              <w:top w:val="single" w:sz="8" w:space="0" w:color="auto"/>
              <w:left w:val="nil"/>
              <w:bottom w:val="single" w:sz="8" w:space="0" w:color="000000"/>
              <w:right w:val="nil"/>
            </w:tcBorders>
            <w:shd w:val="clear" w:color="000000" w:fill="FFFFFF"/>
            <w:vAlign w:val="center"/>
            <w:hideMark/>
          </w:tcPr>
          <w:p w14:paraId="76A98C5D" w14:textId="599E3C68"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Seros</w:t>
            </w:r>
            <w:r w:rsidR="001F3B29">
              <w:rPr>
                <w:rFonts w:ascii="Calibri" w:eastAsia="Times New Roman" w:hAnsi="Calibri" w:cs="Calibri"/>
                <w:color w:val="000000"/>
                <w:sz w:val="18"/>
                <w:szCs w:val="18"/>
                <w:lang w:eastAsia="en-GB"/>
              </w:rPr>
              <w:t>u</w:t>
            </w:r>
            <w:r w:rsidRPr="008C4D21">
              <w:rPr>
                <w:rFonts w:ascii="Calibri" w:eastAsia="Times New Roman" w:hAnsi="Calibri" w:cs="Calibri"/>
                <w:color w:val="000000"/>
                <w:sz w:val="18"/>
                <w:szCs w:val="18"/>
                <w:lang w:eastAsia="en-GB"/>
              </w:rPr>
              <w:t>rvey</w:t>
            </w:r>
          </w:p>
        </w:tc>
        <w:tc>
          <w:tcPr>
            <w:tcW w:w="3117" w:type="dxa"/>
            <w:tcBorders>
              <w:top w:val="single" w:sz="8" w:space="0" w:color="auto"/>
              <w:left w:val="nil"/>
              <w:bottom w:val="single" w:sz="8" w:space="0" w:color="000000"/>
              <w:right w:val="nil"/>
            </w:tcBorders>
            <w:shd w:val="clear" w:color="000000" w:fill="FFFFFF"/>
            <w:vAlign w:val="center"/>
            <w:hideMark/>
          </w:tcPr>
          <w:p w14:paraId="617AD008"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single" w:sz="8" w:space="0" w:color="auto"/>
              <w:left w:val="nil"/>
              <w:bottom w:val="single" w:sz="8" w:space="0" w:color="000000"/>
              <w:right w:val="nil"/>
            </w:tcBorders>
            <w:shd w:val="clear" w:color="000000" w:fill="FFFFFF"/>
            <w:vAlign w:val="center"/>
            <w:hideMark/>
          </w:tcPr>
          <w:p w14:paraId="3F8BB3AC"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single" w:sz="8" w:space="0" w:color="auto"/>
              <w:left w:val="nil"/>
              <w:bottom w:val="single" w:sz="8" w:space="0" w:color="000000"/>
              <w:right w:val="nil"/>
            </w:tcBorders>
            <w:shd w:val="clear" w:color="000000" w:fill="FFFFFF"/>
            <w:vAlign w:val="center"/>
            <w:hideMark/>
          </w:tcPr>
          <w:p w14:paraId="6D78B57B"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Serology</w:t>
            </w:r>
          </w:p>
        </w:tc>
        <w:tc>
          <w:tcPr>
            <w:tcW w:w="851" w:type="dxa"/>
            <w:tcBorders>
              <w:top w:val="single" w:sz="8" w:space="0" w:color="auto"/>
              <w:left w:val="nil"/>
              <w:bottom w:val="single" w:sz="8" w:space="0" w:color="000000"/>
              <w:right w:val="nil"/>
            </w:tcBorders>
            <w:shd w:val="clear" w:color="000000" w:fill="FFFFFF"/>
            <w:vAlign w:val="center"/>
            <w:hideMark/>
          </w:tcPr>
          <w:p w14:paraId="4AD73462" w14:textId="1D11296A"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not </w:t>
            </w:r>
            <w:r w:rsidR="006C15AF">
              <w:rPr>
                <w:rFonts w:ascii="Calibri" w:eastAsia="Times New Roman" w:hAnsi="Calibri" w:cs="Calibri"/>
                <w:color w:val="000000"/>
                <w:sz w:val="18"/>
                <w:szCs w:val="18"/>
                <w:lang w:eastAsia="en-GB"/>
              </w:rPr>
              <w:t>stated*</w:t>
            </w:r>
            <w:r w:rsidRPr="008C4D21">
              <w:rPr>
                <w:rFonts w:ascii="Calibri" w:eastAsia="Times New Roman" w:hAnsi="Calibri" w:cs="Calibri"/>
                <w:color w:val="000000"/>
                <w:sz w:val="18"/>
                <w:szCs w:val="18"/>
                <w:lang w:eastAsia="en-GB"/>
              </w:rPr>
              <w:t xml:space="preserve"> </w:t>
            </w:r>
          </w:p>
        </w:tc>
        <w:tc>
          <w:tcPr>
            <w:tcW w:w="850" w:type="dxa"/>
            <w:tcBorders>
              <w:top w:val="single" w:sz="8" w:space="0" w:color="auto"/>
              <w:left w:val="nil"/>
              <w:bottom w:val="single" w:sz="8" w:space="0" w:color="000000"/>
              <w:right w:val="nil"/>
            </w:tcBorders>
            <w:shd w:val="clear" w:color="000000" w:fill="FFFFFF"/>
            <w:vAlign w:val="center"/>
            <w:hideMark/>
          </w:tcPr>
          <w:p w14:paraId="3D016174"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860</w:t>
            </w:r>
          </w:p>
        </w:tc>
        <w:tc>
          <w:tcPr>
            <w:tcW w:w="993" w:type="dxa"/>
            <w:tcBorders>
              <w:top w:val="single" w:sz="8" w:space="0" w:color="auto"/>
              <w:left w:val="nil"/>
              <w:bottom w:val="single" w:sz="8" w:space="0" w:color="000000"/>
              <w:right w:val="nil"/>
            </w:tcBorders>
            <w:shd w:val="clear" w:color="000000" w:fill="FFFFFF"/>
            <w:vAlign w:val="center"/>
            <w:hideMark/>
          </w:tcPr>
          <w:p w14:paraId="79046E69"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860</w:t>
            </w:r>
          </w:p>
        </w:tc>
        <w:tc>
          <w:tcPr>
            <w:tcW w:w="1134" w:type="dxa"/>
            <w:tcBorders>
              <w:top w:val="single" w:sz="8" w:space="0" w:color="auto"/>
              <w:left w:val="nil"/>
              <w:bottom w:val="single" w:sz="8" w:space="0" w:color="000000"/>
              <w:right w:val="nil"/>
            </w:tcBorders>
            <w:shd w:val="clear" w:color="000000" w:fill="FFFFFF"/>
            <w:vAlign w:val="center"/>
            <w:hideMark/>
          </w:tcPr>
          <w:p w14:paraId="3A0CB91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282</w:t>
            </w:r>
          </w:p>
        </w:tc>
      </w:tr>
      <w:tr w:rsidR="000F13C3" w:rsidRPr="008C4D21" w14:paraId="2C0D2A83" w14:textId="77777777" w:rsidTr="006C15AF">
        <w:trPr>
          <w:cantSplit/>
          <w:trHeight w:val="718"/>
        </w:trPr>
        <w:tc>
          <w:tcPr>
            <w:tcW w:w="1135" w:type="dxa"/>
            <w:tcBorders>
              <w:top w:val="nil"/>
              <w:left w:val="nil"/>
              <w:bottom w:val="single" w:sz="8" w:space="0" w:color="000000"/>
              <w:right w:val="nil"/>
            </w:tcBorders>
            <w:vAlign w:val="center"/>
          </w:tcPr>
          <w:p w14:paraId="15D0207A"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nil"/>
              <w:left w:val="nil"/>
              <w:bottom w:val="single" w:sz="8" w:space="0" w:color="000000"/>
              <w:right w:val="nil"/>
            </w:tcBorders>
            <w:shd w:val="clear" w:color="auto" w:fill="auto"/>
            <w:vAlign w:val="center"/>
            <w:hideMark/>
          </w:tcPr>
          <w:p w14:paraId="5BA363C8" w14:textId="64531905"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Pung</w:t>
            </w:r>
            <w:proofErr w:type="spellEnd"/>
            <w:r w:rsidRPr="008C4D21">
              <w:rPr>
                <w:rFonts w:ascii="Calibri" w:eastAsia="Times New Roman" w:hAnsi="Calibri" w:cs="Calibri"/>
                <w:color w:val="000000"/>
                <w:sz w:val="18"/>
                <w:szCs w:val="18"/>
                <w:lang w:eastAsia="en-GB"/>
              </w:rPr>
              <w:t xml:space="preserve"> et al </w:t>
            </w:r>
            <w:r w:rsidR="00671B54">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{"citationItems":[{"id":"ITEM-1","itemData":{"DOI":"10.1016/s0140-6736(20)30528-6","ISBN":"0140-6736 (Print)\r0140-6736","PMID":"32192580","abstract":"BACKGROUND: Three clusters of coronavirus disease 2019 (COVID-19) linked to a tour group from China, a company conference, and a church were identified in Singapore in February, 2020. METHODS: We gathered epidemiological and clinical data from individuals with confirmed COVID-19, via interviews and inpatient medical records, and we did field investigations to assess interactions and possible modes of transmission of severe acute respiratory syndrome coronavirus 2 (SARS-CoV-2). Open source reports were obtained for overseas cases. We reported the median (IQR) incubation period of SARS-CoV-2. FINDINGS: As of Feb 15, 2020, 36 cases of COVID-19 were linked epidemiologically to the first three clusters of circumscribed local transmission in Singapore. 425 close contacts were quarantined. Direct or prolonged close contact was reported among affected individuals, although indirect transmission (eg, via fomites and shared food) could not be excluded. The median incubation period of SARS-CoV-2 was 4 days (IQR 3-6). The serial interval between transmission pairs ranged between 3 days and 8 days. INTERPRETATION: SARS-CoV-2 is transmissible in community settings, and local clusters of COVID-19 are expected in countries with high travel volume from China before the lockdown of Wuhan and institution of travel restrictions. Enhanced surveillance and contact tracing is essential to minimise the risk of widespread transmission in the community. FUNDING: None.","author":[{"dropping-particle":"","family":"Pung","given":"R","non-dropping-particle":"","parse-names":false,"suffix":""},{"dropping-particle":"","family":"Chiew","given":"C J","non-dropping-particle":"","parse-names":false,"suffix":""},{"dropping-particle":"","family":"Young","given":"B E","non-dropping-particle":"","parse-names":false,"suffix":""},{"dropping-particle":"","family":"Chin","given":"S","non-dropping-particle":"","parse-names":false,"suffix":""},{"dropping-particle":"","family":"Chen","given":"M I","non-dropping-particle":"","parse-names":false,"suffix":""},{"dropping-particle":"","family":"Clapham","given":"H E","non-dropping-particle":"","parse-names":false,"suffix":""},{"dropping-particle":"","family":"Cook","given":"A R","non-dropping-particle":"","parse-names":false,"suffix":""},{"dropping-particle":"","family":"Maurer-Stroh","given":"S","non-dropping-particle":"","parse-names":false,"suffix":""},{"dropping-particle":"","family":"Toh","given":"Mphs","non-dropping-particle":"","parse-names":false,"suffix":""},{"dropping-particle":"","family":"Poh","given":"C","non-dropping-particle":"","parse-names":false,"suffix":""},{"dropping-particle":"","family":"Low","given":"M","non-dropping-particle":"","parse-names":false,"suffix":""},{"dropping-particle":"","family":"Lum","given":"J","non-dropping-particle":"","parse-names":false,"suffix":""},{"dropping-particle":"","family":"Koh","given":"V T J","non-dropping-particle":"","parse-names":false,"suffix":""},{"dropping-particle":"","family":"Mak","given":"T M","non-dropping-particle":"","parse-names":false,"suffix":""},{"dropping-particle":"","family":"Cui","given":"L","non-dropping-particle":"","parse-names":false,"suffix":""},{"dropping-particle":"","family":"Lin","given":"Rvtp","non-dropping-particle":"","parse-names":false,"suffix":""},{"dropping-particle":"","family":"Heng","given":"D","non-dropping-particle":"","parse-names":false,"suffix":""},{"dropping-particle":"","family":"Leo","given":"Y S","non-dropping-particle":"","parse-names":false,"suffix":""},{"dropping-particle":"","family":"Lye","given":"D C","non-dropping-particle":"","parse-names":false,"suffix":""},{"dropping-particle":"","family":"Lee","given":"V J M","non-dropping-particle":"","parse-names":false,"suffix":""}],"container-title":"Lancet","edition":"2020/03/21","id":"ITEM-1","issue":"10229","issued":{"date-parts":[["2020"]]},"language":"eng","note":"1474-547x\nPung, Rachael\nChiew, Calvin J\nYoung, Barnaby E\nChin, Sarah\nChen, Mark I-C\nClapham, Hannah E\nCook, Alex R\nMaurer-Stroh, Sebastian\nToh, Matthias P H S\nPoh, Cuiqin\nLow, Mabel\nLum, Joshua\nKoh, Valerie T J\nMak, Tze M\nCui, Lin\nLin, Raymond V T P\nHeng, Derrick\nLeo, Yee-Sin\nLye, David C\nLee, Vernon J M\nSingapore 2019 Novel Coronavirus Outbreak Research Team\nJournal Article\nLancet. 2020 Mar 28;395(10229):1039-1046. doi: 10.1016/S0140-6736(20)30528-6. Epub 2020 Mar 17.","page":"1039-1046","title":"Investigation of three clusters of COVID-19 in Singapore: implications for surveillance and response measures","type":"article-journal","volume":"395"},"uris":["http://www.mendeley.com/documents/?uuid=e8835c21-d50d-4242-bc45-bb89e81589e7"]}],"mendeley":{"formattedCitation":"[47]","plainTextFormattedCitation":"[47]","previouslyFormattedCitation":"[49]"},"properties":{"noteIndex":0},"schema":"https://github.com/citation-style-language/schema/raw/master/csl-citation.json"}</w:instrText>
            </w:r>
            <w:r w:rsidR="00671B54">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[47]</w:t>
            </w:r>
            <w:r w:rsidR="00671B54">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2637DB7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Not specified</w:t>
            </w:r>
          </w:p>
        </w:tc>
        <w:tc>
          <w:tcPr>
            <w:tcW w:w="1134" w:type="dxa"/>
            <w:tcBorders>
              <w:top w:val="nil"/>
              <w:left w:val="nil"/>
              <w:bottom w:val="single" w:sz="8" w:space="0" w:color="000000"/>
              <w:right w:val="nil"/>
            </w:tcBorders>
            <w:shd w:val="clear" w:color="auto" w:fill="auto"/>
            <w:vAlign w:val="center"/>
            <w:hideMark/>
          </w:tcPr>
          <w:p w14:paraId="47EBBFC5"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Singapore</w:t>
            </w:r>
          </w:p>
        </w:tc>
        <w:tc>
          <w:tcPr>
            <w:tcW w:w="2268" w:type="dxa"/>
            <w:tcBorders>
              <w:top w:val="nil"/>
              <w:left w:val="nil"/>
              <w:bottom w:val="single" w:sz="8" w:space="0" w:color="000000"/>
              <w:right w:val="nil"/>
            </w:tcBorders>
            <w:shd w:val="clear" w:color="000000" w:fill="FFFFFF"/>
            <w:vAlign w:val="center"/>
            <w:hideMark/>
          </w:tcPr>
          <w:p w14:paraId="3A28CA5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Cluster investigation and contact tracing </w:t>
            </w:r>
          </w:p>
        </w:tc>
        <w:tc>
          <w:tcPr>
            <w:tcW w:w="3117" w:type="dxa"/>
            <w:tcBorders>
              <w:top w:val="nil"/>
              <w:left w:val="nil"/>
              <w:bottom w:val="single" w:sz="8" w:space="0" w:color="000000"/>
              <w:right w:val="nil"/>
            </w:tcBorders>
            <w:shd w:val="clear" w:color="000000" w:fill="FFFFFF"/>
            <w:vAlign w:val="center"/>
            <w:hideMark/>
          </w:tcPr>
          <w:p w14:paraId="49E793B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noWrap/>
            <w:vAlign w:val="center"/>
            <w:hideMark/>
          </w:tcPr>
          <w:p w14:paraId="541BD0F1"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4A2B7D20"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016C0AB9"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w:t>
            </w:r>
          </w:p>
        </w:tc>
        <w:tc>
          <w:tcPr>
            <w:tcW w:w="850" w:type="dxa"/>
            <w:tcBorders>
              <w:top w:val="nil"/>
              <w:left w:val="nil"/>
              <w:bottom w:val="single" w:sz="8" w:space="0" w:color="000000"/>
              <w:right w:val="nil"/>
            </w:tcBorders>
            <w:shd w:val="clear" w:color="000000" w:fill="FFFFFF"/>
            <w:vAlign w:val="center"/>
            <w:hideMark/>
          </w:tcPr>
          <w:p w14:paraId="28E4035F"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w:t>
            </w:r>
          </w:p>
        </w:tc>
        <w:tc>
          <w:tcPr>
            <w:tcW w:w="993" w:type="dxa"/>
            <w:tcBorders>
              <w:top w:val="nil"/>
              <w:left w:val="nil"/>
              <w:bottom w:val="single" w:sz="8" w:space="0" w:color="000000"/>
              <w:right w:val="nil"/>
            </w:tcBorders>
            <w:shd w:val="clear" w:color="000000" w:fill="FFFFFF"/>
            <w:vAlign w:val="center"/>
            <w:hideMark/>
          </w:tcPr>
          <w:p w14:paraId="4E6214C6"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w:t>
            </w:r>
          </w:p>
        </w:tc>
        <w:tc>
          <w:tcPr>
            <w:tcW w:w="1134" w:type="dxa"/>
            <w:tcBorders>
              <w:top w:val="nil"/>
              <w:left w:val="nil"/>
              <w:bottom w:val="single" w:sz="8" w:space="0" w:color="000000"/>
              <w:right w:val="nil"/>
            </w:tcBorders>
            <w:shd w:val="clear" w:color="000000" w:fill="FFFFFF"/>
            <w:vAlign w:val="center"/>
            <w:hideMark/>
          </w:tcPr>
          <w:p w14:paraId="23C3DD4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w:t>
            </w:r>
          </w:p>
        </w:tc>
      </w:tr>
      <w:tr w:rsidR="000F13C3" w:rsidRPr="008C4D21" w14:paraId="5994EC9B" w14:textId="77777777" w:rsidTr="006C15AF">
        <w:trPr>
          <w:cantSplit/>
          <w:trHeight w:val="672"/>
        </w:trPr>
        <w:tc>
          <w:tcPr>
            <w:tcW w:w="1135" w:type="dxa"/>
            <w:tcBorders>
              <w:top w:val="nil"/>
              <w:left w:val="nil"/>
              <w:bottom w:val="single" w:sz="8" w:space="0" w:color="000000"/>
              <w:right w:val="nil"/>
            </w:tcBorders>
            <w:vAlign w:val="center"/>
          </w:tcPr>
          <w:p w14:paraId="3EA95EC5" w14:textId="018AC2B8" w:rsidR="00F90771" w:rsidRPr="008C4D21" w:rsidRDefault="00A93CAE"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14</w:t>
            </w:r>
          </w:p>
        </w:tc>
        <w:tc>
          <w:tcPr>
            <w:tcW w:w="1135" w:type="dxa"/>
            <w:tcBorders>
              <w:top w:val="nil"/>
              <w:left w:val="nil"/>
              <w:bottom w:val="single" w:sz="8" w:space="0" w:color="000000"/>
              <w:right w:val="nil"/>
            </w:tcBorders>
            <w:shd w:val="clear" w:color="auto" w:fill="auto"/>
            <w:vAlign w:val="center"/>
            <w:hideMark/>
          </w:tcPr>
          <w:p w14:paraId="1024BA23" w14:textId="463EB8B3"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Rosenberg et al</w:t>
            </w:r>
            <w:r w:rsidR="00671B54">
              <w:rPr>
                <w:rFonts w:ascii="Calibri" w:eastAsia="Times New Roman" w:hAnsi="Calibri" w:cs="Calibri"/>
                <w:color w:val="000000"/>
                <w:sz w:val="18"/>
                <w:szCs w:val="18"/>
                <w:lang w:eastAsia="en-GB"/>
              </w:rPr>
              <w:t xml:space="preserve"> </w:t>
            </w:r>
            <w:r w:rsidR="00671B54">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{"citationItems":[{"id":"ITEM-1","itemData":{"DOI":"10.1093/cid/ciaa549","ISBN":"1537-6591\r1058-4838","PMID":"32382743","abstract":"BACKGROUND: The United States' COVID-19 epidemic has grown extensively since February 2020, with substantial associated hospitalizations and mortality; New York State (NYS) has emerged as the national epicenter. We report on the extent of testing and test results during the month of March in NYS, along with risk factors, outcomes, and household prevalence among initial cases subject to in-depth investigations. METHODS: Specimen collection for COVID-19 testing was conducted in healthcare settings, community-based collection sites, and by home testing teams. Information on demographics, risk factors, and hospital outcomes of cases was obtained through epidemiological investigations and an electronic medical records match, and summarized descriptively. Active testing of initial case's households enabled estimation of household prevalence. RESULTS: During March In NYS, outside of New York City, a total of 47,326 persons tested positive for SARS-CoV-2, out of 141,495 tests (33% test-positive), with the highest number of cases located in the metropolitan region counties. Among 229 initial cases diagnosed through March 12, by March 30 13% were hospitalized and 2% died. Testing conducted among 498 members of these case's households found prevalent infection among 57%; excluding first-reported cases 38%. In these homes, we found a significant age gradient in prevalence, from 23% among those &lt;5 years to 68% among those ≥65 years (p&lt;.0001). CONCLUSIONS: New York State faced a substantial and increasing COVID-19 outbreak during March 2020. The earliest cases had high levels of infection in their households and by the end of the month, the risks of hospitalization and death were high.","author":[{"dropping-particle":"","family":"Rosenberg","given":"Eli S","non-dropping-particle":"","parse-names":false,"suffix":""},{"dropping-particle":"","family":"Dufort","given":"Elizabeth M","non-dropping-particle":"","parse-names":false,"suffix":""},{"dropping-particle":"","family":"Blog","given":"Debra S","non-dropping-particle":"","parse-names":false,"suffix":""},{"dropping-particle":"","family":"Hall","given":"Eric W","non-dropping-particle":"","parse-names":false,"suffix":""},{"dropping-particle":"","family":"Hoefer","given":"Dina","non-dropping-particle":"","parse-names":false,"suffix":""},{"dropping-particle":"","family":"Backenson","given":"Bryon P","non-dropping-particle":"","parse-names":false,"suffix":""},{"dropping-particle":"","family":"Muse","given":"Alison T","non-dropping-particle":"","parse-names":false,"suffix":""},{"dropping-particle":"","family":"Kirkwood","given":"James N","non-dropping-particle":"","parse-names":false,"suffix":""},{"dropping-particle":"","family":"George","given":"Kirsten St","non-dropping-particle":"","parse-names":false,"suffix":""},{"dropping-particle":"","family":"Holtgrave","given":"David R","non-dropping-particle":"","parse-names":false,"suffix":""},{"dropping-particle":"","family":"Hutton","given":"Brad J","non-dropping-particle":"","parse-names":false,"suffix":""},{"dropping-particle":"","family":"Zucker","given":"Howard A","non-dropping-particle":"","parse-names":false,"suffix":""},{"dropping-particle":"","family":"New York State Coronavirus Response","given":"Team","non-dropping-particle":"","parse-names":false,"suffix":""}],"container-title":"Clinical infectious diseases : an official publication of the Infectious Diseases Society of America","id":"ITEM-1","issued":{"date-parts":[["2020"]]},"language":"eng","note":"32382743[pmid]\nPMC7239264[pmcid]\n5831986[PII]","page":"ciaa549","publisher":"Oxford University Press","title":"COVID-19 Testing, Epidemic Features, Hospital Outcomes, and Household Prevalence, New York State-March 2020","type":"article-journal"},"uris":["http://www.mendeley.com/documents/?uuid=5cbea1a1-3350-401c-9720-eb7162f1fbde"]}],"mendeley":{"formattedCitation":"[48]","plainTextFormattedCitation":"[48]","previouslyFormattedCitation":"[50]"},"properties":{"noteIndex":0},"schema":"https://github.com/citation-style-language/schema/raw/master/csl-citation.json"}</w:instrText>
            </w:r>
            <w:r w:rsidR="00671B54">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[48]</w:t>
            </w:r>
            <w:r w:rsidR="00671B54">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6C057C5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New York State</w:t>
            </w:r>
          </w:p>
        </w:tc>
        <w:tc>
          <w:tcPr>
            <w:tcW w:w="1134" w:type="dxa"/>
            <w:tcBorders>
              <w:top w:val="nil"/>
              <w:left w:val="nil"/>
              <w:bottom w:val="single" w:sz="8" w:space="0" w:color="000000"/>
              <w:right w:val="nil"/>
            </w:tcBorders>
            <w:shd w:val="clear" w:color="000000" w:fill="FFFFFF"/>
            <w:vAlign w:val="center"/>
            <w:hideMark/>
          </w:tcPr>
          <w:p w14:paraId="297F4B0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USA</w:t>
            </w:r>
          </w:p>
        </w:tc>
        <w:tc>
          <w:tcPr>
            <w:tcW w:w="2268" w:type="dxa"/>
            <w:tcBorders>
              <w:top w:val="nil"/>
              <w:left w:val="nil"/>
              <w:bottom w:val="single" w:sz="8" w:space="0" w:color="000000"/>
              <w:right w:val="nil"/>
            </w:tcBorders>
            <w:shd w:val="clear" w:color="000000" w:fill="FFFFFF"/>
            <w:vAlign w:val="center"/>
            <w:hideMark/>
          </w:tcPr>
          <w:p w14:paraId="136F15E8"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27A81324"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75F305D8"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07343166"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tcPr>
          <w:p w14:paraId="7857C854" w14:textId="08950D88"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155</w:t>
            </w:r>
          </w:p>
        </w:tc>
        <w:tc>
          <w:tcPr>
            <w:tcW w:w="850" w:type="dxa"/>
            <w:tcBorders>
              <w:top w:val="nil"/>
              <w:left w:val="nil"/>
              <w:bottom w:val="single" w:sz="8" w:space="0" w:color="000000"/>
              <w:right w:val="nil"/>
            </w:tcBorders>
            <w:shd w:val="clear" w:color="000000" w:fill="FFFFFF"/>
            <w:vAlign w:val="center"/>
          </w:tcPr>
          <w:p w14:paraId="5AAD3A25" w14:textId="34B43291"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343</w:t>
            </w:r>
          </w:p>
        </w:tc>
        <w:tc>
          <w:tcPr>
            <w:tcW w:w="993" w:type="dxa"/>
            <w:tcBorders>
              <w:top w:val="nil"/>
              <w:left w:val="nil"/>
              <w:bottom w:val="single" w:sz="8" w:space="0" w:color="000000"/>
              <w:right w:val="nil"/>
            </w:tcBorders>
            <w:shd w:val="clear" w:color="000000" w:fill="FFFFFF"/>
            <w:vAlign w:val="center"/>
          </w:tcPr>
          <w:p w14:paraId="429C928E" w14:textId="78DFFBB8"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343</w:t>
            </w:r>
          </w:p>
        </w:tc>
        <w:tc>
          <w:tcPr>
            <w:tcW w:w="1134" w:type="dxa"/>
            <w:tcBorders>
              <w:top w:val="nil"/>
              <w:left w:val="nil"/>
              <w:bottom w:val="single" w:sz="8" w:space="0" w:color="000000"/>
              <w:right w:val="nil"/>
            </w:tcBorders>
            <w:shd w:val="clear" w:color="000000" w:fill="FFFFFF"/>
            <w:vAlign w:val="center"/>
          </w:tcPr>
          <w:p w14:paraId="0BAF27C2" w14:textId="27061EC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131</w:t>
            </w:r>
          </w:p>
        </w:tc>
      </w:tr>
      <w:tr w:rsidR="000F13C3" w:rsidRPr="008C4D21" w14:paraId="327AD7AE" w14:textId="77777777" w:rsidTr="006C15AF">
        <w:trPr>
          <w:cantSplit/>
          <w:trHeight w:val="554"/>
        </w:trPr>
        <w:tc>
          <w:tcPr>
            <w:tcW w:w="1135" w:type="dxa"/>
            <w:tcBorders>
              <w:top w:val="nil"/>
              <w:left w:val="nil"/>
              <w:bottom w:val="single" w:sz="8" w:space="0" w:color="000000"/>
              <w:right w:val="nil"/>
            </w:tcBorders>
            <w:vAlign w:val="center"/>
          </w:tcPr>
          <w:p w14:paraId="75FBF4E5" w14:textId="2D5176EA" w:rsidR="00F90771" w:rsidRPr="008C4D21" w:rsidRDefault="00511582"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w:t>
            </w:r>
            <w:r w:rsidR="00A93CAE">
              <w:rPr>
                <w:rFonts w:ascii="Calibri" w:eastAsia="Times New Roman" w:hAnsi="Calibri" w:cs="Calibri"/>
                <w:color w:val="000000"/>
                <w:sz w:val="18"/>
                <w:szCs w:val="18"/>
                <w:lang w:eastAsia="en-GB"/>
              </w:rPr>
              <w:t>5</w:t>
            </w:r>
          </w:p>
        </w:tc>
        <w:tc>
          <w:tcPr>
            <w:tcW w:w="1135" w:type="dxa"/>
            <w:tcBorders>
              <w:top w:val="nil"/>
              <w:left w:val="nil"/>
              <w:bottom w:val="single" w:sz="8" w:space="0" w:color="000000"/>
              <w:right w:val="nil"/>
            </w:tcBorders>
            <w:shd w:val="clear" w:color="auto" w:fill="auto"/>
            <w:vAlign w:val="center"/>
            <w:hideMark/>
          </w:tcPr>
          <w:p w14:paraId="4145D9D0" w14:textId="335A4EC2"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Sun et al </w:t>
            </w:r>
            <w:r w:rsidR="001B02A6">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{"citationItems":[{"id":"ITEM-1","itemData":{"DOI":"10.3760/cma.j.cn112150-20200227-00199","ISBN":"0253-9624 (Print)\r0253-9624","PMID":"32171192","abstract":"Objective: Family clusters of Novel coronavirus pneumonia in Zhejiang province were analyzed to provide epidemiological basis for disease control. Methods: The data of family clusters occurred from January 20 to February 10 in Zhejiang Province were collected. Descriptive analysis was used to analyze the clinical symptoms and the serial interval between the subsequent cases and the index cases. Chi-square test was used to analyze the age distribution, gender distribution and the relationship between the subsequent cases and the index cases. Results: 391 cases including 148 family index cases, 189 subsequent cases and 54 asymptomatic infected cases. The clinical symptoms between family index cases and subsequent cases are similar, fever is the most common symptoms in the two groups 114 (77.03%) and 92 (48.68%) respectively, the cases with diarrhea symptoms accounted for the least proportion, which were 7 (4.73%) and 5 (2.65%). The serial interval between the family index cases and the subsequent cases [M (P(25), P(75))] was 3.00 (1.00, 6.00) days. Family secondary attack rate for subsequent cases and asymptomatic infected cases are 31.61% and 43.20% respectively, the family secondary attack rate of the spouses of the family index cases is 63.87%, and are higher than that of their children (30.53%), parents (28.37%) and other family members (20.93%), the difference was statistically significant. Conclusion: 2019 novel coronavirus has shorter serial interval and higher family secondary attack rate, the secondary attack rate of spouses is higher than other family members.","author":[{"dropping-particle":"","family":"Sun","given":"W W","non-dropping-particle":"","parse-names":false,"suffix":""},{"dropping-particle":"","family":"Ling","given":"F","non-dropping-particle":"","parse-names":false,"suffix":""},{"dropping-particle":"","family":"Pan","given":"J R","non-dropping-particle":"","parse-names":false,"suffix":""},{"dropping-particle":"","family":"Cai","given":"J","non-dropping-particle":"","parse-names":false,"suffix":""},{"dropping-particle":"","family":"Miao","given":"Z P","non-dropping-particle":"","parse-names":false,"suffix":""},{"dropping-particle":"","family":"Liu","given":"S L","non-dropping-particle":"","parse-names":false,"suffix":""},{"dropping-particle":"","family":"Cheng","given":"W","non-dropping-particle":"","parse-names":false,"suffix":""},{"dropping-particle":"","family":"Chen","given":"E F","non-dropping-particle":"","parse-names":false,"suffix":""}],"container-title":"Zhonghua Yu Fang Yi Xue Za Zhi","edition":"2020/03/17","id":"ITEM-1","issue":"0","issued":{"date-parts":[["2020"]]},"language":"chi","note":"Sun, W W\nLing, F\nPan, J R\nCai, J\nMiao, Z P\nLiu, S L\nCheng, W\nChen, E F\n2020C03124/Key Technologies for Prevention and Control of Pneumonia Caused by Novel Coronavirus Infection/\nEnglish Abstract\nJournal Article\nChina\nZhonghua Yu Fang Yi Xue Za Zhi. 2020 Mar 15;54(0):E027. doi: 10.3760/cma.j.cn112150-20200227-00199.","page":"E027","title":"[Epidemiological characteristics of 2019 novel coronavirus family clustering in Zhejiang Province]","type":"article-journal","volume":"54"},"uris":["http://www.mendeley.com/documents/?uuid=cc39ddcf-ea84-4738-8e42-8a4daa996532"]}],"mendeley":{"formattedCitation":"[49]","plainTextFormattedCitation":"[49]","previouslyFormattedCitation":"[51]"},"properties":{"noteIndex":0},"schema":"https://github.com/citation-style-language/schema/raw/master/csl-citation.json"}</w:instrText>
            </w:r>
            <w:r w:rsidR="001B02A6">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[49]</w:t>
            </w:r>
            <w:r w:rsidR="001B02A6">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2FC1E2C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Zhenjiang </w:t>
            </w:r>
          </w:p>
        </w:tc>
        <w:tc>
          <w:tcPr>
            <w:tcW w:w="1134" w:type="dxa"/>
            <w:tcBorders>
              <w:top w:val="nil"/>
              <w:left w:val="nil"/>
              <w:bottom w:val="single" w:sz="8" w:space="0" w:color="000000"/>
              <w:right w:val="nil"/>
            </w:tcBorders>
            <w:shd w:val="clear" w:color="000000" w:fill="FFFFFF"/>
            <w:vAlign w:val="center"/>
            <w:hideMark/>
          </w:tcPr>
          <w:p w14:paraId="3C26649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27EE668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7FDF0E5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2B35471E"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35F60FF5"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3BCEFD79"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148</w:t>
            </w:r>
          </w:p>
        </w:tc>
        <w:tc>
          <w:tcPr>
            <w:tcW w:w="850" w:type="dxa"/>
            <w:tcBorders>
              <w:top w:val="nil"/>
              <w:left w:val="nil"/>
              <w:bottom w:val="single" w:sz="8" w:space="0" w:color="000000"/>
              <w:right w:val="nil"/>
            </w:tcBorders>
            <w:shd w:val="clear" w:color="000000" w:fill="FFFFFF"/>
            <w:vAlign w:val="center"/>
            <w:hideMark/>
          </w:tcPr>
          <w:p w14:paraId="0EDEF22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598</w:t>
            </w:r>
          </w:p>
        </w:tc>
        <w:tc>
          <w:tcPr>
            <w:tcW w:w="993" w:type="dxa"/>
            <w:tcBorders>
              <w:top w:val="nil"/>
              <w:left w:val="nil"/>
              <w:bottom w:val="single" w:sz="8" w:space="0" w:color="000000"/>
              <w:right w:val="nil"/>
            </w:tcBorders>
            <w:shd w:val="clear" w:color="000000" w:fill="FFFFFF"/>
            <w:vAlign w:val="center"/>
            <w:hideMark/>
          </w:tcPr>
          <w:p w14:paraId="19FBE0C4"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598</w:t>
            </w:r>
          </w:p>
        </w:tc>
        <w:tc>
          <w:tcPr>
            <w:tcW w:w="1134" w:type="dxa"/>
            <w:tcBorders>
              <w:top w:val="nil"/>
              <w:left w:val="nil"/>
              <w:bottom w:val="single" w:sz="8" w:space="0" w:color="000000"/>
              <w:right w:val="nil"/>
            </w:tcBorders>
            <w:shd w:val="clear" w:color="000000" w:fill="FFFFFF"/>
            <w:vAlign w:val="center"/>
            <w:hideMark/>
          </w:tcPr>
          <w:p w14:paraId="6EEA6D9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189</w:t>
            </w:r>
          </w:p>
        </w:tc>
      </w:tr>
      <w:tr w:rsidR="000F13C3" w:rsidRPr="008C4D21" w14:paraId="78480016" w14:textId="77777777" w:rsidTr="006C15AF">
        <w:trPr>
          <w:cantSplit/>
          <w:trHeight w:val="548"/>
        </w:trPr>
        <w:tc>
          <w:tcPr>
            <w:tcW w:w="1135" w:type="dxa"/>
            <w:tcBorders>
              <w:top w:val="nil"/>
              <w:left w:val="nil"/>
              <w:bottom w:val="single" w:sz="8" w:space="0" w:color="000000"/>
              <w:right w:val="nil"/>
            </w:tcBorders>
            <w:vAlign w:val="center"/>
          </w:tcPr>
          <w:p w14:paraId="2F19149A" w14:textId="74000291" w:rsidR="00F90771" w:rsidRPr="008C4D21" w:rsidRDefault="00511582"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w:t>
            </w:r>
            <w:r w:rsidR="00A93CAE">
              <w:rPr>
                <w:rFonts w:ascii="Calibri" w:eastAsia="Times New Roman" w:hAnsi="Calibri" w:cs="Calibri"/>
                <w:color w:val="000000"/>
                <w:sz w:val="18"/>
                <w:szCs w:val="18"/>
                <w:lang w:eastAsia="en-GB"/>
              </w:rPr>
              <w:t>6</w:t>
            </w:r>
          </w:p>
        </w:tc>
        <w:tc>
          <w:tcPr>
            <w:tcW w:w="1135" w:type="dxa"/>
            <w:tcBorders>
              <w:top w:val="nil"/>
              <w:left w:val="nil"/>
              <w:bottom w:val="single" w:sz="8" w:space="0" w:color="000000"/>
              <w:right w:val="nil"/>
            </w:tcBorders>
            <w:shd w:val="clear" w:color="auto" w:fill="auto"/>
            <w:vAlign w:val="center"/>
            <w:hideMark/>
          </w:tcPr>
          <w:p w14:paraId="2DB0ED14" w14:textId="48E51C3A"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van der Hoek et al </w:t>
            </w:r>
            <w:r w:rsidR="001B02A6">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{"citationItems":[{"id":"ITEM-1","itemData":{"ISBN":"0028-2162","PMID":"32749807","abstract":"OBJECTIVE: To determine whether children play a role in the transmission of SARS-CoV-2 to other children and adults, and to gain insight into symptomatic and asymptomatic infections in children. DESIGN: Analysis of national COVID-19 notifications and prospective observational study in families with children. METHOD: Information about COVID-19 patients and their contacts was obtained from the registration systems used by the public health services. In an ongoing study, patients with COVID-19 were asked to participate if they have a family with children. On two occasions nose-throat swabs and blood were collected for PCR analysis and determination of antibodies against SARS-CoV-2. RESULTS: The notifications suggest that transmission finds place mainly between adults and to a lesser extent between parents and children. For the family study, data were available from 54 households with a total of 227 participants. In families of a confirmed COVID-19 patient, children between 1 and 11 years were less often positive in PCR and serology than older children and adults. CONCLUSION: The study gives no indications that children play an important role in the transmission of SARS-CoV-2. Children can indeed become infected, but transmission mainly takes place between adult peers and from adult family members to children. Transmission among children or from children to adults, as is known in influenza, appears to be less common. Ongoing studies should provide important information for further decision-making on control measures, such as closure of schools.","author":[{"dropping-particle":"","family":"Hoek","given":"W","non-dropping-particle":"van der","parse-names":false,"suffix":""},{"dropping-particle":"","family":"Backer","given":"J A","non-dropping-particle":"","parse-names":false,"suffix":""},{"dropping-particle":"","family":"Bodewes","given":"R","non-dropping-particle":"","parse-names":false,"suffix":""},{"dropping-particle":"","family":"Friesema","given":"I","non-dropping-particle":"","parse-names":false,"suffix":""},{"dropping-particle":"","family":"Meijer","given":"A","non-dropping-particle":"","parse-names":false,"suffix":""},{"dropping-particle":"","family":"Pijnacker","given":"R","non-dropping-particle":"","parse-names":false,"suffix":""},{"dropping-particle":"","family":"Reukers","given":"D F M","non-dropping-particle":"","parse-names":false,"suffix":""},{"dropping-particle":"","family":"Reusken","given":"C","non-dropping-particle":"","parse-names":false,"suffix":""},{"dropping-particle":"","family":"Roof","given":"I","non-dropping-particle":"","parse-names":false,"suffix":""},{"dropping-particle":"","family":"Rots","given":"N","non-dropping-particle":"","parse-names":false,"suffix":""},{"dropping-particle":"","family":"Wierik","given":"M J M","non-dropping-particle":"Te","parse-names":false,"suffix":""},{"dropping-particle":"","family":"Gageldonk-Lafeber","given":"A B","non-dropping-particle":"van","parse-names":false,"suffix":""},{"dropping-particle":"","family":"Waegemaekers","given":"Chfm","non-dropping-particle":"","parse-names":false,"suffix":""},{"dropping-particle":"","family":"Hof","given":"S","non-dropping-particle":"van den","parse-names":false,"suffix":""}],"container-title":"Ned Tijdschr Geneeskd","edition":"2020/08/05","id":"ITEM-1","issued":{"date-parts":[["2020"]]},"language":"dut","note":"1876-8784\nvan der Hoek, Wim\nBacker, Jantien A\nBodewes, Rogier\nFriesema, Ingrid\nMeijer, Adam\nPijnacker, Roan\nReukers, Daphne F M\nReusken, Chantal\nRoof, Inge\nRots, Nynke\nTe Wierik, Margreet J M\nvan Gageldonk-Lafeber, A B\nWaegemaekers, C H F M\nvan den Hof, Susan\nEnglish Abstract\nJournal Article\nNetherlands\nNed Tijdschr Geneeskd. 2020 Jun 3;164:D5140.","title":"[The role of children in the transmission of SARS-CoV-2]","type":"article-journal","volume":"164"},"uris":["http://www.mendeley.com/documents/?uuid=a99bee26-210b-4094-9dae-8280ba985dac"]}],"mendeley":{"formattedCitation":"[50]","plainTextFormattedCitation":"[50]","previouslyFormattedCitation":"[52]"},"properties":{"noteIndex":0},"schema":"https://github.com/citation-style-language/schema/raw/master/csl-citation.json"}</w:instrText>
            </w:r>
            <w:r w:rsidR="001B02A6">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[50]</w:t>
            </w:r>
            <w:r w:rsidR="001B02A6">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7783DAF3"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Utrecht</w:t>
            </w:r>
          </w:p>
        </w:tc>
        <w:tc>
          <w:tcPr>
            <w:tcW w:w="1134" w:type="dxa"/>
            <w:tcBorders>
              <w:top w:val="nil"/>
              <w:left w:val="nil"/>
              <w:bottom w:val="single" w:sz="8" w:space="0" w:color="000000"/>
              <w:right w:val="nil"/>
            </w:tcBorders>
            <w:shd w:val="clear" w:color="auto" w:fill="auto"/>
            <w:noWrap/>
            <w:vAlign w:val="center"/>
            <w:hideMark/>
          </w:tcPr>
          <w:p w14:paraId="18738F7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Netherlands</w:t>
            </w:r>
          </w:p>
        </w:tc>
        <w:tc>
          <w:tcPr>
            <w:tcW w:w="2268" w:type="dxa"/>
            <w:tcBorders>
              <w:top w:val="nil"/>
              <w:left w:val="nil"/>
              <w:bottom w:val="single" w:sz="8" w:space="0" w:color="000000"/>
              <w:right w:val="nil"/>
            </w:tcBorders>
            <w:shd w:val="clear" w:color="000000" w:fill="FFFFFF"/>
            <w:vAlign w:val="center"/>
            <w:hideMark/>
          </w:tcPr>
          <w:p w14:paraId="2452C2E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160D1F5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at the same residential address </w:t>
            </w:r>
          </w:p>
        </w:tc>
        <w:tc>
          <w:tcPr>
            <w:tcW w:w="1276" w:type="dxa"/>
            <w:tcBorders>
              <w:top w:val="nil"/>
              <w:left w:val="nil"/>
              <w:bottom w:val="single" w:sz="8" w:space="0" w:color="000000"/>
              <w:right w:val="nil"/>
            </w:tcBorders>
            <w:shd w:val="clear" w:color="000000" w:fill="FFFFFF"/>
            <w:vAlign w:val="center"/>
            <w:hideMark/>
          </w:tcPr>
          <w:p w14:paraId="1078489D"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71867A1C"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4F078486"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54</w:t>
            </w:r>
          </w:p>
        </w:tc>
        <w:tc>
          <w:tcPr>
            <w:tcW w:w="850" w:type="dxa"/>
            <w:tcBorders>
              <w:top w:val="nil"/>
              <w:left w:val="nil"/>
              <w:bottom w:val="single" w:sz="8" w:space="0" w:color="000000"/>
              <w:right w:val="nil"/>
            </w:tcBorders>
            <w:shd w:val="clear" w:color="000000" w:fill="FFFFFF"/>
            <w:vAlign w:val="center"/>
            <w:hideMark/>
          </w:tcPr>
          <w:p w14:paraId="6E73E85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174</w:t>
            </w:r>
          </w:p>
        </w:tc>
        <w:tc>
          <w:tcPr>
            <w:tcW w:w="993" w:type="dxa"/>
            <w:tcBorders>
              <w:top w:val="nil"/>
              <w:left w:val="nil"/>
              <w:bottom w:val="single" w:sz="8" w:space="0" w:color="000000"/>
              <w:right w:val="nil"/>
            </w:tcBorders>
            <w:shd w:val="clear" w:color="000000" w:fill="FFFFFF"/>
            <w:vAlign w:val="center"/>
            <w:hideMark/>
          </w:tcPr>
          <w:p w14:paraId="6FA60FE6"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174</w:t>
            </w:r>
          </w:p>
        </w:tc>
        <w:tc>
          <w:tcPr>
            <w:tcW w:w="1134" w:type="dxa"/>
            <w:tcBorders>
              <w:top w:val="nil"/>
              <w:left w:val="nil"/>
              <w:bottom w:val="single" w:sz="8" w:space="0" w:color="000000"/>
              <w:right w:val="nil"/>
            </w:tcBorders>
            <w:shd w:val="clear" w:color="000000" w:fill="FFFFFF"/>
            <w:vAlign w:val="center"/>
            <w:hideMark/>
          </w:tcPr>
          <w:p w14:paraId="50BCDBC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49</w:t>
            </w:r>
          </w:p>
        </w:tc>
      </w:tr>
      <w:tr w:rsidR="000F13C3" w:rsidRPr="008C4D21" w14:paraId="73DDD803" w14:textId="77777777" w:rsidTr="006C15AF">
        <w:trPr>
          <w:cantSplit/>
          <w:trHeight w:val="1117"/>
        </w:trPr>
        <w:tc>
          <w:tcPr>
            <w:tcW w:w="1135" w:type="dxa"/>
            <w:tcBorders>
              <w:top w:val="nil"/>
              <w:left w:val="nil"/>
              <w:bottom w:val="single" w:sz="8" w:space="0" w:color="auto"/>
              <w:right w:val="nil"/>
            </w:tcBorders>
            <w:vAlign w:val="center"/>
          </w:tcPr>
          <w:p w14:paraId="7A1A867A" w14:textId="20D460A2" w:rsidR="00F90771" w:rsidRPr="008C4D21" w:rsidRDefault="00DD089B"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w:t>
            </w:r>
            <w:r w:rsidR="00A93CAE">
              <w:rPr>
                <w:rFonts w:ascii="Calibri" w:eastAsia="Times New Roman" w:hAnsi="Calibri" w:cs="Calibri"/>
                <w:color w:val="000000"/>
                <w:sz w:val="18"/>
                <w:szCs w:val="18"/>
                <w:lang w:eastAsia="en-GB"/>
              </w:rPr>
              <w:t>9</w:t>
            </w:r>
          </w:p>
        </w:tc>
        <w:tc>
          <w:tcPr>
            <w:tcW w:w="1135" w:type="dxa"/>
            <w:tcBorders>
              <w:top w:val="nil"/>
              <w:left w:val="nil"/>
              <w:bottom w:val="single" w:sz="8" w:space="0" w:color="auto"/>
              <w:right w:val="nil"/>
            </w:tcBorders>
            <w:shd w:val="clear" w:color="auto" w:fill="auto"/>
            <w:vAlign w:val="center"/>
            <w:hideMark/>
          </w:tcPr>
          <w:p w14:paraId="7D383EEE" w14:textId="44D047AB"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Wang et al</w:t>
            </w:r>
            <w:r w:rsidR="0019324D">
              <w:rPr>
                <w:rFonts w:ascii="Calibri" w:eastAsia="Times New Roman" w:hAnsi="Calibri" w:cs="Calibri"/>
                <w:color w:val="000000"/>
                <w:sz w:val="18"/>
                <w:szCs w:val="18"/>
                <w:lang w:eastAsia="en-GB"/>
              </w:rPr>
              <w:t xml:space="preserve"> </w:t>
            </w:r>
            <w:r w:rsidR="0019324D">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{"citationItems":[{"id":"ITEM-1","itemData":{"DOI":"10.1183/13993003.00544-2020","ISBN":"1399-3003\r0903-1936","PMID":"32366488","abstract":"BACKGROUND: The novel coronavirus, severe acute respiratory syndrome coronavirus 2 (SARS-CoV-2), infected over 3300 healthcare workers in early 2020 in China. Little information is known about nosocomial infections of healthcare workers in the initial period. We analysed data from healthcare workers with nosocomial infections in Wuhan Union Hospital (Wuhan, China) and their family members. METHODS: We collected and analysed data on exposure history, illness timelines and epidemiological characteristics from 25 healthcare workers with laboratory-confirmed coronavirus disease 2019 (COVID-19) and two healthcare workers in whom COVID-19 was highly suspected, as well as 10 of their family members with COVID-19, between 5 January and 12 February 2020. The demographics and clinical features of the 35 laboratory-confirmed cases were investigated and viral RNA of 12 cases was sequenced and analysed. RESULTS: Nine clusters were found among the patients. All patients showed mild to moderate clinical manifestation and recovered without deterioration. The mean period of incubation was 4.5 days, the mean±sd clinical onset serial interval (COSI) was 5.2±3.2 days, and the median virus shedding time was 18.5 days. Complete genomic sequences of 12 different coronavirus strains demonstrated that the viral structure, with small irrelevant mutations, was stable in the transmission chains and showed remarkable traits of infectious traceability. CONCLUSIONS: SARS-CoV-2 can be rapidly transmitted from person to person, regardless of whether they have symptoms, in both hospital settings and social activities, based on the short period of incubation and COSI. The public health service should take practical measures to curb the spread, including isolation of cases, tracing close contacts, and containment of severe epidemic areas. Besides this, healthcare workers should be alert during the epidemic and self-quarantine if self-suspected of infection.","author":[{"dropping-particle":"","family":"Wang","given":"Xiaorong","non-dropping-particle":"","parse-names":false,"suffix":""},{"dropping-particle":"","family":"Zhou","given":"Qiong","non-dropping-particle":"","parse-names":false,"suffix":""},{"dropping-particle":"","family":"He","given":"Yukun","non-dropping-particle":"","parse-names":false,"suffix":""},{"dropping-particle":"","family":"Liu","given":"Lingbo","non-dropping-particle":"","parse-names":false,"suffix":""},{"dropping-particle":"","family":"Ma","given":"Xinqian","non-dropping-particle":"","parse-names":false,"suffix":""},{"dropping-particle":"","family":"Wei","given":"Xiaoshan","non-dropping-particle":"","parse-names":false,"suffix":""},{"dropping-particle":"","family":"Jiang","given":"Nanchuan","non-dropping-particle":"","parse-names":false,"suffix":""},{"dropping-particle":"","family":"Liang","given":"Limei","non-dropping-particle":"","parse-names":false,"suffix":""},{"dropping-particle":"","family":"Zheng","given":"Yali","non-dropping-particle":"","parse-names":false,"suffix":""},{"dropping-particle":"","family":"Ma","given":"Ling","non-dropping-particle":"","parse-names":false,"suffix":""},{"dropping-particle":"","family":"Xu","given":"Yu","non-dropping-particle":"","parse-names":false,"suffix":""},{"dropping-particle":"","family":"Yang","given":"Dong","non-dropping-particle":"","parse-names":false,"suffix":""},{"dropping-particle":"","family":"Zhang","given":"Jianchu","non-dropping-particle":"","parse-names":false,"suffix":""},{"dropping-particle":"","family":"Yang","given":"Bohan","non-dropping-particle":"","parse-names":false,"suffix":""},{"dropping-particle":"","family":"Jiang","given":"Ning","non-dropping-particle":"","parse-names":false,"suffix":""},{"dropping-particle":"","family":"Deng","given":"Tao","non-dropping-particle":"","parse-names":false,"suffix":""},{"dropping-particle":"","family":"Zhai","given":"Bingbing","non-dropping-particle":"","parse-names":false,"suffix":""},{"dropping-particle":"","family":"Gao","given":"Yang","non-dropping-particle":"","parse-names":false,"suffix":""},{"dropping-particle":"","family":"Liu","given":"Wenxuan","non-dropping-particle":"","parse-names":false,"suffix":""},{"dropping-particle":"","family":"Bai","given":"Xinghua","non-dropping-particle":"","parse-names":false,"suffix":""},{"dropping-particle":"","family":"Pan","given":"Tao","non-dropping-particle":"","parse-names":false,"suffix":""},{"dropping-particle":"","family":"Wang","given":"Guoqing","non-dropping-particle":"","parse-names":false,"suffix":""},{"dropping-particle":"","family":"Chang","given":"Yujun","non-dropping-particle":"","parse-names":false,"suffix":""},{"dropping-particle":"","family":"Zhang","given":"Zhi","non-dropping-particle":"","parse-names":false,"suffix":""},{"dropping-particle":"","family":"Shi","given":"Huanzhong","non-dropping-particle":"","parse-names":false,"suffix":""},{"dropping-particle":"","family":"Ma","given":"Wan-Li","non-dropping-particle":"","parse-names":false,"suffix":""},{"dropping-particle":"","family":"Gao","given":"Zhancheng","non-dropping-particle":"","parse-names":false,"suffix":""}],"container-title":"The European respiratory journal","id":"ITEM-1","issue":"6","issued":{"date-parts":[["2020"]]},"language":"eng","note":"32366488[pmid]\nPMC7236818[pmcid]\n13993003.00544-2020[PII]","page":"2000544","publisher":"European Respiratory Society","title":"Nosocomial outbreak of COVID-19 pneumonia in Wuhan, China","type":"article-journal","volume":"55"},"uris":["http://www.mendeley.com/documents/?uuid=fc7ea946-0e65-4e81-8191-dbe1e9732da2"]}],"mendeley":{"formattedCitation":"[51]","plainTextFormattedCitation":"[51]","previouslyFormattedCitation":"[53]"},"properties":{"noteIndex":0},"schema":"https://github.com/citation-style-language/schema/raw/master/csl-citation.json"}</w:instrText>
            </w:r>
            <w:r w:rsidR="0019324D">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[51]</w:t>
            </w:r>
            <w:r w:rsidR="0019324D">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auto"/>
              <w:right w:val="nil"/>
            </w:tcBorders>
            <w:shd w:val="clear" w:color="000000" w:fill="FFFFFF"/>
            <w:vAlign w:val="center"/>
            <w:hideMark/>
          </w:tcPr>
          <w:p w14:paraId="71D322E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Wuhan</w:t>
            </w:r>
          </w:p>
        </w:tc>
        <w:tc>
          <w:tcPr>
            <w:tcW w:w="1134" w:type="dxa"/>
            <w:tcBorders>
              <w:top w:val="nil"/>
              <w:left w:val="nil"/>
              <w:bottom w:val="single" w:sz="8" w:space="0" w:color="auto"/>
              <w:right w:val="nil"/>
            </w:tcBorders>
            <w:shd w:val="clear" w:color="000000" w:fill="FFFFFF"/>
            <w:vAlign w:val="center"/>
            <w:hideMark/>
          </w:tcPr>
          <w:p w14:paraId="4BEDD34D"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auto"/>
              <w:right w:val="nil"/>
            </w:tcBorders>
            <w:shd w:val="clear" w:color="000000" w:fill="FFFFFF"/>
            <w:vAlign w:val="center"/>
            <w:hideMark/>
          </w:tcPr>
          <w:p w14:paraId="7DD0086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Outbreak investigation and contact tracing </w:t>
            </w:r>
          </w:p>
        </w:tc>
        <w:tc>
          <w:tcPr>
            <w:tcW w:w="3117" w:type="dxa"/>
            <w:tcBorders>
              <w:top w:val="nil"/>
              <w:left w:val="nil"/>
              <w:bottom w:val="single" w:sz="8" w:space="0" w:color="auto"/>
              <w:right w:val="nil"/>
            </w:tcBorders>
            <w:shd w:val="clear" w:color="000000" w:fill="FFFFFF"/>
            <w:vAlign w:val="center"/>
            <w:hideMark/>
          </w:tcPr>
          <w:p w14:paraId="30DFA36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Family members of healthcare workers (index cases)</w:t>
            </w:r>
          </w:p>
        </w:tc>
        <w:tc>
          <w:tcPr>
            <w:tcW w:w="1276" w:type="dxa"/>
            <w:tcBorders>
              <w:top w:val="nil"/>
              <w:left w:val="nil"/>
              <w:bottom w:val="single" w:sz="8" w:space="0" w:color="auto"/>
              <w:right w:val="nil"/>
            </w:tcBorders>
            <w:shd w:val="clear" w:color="000000" w:fill="FFFFFF"/>
            <w:vAlign w:val="center"/>
            <w:hideMark/>
          </w:tcPr>
          <w:p w14:paraId="0E8B5DD7"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hideMark/>
          </w:tcPr>
          <w:p w14:paraId="139BAAEB"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auto"/>
              <w:right w:val="nil"/>
            </w:tcBorders>
            <w:shd w:val="clear" w:color="000000" w:fill="FFFFFF"/>
            <w:vAlign w:val="center"/>
            <w:hideMark/>
          </w:tcPr>
          <w:p w14:paraId="55F8BA7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25</w:t>
            </w:r>
          </w:p>
        </w:tc>
        <w:tc>
          <w:tcPr>
            <w:tcW w:w="850" w:type="dxa"/>
            <w:tcBorders>
              <w:top w:val="nil"/>
              <w:left w:val="nil"/>
              <w:bottom w:val="single" w:sz="8" w:space="0" w:color="auto"/>
              <w:right w:val="nil"/>
            </w:tcBorders>
            <w:shd w:val="clear" w:color="000000" w:fill="FFFFFF"/>
            <w:vAlign w:val="center"/>
            <w:hideMark/>
          </w:tcPr>
          <w:p w14:paraId="4216FAF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43</w:t>
            </w:r>
          </w:p>
        </w:tc>
        <w:tc>
          <w:tcPr>
            <w:tcW w:w="993" w:type="dxa"/>
            <w:tcBorders>
              <w:top w:val="nil"/>
              <w:left w:val="nil"/>
              <w:bottom w:val="single" w:sz="8" w:space="0" w:color="auto"/>
              <w:right w:val="nil"/>
            </w:tcBorders>
            <w:shd w:val="clear" w:color="000000" w:fill="FFFFFF"/>
            <w:vAlign w:val="center"/>
            <w:hideMark/>
          </w:tcPr>
          <w:p w14:paraId="06A6C05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43</w:t>
            </w:r>
          </w:p>
        </w:tc>
        <w:tc>
          <w:tcPr>
            <w:tcW w:w="1134" w:type="dxa"/>
            <w:tcBorders>
              <w:top w:val="nil"/>
              <w:left w:val="nil"/>
              <w:bottom w:val="single" w:sz="8" w:space="0" w:color="auto"/>
              <w:right w:val="nil"/>
            </w:tcBorders>
            <w:shd w:val="clear" w:color="000000" w:fill="FFFFFF"/>
            <w:vAlign w:val="center"/>
            <w:hideMark/>
          </w:tcPr>
          <w:p w14:paraId="462E28BE"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w:t>
            </w:r>
          </w:p>
        </w:tc>
      </w:tr>
      <w:tr w:rsidR="000F13C3" w:rsidRPr="008C4D21" w14:paraId="282FBE06" w14:textId="77777777" w:rsidTr="006C15AF">
        <w:trPr>
          <w:cantSplit/>
          <w:trHeight w:val="1256"/>
        </w:trPr>
        <w:tc>
          <w:tcPr>
            <w:tcW w:w="1135" w:type="dxa"/>
            <w:tcBorders>
              <w:top w:val="single" w:sz="8" w:space="0" w:color="auto"/>
              <w:left w:val="nil"/>
              <w:bottom w:val="single" w:sz="8" w:space="0" w:color="000000"/>
              <w:right w:val="nil"/>
            </w:tcBorders>
            <w:vAlign w:val="center"/>
          </w:tcPr>
          <w:p w14:paraId="643B4679" w14:textId="73CD2EF5" w:rsidR="00F90771" w:rsidRPr="008C4D21" w:rsidRDefault="00FB6A0C"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w:t>
            </w:r>
            <w:r w:rsidR="00A93CAE">
              <w:rPr>
                <w:rFonts w:ascii="Calibri" w:eastAsia="Times New Roman" w:hAnsi="Calibri" w:cs="Calibri"/>
                <w:color w:val="000000"/>
                <w:sz w:val="18"/>
                <w:szCs w:val="18"/>
                <w:lang w:eastAsia="en-GB"/>
              </w:rPr>
              <w:t>8</w:t>
            </w:r>
          </w:p>
        </w:tc>
        <w:tc>
          <w:tcPr>
            <w:tcW w:w="1135" w:type="dxa"/>
            <w:tcBorders>
              <w:top w:val="single" w:sz="8" w:space="0" w:color="auto"/>
              <w:left w:val="nil"/>
              <w:bottom w:val="single" w:sz="8" w:space="0" w:color="000000"/>
              <w:right w:val="nil"/>
            </w:tcBorders>
            <w:shd w:val="clear" w:color="auto" w:fill="auto"/>
            <w:vAlign w:val="center"/>
            <w:hideMark/>
          </w:tcPr>
          <w:p w14:paraId="20B4E6E0" w14:textId="35D24703"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Wang et al</w:t>
            </w:r>
            <w:r w:rsidR="0019324D">
              <w:rPr>
                <w:rFonts w:ascii="Calibri" w:eastAsia="Times New Roman" w:hAnsi="Calibri" w:cs="Calibri"/>
                <w:color w:val="000000"/>
                <w:sz w:val="18"/>
                <w:szCs w:val="18"/>
                <w:lang w:eastAsia="en-GB"/>
              </w:rPr>
              <w:t xml:space="preserve"> </w:t>
            </w:r>
            <w:r w:rsidR="00A8036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{"citationItems":[{"id":"ITEM-1","itemData":{"DOI":"10.1136/bmjgh-2020-002794","ISBN":"2059-7908","PMID":"32467353","abstract":"INTRODUCTION: Transmission of COVID-19 within families and close contacts accounts for the majority of epidemic growth. Community mask wearing, hand washing and social distancing are thought to be effective but there is little evidence to inform or support community members on COVID-19 risk reduction within families. METHODS: A retrospective cohort study of 335 people in 124 families and with at least one laboratory confirmed COVID-19 case was conducted from 28 February to 27 March 2020, in Beijing, China. The outcome of interest was secondary transmission of severe acute respiratory syndrome coronavirus 2 (SARS-CoV-2) within the family. Characteristics and practices of primary cases, of well family contacts and household hygiene practices were analysed as predictors of secondary transmission. RESULTS: The secondary attack rate in families was 23.0% (77/335). Face mask use by the primary case and family contacts before the primary case developed symptoms was 79% effective in reducing transmission (OR=0.21, 95% CI 0.06 to 0.79). Daily use of chlorine or ethanol based disinfectant in households was 77% effective (OR=0.23, 95% CI 0.07 to 0.84). Wearing a mask after illness onset of the primary case was not significantly protective. The risk of household transmission was 18 times higher with frequent daily close contact with the primary case (OR=18.26, 95% CI 3.93 to 84.79), and four times higher if the primary case had diarrhoea (OR=4.10, 95% CI 1.08 to 15.60). Household crowding was not significant. CONCLUSION: The study confirms the highest risk of transmission prior to symptom onset, and provides the first evidence of the effectiveness of mask use, disinfection and social distancing in preventing COVID-19. We also found evidence of faecal transmission. This can inform guidelines for community prevention in settings of intense COVID-19 epidemics.","author":[{"dropping-particle":"","family":"Wang","given":"Yu","non-dropping-particle":"","parse-names":false,"suffix":""},{"dropping-particle":"","family":"Tian","given":"Huaiyu","non-dropping-particle":"","parse-names":false,"suffix":""},{"dropping-particle":"","family":"Zhang","given":"Li","non-dropping-particle":"","parse-names":false,"suffix":""},{"dropping-particle":"","family":"Zhang","given":"Man","non-dropping-particle":"","parse-names":false,"suffix":""},{"dropping-particle":"","family":"Guo","given":"Dandan","non-dropping-particle":"","parse-names":false,"suffix":""},{"dropping-particle":"","family":"Wu","given":"Wenting","non-dropping-particle":"","parse-names":false,"suffix":""},{"dropping-particle":"","family":"Zhang","given":"Xingxing","non-dropping-particle":"","parse-names":false,"suffix":""},{"dropping-particle":"","family":"Kan","given":"Ge Lin","non-dropping-particle":"","parse-names":false,"suffix":""},{"dropping-particle":"","family":"Jia","given":"Lei","non-dropping-particle":"","parse-names":false,"suffix":""},{"dropping-particle":"","family":"Huo","given":"Da","non-dropping-particle":"","parse-names":false,"suffix":""},{"dropping-particle":"","family":"Liu","given":"Baiwei","non-dropping-particle":"","parse-names":false,"suffix":""},{"dropping-particle":"","family":"Wang","given":"Xiaoli","non-dropping-particle":"","parse-names":false,"suffix":""},{"dropping-particle":"","family":"Sun","given":"Ying","non-dropping-particle":"","parse-names":false,"suffix":""},{"dropping-particle":"","family":"Wang","given":"Quanyi","non-dropping-particle":"","parse-names":false,"suffix":""},{"dropping-particle":"","family":"Yang","given":"Peng","non-dropping-particle":"","parse-names":false,"suffix":""},{"dropping-particle":"","family":"MacIntyre","given":"C Raina","non-dropping-particle":"","parse-names":false,"suffix":""}],"container-title":"BMJ global health","id":"ITEM-1","issue":"5","issued":{"date-parts":[["2020"]]},"language":"eng","note":"32467353[pmid]\nPMC7264640[pmcid]\nbmjgh-2020-002794[PII]","page":"e002794","publisher":"BMJ Publishing Group","title":"Reduction of secondary transmission of SARS-CoV-2 in households by face mask use, disinfection and social distancing: a cohort study in Beijing, China","type":"article-journal","volume":"5"},"uris":["http://www.mendeley.com/documents/?uuid=b836df0c-de59-4d7a-98d5-6e3dbce46add"]}],"mendeley":{"formattedCitation":"[52]","plainTextFormattedCitation":"[52]","previouslyFormattedCitation":"[54]"},"properties":{"noteIndex":0},"schema":"https://github.com/citation-style-language/schema/raw/master/csl-citation.json"}</w:instrText>
            </w:r>
            <w:r w:rsidR="00A8036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[52]</w:t>
            </w:r>
            <w:r w:rsidR="00A80367">
              <w:rPr>
                <w:rFonts w:ascii="Calibri" w:eastAsia="Times New Roman" w:hAnsi="Calibri" w:cs="Calibri"/>
                <w:color w:val="000000"/>
                <w:sz w:val="18"/>
                <w:szCs w:val="18"/>
                <w:lang w:eastAsia="en-GB"/>
              </w:rPr>
              <w:fldChar w:fldCharType="end"/>
            </w:r>
          </w:p>
        </w:tc>
        <w:tc>
          <w:tcPr>
            <w:tcW w:w="1276" w:type="dxa"/>
            <w:tcBorders>
              <w:top w:val="single" w:sz="8" w:space="0" w:color="auto"/>
              <w:left w:val="nil"/>
              <w:bottom w:val="single" w:sz="8" w:space="0" w:color="000000"/>
              <w:right w:val="nil"/>
            </w:tcBorders>
            <w:shd w:val="clear" w:color="000000" w:fill="FFFFFF"/>
            <w:noWrap/>
            <w:vAlign w:val="center"/>
            <w:hideMark/>
          </w:tcPr>
          <w:p w14:paraId="5709D58C"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Beijing</w:t>
            </w:r>
          </w:p>
        </w:tc>
        <w:tc>
          <w:tcPr>
            <w:tcW w:w="1134" w:type="dxa"/>
            <w:tcBorders>
              <w:top w:val="single" w:sz="8" w:space="0" w:color="auto"/>
              <w:left w:val="nil"/>
              <w:bottom w:val="single" w:sz="8" w:space="0" w:color="000000"/>
              <w:right w:val="nil"/>
            </w:tcBorders>
            <w:shd w:val="clear" w:color="000000" w:fill="FFFFFF"/>
            <w:noWrap/>
            <w:vAlign w:val="center"/>
            <w:hideMark/>
          </w:tcPr>
          <w:p w14:paraId="2F524236"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single" w:sz="8" w:space="0" w:color="auto"/>
              <w:left w:val="nil"/>
              <w:bottom w:val="single" w:sz="8" w:space="0" w:color="000000"/>
              <w:right w:val="nil"/>
            </w:tcBorders>
            <w:shd w:val="clear" w:color="000000" w:fill="FFFFFF"/>
            <w:vAlign w:val="center"/>
            <w:hideMark/>
          </w:tcPr>
          <w:p w14:paraId="01C2F01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Retrospective cohort study</w:t>
            </w:r>
          </w:p>
        </w:tc>
        <w:tc>
          <w:tcPr>
            <w:tcW w:w="3117" w:type="dxa"/>
            <w:tcBorders>
              <w:top w:val="single" w:sz="8" w:space="0" w:color="auto"/>
              <w:left w:val="nil"/>
              <w:bottom w:val="single" w:sz="8" w:space="0" w:color="000000"/>
              <w:right w:val="nil"/>
            </w:tcBorders>
            <w:shd w:val="clear" w:color="000000" w:fill="FFFFFF"/>
            <w:vAlign w:val="center"/>
            <w:hideMark/>
          </w:tcPr>
          <w:p w14:paraId="2E81F12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Family members who lived with primary cases in a house for 4 days before and for more than 24 hours after the primary cases developed illness related to COVID-19</w:t>
            </w:r>
          </w:p>
        </w:tc>
        <w:tc>
          <w:tcPr>
            <w:tcW w:w="1276" w:type="dxa"/>
            <w:tcBorders>
              <w:top w:val="single" w:sz="8" w:space="0" w:color="auto"/>
              <w:left w:val="nil"/>
              <w:bottom w:val="single" w:sz="8" w:space="0" w:color="000000"/>
              <w:right w:val="nil"/>
            </w:tcBorders>
            <w:shd w:val="clear" w:color="000000" w:fill="FFFFFF"/>
            <w:vAlign w:val="center"/>
            <w:hideMark/>
          </w:tcPr>
          <w:p w14:paraId="4A0D71F6"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single" w:sz="8" w:space="0" w:color="auto"/>
              <w:left w:val="nil"/>
              <w:bottom w:val="single" w:sz="8" w:space="0" w:color="000000"/>
              <w:right w:val="nil"/>
            </w:tcBorders>
            <w:shd w:val="clear" w:color="000000" w:fill="FFFFFF"/>
            <w:vAlign w:val="center"/>
            <w:hideMark/>
          </w:tcPr>
          <w:p w14:paraId="00D9C077"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single" w:sz="8" w:space="0" w:color="auto"/>
              <w:left w:val="nil"/>
              <w:bottom w:val="single" w:sz="8" w:space="0" w:color="000000"/>
              <w:right w:val="nil"/>
            </w:tcBorders>
            <w:shd w:val="clear" w:color="000000" w:fill="FFFFFF"/>
            <w:vAlign w:val="center"/>
            <w:hideMark/>
          </w:tcPr>
          <w:p w14:paraId="3CB93D64"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124</w:t>
            </w:r>
          </w:p>
        </w:tc>
        <w:tc>
          <w:tcPr>
            <w:tcW w:w="850" w:type="dxa"/>
            <w:tcBorders>
              <w:top w:val="single" w:sz="8" w:space="0" w:color="auto"/>
              <w:left w:val="nil"/>
              <w:bottom w:val="single" w:sz="8" w:space="0" w:color="000000"/>
              <w:right w:val="nil"/>
            </w:tcBorders>
            <w:shd w:val="clear" w:color="000000" w:fill="FFFFFF"/>
            <w:vAlign w:val="center"/>
            <w:hideMark/>
          </w:tcPr>
          <w:p w14:paraId="29750CF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355</w:t>
            </w:r>
          </w:p>
        </w:tc>
        <w:tc>
          <w:tcPr>
            <w:tcW w:w="993" w:type="dxa"/>
            <w:tcBorders>
              <w:top w:val="single" w:sz="8" w:space="0" w:color="auto"/>
              <w:left w:val="nil"/>
              <w:bottom w:val="single" w:sz="8" w:space="0" w:color="000000"/>
              <w:right w:val="nil"/>
            </w:tcBorders>
            <w:shd w:val="clear" w:color="000000" w:fill="FFFFFF"/>
            <w:vAlign w:val="center"/>
            <w:hideMark/>
          </w:tcPr>
          <w:p w14:paraId="0A7ED9F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355</w:t>
            </w:r>
          </w:p>
        </w:tc>
        <w:tc>
          <w:tcPr>
            <w:tcW w:w="1134" w:type="dxa"/>
            <w:tcBorders>
              <w:top w:val="single" w:sz="8" w:space="0" w:color="auto"/>
              <w:left w:val="nil"/>
              <w:bottom w:val="single" w:sz="8" w:space="0" w:color="000000"/>
              <w:right w:val="nil"/>
            </w:tcBorders>
            <w:shd w:val="clear" w:color="000000" w:fill="FFFFFF"/>
            <w:vAlign w:val="center"/>
            <w:hideMark/>
          </w:tcPr>
          <w:p w14:paraId="3F7C8CB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77</w:t>
            </w:r>
          </w:p>
        </w:tc>
      </w:tr>
      <w:tr w:rsidR="000F13C3" w:rsidRPr="008C4D21" w14:paraId="5EF9D44D" w14:textId="77777777" w:rsidTr="006C15AF">
        <w:trPr>
          <w:cantSplit/>
          <w:trHeight w:val="551"/>
        </w:trPr>
        <w:tc>
          <w:tcPr>
            <w:tcW w:w="1135" w:type="dxa"/>
            <w:tcBorders>
              <w:top w:val="nil"/>
              <w:left w:val="nil"/>
              <w:bottom w:val="single" w:sz="8" w:space="0" w:color="000000"/>
              <w:right w:val="nil"/>
            </w:tcBorders>
            <w:vAlign w:val="center"/>
          </w:tcPr>
          <w:p w14:paraId="7328208C"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nil"/>
              <w:left w:val="nil"/>
              <w:bottom w:val="single" w:sz="8" w:space="0" w:color="000000"/>
              <w:right w:val="nil"/>
            </w:tcBorders>
            <w:shd w:val="clear" w:color="auto" w:fill="auto"/>
            <w:vAlign w:val="center"/>
            <w:hideMark/>
          </w:tcPr>
          <w:p w14:paraId="4A99A8B9" w14:textId="735A4EE1"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Wang et al </w:t>
            </w:r>
            <w:r w:rsidR="00BE0B99">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{"citationItems":[{"id":"ITEM-1","itemData":{"DOI":"10.1016/j.jinf.2020.03.040","ISBN":"1532-2742\r0163-4453","PMID":"32283139","abstract":"BACKGROUND: Severe acute respiratory syndrome coronavirus 2 (SARS-CoV-2) has caused an epidemic in China and many other countries. Many infected clusters have been found within familial households, but the data about secondary transmission among household contacts is limited. METHODS: In this retrospective case series, we enrolled 85 patients infected with SARS-CoV-2 and their household members in Wuhan. Patients were confirmed infected with SARS-CoV-2 by real-time reverse transcription polymerase chain reaction (RT-PCR) assays on throat swabs. Epidemiological, clinical and laboratory data of the household members were collected. RESULTS: There were 155 close contacts in total. 104 contacts received RT-PCR assays, with 47 (30%) positive cases and 57 (37%) negative cases. 51 (33%) cases did not received RT-PCR tests for they showed no symptoms of pneumonia during the 2 weeks of quarantine. The infection rate of close contacts was 38% for households with 1 contact, 50% for households with 2 contacts, and 31% for households with 3 contacts. CONCLUSIONS: The rate of secondary transmission among household contacts of patients with SARS-CoV-2 infection was 30%. Our data provide insight into the rate of secondary transmission of SARS-CoV-2 in home.","author":[{"dropping-particle":"","family":"Wang","given":"Zhongliang","non-dropping-particle":"","parse-names":false,"suffix":""},{"dropping-particle":"","family":"Ma","given":"Wanli","non-dropping-particle":"","parse-names":false,"suffix":""},{"dropping-particle":"","family":"Zheng","given":"Xin","non-dropping-particle":"","parse-names":false,"suffix":""},{"dropping-particle":"","family":"Wu","given":"Gang","non-dropping-particle":"","parse-names":false,"suffix":""},{"dropping-particle":"","family":"Zhang","given":"Ruiguang","non-dropping-particle":"","parse-names":false,"suffix":""}],"container-title":"The Journal of infection","edition":"2020/04/10","id":"ITEM-1","issue":"1","issued":{"date-parts":[["2020"]]},"language":"eng","note":"32283139[pmid]\nPMC7151261[pmcid]\nS0163-4453(20)30169-9[PII]","page":"179-182","publisher":"The British Infection Association. Published by Elsevier Ltd.","title":"Household transmission of SARS-CoV-2","type":"article-journal","volume":"81"},"uris":["http://www.mendeley.com/documents/?uuid=8e2837a4-305b-420e-8582-2509c9c12b86"]}],"mendeley":{"formattedCitation":"[53]","plainTextFormattedCitation":"[53]","previouslyFormattedCitation":"[55]"},"properties":{"noteIndex":0},"schema":"https://github.com/citation-style-language/schema/raw/master/csl-citation.json"}</w:instrText>
            </w:r>
            <w:r w:rsidR="00BE0B99">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[53]</w:t>
            </w:r>
            <w:r w:rsidR="00BE0B99">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noWrap/>
            <w:vAlign w:val="center"/>
            <w:hideMark/>
          </w:tcPr>
          <w:p w14:paraId="03EA920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Wuhan </w:t>
            </w:r>
          </w:p>
        </w:tc>
        <w:tc>
          <w:tcPr>
            <w:tcW w:w="1134" w:type="dxa"/>
            <w:tcBorders>
              <w:top w:val="nil"/>
              <w:left w:val="nil"/>
              <w:bottom w:val="single" w:sz="8" w:space="0" w:color="000000"/>
              <w:right w:val="nil"/>
            </w:tcBorders>
            <w:shd w:val="clear" w:color="000000" w:fill="FFFFFF"/>
            <w:noWrap/>
            <w:vAlign w:val="center"/>
            <w:hideMark/>
          </w:tcPr>
          <w:p w14:paraId="58F1FC8D"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5672826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Retrospective contact investigation</w:t>
            </w:r>
          </w:p>
        </w:tc>
        <w:tc>
          <w:tcPr>
            <w:tcW w:w="3117" w:type="dxa"/>
            <w:tcBorders>
              <w:top w:val="nil"/>
              <w:left w:val="nil"/>
              <w:bottom w:val="single" w:sz="8" w:space="0" w:color="000000"/>
              <w:right w:val="nil"/>
            </w:tcBorders>
            <w:shd w:val="clear" w:color="000000" w:fill="FFFFFF"/>
            <w:vAlign w:val="center"/>
            <w:hideMark/>
          </w:tcPr>
          <w:p w14:paraId="02020A8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2359C338"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symptomatic</w:t>
            </w:r>
          </w:p>
        </w:tc>
        <w:tc>
          <w:tcPr>
            <w:tcW w:w="992" w:type="dxa"/>
            <w:tcBorders>
              <w:top w:val="nil"/>
              <w:left w:val="nil"/>
              <w:bottom w:val="single" w:sz="8" w:space="0" w:color="000000"/>
              <w:right w:val="nil"/>
            </w:tcBorders>
            <w:shd w:val="clear" w:color="000000" w:fill="FFFFFF"/>
            <w:vAlign w:val="center"/>
            <w:hideMark/>
          </w:tcPr>
          <w:p w14:paraId="45A2F258"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1737F0E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78</w:t>
            </w:r>
          </w:p>
        </w:tc>
        <w:tc>
          <w:tcPr>
            <w:tcW w:w="850" w:type="dxa"/>
            <w:tcBorders>
              <w:top w:val="nil"/>
              <w:left w:val="nil"/>
              <w:bottom w:val="single" w:sz="8" w:space="0" w:color="000000"/>
              <w:right w:val="nil"/>
            </w:tcBorders>
            <w:shd w:val="clear" w:color="000000" w:fill="FFFFFF"/>
            <w:vAlign w:val="center"/>
            <w:hideMark/>
          </w:tcPr>
          <w:p w14:paraId="582102E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155</w:t>
            </w:r>
          </w:p>
        </w:tc>
        <w:tc>
          <w:tcPr>
            <w:tcW w:w="993" w:type="dxa"/>
            <w:tcBorders>
              <w:top w:val="nil"/>
              <w:left w:val="nil"/>
              <w:bottom w:val="single" w:sz="8" w:space="0" w:color="000000"/>
              <w:right w:val="nil"/>
            </w:tcBorders>
            <w:shd w:val="clear" w:color="000000" w:fill="FFFFFF"/>
            <w:vAlign w:val="center"/>
            <w:hideMark/>
          </w:tcPr>
          <w:p w14:paraId="0579ABAB"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104</w:t>
            </w:r>
          </w:p>
        </w:tc>
        <w:tc>
          <w:tcPr>
            <w:tcW w:w="1134" w:type="dxa"/>
            <w:tcBorders>
              <w:top w:val="nil"/>
              <w:left w:val="nil"/>
              <w:bottom w:val="single" w:sz="8" w:space="0" w:color="000000"/>
              <w:right w:val="nil"/>
            </w:tcBorders>
            <w:shd w:val="clear" w:color="000000" w:fill="FFFFFF"/>
            <w:vAlign w:val="center"/>
            <w:hideMark/>
          </w:tcPr>
          <w:p w14:paraId="27BB7EBD"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47</w:t>
            </w:r>
          </w:p>
        </w:tc>
      </w:tr>
      <w:tr w:rsidR="000F13C3" w:rsidRPr="008C4D21" w14:paraId="7D5407E3" w14:textId="77777777" w:rsidTr="006C15AF">
        <w:trPr>
          <w:cantSplit/>
          <w:trHeight w:val="647"/>
        </w:trPr>
        <w:tc>
          <w:tcPr>
            <w:tcW w:w="1135" w:type="dxa"/>
            <w:tcBorders>
              <w:top w:val="single" w:sz="8" w:space="0" w:color="auto"/>
              <w:left w:val="nil"/>
              <w:bottom w:val="single" w:sz="8" w:space="0" w:color="000000"/>
              <w:right w:val="nil"/>
            </w:tcBorders>
            <w:vAlign w:val="center"/>
          </w:tcPr>
          <w:p w14:paraId="24B5D23B" w14:textId="41CA4612" w:rsidR="00F90771" w:rsidRPr="008C4D21" w:rsidRDefault="00A37465"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w:t>
            </w:r>
            <w:r w:rsidR="005B6D1C">
              <w:rPr>
                <w:rFonts w:ascii="Calibri" w:eastAsia="Times New Roman" w:hAnsi="Calibri" w:cs="Calibri"/>
                <w:color w:val="000000"/>
                <w:sz w:val="18"/>
                <w:szCs w:val="18"/>
                <w:lang w:eastAsia="en-GB"/>
              </w:rPr>
              <w:t>7</w:t>
            </w:r>
          </w:p>
        </w:tc>
        <w:tc>
          <w:tcPr>
            <w:tcW w:w="1135" w:type="dxa"/>
            <w:tcBorders>
              <w:top w:val="single" w:sz="8" w:space="0" w:color="auto"/>
              <w:left w:val="nil"/>
              <w:bottom w:val="single" w:sz="8" w:space="0" w:color="000000"/>
              <w:right w:val="nil"/>
            </w:tcBorders>
            <w:shd w:val="clear" w:color="auto" w:fill="auto"/>
            <w:vAlign w:val="center"/>
            <w:hideMark/>
          </w:tcPr>
          <w:p w14:paraId="31527E4B" w14:textId="1A250CA3"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Wang et al </w:t>
            </w:r>
            <w:r w:rsidR="004F414F">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author":[{"dropping-particle":"","family":"Wang","given":"Xiaoli","non-dropping-particle":"","parse-names":false,"suffix":""},{"dropping-particle":"","family":"Pan","given":"Yang","non-dropping-particle":"","parse-names":false,"suffix":""},{"dropping-particle":"","family":"Zhang","given":"Daitao","non-dropping-particle":"","parse-names":false,"suffix":""},{"dropping-particle":"","family":"Chen","given":"Lijuan","non-dropping-particle":"","parse-names":false,"suffix":""},{"dropping-particle":"","family":"Jia","given":"Lei","non-dropping-particle":"","parse-names":false,"suffix":""},{"dropping-particle":"","family":"Li","given":"Xinyu","non-dropping-particle":"","parse-names":false,"suffix":""},{"dropping-particle":"","family":"Yang","given":"Peng","non-dropping-particle":"","parse-names":false,"suffix":""},{"dropping-particle":"","family":"Wang","given":"Quanyi","non-dropping-particle":"","parse-names":false,"suffix":""},{"dropping-particle":"","family":"Macintyre","given":"C Raina","non-dropping-particle":"","parse-names":false,"suffix":""}],"id":"ITEM-1","issued":{"date-parts":[["2020"]]},"title":"Basic epidemiological parameter values from data of real-world in mega-cities: the characteristics of COVID-19 in Beijing, China","type":"article-journal"},"uris":["http://www.mendeley.com/documents/?uuid=79de4249-ba7b-47a6-8e1f-ecf6925c046a"]}],"mendeley":{"formattedCitation":"[54]","plainTextFormattedCitation":"[54]","previouslyFormattedCitation":"[56]"},"properties":{"noteIndex":0},"schema":"https://github.com/citation-style-language/schema/raw/master/csl-citation.json"}</w:instrText>
            </w:r>
            <w:r w:rsidR="004F414F">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[54]</w:t>
            </w:r>
            <w:r w:rsidR="004F414F">
              <w:rPr>
                <w:rFonts w:ascii="Calibri" w:eastAsia="Times New Roman" w:hAnsi="Calibri" w:cs="Calibri"/>
                <w:color w:val="000000"/>
                <w:sz w:val="18"/>
                <w:szCs w:val="18"/>
                <w:lang w:eastAsia="en-GB"/>
              </w:rPr>
              <w:fldChar w:fldCharType="end"/>
            </w:r>
          </w:p>
        </w:tc>
        <w:tc>
          <w:tcPr>
            <w:tcW w:w="1276" w:type="dxa"/>
            <w:tcBorders>
              <w:top w:val="single" w:sz="8" w:space="0" w:color="auto"/>
              <w:left w:val="nil"/>
              <w:bottom w:val="single" w:sz="8" w:space="0" w:color="000000"/>
              <w:right w:val="nil"/>
            </w:tcBorders>
            <w:shd w:val="clear" w:color="000000" w:fill="FFFFFF"/>
            <w:vAlign w:val="center"/>
            <w:hideMark/>
          </w:tcPr>
          <w:p w14:paraId="44C3C17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Beijing</w:t>
            </w:r>
          </w:p>
        </w:tc>
        <w:tc>
          <w:tcPr>
            <w:tcW w:w="1134" w:type="dxa"/>
            <w:tcBorders>
              <w:top w:val="single" w:sz="8" w:space="0" w:color="auto"/>
              <w:left w:val="nil"/>
              <w:bottom w:val="single" w:sz="8" w:space="0" w:color="000000"/>
              <w:right w:val="nil"/>
            </w:tcBorders>
            <w:shd w:val="clear" w:color="000000" w:fill="FFFFFF"/>
            <w:vAlign w:val="center"/>
            <w:hideMark/>
          </w:tcPr>
          <w:p w14:paraId="24E0B663"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single" w:sz="8" w:space="0" w:color="auto"/>
              <w:left w:val="nil"/>
              <w:bottom w:val="single" w:sz="8" w:space="0" w:color="000000"/>
              <w:right w:val="nil"/>
            </w:tcBorders>
            <w:shd w:val="clear" w:color="000000" w:fill="FFFFFF"/>
            <w:vAlign w:val="center"/>
            <w:hideMark/>
          </w:tcPr>
          <w:p w14:paraId="5BC1BF7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single" w:sz="8" w:space="0" w:color="auto"/>
              <w:left w:val="nil"/>
              <w:bottom w:val="single" w:sz="8" w:space="0" w:color="000000"/>
              <w:right w:val="nil"/>
            </w:tcBorders>
            <w:shd w:val="clear" w:color="000000" w:fill="FFFFFF"/>
            <w:vAlign w:val="center"/>
            <w:hideMark/>
          </w:tcPr>
          <w:p w14:paraId="32DC2236"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single" w:sz="8" w:space="0" w:color="auto"/>
              <w:left w:val="nil"/>
              <w:bottom w:val="single" w:sz="8" w:space="0" w:color="000000"/>
              <w:right w:val="nil"/>
            </w:tcBorders>
            <w:shd w:val="clear" w:color="000000" w:fill="FFFFFF"/>
            <w:vAlign w:val="center"/>
            <w:hideMark/>
          </w:tcPr>
          <w:p w14:paraId="42193880"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single" w:sz="8" w:space="0" w:color="auto"/>
              <w:left w:val="nil"/>
              <w:bottom w:val="single" w:sz="8" w:space="0" w:color="000000"/>
              <w:right w:val="nil"/>
            </w:tcBorders>
            <w:shd w:val="clear" w:color="000000" w:fill="FFFFFF"/>
            <w:vAlign w:val="center"/>
            <w:hideMark/>
          </w:tcPr>
          <w:p w14:paraId="5C9959E5"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single" w:sz="8" w:space="0" w:color="auto"/>
              <w:left w:val="nil"/>
              <w:bottom w:val="single" w:sz="8" w:space="0" w:color="000000"/>
              <w:right w:val="nil"/>
            </w:tcBorders>
            <w:shd w:val="clear" w:color="000000" w:fill="FFFFFF"/>
            <w:vAlign w:val="center"/>
            <w:hideMark/>
          </w:tcPr>
          <w:p w14:paraId="021A866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602</w:t>
            </w:r>
          </w:p>
        </w:tc>
        <w:tc>
          <w:tcPr>
            <w:tcW w:w="850" w:type="dxa"/>
            <w:tcBorders>
              <w:top w:val="single" w:sz="8" w:space="0" w:color="auto"/>
              <w:left w:val="nil"/>
              <w:bottom w:val="single" w:sz="8" w:space="0" w:color="000000"/>
              <w:right w:val="nil"/>
            </w:tcBorders>
            <w:shd w:val="clear" w:color="000000" w:fill="FFFFFF"/>
            <w:vAlign w:val="center"/>
            <w:hideMark/>
          </w:tcPr>
          <w:p w14:paraId="4EA2D996"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714</w:t>
            </w:r>
          </w:p>
        </w:tc>
        <w:tc>
          <w:tcPr>
            <w:tcW w:w="993" w:type="dxa"/>
            <w:tcBorders>
              <w:top w:val="single" w:sz="8" w:space="0" w:color="auto"/>
              <w:left w:val="nil"/>
              <w:bottom w:val="single" w:sz="8" w:space="0" w:color="000000"/>
              <w:right w:val="nil"/>
            </w:tcBorders>
            <w:shd w:val="clear" w:color="000000" w:fill="FFFFFF"/>
            <w:vAlign w:val="center"/>
            <w:hideMark/>
          </w:tcPr>
          <w:p w14:paraId="588223DD"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714</w:t>
            </w:r>
          </w:p>
        </w:tc>
        <w:tc>
          <w:tcPr>
            <w:tcW w:w="1134" w:type="dxa"/>
            <w:tcBorders>
              <w:top w:val="single" w:sz="8" w:space="0" w:color="auto"/>
              <w:left w:val="nil"/>
              <w:bottom w:val="single" w:sz="8" w:space="0" w:color="000000"/>
              <w:right w:val="nil"/>
            </w:tcBorders>
            <w:shd w:val="clear" w:color="000000" w:fill="FFFFFF"/>
            <w:vAlign w:val="center"/>
            <w:hideMark/>
          </w:tcPr>
          <w:p w14:paraId="13A6B3FF"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111</w:t>
            </w:r>
          </w:p>
        </w:tc>
      </w:tr>
      <w:tr w:rsidR="000F13C3" w:rsidRPr="008C4D21" w14:paraId="300B4E3C" w14:textId="77777777" w:rsidTr="006C15AF">
        <w:trPr>
          <w:cantSplit/>
          <w:trHeight w:val="840"/>
        </w:trPr>
        <w:tc>
          <w:tcPr>
            <w:tcW w:w="1135" w:type="dxa"/>
            <w:tcBorders>
              <w:top w:val="nil"/>
              <w:left w:val="nil"/>
              <w:bottom w:val="single" w:sz="8" w:space="0" w:color="000000"/>
              <w:right w:val="nil"/>
            </w:tcBorders>
            <w:vAlign w:val="center"/>
          </w:tcPr>
          <w:p w14:paraId="06EA3B1F" w14:textId="2A82C8CD" w:rsidR="00F90771" w:rsidRPr="008C4D21" w:rsidRDefault="005B6D1C"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20</w:t>
            </w:r>
          </w:p>
        </w:tc>
        <w:tc>
          <w:tcPr>
            <w:tcW w:w="1135" w:type="dxa"/>
            <w:tcBorders>
              <w:top w:val="nil"/>
              <w:left w:val="nil"/>
              <w:bottom w:val="single" w:sz="8" w:space="0" w:color="000000"/>
              <w:right w:val="nil"/>
            </w:tcBorders>
            <w:shd w:val="clear" w:color="auto" w:fill="auto"/>
            <w:vAlign w:val="center"/>
            <w:hideMark/>
          </w:tcPr>
          <w:p w14:paraId="1BBF8FE5" w14:textId="650754E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Wu et al</w:t>
            </w:r>
            <w:r w:rsidR="004F414F">
              <w:rPr>
                <w:rFonts w:ascii="Calibri" w:eastAsia="Times New Roman" w:hAnsi="Calibri" w:cs="Calibri"/>
                <w:color w:val="000000"/>
                <w:sz w:val="18"/>
                <w:szCs w:val="18"/>
                <w:lang w:eastAsia="en-GB"/>
              </w:rPr>
              <w:t xml:space="preserve"> </w:t>
            </w:r>
            <w:r w:rsidR="00ED0E62">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{"citationItems":[{"id":"ITEM-1","itemData":{"DOI":"10.1093/cid/ciaa557","ISBN":"1058-4838","abstract":"To illustrate the extent of transmission, identify affecting risk factors and estimate epidemiological modeling parameters of severe acute respiratory syndrome coronavirus 2 (SARS-CoV-2) in household setting.We enrolled 35 confirmed index cases and their 148 household contacts, January 2020–February 2020, in Zhuhai, China. All participants were interviewed and asked to complete questionnaires. Household contacts were then prospectively followed active symptom monitoring through the 21-day period and nasopharyngeal and/or oropharyngeal swabs were collected at 3–7 days intervals. Epidemiological, demographic, and clinical data (when available) were collected.Assuming that all these secondary cases were infected by their index cases, the second infection rate in household context is 32.4% (95% confidence interval [CI]: 22.4%–44.4%), with 10.4% of secondary cases being asymptomatic. Multivariate analysis showed that household contacts with underlying medical conditions, a history of direct exposure to Wuhan and its surrounding areas, and shared vehicle with an index patient were associated with higher susceptibility. Household members without protective measures after illness onset of the index patient seem to increase the risk for SARS-CoV-2 infection. The median incubation period and serial interval within household were estimated to be 4.3 days (95% CI: 3.4–5.3 days) and 5.1 days (95% CI: 4.3–6.2 days), respectively.Early isolation of patients with coronavirus disease 2019 and prioritizing rapid contact investigation, followed by active symptom monitoring and periodic laboratory evaluation, should be initiated immediately after confirming patients to address the underlying determinants driving the continuing pandemic.","author":[{"dropping-particle":"","family":"Wu","given":"Jian","non-dropping-particle":"","parse-names":false,"suffix":""},{"dropping-particle":"","family":"Huang","given":"Yiying","non-dropping-particle":"","parse-names":false,"suffix":""},{"dropping-particle":"","family":"Tu","given":"Changli","non-dropping-particle":"","parse-names":false,"suffix":""},{"dropping-particle":"","family":"Bi","given":"Chunping","non-dropping-particle":"","parse-names":false,"suffix":""},{"dropping-particle":"","family":"Chen","given":"Zhigang","non-dropping-particle":"","parse-names":false,"suffix":""},{"dropping-particle":"","family":"Luo","given":"Liyun","non-dropping-particle":"","parse-names":false,"suffix":""},{"dropping-particle":"","family":"Huang","given":"Mingxing","non-dropping-particle":"","parse-names":false,"suffix":""},{"dropping-particle":"","family":"Chen","given":"Meizhu","non-dropping-particle":"","parse-names":false,"suffix":""},{"dropping-particle":"","family":"Tan","given":"Cuiyan","non-dropping-particle":"","parse-names":false,"suffix":""},{"dropping-particle":"","family":"Wang","given":"Zhenguo","non-dropping-particle":"","parse-names":false,"suffix":""},{"dropping-particle":"","family":"Wang","given":"Kongqiu","non-dropping-particle":"","parse-names":false,"suffix":""},{"dropping-particle":"","family":"Liang","given":"YingJian","non-dropping-particle":"","parse-names":false,"suffix":""},{"dropping-particle":"","family":"Huang","given":"Jin","non-dropping-particle":"","parse-names":false,"suffix":""},{"dropping-particle":"","family":"Zheng","given":"Xiaobin","non-dropping-particle":"","parse-names":false,"suffix":""},{"dropping-particle":"","family":"Liu","given":"Jing","non-dropping-particle":"","parse-names":false,"suffix":""}],"container-title":"Clinical Infectious Diseases","id":"ITEM-1","issued":{"date-parts":[["2020"]]},"title":"Household Transmission of SARS-CoV-2, Zhuhai, China, 2020","type":"article-journal"},"uris":["http://www.mendeley.com/documents/?uuid=983fc74d-b23e-4779-b29e-3e5815de615f"]}],"mendeley":{"formattedCitation":"[55]","plainTextFormattedCitation":"[55]","previouslyFormattedCitation":"[57]"},"properties":{"noteIndex":0},"schema":"https://github.com/citation-style-language/schema/raw/master/csl-citation.json"}</w:instrText>
            </w:r>
            <w:r w:rsidR="00ED0E62">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[55]</w:t>
            </w:r>
            <w:r w:rsidR="00ED0E62">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noWrap/>
            <w:vAlign w:val="center"/>
            <w:hideMark/>
          </w:tcPr>
          <w:p w14:paraId="1F00048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Zhuhai</w:t>
            </w:r>
          </w:p>
        </w:tc>
        <w:tc>
          <w:tcPr>
            <w:tcW w:w="1134" w:type="dxa"/>
            <w:tcBorders>
              <w:top w:val="nil"/>
              <w:left w:val="nil"/>
              <w:bottom w:val="single" w:sz="8" w:space="0" w:color="000000"/>
              <w:right w:val="nil"/>
            </w:tcBorders>
            <w:shd w:val="clear" w:color="000000" w:fill="FFFFFF"/>
            <w:noWrap/>
            <w:vAlign w:val="center"/>
            <w:hideMark/>
          </w:tcPr>
          <w:p w14:paraId="5EBB968C"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5D8B6654"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Contact investigation/ prospective observational study</w:t>
            </w:r>
          </w:p>
        </w:tc>
        <w:tc>
          <w:tcPr>
            <w:tcW w:w="3117" w:type="dxa"/>
            <w:tcBorders>
              <w:top w:val="nil"/>
              <w:left w:val="nil"/>
              <w:bottom w:val="single" w:sz="8" w:space="0" w:color="000000"/>
              <w:right w:val="nil"/>
            </w:tcBorders>
            <w:shd w:val="clear" w:color="000000" w:fill="FFFFFF"/>
            <w:vAlign w:val="center"/>
            <w:hideMark/>
          </w:tcPr>
          <w:p w14:paraId="47E18CD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Household members living at least 24 hrs in the same residence as the index case after symptom onset</w:t>
            </w:r>
          </w:p>
        </w:tc>
        <w:tc>
          <w:tcPr>
            <w:tcW w:w="1276" w:type="dxa"/>
            <w:tcBorders>
              <w:top w:val="nil"/>
              <w:left w:val="nil"/>
              <w:bottom w:val="single" w:sz="8" w:space="0" w:color="000000"/>
              <w:right w:val="nil"/>
            </w:tcBorders>
            <w:shd w:val="clear" w:color="000000" w:fill="FFFFFF"/>
            <w:vAlign w:val="center"/>
            <w:hideMark/>
          </w:tcPr>
          <w:p w14:paraId="32E401C6"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7024C638"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4DD5428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35</w:t>
            </w:r>
          </w:p>
        </w:tc>
        <w:tc>
          <w:tcPr>
            <w:tcW w:w="850" w:type="dxa"/>
            <w:tcBorders>
              <w:top w:val="nil"/>
              <w:left w:val="nil"/>
              <w:bottom w:val="single" w:sz="8" w:space="0" w:color="000000"/>
              <w:right w:val="nil"/>
            </w:tcBorders>
            <w:shd w:val="clear" w:color="000000" w:fill="FFFFFF"/>
            <w:vAlign w:val="center"/>
            <w:hideMark/>
          </w:tcPr>
          <w:p w14:paraId="09657249"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148</w:t>
            </w:r>
          </w:p>
        </w:tc>
        <w:tc>
          <w:tcPr>
            <w:tcW w:w="993" w:type="dxa"/>
            <w:tcBorders>
              <w:top w:val="nil"/>
              <w:left w:val="nil"/>
              <w:bottom w:val="single" w:sz="8" w:space="0" w:color="000000"/>
              <w:right w:val="nil"/>
            </w:tcBorders>
            <w:shd w:val="clear" w:color="000000" w:fill="FFFFFF"/>
            <w:vAlign w:val="center"/>
            <w:hideMark/>
          </w:tcPr>
          <w:p w14:paraId="13DE1411"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148</w:t>
            </w:r>
          </w:p>
        </w:tc>
        <w:tc>
          <w:tcPr>
            <w:tcW w:w="1134" w:type="dxa"/>
            <w:tcBorders>
              <w:top w:val="nil"/>
              <w:left w:val="nil"/>
              <w:bottom w:val="single" w:sz="8" w:space="0" w:color="000000"/>
              <w:right w:val="nil"/>
            </w:tcBorders>
            <w:shd w:val="clear" w:color="000000" w:fill="FFFFFF"/>
            <w:vAlign w:val="center"/>
            <w:hideMark/>
          </w:tcPr>
          <w:p w14:paraId="49B496D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48</w:t>
            </w:r>
          </w:p>
        </w:tc>
      </w:tr>
      <w:tr w:rsidR="000F13C3" w:rsidRPr="008C4D21" w14:paraId="189805BE" w14:textId="77777777" w:rsidTr="006C15AF">
        <w:trPr>
          <w:cantSplit/>
          <w:trHeight w:val="542"/>
        </w:trPr>
        <w:tc>
          <w:tcPr>
            <w:tcW w:w="1135" w:type="dxa"/>
            <w:tcBorders>
              <w:top w:val="nil"/>
              <w:left w:val="nil"/>
              <w:bottom w:val="single" w:sz="8" w:space="0" w:color="000000"/>
              <w:right w:val="nil"/>
            </w:tcBorders>
            <w:vAlign w:val="center"/>
          </w:tcPr>
          <w:p w14:paraId="4BB99B5C" w14:textId="22EE18E6" w:rsidR="00F90771" w:rsidRPr="008C4D21" w:rsidRDefault="005B6D1C"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21</w:t>
            </w:r>
          </w:p>
        </w:tc>
        <w:tc>
          <w:tcPr>
            <w:tcW w:w="1135" w:type="dxa"/>
            <w:tcBorders>
              <w:top w:val="nil"/>
              <w:left w:val="nil"/>
              <w:bottom w:val="single" w:sz="8" w:space="0" w:color="000000"/>
              <w:right w:val="nil"/>
            </w:tcBorders>
            <w:shd w:val="clear" w:color="auto" w:fill="auto"/>
            <w:vAlign w:val="center"/>
            <w:hideMark/>
          </w:tcPr>
          <w:p w14:paraId="3CC51A01" w14:textId="3CD4A2D3"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Wu et al</w:t>
            </w:r>
            <w:r w:rsidR="00ED0E62">
              <w:rPr>
                <w:rFonts w:ascii="Calibri" w:eastAsia="Times New Roman" w:hAnsi="Calibri" w:cs="Calibri"/>
                <w:color w:val="000000"/>
                <w:sz w:val="18"/>
                <w:szCs w:val="18"/>
                <w:lang w:eastAsia="en-GB"/>
              </w:rPr>
              <w:t xml:space="preserve"> </w:t>
            </w:r>
            <w:r w:rsidR="00FA642B">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{"citationItems":[{"id":"ITEM-1","itemData":{"DOI":"https://doi.org/10.1016/j.puhe.2020.05.016","ISBN":"0033-3506","abstract":"Objectives This study determined the rate of secondary infection among contacts of individuals with confirmed coronavirus disease 2019 (COVID-19) in Hangzhou according to the type of contacts, the intensity of contacts, and their relationship with the index patient. Study design This is a retrospective cohort study. Methods The analysis used the data of 2994 contacts of 144 individuals with confirmed severe acute respiratory syndrome coronavirus 2 (SARS-CoV-2) infection. The contacts were categorized according to the information source, type of contact, location, intensity of contact, and relationship with the index patient. Results The incidence of infection differed significantly according to contact type. Of the contacts, 186 (6.2%) developed symptoms, and 71 (2.4%) had confirmed SARS-CoV-2 infection. The main symptoms were cough and fever. Compared with those who had brief contact with the index case, those who had dined with the index case had 2.6 times higher risk of acquiring infection; those who had shared transport with, had visited, or had contact with the index case in a medical institution had 3.6 times higher risk of acquiring infection; and household contacts had 41.7 times higher risk of acquiring infection. Family members had 31.6 times higher risk of acquiring infection than healthcare providers or other patients exposed to an index case. Conclusions The form and frequency of contact are the main factors affecting the risk of infection among contacts of individuals with COVID-19. Centralized isolation and observation of close contacts of individuals with confirmed SARS-CoV-2 infection, in addition to population-based control measures, can reduce the risk of secondary infections and curb the spread of the infection.","author":[{"dropping-particle":"","family":"Wu","given":"Y","non-dropping-particle":"","parse-names":false,"suffix":""},{"dropping-particle":"","family":"Song","given":"S","non-dropping-particle":"","parse-names":false,"suffix":""},{"dropping-particle":"","family":"Kao","given":"Q","non-dropping-particle":"","parse-names":false,"suffix":""},{"dropping-particle":"","family":"Kong","given":"Q","non-dropping-particle":"","parse-names":false,"suffix":""},{"dropping-particle":"","family":"Sun","given":"Z","non-dropping-particle":"","parse-names":false,"suffix":""},{"dropping-particle":"","family":"Wang","given":"B","non-dropping-particle":"","parse-names":false,"suffix":""}],"container-title":"Public Health","id":"ITEM-1","issued":{"date-parts":[["2020"]]},"page":"57-59","title":"Risk of SARS-CoV-2 infection among contacts of individuals with COVID-19 in Hangzhou, China","type":"article-journal","volume":"185"},"uris":["http://www.mendeley.com/documents/?uuid=e73e0da2-bab7-4701-9f3b-19169e8cfd1f"]}],"mendeley":{"formattedCitation":"[56]","plainTextFormattedCitation":"[56]","previouslyFormattedCitation":"[58]"},"properties":{"noteIndex":0},"schema":"https://github.com/citation-style-language/schema/raw/master/csl-citation.json"}</w:instrText>
            </w:r>
            <w:r w:rsidR="00FA642B">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[56]</w:t>
            </w:r>
            <w:r w:rsidR="00FA642B">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708379C4"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Hangzhou</w:t>
            </w:r>
          </w:p>
        </w:tc>
        <w:tc>
          <w:tcPr>
            <w:tcW w:w="1134" w:type="dxa"/>
            <w:tcBorders>
              <w:top w:val="nil"/>
              <w:left w:val="nil"/>
              <w:bottom w:val="single" w:sz="8" w:space="0" w:color="000000"/>
              <w:right w:val="nil"/>
            </w:tcBorders>
            <w:shd w:val="clear" w:color="000000" w:fill="FFFFFF"/>
            <w:vAlign w:val="center"/>
            <w:hideMark/>
          </w:tcPr>
          <w:p w14:paraId="7EE3597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auto" w:fill="auto"/>
            <w:vAlign w:val="center"/>
            <w:hideMark/>
          </w:tcPr>
          <w:p w14:paraId="72ED62B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Retrospective cohort study</w:t>
            </w:r>
          </w:p>
        </w:tc>
        <w:tc>
          <w:tcPr>
            <w:tcW w:w="3117" w:type="dxa"/>
            <w:tcBorders>
              <w:top w:val="nil"/>
              <w:left w:val="nil"/>
              <w:bottom w:val="single" w:sz="8" w:space="0" w:color="000000"/>
              <w:right w:val="nil"/>
            </w:tcBorders>
            <w:shd w:val="clear" w:color="000000" w:fill="FFFFFF"/>
            <w:vAlign w:val="center"/>
            <w:hideMark/>
          </w:tcPr>
          <w:p w14:paraId="17F19B0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2AD5B942"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6430DEA8" w14:textId="6964D499"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41DAD06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144</w:t>
            </w:r>
          </w:p>
        </w:tc>
        <w:tc>
          <w:tcPr>
            <w:tcW w:w="850" w:type="dxa"/>
            <w:tcBorders>
              <w:top w:val="nil"/>
              <w:left w:val="nil"/>
              <w:bottom w:val="single" w:sz="8" w:space="0" w:color="000000"/>
              <w:right w:val="nil"/>
            </w:tcBorders>
            <w:shd w:val="clear" w:color="000000" w:fill="FFFFFF"/>
            <w:vAlign w:val="center"/>
            <w:hideMark/>
          </w:tcPr>
          <w:p w14:paraId="02793B6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280</w:t>
            </w:r>
          </w:p>
        </w:tc>
        <w:tc>
          <w:tcPr>
            <w:tcW w:w="993" w:type="dxa"/>
            <w:tcBorders>
              <w:top w:val="nil"/>
              <w:left w:val="nil"/>
              <w:bottom w:val="single" w:sz="8" w:space="0" w:color="000000"/>
              <w:right w:val="nil"/>
            </w:tcBorders>
            <w:shd w:val="clear" w:color="000000" w:fill="FFFFFF"/>
            <w:vAlign w:val="center"/>
            <w:hideMark/>
          </w:tcPr>
          <w:p w14:paraId="7FE7FB22"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280</w:t>
            </w:r>
          </w:p>
        </w:tc>
        <w:tc>
          <w:tcPr>
            <w:tcW w:w="1134" w:type="dxa"/>
            <w:tcBorders>
              <w:top w:val="nil"/>
              <w:left w:val="nil"/>
              <w:bottom w:val="single" w:sz="8" w:space="0" w:color="000000"/>
              <w:right w:val="nil"/>
            </w:tcBorders>
            <w:shd w:val="clear" w:color="000000" w:fill="FFFFFF"/>
            <w:vAlign w:val="center"/>
            <w:hideMark/>
          </w:tcPr>
          <w:p w14:paraId="019A541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50</w:t>
            </w:r>
          </w:p>
        </w:tc>
      </w:tr>
      <w:tr w:rsidR="000F13C3" w:rsidRPr="008C4D21" w14:paraId="765B85CF" w14:textId="77777777" w:rsidTr="006C15AF">
        <w:trPr>
          <w:cantSplit/>
          <w:trHeight w:val="550"/>
        </w:trPr>
        <w:tc>
          <w:tcPr>
            <w:tcW w:w="1135" w:type="dxa"/>
            <w:tcBorders>
              <w:top w:val="nil"/>
              <w:left w:val="nil"/>
              <w:bottom w:val="single" w:sz="8" w:space="0" w:color="000000"/>
              <w:right w:val="nil"/>
            </w:tcBorders>
            <w:vAlign w:val="center"/>
          </w:tcPr>
          <w:p w14:paraId="03275A4E" w14:textId="7A79ED9C" w:rsidR="00F90771" w:rsidRPr="008C4D21" w:rsidRDefault="00745233"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23</w:t>
            </w:r>
          </w:p>
        </w:tc>
        <w:tc>
          <w:tcPr>
            <w:tcW w:w="1135" w:type="dxa"/>
            <w:tcBorders>
              <w:top w:val="nil"/>
              <w:left w:val="nil"/>
              <w:bottom w:val="single" w:sz="8" w:space="0" w:color="000000"/>
              <w:right w:val="nil"/>
            </w:tcBorders>
            <w:shd w:val="clear" w:color="auto" w:fill="auto"/>
            <w:vAlign w:val="center"/>
            <w:hideMark/>
          </w:tcPr>
          <w:p w14:paraId="1B20FD47" w14:textId="2517DB5D"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Xin et al </w:t>
            </w:r>
            <w:r w:rsidR="005F6A7A">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ISSN":"1865-1674","author":[{"dropping-particle":"","family":"Xin","given":"Hualei","non-dropping-particle":"","parse-names":false,"suffix":""},{"dropping-particle":"","family":"Jiang","given":"Fachun","non-dropping-particle":"","parse-names":false,"suffix":""},{"dropping-particle":"","family":"Xue","given":"Aili","non-dropping-particle":"","parse-names":false,"suffix":""},{"dropping-particle":"","family":"Liang","given":"Jiwei","non-dropping-particle":"","parse-names":false,"suffix":""},{"dropping-particle":"","family":"Zhang","given":"Jingfei","non-dropping-particle":"","parse-names":false,"suffix":""},{"dropping-particle":"","family":"Yang","given":"Feng","non-dropping-particle":"","parse-names":false,"suffix":""},{"dropping-particle":"","family":"Han","given":"Yalin","non-dropping-particle":"","parse-names":false,"suffix":""}],"container-title":"Transboundary and Emerging Diseases","id":"ITEM-1","issued":{"date-parts":[["2020"]]},"publisher":"Wiley Online Library","title":"Risk factors associated with occurrence of COVID‐19 among household persons exposed to patients with confirmed COVID‐19 in Qingdao Municipal, China","type":"article-journal"},"uris":["http://www.mendeley.com/documents/?uuid=847def2f-d681-4af6-9997-fe574b3d6dc0"]}],"mendeley":{"formattedCitation":"[57]","plainTextFormattedCitation":"[57]","previouslyFormattedCitation":"[59]"},"properties":{"noteIndex":0},"schema":"https://github.com/citation-style-language/schema/raw/master/csl-citation.json"}</w:instrText>
            </w:r>
            <w:r w:rsidR="005F6A7A">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[57]</w:t>
            </w:r>
            <w:r w:rsidR="005F6A7A">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5BA1550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Qingdao</w:t>
            </w:r>
          </w:p>
        </w:tc>
        <w:tc>
          <w:tcPr>
            <w:tcW w:w="1134" w:type="dxa"/>
            <w:tcBorders>
              <w:top w:val="nil"/>
              <w:left w:val="nil"/>
              <w:bottom w:val="single" w:sz="8" w:space="0" w:color="000000"/>
              <w:right w:val="nil"/>
            </w:tcBorders>
            <w:shd w:val="clear" w:color="000000" w:fill="FFFFFF"/>
            <w:vAlign w:val="center"/>
            <w:hideMark/>
          </w:tcPr>
          <w:p w14:paraId="574914D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29B1BCAC"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229FE548"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6B2BC9FA"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09F07F53"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6A513E3C"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31</w:t>
            </w:r>
          </w:p>
        </w:tc>
        <w:tc>
          <w:tcPr>
            <w:tcW w:w="850" w:type="dxa"/>
            <w:tcBorders>
              <w:top w:val="nil"/>
              <w:left w:val="nil"/>
              <w:bottom w:val="single" w:sz="8" w:space="0" w:color="000000"/>
              <w:right w:val="nil"/>
            </w:tcBorders>
            <w:shd w:val="clear" w:color="000000" w:fill="FFFFFF"/>
            <w:vAlign w:val="center"/>
            <w:hideMark/>
          </w:tcPr>
          <w:p w14:paraId="49CD6EA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106</w:t>
            </w:r>
          </w:p>
        </w:tc>
        <w:tc>
          <w:tcPr>
            <w:tcW w:w="993" w:type="dxa"/>
            <w:tcBorders>
              <w:top w:val="nil"/>
              <w:left w:val="nil"/>
              <w:bottom w:val="single" w:sz="8" w:space="0" w:color="000000"/>
              <w:right w:val="nil"/>
            </w:tcBorders>
            <w:shd w:val="clear" w:color="000000" w:fill="FFFFFF"/>
            <w:vAlign w:val="center"/>
            <w:hideMark/>
          </w:tcPr>
          <w:p w14:paraId="691A8A8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106</w:t>
            </w:r>
          </w:p>
        </w:tc>
        <w:tc>
          <w:tcPr>
            <w:tcW w:w="1134" w:type="dxa"/>
            <w:tcBorders>
              <w:top w:val="nil"/>
              <w:left w:val="nil"/>
              <w:bottom w:val="single" w:sz="8" w:space="0" w:color="000000"/>
              <w:right w:val="nil"/>
            </w:tcBorders>
            <w:shd w:val="clear" w:color="000000" w:fill="FFFFFF"/>
            <w:vAlign w:val="center"/>
            <w:hideMark/>
          </w:tcPr>
          <w:p w14:paraId="3A414E09"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19</w:t>
            </w:r>
          </w:p>
        </w:tc>
      </w:tr>
      <w:tr w:rsidR="000F13C3" w:rsidRPr="008C4D21" w14:paraId="73530342" w14:textId="77777777" w:rsidTr="006C15AF">
        <w:trPr>
          <w:cantSplit/>
          <w:trHeight w:val="700"/>
        </w:trPr>
        <w:tc>
          <w:tcPr>
            <w:tcW w:w="1135" w:type="dxa"/>
            <w:tcBorders>
              <w:top w:val="nil"/>
              <w:left w:val="nil"/>
              <w:bottom w:val="single" w:sz="8" w:space="0" w:color="000000"/>
              <w:right w:val="nil"/>
            </w:tcBorders>
            <w:vAlign w:val="center"/>
          </w:tcPr>
          <w:p w14:paraId="0810BFBF" w14:textId="5DCC7E88" w:rsidR="00F90771" w:rsidRPr="008C4D21" w:rsidRDefault="00B20AD6"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24</w:t>
            </w:r>
          </w:p>
        </w:tc>
        <w:tc>
          <w:tcPr>
            <w:tcW w:w="1135" w:type="dxa"/>
            <w:tcBorders>
              <w:top w:val="nil"/>
              <w:left w:val="nil"/>
              <w:bottom w:val="single" w:sz="8" w:space="0" w:color="000000"/>
              <w:right w:val="nil"/>
            </w:tcBorders>
            <w:shd w:val="clear" w:color="auto" w:fill="auto"/>
            <w:vAlign w:val="center"/>
            <w:hideMark/>
          </w:tcPr>
          <w:p w14:paraId="30294E89" w14:textId="49B25B83"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Yousaf et al</w:t>
            </w:r>
            <w:r w:rsidR="005F6A7A">
              <w:rPr>
                <w:rFonts w:ascii="Calibri" w:eastAsia="Times New Roman" w:hAnsi="Calibri" w:cs="Calibri"/>
                <w:color w:val="000000"/>
                <w:sz w:val="18"/>
                <w:szCs w:val="18"/>
                <w:lang w:eastAsia="en-GB"/>
              </w:rPr>
              <w:t xml:space="preserve"> </w:t>
            </w:r>
            <w:r w:rsidR="005F6A7A">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{"citationItems":[{"id":"ITEM-1","itemData":{"author":[{"dropping-particle":"","family":"Yousaf","given":"Anna R","non-dropping-particle":"","parse-names":false,"suffix":""},{"dropping-particle":"","family":"Duca","given":"Lindsey M","non-dropping-particle":"","parse-names":false,"suffix":""},{"dropping-particle":"","family":"Chu","given":"Victoria","non-dropping-particle":"","parse-names":false,"suffix":""},{"dropping-particle":"","family":"Reses","given":"Hannah E","non-dropping-particle":"","parse-names":false,"suffix":""},{"dropping-particle":"","family":"Fajans","given":"Mark","non-dropping-particle":"","parse-names":false,"suffix":""},{"dropping-particle":"","family":"Rabold","given":"Elizabeth M","non-dropping-particle":"","parse-names":false,"suffix":""},{"dropping-particle":"","family":"Laws","given":"Rebecca L","non-dropping-particle":"","parse-names":false,"suffix":""},{"dropping-particle":"","family":"Gharpure","given":"Radhika","non-dropping-particle":"","parse-names":false,"suffix":""},{"dropping-particle":"","family":"Matanock","given":"Almea","non-dropping-particle":"","parse-names":false,"suffix":""},{"dropping-particle":"","family":"Wadhwa","given":"Ash","non-dropping-particle":"","parse-names":false,"suffix":""}],"container-title":"Clinical Infectious Diseases","id":"ITEM-1","issued":{"date-parts":[["2020"]]},"title":"A prospective cohort study in non-hospitalized household contacts with SARS-CoV-2 infection: symptom profiles and symptom change over time","type":"article-journal"},"uris":["http://www.mendeley.com/documents/?uuid=0c4740e2-16e4-4a60-9348-a506d178c325"]}],"mendeley":{"formattedCitation":"[58]","plainTextFormattedCitation":"[58]","previouslyFormattedCitation":"[60]"},"properties":{"noteIndex":0},"schema":"https://github.com/citation-style-language/schema/raw/master/csl-citation.json"}</w:instrText>
            </w:r>
            <w:r w:rsidR="005F6A7A">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[58]</w:t>
            </w:r>
            <w:r w:rsidR="005F6A7A">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3BB6ACD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Wisconsin, Utah</w:t>
            </w:r>
          </w:p>
        </w:tc>
        <w:tc>
          <w:tcPr>
            <w:tcW w:w="1134" w:type="dxa"/>
            <w:tcBorders>
              <w:top w:val="nil"/>
              <w:left w:val="nil"/>
              <w:bottom w:val="single" w:sz="8" w:space="0" w:color="000000"/>
              <w:right w:val="nil"/>
            </w:tcBorders>
            <w:shd w:val="clear" w:color="000000" w:fill="FFFFFF"/>
            <w:vAlign w:val="center"/>
            <w:hideMark/>
          </w:tcPr>
          <w:p w14:paraId="6A10BFF7"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USA</w:t>
            </w:r>
          </w:p>
        </w:tc>
        <w:tc>
          <w:tcPr>
            <w:tcW w:w="2268" w:type="dxa"/>
            <w:tcBorders>
              <w:top w:val="nil"/>
              <w:left w:val="nil"/>
              <w:bottom w:val="single" w:sz="8" w:space="0" w:color="000000"/>
              <w:right w:val="nil"/>
            </w:tcBorders>
            <w:shd w:val="clear" w:color="000000" w:fill="FFFFFF"/>
            <w:vAlign w:val="center"/>
            <w:hideMark/>
          </w:tcPr>
          <w:p w14:paraId="1FA1521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0AD79474"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0B66D3ED"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02DCDDE7"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6E39A03C" w14:textId="4C8B628A" w:rsidR="00F90771" w:rsidRPr="008C4D21" w:rsidRDefault="00F90771" w:rsidP="008B595F">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not </w:t>
            </w:r>
            <w:r w:rsidR="006C15AF">
              <w:rPr>
                <w:rFonts w:ascii="Calibri" w:eastAsia="Times New Roman" w:hAnsi="Calibri" w:cs="Calibri"/>
                <w:color w:val="000000"/>
                <w:sz w:val="18"/>
                <w:szCs w:val="18"/>
                <w:lang w:eastAsia="en-GB"/>
              </w:rPr>
              <w:t>stated*</w:t>
            </w:r>
          </w:p>
        </w:tc>
        <w:tc>
          <w:tcPr>
            <w:tcW w:w="850" w:type="dxa"/>
            <w:tcBorders>
              <w:top w:val="nil"/>
              <w:left w:val="nil"/>
              <w:bottom w:val="single" w:sz="8" w:space="0" w:color="000000"/>
              <w:right w:val="nil"/>
            </w:tcBorders>
            <w:shd w:val="clear" w:color="000000" w:fill="FFFFFF"/>
            <w:vAlign w:val="center"/>
            <w:hideMark/>
          </w:tcPr>
          <w:p w14:paraId="33C51C4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195</w:t>
            </w:r>
          </w:p>
        </w:tc>
        <w:tc>
          <w:tcPr>
            <w:tcW w:w="993" w:type="dxa"/>
            <w:tcBorders>
              <w:top w:val="nil"/>
              <w:left w:val="nil"/>
              <w:bottom w:val="single" w:sz="8" w:space="0" w:color="000000"/>
              <w:right w:val="nil"/>
            </w:tcBorders>
            <w:shd w:val="clear" w:color="000000" w:fill="FFFFFF"/>
            <w:vAlign w:val="center"/>
            <w:hideMark/>
          </w:tcPr>
          <w:p w14:paraId="2BDAB1B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195</w:t>
            </w:r>
          </w:p>
        </w:tc>
        <w:tc>
          <w:tcPr>
            <w:tcW w:w="1134" w:type="dxa"/>
            <w:tcBorders>
              <w:top w:val="nil"/>
              <w:left w:val="nil"/>
              <w:bottom w:val="single" w:sz="8" w:space="0" w:color="000000"/>
              <w:right w:val="nil"/>
            </w:tcBorders>
            <w:shd w:val="clear" w:color="000000" w:fill="FFFFFF"/>
            <w:vAlign w:val="center"/>
            <w:hideMark/>
          </w:tcPr>
          <w:p w14:paraId="7FE0EF8D"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47</w:t>
            </w:r>
          </w:p>
        </w:tc>
      </w:tr>
      <w:tr w:rsidR="000F13C3" w:rsidRPr="008C4D21" w14:paraId="3D37EAB2" w14:textId="77777777" w:rsidTr="006C15AF">
        <w:trPr>
          <w:cantSplit/>
          <w:trHeight w:val="672"/>
        </w:trPr>
        <w:tc>
          <w:tcPr>
            <w:tcW w:w="1135" w:type="dxa"/>
            <w:tcBorders>
              <w:top w:val="single" w:sz="8" w:space="0" w:color="auto"/>
              <w:left w:val="nil"/>
              <w:bottom w:val="single" w:sz="8" w:space="0" w:color="000000"/>
              <w:right w:val="nil"/>
            </w:tcBorders>
            <w:vAlign w:val="center"/>
          </w:tcPr>
          <w:p w14:paraId="5BB15635" w14:textId="77777777" w:rsidR="00F90771" w:rsidRPr="008C4D21" w:rsidRDefault="00F90771" w:rsidP="00410ABF">
            <w:pPr>
              <w:spacing w:after="0" w:line="240" w:lineRule="auto"/>
              <w:jc w:val="center"/>
              <w:rPr>
                <w:rFonts w:ascii="Calibri" w:eastAsia="Times New Roman" w:hAnsi="Calibri" w:cs="Calibri"/>
                <w:color w:val="000000"/>
                <w:sz w:val="18"/>
                <w:szCs w:val="18"/>
                <w:lang w:eastAsia="en-GB"/>
              </w:rPr>
            </w:pPr>
          </w:p>
        </w:tc>
        <w:tc>
          <w:tcPr>
            <w:tcW w:w="1135" w:type="dxa"/>
            <w:tcBorders>
              <w:top w:val="single" w:sz="8" w:space="0" w:color="auto"/>
              <w:left w:val="nil"/>
              <w:bottom w:val="single" w:sz="8" w:space="0" w:color="000000"/>
              <w:right w:val="nil"/>
            </w:tcBorders>
            <w:shd w:val="clear" w:color="auto" w:fill="auto"/>
            <w:vAlign w:val="center"/>
            <w:hideMark/>
          </w:tcPr>
          <w:p w14:paraId="52B0F1BD" w14:textId="538CA0FE"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Yu et al</w:t>
            </w:r>
            <w:r w:rsidR="005F6A7A">
              <w:rPr>
                <w:rFonts w:ascii="Calibri" w:eastAsia="Times New Roman" w:hAnsi="Calibri" w:cs="Calibri"/>
                <w:color w:val="000000"/>
                <w:sz w:val="18"/>
                <w:szCs w:val="18"/>
                <w:lang w:eastAsia="en-GB"/>
              </w:rPr>
              <w:t xml:space="preserve"> </w:t>
            </w:r>
            <w:r w:rsidR="000A32AB">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j.tmaid.2020.101809","ISBN":"1873-0442\r1477-8939","PMID":"32592904","author":[{"dropping-particle":"","family":"Yu","given":"Hong-Jie","non-dropping-particle":"","parse-names":false,"suffix":""},{"dropping-particle":"","family":"Hu","given":"Yong-Feng","non-dropping-particle":"","parse-names":false,"suffix":""},{"dropping-particle":"","family":"Liu","given":"Xiang-Xiang","non-dropping-particle":"","parse-names":false,"suffix":""},{"dropping-particle":"","family":"Yao","given":"Xi-Qing","non-dropping-particle":"","parse-names":false,"suffix":""},{"dropping-particle":"","family":"Wang","given":"Qi-Fa","non-dropping-particle":"","parse-names":false,"suffix":""},{"dropping-particle":"","family":"Liu","given":"Li-Ping","non-dropping-particle":"","parse-names":false,"suffix":""},{"dropping-particle":"","family":"Yang","given":"Dan","non-dropping-particle":"","parse-names":false,"suffix":""},{"dropping-particle":"","family":"Li","given":"De-Jia","non-dropping-particle":"","parse-names":false,"suffix":""},{"dropping-particle":"","family":"Wang","given":"Pei-Gang","non-dropping-particle":"","parse-names":false,"suffix":""},{"dropping-particle":"","family":"He","given":"Qi-Qiang","non-dropping-particle":"","parse-names":false,"suffix":""}],"container-title":"Travel medicine and infectious disease","id":"ITEM-1","issued":{"date-parts":[["2020"]]},"language":"eng","note":"32592904[pmid]\nPMC7311892[pmcid]\nS1477-8939(20)30305-7[PII]","page":"101809","publisher":"Elsevier Ltd.","title":"Household infection: The predominant risk factor for close contacts of patients with COVID-19","type":"article-journal","volume":"36"},"uris":["http://www.mendeley.com/documents/?uuid=b1f09280-3317-4036-8f04-4d1dd8aaea35"]}],"mendeley":{"formattedCitation":"[59]","plainTextFormattedCitation":"[59]","previouslyFormattedCitation":"[61]"},"properties":{"noteIndex":0},"schema":"https://github.com/citation-style-language/schema/raw/master/csl-citation.json"}</w:instrText>
            </w:r>
            <w:r w:rsidR="000A32AB">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[59]</w:t>
            </w:r>
            <w:r w:rsidR="000A32AB">
              <w:rPr>
                <w:rFonts w:ascii="Calibri" w:eastAsia="Times New Roman" w:hAnsi="Calibri" w:cs="Calibri"/>
                <w:color w:val="000000"/>
                <w:sz w:val="18"/>
                <w:szCs w:val="18"/>
                <w:lang w:eastAsia="en-GB"/>
              </w:rPr>
              <w:fldChar w:fldCharType="end"/>
            </w:r>
          </w:p>
        </w:tc>
        <w:tc>
          <w:tcPr>
            <w:tcW w:w="1276" w:type="dxa"/>
            <w:tcBorders>
              <w:top w:val="single" w:sz="8" w:space="0" w:color="auto"/>
              <w:left w:val="nil"/>
              <w:bottom w:val="single" w:sz="8" w:space="0" w:color="000000"/>
              <w:right w:val="nil"/>
            </w:tcBorders>
            <w:shd w:val="clear" w:color="000000" w:fill="FFFFFF"/>
            <w:noWrap/>
            <w:vAlign w:val="center"/>
            <w:hideMark/>
          </w:tcPr>
          <w:p w14:paraId="6936B5C0"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Xinzhou</w:t>
            </w:r>
            <w:proofErr w:type="spellEnd"/>
          </w:p>
        </w:tc>
        <w:tc>
          <w:tcPr>
            <w:tcW w:w="1134" w:type="dxa"/>
            <w:tcBorders>
              <w:top w:val="single" w:sz="8" w:space="0" w:color="auto"/>
              <w:left w:val="nil"/>
              <w:bottom w:val="single" w:sz="8" w:space="0" w:color="000000"/>
              <w:right w:val="nil"/>
            </w:tcBorders>
            <w:shd w:val="clear" w:color="000000" w:fill="FFFFFF"/>
            <w:noWrap/>
            <w:vAlign w:val="center"/>
            <w:hideMark/>
          </w:tcPr>
          <w:p w14:paraId="72E77BA3"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single" w:sz="8" w:space="0" w:color="auto"/>
              <w:left w:val="nil"/>
              <w:bottom w:val="single" w:sz="8" w:space="0" w:color="000000"/>
              <w:right w:val="nil"/>
            </w:tcBorders>
            <w:shd w:val="clear" w:color="000000" w:fill="FFFFFF"/>
            <w:vAlign w:val="center"/>
            <w:hideMark/>
          </w:tcPr>
          <w:p w14:paraId="357F03D7"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single" w:sz="8" w:space="0" w:color="auto"/>
              <w:left w:val="nil"/>
              <w:bottom w:val="single" w:sz="8" w:space="0" w:color="000000"/>
              <w:right w:val="nil"/>
            </w:tcBorders>
            <w:shd w:val="clear" w:color="000000" w:fill="FFFFFF"/>
            <w:vAlign w:val="center"/>
            <w:hideMark/>
          </w:tcPr>
          <w:p w14:paraId="64C33109"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or shared a meal with the index case </w:t>
            </w:r>
          </w:p>
        </w:tc>
        <w:tc>
          <w:tcPr>
            <w:tcW w:w="1276" w:type="dxa"/>
            <w:tcBorders>
              <w:top w:val="single" w:sz="8" w:space="0" w:color="auto"/>
              <w:left w:val="nil"/>
              <w:bottom w:val="single" w:sz="8" w:space="0" w:color="000000"/>
              <w:right w:val="nil"/>
            </w:tcBorders>
            <w:shd w:val="clear" w:color="000000" w:fill="FFFFFF"/>
            <w:vAlign w:val="center"/>
            <w:hideMark/>
          </w:tcPr>
          <w:p w14:paraId="2F3D0F9F" w14:textId="5CDFBDC4"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unclear</w:t>
            </w:r>
          </w:p>
        </w:tc>
        <w:tc>
          <w:tcPr>
            <w:tcW w:w="992" w:type="dxa"/>
            <w:tcBorders>
              <w:top w:val="single" w:sz="8" w:space="0" w:color="auto"/>
              <w:left w:val="nil"/>
              <w:bottom w:val="single" w:sz="8" w:space="0" w:color="000000"/>
              <w:right w:val="nil"/>
            </w:tcBorders>
            <w:shd w:val="clear" w:color="000000" w:fill="FFFFFF"/>
            <w:vAlign w:val="center"/>
            <w:hideMark/>
          </w:tcPr>
          <w:p w14:paraId="548D0913" w14:textId="766DC27A"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unclear</w:t>
            </w:r>
          </w:p>
        </w:tc>
        <w:tc>
          <w:tcPr>
            <w:tcW w:w="851" w:type="dxa"/>
            <w:tcBorders>
              <w:top w:val="single" w:sz="8" w:space="0" w:color="auto"/>
              <w:left w:val="nil"/>
              <w:bottom w:val="single" w:sz="8" w:space="0" w:color="000000"/>
              <w:right w:val="nil"/>
            </w:tcBorders>
            <w:shd w:val="clear" w:color="000000" w:fill="FFFFFF"/>
            <w:vAlign w:val="center"/>
            <w:hideMark/>
          </w:tcPr>
          <w:p w14:paraId="41A1EE3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560</w:t>
            </w:r>
          </w:p>
        </w:tc>
        <w:tc>
          <w:tcPr>
            <w:tcW w:w="850" w:type="dxa"/>
            <w:tcBorders>
              <w:top w:val="single" w:sz="8" w:space="0" w:color="auto"/>
              <w:left w:val="nil"/>
              <w:bottom w:val="single" w:sz="8" w:space="0" w:color="000000"/>
              <w:right w:val="nil"/>
            </w:tcBorders>
            <w:shd w:val="clear" w:color="000000" w:fill="FFFFFF"/>
            <w:noWrap/>
            <w:vAlign w:val="center"/>
            <w:hideMark/>
          </w:tcPr>
          <w:p w14:paraId="7C3CF61E" w14:textId="39BECB11"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unclear</w:t>
            </w:r>
          </w:p>
        </w:tc>
        <w:tc>
          <w:tcPr>
            <w:tcW w:w="993" w:type="dxa"/>
            <w:tcBorders>
              <w:top w:val="single" w:sz="8" w:space="0" w:color="auto"/>
              <w:left w:val="nil"/>
              <w:bottom w:val="single" w:sz="8" w:space="0" w:color="000000"/>
              <w:right w:val="nil"/>
            </w:tcBorders>
            <w:shd w:val="clear" w:color="000000" w:fill="FFFFFF"/>
            <w:noWrap/>
            <w:vAlign w:val="center"/>
            <w:hideMark/>
          </w:tcPr>
          <w:p w14:paraId="49BACEF0" w14:textId="346AB1F0"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unclear</w:t>
            </w:r>
          </w:p>
        </w:tc>
        <w:tc>
          <w:tcPr>
            <w:tcW w:w="1134" w:type="dxa"/>
            <w:tcBorders>
              <w:top w:val="single" w:sz="8" w:space="0" w:color="auto"/>
              <w:left w:val="nil"/>
              <w:bottom w:val="single" w:sz="8" w:space="0" w:color="000000"/>
              <w:right w:val="nil"/>
            </w:tcBorders>
            <w:shd w:val="clear" w:color="000000" w:fill="FFFFFF"/>
            <w:noWrap/>
            <w:vAlign w:val="center"/>
            <w:hideMark/>
          </w:tcPr>
          <w:p w14:paraId="1EA1B8B6"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142</w:t>
            </w:r>
          </w:p>
        </w:tc>
      </w:tr>
      <w:tr w:rsidR="000F13C3" w:rsidRPr="008C4D21" w14:paraId="4F9E8C57" w14:textId="77777777" w:rsidTr="006C15AF">
        <w:trPr>
          <w:cantSplit/>
          <w:trHeight w:val="696"/>
        </w:trPr>
        <w:tc>
          <w:tcPr>
            <w:tcW w:w="1135" w:type="dxa"/>
            <w:tcBorders>
              <w:top w:val="nil"/>
              <w:left w:val="nil"/>
              <w:bottom w:val="single" w:sz="8" w:space="0" w:color="000000"/>
              <w:right w:val="nil"/>
            </w:tcBorders>
            <w:vAlign w:val="center"/>
          </w:tcPr>
          <w:p w14:paraId="0C843877" w14:textId="262D3BE3" w:rsidR="00F90771" w:rsidRPr="008C4D21" w:rsidRDefault="00F25EA5"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w:t>
            </w:r>
            <w:r w:rsidR="00B20AD6">
              <w:rPr>
                <w:rFonts w:ascii="Calibri" w:eastAsia="Times New Roman" w:hAnsi="Calibri" w:cs="Calibri"/>
                <w:color w:val="000000"/>
                <w:sz w:val="18"/>
                <w:szCs w:val="18"/>
                <w:lang w:eastAsia="en-GB"/>
              </w:rPr>
              <w:t>5</w:t>
            </w:r>
          </w:p>
        </w:tc>
        <w:tc>
          <w:tcPr>
            <w:tcW w:w="1135" w:type="dxa"/>
            <w:tcBorders>
              <w:top w:val="nil"/>
              <w:left w:val="nil"/>
              <w:bottom w:val="single" w:sz="8" w:space="0" w:color="000000"/>
              <w:right w:val="nil"/>
            </w:tcBorders>
            <w:shd w:val="clear" w:color="auto" w:fill="auto"/>
            <w:vAlign w:val="center"/>
            <w:hideMark/>
          </w:tcPr>
          <w:p w14:paraId="25337A92" w14:textId="3EC90C0D"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Yung et al</w:t>
            </w:r>
            <w:r w:rsidR="000A32AB">
              <w:rPr>
                <w:rFonts w:ascii="Calibri" w:eastAsia="Times New Roman" w:hAnsi="Calibri" w:cs="Calibri"/>
                <w:color w:val="000000"/>
                <w:sz w:val="18"/>
                <w:szCs w:val="18"/>
                <w:lang w:eastAsia="en-GB"/>
              </w:rPr>
              <w:t xml:space="preserve"> </w:t>
            </w:r>
            <w:r w:rsidR="000A32AB">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{"citationItems":[{"id":"ITEM-1","itemData":{"ISSN":"0022-3476","author":[{"dropping-particle":"","family":"Yung","given":"Chee Fu","non-dropping-particle":"","parse-names":false,"suffix":""},{"dropping-particle":"","family":"Kam","given":"Kai-Qian","non-dropping-particle":"","parse-names":false,"suffix":""},{"dropping-particle":"","family":"Chong","given":"Chia Yin","non-dropping-particle":"","parse-names":false,"suffix":""},{"dropping-particle":"","family":"Nadua","given":"Karen Donceras","non-dropping-particle":"","parse-names":false,"suffix":""},{"dropping-particle":"","family":"Li","given":"Jiahui","non-dropping-particle":"","parse-names":false,"suffix":""},{"dropping-particle":"","family":"Tan","given":"Natalie Woon Hui","non-dropping-particle":"","parse-names":false,"suffix":""},{"dropping-particle":"","family":"Ganapathy","given":"Sashikumar","non-dropping-particle":"","parse-names":false,"suffix":""},{"dropping-particle":"","family":"Lee","given":"Khai Pin","non-dropping-particle":"","parse-names":false,"suffix":""},{"dropping-particle":"","family":"Ng","given":"Kee Chong","non-dropping-particle":"","parse-names":false,"suffix":""},{"dropping-particle":"","family":"Chan","given":"Yoke Hwee","non-dropping-particle":"","parse-names":false,"suffix":""}],"container-title":"The Journal of pediatrics","id":"ITEM-1","issued":{"date-parts":[["2020"]]},"page":"249-251","publisher":"Elsevier","title":"Household Transmission of Severe Acute Respiratory Syndrome Coronavirus 2 from Adults to Children","type":"article-journal","volume":"225"},"uris":["http://www.mendeley.com/documents/?uuid=65e4d97b-183e-47c5-aad7-61fbddf570d2"]}],"mendeley":{"formattedCitation":"[60]","plainTextFormattedCitation":"[60]","previouslyFormattedCitation":"[62]"},"properties":{"noteIndex":0},"schema":"https://github.com/citation-style-language/schema/raw/master/csl-citation.json"}</w:instrText>
            </w:r>
            <w:r w:rsidR="000A32AB">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[60]</w:t>
            </w:r>
            <w:r w:rsidR="000A32AB">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42F1E697"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Not specified</w:t>
            </w:r>
          </w:p>
        </w:tc>
        <w:tc>
          <w:tcPr>
            <w:tcW w:w="1134" w:type="dxa"/>
            <w:tcBorders>
              <w:top w:val="nil"/>
              <w:left w:val="nil"/>
              <w:bottom w:val="single" w:sz="8" w:space="0" w:color="000000"/>
              <w:right w:val="nil"/>
            </w:tcBorders>
            <w:shd w:val="clear" w:color="000000" w:fill="FFFFFF"/>
            <w:vAlign w:val="center"/>
            <w:hideMark/>
          </w:tcPr>
          <w:p w14:paraId="5528077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Singapore</w:t>
            </w:r>
          </w:p>
        </w:tc>
        <w:tc>
          <w:tcPr>
            <w:tcW w:w="2268" w:type="dxa"/>
            <w:tcBorders>
              <w:top w:val="nil"/>
              <w:left w:val="nil"/>
              <w:bottom w:val="single" w:sz="8" w:space="0" w:color="000000"/>
              <w:right w:val="nil"/>
            </w:tcBorders>
            <w:shd w:val="clear" w:color="000000" w:fill="FFFFFF"/>
            <w:vAlign w:val="center"/>
            <w:hideMark/>
          </w:tcPr>
          <w:p w14:paraId="7BB46867"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53162C61"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8" w:space="0" w:color="000000"/>
              <w:right w:val="nil"/>
            </w:tcBorders>
            <w:shd w:val="clear" w:color="000000" w:fill="FFFFFF"/>
            <w:vAlign w:val="center"/>
            <w:hideMark/>
          </w:tcPr>
          <w:p w14:paraId="14B173E9"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76B86FFB"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1CACF52F"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223</w:t>
            </w:r>
          </w:p>
        </w:tc>
        <w:tc>
          <w:tcPr>
            <w:tcW w:w="850" w:type="dxa"/>
            <w:tcBorders>
              <w:top w:val="nil"/>
              <w:left w:val="nil"/>
              <w:bottom w:val="single" w:sz="8" w:space="0" w:color="000000"/>
              <w:right w:val="nil"/>
            </w:tcBorders>
            <w:shd w:val="clear" w:color="000000" w:fill="FFFFFF"/>
            <w:vAlign w:val="center"/>
            <w:hideMark/>
          </w:tcPr>
          <w:p w14:paraId="3246CF70"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213</w:t>
            </w:r>
          </w:p>
        </w:tc>
        <w:tc>
          <w:tcPr>
            <w:tcW w:w="993" w:type="dxa"/>
            <w:tcBorders>
              <w:top w:val="nil"/>
              <w:left w:val="nil"/>
              <w:bottom w:val="single" w:sz="8" w:space="0" w:color="000000"/>
              <w:right w:val="nil"/>
            </w:tcBorders>
            <w:shd w:val="clear" w:color="000000" w:fill="FFFFFF"/>
            <w:vAlign w:val="center"/>
            <w:hideMark/>
          </w:tcPr>
          <w:p w14:paraId="6190BA7A"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213</w:t>
            </w:r>
          </w:p>
        </w:tc>
        <w:tc>
          <w:tcPr>
            <w:tcW w:w="1134" w:type="dxa"/>
            <w:tcBorders>
              <w:top w:val="nil"/>
              <w:left w:val="nil"/>
              <w:bottom w:val="single" w:sz="8" w:space="0" w:color="000000"/>
              <w:right w:val="nil"/>
            </w:tcBorders>
            <w:shd w:val="clear" w:color="000000" w:fill="FFFFFF"/>
            <w:vAlign w:val="center"/>
            <w:hideMark/>
          </w:tcPr>
          <w:p w14:paraId="084EBC68"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13</w:t>
            </w:r>
          </w:p>
        </w:tc>
      </w:tr>
      <w:tr w:rsidR="000F13C3" w:rsidRPr="008C4D21" w14:paraId="46E4C8BF" w14:textId="77777777" w:rsidTr="006C15AF">
        <w:trPr>
          <w:cantSplit/>
          <w:trHeight w:val="693"/>
        </w:trPr>
        <w:tc>
          <w:tcPr>
            <w:tcW w:w="1135" w:type="dxa"/>
            <w:tcBorders>
              <w:top w:val="nil"/>
              <w:left w:val="nil"/>
              <w:bottom w:val="single" w:sz="8" w:space="0" w:color="000000"/>
              <w:right w:val="nil"/>
            </w:tcBorders>
            <w:vAlign w:val="center"/>
          </w:tcPr>
          <w:p w14:paraId="31394D9B" w14:textId="5F183ECD" w:rsidR="00F90771" w:rsidRPr="008C4D21" w:rsidRDefault="0048382E"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w:t>
            </w:r>
            <w:r w:rsidR="00B20AD6">
              <w:rPr>
                <w:rFonts w:ascii="Calibri" w:eastAsia="Times New Roman" w:hAnsi="Calibri" w:cs="Calibri"/>
                <w:color w:val="000000"/>
                <w:sz w:val="18"/>
                <w:szCs w:val="18"/>
                <w:lang w:eastAsia="en-GB"/>
              </w:rPr>
              <w:t>8</w:t>
            </w:r>
          </w:p>
        </w:tc>
        <w:tc>
          <w:tcPr>
            <w:tcW w:w="1135" w:type="dxa"/>
            <w:tcBorders>
              <w:top w:val="nil"/>
              <w:left w:val="nil"/>
              <w:bottom w:val="single" w:sz="8" w:space="0" w:color="000000"/>
              <w:right w:val="nil"/>
            </w:tcBorders>
            <w:shd w:val="clear" w:color="auto" w:fill="auto"/>
            <w:vAlign w:val="center"/>
            <w:hideMark/>
          </w:tcPr>
          <w:p w14:paraId="107AC60B" w14:textId="7AA5C753"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Zhang et al</w:t>
            </w:r>
            <w:r w:rsidR="000A32AB">
              <w:rPr>
                <w:rFonts w:ascii="Calibri" w:eastAsia="Times New Roman" w:hAnsi="Calibri" w:cs="Calibri"/>
                <w:color w:val="000000"/>
                <w:sz w:val="18"/>
                <w:szCs w:val="18"/>
                <w:lang w:eastAsia="en-GB"/>
              </w:rPr>
              <w:t xml:space="preserve"> </w:t>
            </w:r>
            <w:r w:rsidR="000A32AB">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{"citationItems":[{"id":"ITEM-1","itemData":{"DOI":"10.3760/cma.j.cn112338-20200228-00206","ISBN":"0254-6450","PMID":"32340093","author":[{"dropping-particle":"","family":"Zhang","given":"J Z","non-dropping-particle":"","parse-names":false,"suffix":""},{"dropping-particle":"","family":"Zhou","given":"P","non-dropping-particle":"","parse-names":false,"suffix":""},{"dropping-particle":"","family":"Han","given":"D B","non-dropping-particle":"","parse-names":false,"suffix":""},{"dropping-particle":"","family":"Wang","given":"W C","non-dropping-particle":"","parse-names":false,"suffix":""},{"dropping-particle":"","family":"Cui","given":"C","non-dropping-particle":"","parse-names":false,"suffix":""},{"dropping-particle":"","family":"Zhou","given":"R","non-dropping-particle":"","parse-names":false,"suffix":""},{"dropping-particle":"","family":"Xu","given":"K X","non-dropping-particle":"","parse-names":false,"suffix":""},{"dropping-particle":"","family":"Liu","given":"L","non-dropping-particle":"","parse-names":false,"suffix":""},{"dropping-particle":"","family":"Wang","given":"X H","non-dropping-particle":"","parse-names":false,"suffix":""},{"dropping-particle":"","family":"Bai","given":"X H","non-dropping-particle":"","parse-names":false,"suffix":""},{"dropping-particle":"","family":"Jiang","given":"X K","non-dropping-particle":"","parse-names":false,"suffix":""}],"container-title":"Zhonghua liu xing bing xue za zhi = Zhonghua liuxingbingxue zazhi","id":"ITEM-1","issue":"0","issued":{"date-parts":[["2020"]]},"language":"chi","page":"E055","title":"[Investigation on a cluster epidemic of COVID-19 in a supermarket in Liaocheng, Shandong province]","type":"article-journal","volume":"41"},"uris":["http://www.mendeley.com/documents/?uuid=cd0281b2-8239-43f2-bbec-1a9fdbb4025b"]}],"mendeley":{"formattedCitation":"[61]","plainTextFormattedCitation":"[61]","previouslyFormattedCitation":"[63]"},"properties":{"noteIndex":0},"schema":"https://github.com/citation-style-language/schema/raw/master/csl-citation.json"}</w:instrText>
            </w:r>
            <w:r w:rsidR="000A32AB">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[61]</w:t>
            </w:r>
            <w:r w:rsidR="000A32AB">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vAlign w:val="center"/>
            <w:hideMark/>
          </w:tcPr>
          <w:p w14:paraId="510C3EB4"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proofErr w:type="spellStart"/>
            <w:r w:rsidRPr="008C4D21">
              <w:rPr>
                <w:rFonts w:ascii="Calibri" w:eastAsia="Times New Roman" w:hAnsi="Calibri" w:cs="Calibri"/>
                <w:color w:val="000000"/>
                <w:sz w:val="18"/>
                <w:szCs w:val="18"/>
                <w:lang w:eastAsia="en-GB"/>
              </w:rPr>
              <w:t>Liocheng</w:t>
            </w:r>
            <w:proofErr w:type="spellEnd"/>
          </w:p>
        </w:tc>
        <w:tc>
          <w:tcPr>
            <w:tcW w:w="1134" w:type="dxa"/>
            <w:tcBorders>
              <w:top w:val="nil"/>
              <w:left w:val="nil"/>
              <w:bottom w:val="single" w:sz="8" w:space="0" w:color="000000"/>
              <w:right w:val="nil"/>
            </w:tcBorders>
            <w:shd w:val="clear" w:color="000000" w:fill="FFFFFF"/>
            <w:vAlign w:val="center"/>
            <w:hideMark/>
          </w:tcPr>
          <w:p w14:paraId="5DCE6DC2"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53559AAB"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Outbreak investigation and contact tracing </w:t>
            </w:r>
          </w:p>
        </w:tc>
        <w:tc>
          <w:tcPr>
            <w:tcW w:w="3117" w:type="dxa"/>
            <w:tcBorders>
              <w:top w:val="nil"/>
              <w:left w:val="nil"/>
              <w:bottom w:val="single" w:sz="8" w:space="0" w:color="000000"/>
              <w:right w:val="nil"/>
            </w:tcBorders>
            <w:shd w:val="clear" w:color="000000" w:fill="FFFFFF"/>
            <w:vAlign w:val="center"/>
            <w:hideMark/>
          </w:tcPr>
          <w:p w14:paraId="161B813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At home family members of index case</w:t>
            </w:r>
          </w:p>
        </w:tc>
        <w:tc>
          <w:tcPr>
            <w:tcW w:w="1276" w:type="dxa"/>
            <w:tcBorders>
              <w:top w:val="nil"/>
              <w:left w:val="nil"/>
              <w:bottom w:val="single" w:sz="8" w:space="0" w:color="000000"/>
              <w:right w:val="nil"/>
            </w:tcBorders>
            <w:shd w:val="clear" w:color="000000" w:fill="FFFFFF"/>
            <w:vAlign w:val="center"/>
            <w:hideMark/>
          </w:tcPr>
          <w:p w14:paraId="3839E950"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20B867F9"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5D7980FD"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12</w:t>
            </w:r>
          </w:p>
        </w:tc>
        <w:tc>
          <w:tcPr>
            <w:tcW w:w="850" w:type="dxa"/>
            <w:tcBorders>
              <w:top w:val="nil"/>
              <w:left w:val="nil"/>
              <w:bottom w:val="single" w:sz="8" w:space="0" w:color="000000"/>
              <w:right w:val="nil"/>
            </w:tcBorders>
            <w:shd w:val="clear" w:color="000000" w:fill="FFFFFF"/>
            <w:vAlign w:val="center"/>
            <w:hideMark/>
          </w:tcPr>
          <w:p w14:paraId="1956595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93</w:t>
            </w:r>
          </w:p>
        </w:tc>
        <w:tc>
          <w:tcPr>
            <w:tcW w:w="993" w:type="dxa"/>
            <w:tcBorders>
              <w:top w:val="nil"/>
              <w:left w:val="nil"/>
              <w:bottom w:val="single" w:sz="8" w:space="0" w:color="000000"/>
              <w:right w:val="nil"/>
            </w:tcBorders>
            <w:shd w:val="clear" w:color="000000" w:fill="FFFFFF"/>
            <w:vAlign w:val="center"/>
            <w:hideMark/>
          </w:tcPr>
          <w:p w14:paraId="20ADC92E"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93</w:t>
            </w:r>
          </w:p>
        </w:tc>
        <w:tc>
          <w:tcPr>
            <w:tcW w:w="1134" w:type="dxa"/>
            <w:tcBorders>
              <w:top w:val="nil"/>
              <w:left w:val="nil"/>
              <w:bottom w:val="single" w:sz="8" w:space="0" w:color="000000"/>
              <w:right w:val="nil"/>
            </w:tcBorders>
            <w:shd w:val="clear" w:color="000000" w:fill="FFFFFF"/>
            <w:vAlign w:val="center"/>
            <w:hideMark/>
          </w:tcPr>
          <w:p w14:paraId="460B9F23"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12</w:t>
            </w:r>
          </w:p>
        </w:tc>
      </w:tr>
      <w:tr w:rsidR="000F13C3" w:rsidRPr="008C4D21" w14:paraId="4FAEF842" w14:textId="77777777" w:rsidTr="006C15AF">
        <w:trPr>
          <w:cantSplit/>
          <w:trHeight w:val="689"/>
        </w:trPr>
        <w:tc>
          <w:tcPr>
            <w:tcW w:w="1135" w:type="dxa"/>
            <w:tcBorders>
              <w:top w:val="nil"/>
              <w:left w:val="nil"/>
              <w:bottom w:val="single" w:sz="8" w:space="0" w:color="000000"/>
              <w:right w:val="nil"/>
            </w:tcBorders>
            <w:vAlign w:val="center"/>
          </w:tcPr>
          <w:p w14:paraId="75AA97BC" w14:textId="46B7905E" w:rsidR="00F90771" w:rsidRPr="008C4D21" w:rsidRDefault="0048382E"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w:t>
            </w:r>
            <w:r w:rsidR="00ED69B5">
              <w:rPr>
                <w:rFonts w:ascii="Calibri" w:eastAsia="Times New Roman" w:hAnsi="Calibri" w:cs="Calibri"/>
                <w:color w:val="000000"/>
                <w:sz w:val="18"/>
                <w:szCs w:val="18"/>
                <w:lang w:eastAsia="en-GB"/>
              </w:rPr>
              <w:t>7</w:t>
            </w:r>
          </w:p>
        </w:tc>
        <w:tc>
          <w:tcPr>
            <w:tcW w:w="1135" w:type="dxa"/>
            <w:tcBorders>
              <w:top w:val="nil"/>
              <w:left w:val="nil"/>
              <w:bottom w:val="single" w:sz="8" w:space="0" w:color="000000"/>
              <w:right w:val="nil"/>
            </w:tcBorders>
            <w:shd w:val="clear" w:color="auto" w:fill="auto"/>
            <w:vAlign w:val="center"/>
            <w:hideMark/>
          </w:tcPr>
          <w:p w14:paraId="51F628B8" w14:textId="62A004B8"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Zhang et al</w:t>
            </w:r>
            <w:r w:rsidR="000A32AB">
              <w:rPr>
                <w:rFonts w:ascii="Calibri" w:eastAsia="Times New Roman" w:hAnsi="Calibri" w:cs="Calibri"/>
                <w:color w:val="000000"/>
                <w:sz w:val="18"/>
                <w:szCs w:val="18"/>
                <w:lang w:eastAsia="en-GB"/>
              </w:rPr>
              <w:t xml:space="preserve"> </w:t>
            </w:r>
            <w:r w:rsidR="00672DA8">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{"citationItems":[{"id":"ITEM-1","itemData":{"DOI":"10.3201/eid2608.201142","ISBN":"1080-6040 (Print)\r1080-6040","PMID":"32453686","abstract":"We explored the secondary attack rate in different types of contact with persons presymptomatic for coronavirus disease (COVID-19). Close contacts who lived with or had frequent contact with an index case-patient had a higher risk for COVID-19. Our findings provide population-based evidence for transmission from persons with presymptomatic COVID-19 infections.","author":[{"dropping-particle":"","family":"Zhang","given":"W","non-dropping-particle":"","parse-names":false,"suffix":""},{"dropping-particle":"","family":"Cheng","given":"W","non-dropping-particle":"","parse-names":false,"suffix":""},{"dropping-particle":"","family":"Luo","given":"L","non-dropping-particle":"","parse-names":false,"suffix":""},{"dropping-particle":"","family":"Ma","given":"Y","non-dropping-particle":"","parse-names":false,"suffix":""},{"dropping-particle":"","family":"Xu","given":"C","non-dropping-particle":"","parse-names":false,"suffix":""},{"dropping-particle":"","family":"Qin","given":"P","non-dropping-particle":"","parse-names":false,"suffix":""},{"dropping-particle":"","family":"Zhang","given":"Z","non-dropping-particle":"","parse-names":false,"suffix":""}],"container-title":"Emerg Infect Dis","edition":"2020/05/27","id":"ITEM-1","issue":"8","issued":{"date-parts":[["2020"]]},"language":"eng","note":"1080-6059\nZhang, Weiwei\nCheng, Weibin\nLuo, Lei\nMa, Yu\nXu, Conghui\nQin, Pengzhe\nZhang, Zhoubin\nJournal Article\nEmerg Infect Dis. 2020 Aug;26(8):1924-1926. doi: 10.3201/eid2608.201142. Epub 2020 May 26.","page":"1924-1926","title":"Secondary Transmission of Coronavirus Disease from Presymptomatic Persons, China","type":"article-journal","volume":"26"},"uris":["http://www.mendeley.com/documents/?uuid=b2867ff7-16d0-4e23-8c1a-d14f2726f827"]}],"mendeley":{"formattedCitation":"[62]","plainTextFormattedCitation":"[62]","previouslyFormattedCitation":"[64]"},"properties":{"noteIndex":0},"schema":"https://github.com/citation-style-language/schema/raw/master/csl-citation.json"}</w:instrText>
            </w:r>
            <w:r w:rsidR="00672DA8">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[62]</w:t>
            </w:r>
            <w:r w:rsidR="00672DA8">
              <w:rPr>
                <w:rFonts w:ascii="Calibri" w:eastAsia="Times New Roman" w:hAnsi="Calibri" w:cs="Calibri"/>
                <w:color w:val="000000"/>
                <w:sz w:val="18"/>
                <w:szCs w:val="18"/>
                <w:lang w:eastAsia="en-GB"/>
              </w:rPr>
              <w:fldChar w:fldCharType="end"/>
            </w:r>
          </w:p>
        </w:tc>
        <w:tc>
          <w:tcPr>
            <w:tcW w:w="1276" w:type="dxa"/>
            <w:tcBorders>
              <w:top w:val="nil"/>
              <w:left w:val="nil"/>
              <w:bottom w:val="single" w:sz="8" w:space="0" w:color="000000"/>
              <w:right w:val="nil"/>
            </w:tcBorders>
            <w:shd w:val="clear" w:color="000000" w:fill="FFFFFF"/>
            <w:noWrap/>
            <w:vAlign w:val="center"/>
            <w:hideMark/>
          </w:tcPr>
          <w:p w14:paraId="6B84F2C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Guangzhou</w:t>
            </w:r>
          </w:p>
        </w:tc>
        <w:tc>
          <w:tcPr>
            <w:tcW w:w="1134" w:type="dxa"/>
            <w:tcBorders>
              <w:top w:val="nil"/>
              <w:left w:val="nil"/>
              <w:bottom w:val="single" w:sz="8" w:space="0" w:color="000000"/>
              <w:right w:val="nil"/>
            </w:tcBorders>
            <w:shd w:val="clear" w:color="000000" w:fill="FFFFFF"/>
            <w:noWrap/>
            <w:vAlign w:val="center"/>
            <w:hideMark/>
          </w:tcPr>
          <w:p w14:paraId="6663D27A"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8" w:space="0" w:color="000000"/>
              <w:right w:val="nil"/>
            </w:tcBorders>
            <w:shd w:val="clear" w:color="000000" w:fill="FFFFFF"/>
            <w:vAlign w:val="center"/>
            <w:hideMark/>
          </w:tcPr>
          <w:p w14:paraId="1E8E8616"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8" w:space="0" w:color="000000"/>
              <w:right w:val="nil"/>
            </w:tcBorders>
            <w:shd w:val="clear" w:color="000000" w:fill="FFFFFF"/>
            <w:vAlign w:val="center"/>
            <w:hideMark/>
          </w:tcPr>
          <w:p w14:paraId="5CBAC5D1" w14:textId="43AC5E45"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r w:rsidR="002B2B5E" w:rsidRPr="002B2B5E">
              <w:rPr>
                <w:rFonts w:ascii="Calibri" w:eastAsia="Times New Roman" w:hAnsi="Calibri" w:cs="Calibri"/>
                <w:color w:val="000000"/>
                <w:sz w:val="18"/>
                <w:szCs w:val="18"/>
                <w:lang w:eastAsia="en-GB"/>
              </w:rPr>
              <w:t>without using proper protection</w:t>
            </w:r>
            <w:r w:rsidR="002B2B5E">
              <w:rPr>
                <w:rFonts w:ascii="Calibri" w:eastAsia="Times New Roman" w:hAnsi="Calibri" w:cs="Calibri"/>
                <w:color w:val="000000"/>
                <w:sz w:val="18"/>
                <w:szCs w:val="18"/>
                <w:lang w:eastAsia="en-GB"/>
              </w:rPr>
              <w:t xml:space="preserve"> (surgical mask)</w:t>
            </w:r>
            <w:r w:rsidR="002B2B5E" w:rsidRPr="002B2B5E">
              <w:rPr>
                <w:rFonts w:ascii="Calibri" w:eastAsia="Times New Roman" w:hAnsi="Calibri" w:cs="Calibri"/>
                <w:color w:val="000000"/>
                <w:sz w:val="18"/>
                <w:szCs w:val="18"/>
                <w:lang w:eastAsia="en-GB"/>
              </w:rPr>
              <w:t xml:space="preserve"> during 2 days before the index case was tested.</w:t>
            </w:r>
          </w:p>
        </w:tc>
        <w:tc>
          <w:tcPr>
            <w:tcW w:w="1276" w:type="dxa"/>
            <w:tcBorders>
              <w:top w:val="nil"/>
              <w:left w:val="nil"/>
              <w:bottom w:val="single" w:sz="8" w:space="0" w:color="000000"/>
              <w:right w:val="nil"/>
            </w:tcBorders>
            <w:shd w:val="clear" w:color="000000" w:fill="FFFFFF"/>
            <w:vAlign w:val="center"/>
            <w:hideMark/>
          </w:tcPr>
          <w:p w14:paraId="0443DC3D"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8" w:space="0" w:color="000000"/>
              <w:right w:val="nil"/>
            </w:tcBorders>
            <w:shd w:val="clear" w:color="000000" w:fill="FFFFFF"/>
            <w:vAlign w:val="center"/>
            <w:hideMark/>
          </w:tcPr>
          <w:p w14:paraId="3A64C68F"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8" w:space="0" w:color="000000"/>
              <w:right w:val="nil"/>
            </w:tcBorders>
            <w:shd w:val="clear" w:color="000000" w:fill="FFFFFF"/>
            <w:vAlign w:val="center"/>
            <w:hideMark/>
          </w:tcPr>
          <w:p w14:paraId="472230D8"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38</w:t>
            </w:r>
          </w:p>
        </w:tc>
        <w:tc>
          <w:tcPr>
            <w:tcW w:w="850" w:type="dxa"/>
            <w:tcBorders>
              <w:top w:val="nil"/>
              <w:left w:val="nil"/>
              <w:bottom w:val="single" w:sz="8" w:space="0" w:color="000000"/>
              <w:right w:val="nil"/>
            </w:tcBorders>
            <w:shd w:val="clear" w:color="000000" w:fill="FFFFFF"/>
            <w:vAlign w:val="center"/>
            <w:hideMark/>
          </w:tcPr>
          <w:p w14:paraId="05B8A098"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62</w:t>
            </w:r>
          </w:p>
        </w:tc>
        <w:tc>
          <w:tcPr>
            <w:tcW w:w="993" w:type="dxa"/>
            <w:tcBorders>
              <w:top w:val="nil"/>
              <w:left w:val="nil"/>
              <w:bottom w:val="single" w:sz="8" w:space="0" w:color="000000"/>
              <w:right w:val="nil"/>
            </w:tcBorders>
            <w:shd w:val="clear" w:color="000000" w:fill="FFFFFF"/>
            <w:vAlign w:val="center"/>
            <w:hideMark/>
          </w:tcPr>
          <w:p w14:paraId="16F59DB2"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62</w:t>
            </w:r>
          </w:p>
        </w:tc>
        <w:tc>
          <w:tcPr>
            <w:tcW w:w="1134" w:type="dxa"/>
            <w:tcBorders>
              <w:top w:val="nil"/>
              <w:left w:val="nil"/>
              <w:bottom w:val="single" w:sz="8" w:space="0" w:color="000000"/>
              <w:right w:val="nil"/>
            </w:tcBorders>
            <w:shd w:val="clear" w:color="000000" w:fill="FFFFFF"/>
            <w:vAlign w:val="center"/>
            <w:hideMark/>
          </w:tcPr>
          <w:p w14:paraId="67AF6B29"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10</w:t>
            </w:r>
          </w:p>
        </w:tc>
      </w:tr>
      <w:tr w:rsidR="000F13C3" w:rsidRPr="008C4D21" w14:paraId="176DB8D6" w14:textId="77777777" w:rsidTr="006C15AF">
        <w:trPr>
          <w:cantSplit/>
          <w:trHeight w:val="973"/>
        </w:trPr>
        <w:tc>
          <w:tcPr>
            <w:tcW w:w="1135" w:type="dxa"/>
            <w:tcBorders>
              <w:top w:val="nil"/>
              <w:left w:val="nil"/>
              <w:bottom w:val="single" w:sz="18" w:space="0" w:color="auto"/>
              <w:right w:val="nil"/>
            </w:tcBorders>
            <w:vAlign w:val="center"/>
          </w:tcPr>
          <w:p w14:paraId="3E246B66" w14:textId="44BBA73A" w:rsidR="00F90771" w:rsidRPr="008C4D21" w:rsidRDefault="0048382E" w:rsidP="00410ABF">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w:t>
            </w:r>
            <w:r w:rsidR="00ED69B5">
              <w:rPr>
                <w:rFonts w:ascii="Calibri" w:eastAsia="Times New Roman" w:hAnsi="Calibri" w:cs="Calibri"/>
                <w:color w:val="000000"/>
                <w:sz w:val="18"/>
                <w:szCs w:val="18"/>
                <w:lang w:eastAsia="en-GB"/>
              </w:rPr>
              <w:t>6</w:t>
            </w:r>
          </w:p>
        </w:tc>
        <w:tc>
          <w:tcPr>
            <w:tcW w:w="1135" w:type="dxa"/>
            <w:tcBorders>
              <w:top w:val="nil"/>
              <w:left w:val="nil"/>
              <w:bottom w:val="single" w:sz="18" w:space="0" w:color="auto"/>
              <w:right w:val="nil"/>
            </w:tcBorders>
            <w:shd w:val="clear" w:color="auto" w:fill="auto"/>
            <w:vAlign w:val="center"/>
            <w:hideMark/>
          </w:tcPr>
          <w:p w14:paraId="0676D931" w14:textId="329067B4"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Zhang et al </w:t>
            </w:r>
            <w:r w:rsidR="00672DA8">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{"citationItems":[{"id":"ITEM-1","itemData":{"DOI":"10.1126/science.abb8001","abstract":"The coronavirus 2019 (COVID-19) pandemic has brought tighter restrictions on the daily lives of millions of people, but we do not yet understand what measures are the most effective. Zhang et al. modeled virus transmission in Wuhan, China, in February 2020, investigating the effects of interventions ranging from patient management to social isolation. Age-mixing patterns were estimated by contact surveys conducted in Wuhan and Shanghai at the beginning of February 2020. Once people reduced their average daily contacts from 14 to 20 down to 2, transmission rapidly fell below the epidemic threshold. The model also showed that preemptive school closures helped to reduce transmission, although alone they would not prevent a COVID-19 outbreak. Limiting human mixing to within households appeared to be the most effective measure.Science, this issue p. 1481Intense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 Although proactive school closures cannot interrupt transmission on their own, they can reduce peak incidence by 40 to 60% and delay the epidemic.","author":[{"dropping-particle":"","family":"Zhang","given":"Juanjuan","non-dropping-particle":"","parse-names":false,"suffix":""},{"dropping-particle":"","family":"Litvinova","given":"Maria","non-dropping-particle":"","parse-names":false,"suffix":""},{"dropping-particle":"","family":"Liang","given":"Yuxia","non-dropping-particle":"","parse-names":false,"suffix":""},{"dropping-particle":"","family":"Wang","given":"Yan","non-dropping-particle":"","parse-names":false,"suffix":""},{"dropping-particle":"","family":"Wang","given":"Wei","non-dropping-particle":"","parse-names":false,"suffix":""},{"dropping-particle":"","family":"Zhao","given":"Shanlu","non-dropping-particle":"","parse-names":false,"suffix":""},{"dropping-particle":"","family":"Wu","given":"Qianhui","non-dropping-particle":"","parse-names":false,"suffix":""},{"dropping-particle":"","family":"Merler","given":"Stefano","non-dropping-particle":"","parse-names":false,"suffix":""},{"dropping-particle":"","family":"Viboud","given":"Cécile","non-dropping-particle":"","parse-names":false,"suffix":""},{"dropping-particle":"","family":"Vespignani","given":"Alessandro","non-dropping-particle":"","parse-names":false,"suffix":""},{"dropping-particle":"","family":"Ajelli","given":"Marco","non-dropping-particle":"","parse-names":false,"suffix":""},{"dropping-particle":"","family":"Yu","given":"Hongjie","non-dropping-particle":"","parse-names":false,"suffix":""}],"container-title":"Science","id":"ITEM-1","issue":"6498","issued":{"date-parts":[["2020"]]},"page":"1481-1486","title":"Changes in contact patterns shape the dynamics of the COVID-19 outbreak in China","type":"article-journal","volume":"368"},"uris":["http://www.mendeley.com/documents/?uuid=b9300627-c650-42e9-83b0-3a26afbc8c23"]}],"mendeley":{"formattedCitation":"[63]","plainTextFormattedCitation":"[63]","previouslyFormattedCitation":"[65]"},"properties":{"noteIndex":0},"schema":"https://github.com/citation-style-language/schema/raw/master/csl-citation.json"}</w:instrText>
            </w:r>
            <w:r w:rsidR="00672DA8">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[63]</w:t>
            </w:r>
            <w:r w:rsidR="00672DA8">
              <w:rPr>
                <w:rFonts w:ascii="Calibri" w:eastAsia="Times New Roman" w:hAnsi="Calibri" w:cs="Calibri"/>
                <w:color w:val="000000"/>
                <w:sz w:val="18"/>
                <w:szCs w:val="18"/>
                <w:lang w:eastAsia="en-GB"/>
              </w:rPr>
              <w:fldChar w:fldCharType="end"/>
            </w:r>
          </w:p>
        </w:tc>
        <w:tc>
          <w:tcPr>
            <w:tcW w:w="1276" w:type="dxa"/>
            <w:tcBorders>
              <w:top w:val="nil"/>
              <w:left w:val="nil"/>
              <w:bottom w:val="single" w:sz="18" w:space="0" w:color="auto"/>
              <w:right w:val="nil"/>
            </w:tcBorders>
            <w:shd w:val="clear" w:color="000000" w:fill="FFFFFF"/>
            <w:vAlign w:val="center"/>
            <w:hideMark/>
          </w:tcPr>
          <w:p w14:paraId="1876DEC8"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Hunan</w:t>
            </w:r>
          </w:p>
        </w:tc>
        <w:tc>
          <w:tcPr>
            <w:tcW w:w="1134" w:type="dxa"/>
            <w:tcBorders>
              <w:top w:val="nil"/>
              <w:left w:val="nil"/>
              <w:bottom w:val="single" w:sz="18" w:space="0" w:color="auto"/>
              <w:right w:val="nil"/>
            </w:tcBorders>
            <w:shd w:val="clear" w:color="000000" w:fill="FFFFFF"/>
            <w:vAlign w:val="center"/>
            <w:hideMark/>
          </w:tcPr>
          <w:p w14:paraId="234D580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China</w:t>
            </w:r>
          </w:p>
        </w:tc>
        <w:tc>
          <w:tcPr>
            <w:tcW w:w="2268" w:type="dxa"/>
            <w:tcBorders>
              <w:top w:val="nil"/>
              <w:left w:val="nil"/>
              <w:bottom w:val="single" w:sz="18" w:space="0" w:color="auto"/>
              <w:right w:val="nil"/>
            </w:tcBorders>
            <w:shd w:val="clear" w:color="000000" w:fill="FFFFFF"/>
            <w:vAlign w:val="center"/>
            <w:hideMark/>
          </w:tcPr>
          <w:p w14:paraId="6937C9CE"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Surveillance and contact tracing</w:t>
            </w:r>
          </w:p>
        </w:tc>
        <w:tc>
          <w:tcPr>
            <w:tcW w:w="3117" w:type="dxa"/>
            <w:tcBorders>
              <w:top w:val="nil"/>
              <w:left w:val="nil"/>
              <w:bottom w:val="single" w:sz="18" w:space="0" w:color="auto"/>
              <w:right w:val="nil"/>
            </w:tcBorders>
            <w:shd w:val="clear" w:color="000000" w:fill="FFFFFF"/>
            <w:vAlign w:val="center"/>
            <w:hideMark/>
          </w:tcPr>
          <w:p w14:paraId="1C45D0EF" w14:textId="77777777" w:rsidR="00F90771" w:rsidRPr="008C4D21" w:rsidRDefault="00F90771" w:rsidP="00A96094">
            <w:pPr>
              <w:spacing w:after="0" w:line="240" w:lineRule="auto"/>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 xml:space="preserve">Lived in the same household with the index case </w:t>
            </w:r>
          </w:p>
        </w:tc>
        <w:tc>
          <w:tcPr>
            <w:tcW w:w="1276" w:type="dxa"/>
            <w:tcBorders>
              <w:top w:val="nil"/>
              <w:left w:val="nil"/>
              <w:bottom w:val="single" w:sz="18" w:space="0" w:color="auto"/>
              <w:right w:val="nil"/>
            </w:tcBorders>
            <w:shd w:val="clear" w:color="000000" w:fill="FFFFFF"/>
            <w:vAlign w:val="center"/>
            <w:hideMark/>
          </w:tcPr>
          <w:p w14:paraId="3D6D2649"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all</w:t>
            </w:r>
          </w:p>
        </w:tc>
        <w:tc>
          <w:tcPr>
            <w:tcW w:w="992" w:type="dxa"/>
            <w:tcBorders>
              <w:top w:val="nil"/>
              <w:left w:val="nil"/>
              <w:bottom w:val="single" w:sz="18" w:space="0" w:color="auto"/>
              <w:right w:val="nil"/>
            </w:tcBorders>
            <w:shd w:val="clear" w:color="000000" w:fill="FFFFFF"/>
            <w:vAlign w:val="center"/>
            <w:hideMark/>
          </w:tcPr>
          <w:p w14:paraId="1F62809C" w14:textId="77777777" w:rsidR="00F90771" w:rsidRPr="008C4D21" w:rsidRDefault="00F90771" w:rsidP="00A96094">
            <w:pPr>
              <w:spacing w:after="0" w:line="240" w:lineRule="auto"/>
              <w:jc w:val="center"/>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RT-PCR</w:t>
            </w:r>
          </w:p>
        </w:tc>
        <w:tc>
          <w:tcPr>
            <w:tcW w:w="851" w:type="dxa"/>
            <w:tcBorders>
              <w:top w:val="nil"/>
              <w:left w:val="nil"/>
              <w:bottom w:val="single" w:sz="18" w:space="0" w:color="auto"/>
              <w:right w:val="nil"/>
            </w:tcBorders>
            <w:shd w:val="clear" w:color="000000" w:fill="FFFFFF"/>
            <w:vAlign w:val="center"/>
            <w:hideMark/>
          </w:tcPr>
          <w:p w14:paraId="20EC9C18"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136</w:t>
            </w:r>
          </w:p>
        </w:tc>
        <w:tc>
          <w:tcPr>
            <w:tcW w:w="850" w:type="dxa"/>
            <w:tcBorders>
              <w:top w:val="nil"/>
              <w:left w:val="nil"/>
              <w:bottom w:val="single" w:sz="18" w:space="0" w:color="auto"/>
              <w:right w:val="nil"/>
            </w:tcBorders>
            <w:shd w:val="clear" w:color="000000" w:fill="FFFFFF"/>
            <w:vAlign w:val="center"/>
            <w:hideMark/>
          </w:tcPr>
          <w:p w14:paraId="302CF9C5"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956</w:t>
            </w:r>
          </w:p>
        </w:tc>
        <w:tc>
          <w:tcPr>
            <w:tcW w:w="993" w:type="dxa"/>
            <w:tcBorders>
              <w:top w:val="nil"/>
              <w:left w:val="nil"/>
              <w:bottom w:val="single" w:sz="18" w:space="0" w:color="auto"/>
              <w:right w:val="nil"/>
            </w:tcBorders>
            <w:shd w:val="clear" w:color="000000" w:fill="FFFFFF"/>
            <w:vAlign w:val="center"/>
            <w:hideMark/>
          </w:tcPr>
          <w:p w14:paraId="4876C51F"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956</w:t>
            </w:r>
          </w:p>
        </w:tc>
        <w:tc>
          <w:tcPr>
            <w:tcW w:w="1134" w:type="dxa"/>
            <w:tcBorders>
              <w:top w:val="nil"/>
              <w:left w:val="nil"/>
              <w:bottom w:val="single" w:sz="18" w:space="0" w:color="auto"/>
              <w:right w:val="nil"/>
            </w:tcBorders>
            <w:shd w:val="clear" w:color="000000" w:fill="FFFFFF"/>
            <w:vAlign w:val="center"/>
            <w:hideMark/>
          </w:tcPr>
          <w:p w14:paraId="0F7505D7" w14:textId="77777777" w:rsidR="00F90771" w:rsidRPr="008C4D21" w:rsidRDefault="00F90771" w:rsidP="00A96094">
            <w:pPr>
              <w:spacing w:after="0" w:line="240" w:lineRule="auto"/>
              <w:jc w:val="right"/>
              <w:rPr>
                <w:rFonts w:ascii="Calibri" w:eastAsia="Times New Roman" w:hAnsi="Calibri" w:cs="Calibri"/>
                <w:color w:val="000000"/>
                <w:sz w:val="18"/>
                <w:szCs w:val="18"/>
                <w:lang w:eastAsia="en-GB"/>
              </w:rPr>
            </w:pPr>
            <w:r w:rsidRPr="008C4D21">
              <w:rPr>
                <w:rFonts w:ascii="Calibri" w:eastAsia="Times New Roman" w:hAnsi="Calibri" w:cs="Calibri"/>
                <w:color w:val="000000"/>
                <w:sz w:val="18"/>
                <w:szCs w:val="18"/>
                <w:lang w:eastAsia="en-GB"/>
              </w:rPr>
              <w:t>339</w:t>
            </w:r>
          </w:p>
        </w:tc>
      </w:tr>
    </w:tbl>
    <w:p w14:paraId="05C6BD36" w14:textId="2247AB24" w:rsidR="008B595F" w:rsidRDefault="006C15AF" w:rsidP="008B595F">
      <w:r>
        <w:t>*</w:t>
      </w:r>
      <w:r w:rsidRPr="006C15AF">
        <w:rPr>
          <w:rFonts w:ascii="Calibri" w:eastAsia="Times New Roman" w:hAnsi="Calibri" w:cs="Calibri"/>
          <w:color w:val="000000"/>
          <w:sz w:val="18"/>
          <w:szCs w:val="18"/>
          <w:lang w:eastAsia="en-GB"/>
        </w:rPr>
        <w:t xml:space="preserve"> </w:t>
      </w:r>
      <w:r>
        <w:rPr>
          <w:rFonts w:ascii="Calibri" w:eastAsia="Times New Roman" w:hAnsi="Calibri" w:cs="Calibri"/>
          <w:color w:val="000000"/>
          <w:sz w:val="18"/>
          <w:szCs w:val="18"/>
          <w:lang w:eastAsia="en-GB"/>
        </w:rPr>
        <w:t>I</w:t>
      </w:r>
      <w:r w:rsidRPr="008C4D21">
        <w:rPr>
          <w:rFonts w:ascii="Calibri" w:eastAsia="Times New Roman" w:hAnsi="Calibri" w:cs="Calibri"/>
          <w:color w:val="000000"/>
          <w:sz w:val="18"/>
          <w:szCs w:val="18"/>
          <w:lang w:eastAsia="en-GB"/>
        </w:rPr>
        <w:t xml:space="preserve">nferred &gt;1 due to </w:t>
      </w:r>
      <w:r w:rsidR="004F2421">
        <w:rPr>
          <w:rFonts w:ascii="Calibri" w:eastAsia="Times New Roman" w:hAnsi="Calibri" w:cs="Calibri"/>
          <w:color w:val="000000"/>
          <w:sz w:val="18"/>
          <w:szCs w:val="18"/>
          <w:lang w:eastAsia="en-GB"/>
        </w:rPr>
        <w:t>contact</w:t>
      </w:r>
      <w:r w:rsidRPr="008C4D21">
        <w:rPr>
          <w:rFonts w:ascii="Calibri" w:eastAsia="Times New Roman" w:hAnsi="Calibri" w:cs="Calibri"/>
          <w:color w:val="000000"/>
          <w:sz w:val="18"/>
          <w:szCs w:val="18"/>
          <w:lang w:eastAsia="en-GB"/>
        </w:rPr>
        <w:t xml:space="preserve"> </w:t>
      </w:r>
      <w:r w:rsidR="004F2421">
        <w:rPr>
          <w:rFonts w:ascii="Calibri" w:eastAsia="Times New Roman" w:hAnsi="Calibri" w:cs="Calibri"/>
          <w:color w:val="000000"/>
          <w:sz w:val="18"/>
          <w:szCs w:val="18"/>
          <w:lang w:eastAsia="en-GB"/>
        </w:rPr>
        <w:t xml:space="preserve">sample size </w:t>
      </w:r>
    </w:p>
    <w:p w14:paraId="367CA690" w14:textId="77777777" w:rsidR="000D1FB5" w:rsidRDefault="000D1FB5">
      <w:pPr>
        <w:rPr>
          <w:rFonts w:eastAsiaTheme="majorEastAsia" w:cstheme="minorHAnsi"/>
          <w:b/>
          <w:sz w:val="24"/>
          <w:szCs w:val="24"/>
        </w:rPr>
      </w:pPr>
      <w:r>
        <w:rPr>
          <w:rFonts w:cstheme="minorHAnsi"/>
          <w:sz w:val="24"/>
          <w:szCs w:val="24"/>
        </w:rPr>
        <w:br w:type="page"/>
      </w:r>
    </w:p>
    <w:p w14:paraId="704BF706" w14:textId="1AAFC11B" w:rsidR="00665AEE" w:rsidRDefault="00665AEE" w:rsidP="00665AEE">
      <w:pPr>
        <w:pStyle w:val="Heading2"/>
        <w:rPr>
          <w:rFonts w:asciiTheme="minorHAnsi" w:hAnsiTheme="minorHAnsi" w:cstheme="minorHAnsi"/>
          <w:sz w:val="24"/>
          <w:szCs w:val="24"/>
        </w:rPr>
      </w:pPr>
      <w:r w:rsidRPr="00A80249">
        <w:rPr>
          <w:rFonts w:asciiTheme="minorHAnsi" w:hAnsiTheme="minorHAnsi" w:cstheme="minorHAnsi"/>
          <w:sz w:val="24"/>
          <w:szCs w:val="24"/>
        </w:rPr>
        <w:lastRenderedPageBreak/>
        <w:t>Schools</w:t>
      </w:r>
    </w:p>
    <w:p w14:paraId="650660E2" w14:textId="10B8C023" w:rsidR="00665AEE" w:rsidRPr="000D1FB5" w:rsidRDefault="00602FA1" w:rsidP="00665AEE">
      <w:pPr>
        <w:rPr>
          <w:b/>
          <w:bCs/>
          <w:sz w:val="20"/>
          <w:szCs w:val="20"/>
        </w:rPr>
      </w:pPr>
      <w:r w:rsidRPr="000D1FB5">
        <w:rPr>
          <w:b/>
          <w:bCs/>
          <w:sz w:val="20"/>
          <w:szCs w:val="20"/>
        </w:rPr>
        <w:t>Table</w:t>
      </w:r>
      <w:r w:rsidR="000C40FD">
        <w:rPr>
          <w:b/>
          <w:bCs/>
          <w:sz w:val="20"/>
          <w:szCs w:val="20"/>
        </w:rPr>
        <w:t xml:space="preserve"> </w:t>
      </w:r>
      <w:r w:rsidRPr="000D1FB5">
        <w:rPr>
          <w:b/>
          <w:bCs/>
          <w:sz w:val="20"/>
          <w:szCs w:val="20"/>
        </w:rPr>
        <w:t>2 Summary of studies reporting on contact investigations in school settings</w:t>
      </w:r>
      <w:r w:rsidR="00153DFC" w:rsidRPr="000D1FB5">
        <w:rPr>
          <w:b/>
          <w:bCs/>
          <w:sz w:val="20"/>
          <w:szCs w:val="20"/>
        </w:rPr>
        <w:t>.</w:t>
      </w:r>
      <w:r w:rsidR="00153DFC" w:rsidRPr="000D1FB5">
        <w:rPr>
          <w:sz w:val="20"/>
          <w:szCs w:val="20"/>
        </w:rPr>
        <w:t xml:space="preserve"> </w:t>
      </w:r>
    </w:p>
    <w:tbl>
      <w:tblPr>
        <w:tblW w:w="15736" w:type="dxa"/>
        <w:tblInd w:w="-993" w:type="dxa"/>
        <w:tblLook w:val="04A0" w:firstRow="1" w:lastRow="0" w:firstColumn="1" w:lastColumn="0" w:noHBand="0" w:noVBand="1"/>
      </w:tblPr>
      <w:tblGrid>
        <w:gridCol w:w="1163"/>
        <w:gridCol w:w="1386"/>
        <w:gridCol w:w="1608"/>
        <w:gridCol w:w="1089"/>
        <w:gridCol w:w="1276"/>
        <w:gridCol w:w="3075"/>
        <w:gridCol w:w="1170"/>
        <w:gridCol w:w="1123"/>
        <w:gridCol w:w="850"/>
        <w:gridCol w:w="1134"/>
        <w:gridCol w:w="866"/>
        <w:gridCol w:w="996"/>
      </w:tblGrid>
      <w:tr w:rsidR="000F13C3" w:rsidRPr="00410ABF" w14:paraId="5A05DECE" w14:textId="77777777" w:rsidTr="00410ABF">
        <w:trPr>
          <w:trHeight w:val="292"/>
        </w:trPr>
        <w:tc>
          <w:tcPr>
            <w:tcW w:w="1163" w:type="dxa"/>
            <w:tcBorders>
              <w:top w:val="single" w:sz="18" w:space="0" w:color="auto"/>
              <w:left w:val="nil"/>
              <w:bottom w:val="single" w:sz="18" w:space="0" w:color="auto"/>
              <w:right w:val="nil"/>
            </w:tcBorders>
            <w:shd w:val="clear" w:color="000000" w:fill="FFFFFF"/>
            <w:vAlign w:val="center"/>
          </w:tcPr>
          <w:p w14:paraId="2D2616B1" w14:textId="09B9C9C8" w:rsidR="00410ABF" w:rsidRPr="00410ABF" w:rsidRDefault="00410ABF" w:rsidP="00410ABF">
            <w:pPr>
              <w:spacing w:after="0" w:line="240" w:lineRule="auto"/>
              <w:jc w:val="center"/>
              <w:rPr>
                <w:rFonts w:ascii="Calibri" w:eastAsia="Times New Roman" w:hAnsi="Calibri" w:cs="Calibri"/>
                <w:b/>
                <w:bCs/>
                <w:color w:val="000000"/>
                <w:sz w:val="18"/>
                <w:szCs w:val="18"/>
                <w:lang w:eastAsia="en-GB"/>
              </w:rPr>
            </w:pPr>
            <w:r w:rsidRPr="008C4D21">
              <w:rPr>
                <w:rFonts w:ascii="Calibri" w:eastAsia="Times New Roman" w:hAnsi="Calibri" w:cs="Calibri"/>
                <w:b/>
                <w:bCs/>
                <w:color w:val="000000"/>
                <w:sz w:val="18"/>
                <w:szCs w:val="18"/>
                <w:lang w:eastAsia="en-GB"/>
              </w:rPr>
              <w:t>Main text reference number</w:t>
            </w:r>
          </w:p>
        </w:tc>
        <w:tc>
          <w:tcPr>
            <w:tcW w:w="1386" w:type="dxa"/>
            <w:tcBorders>
              <w:top w:val="single" w:sz="18" w:space="0" w:color="auto"/>
              <w:left w:val="nil"/>
              <w:bottom w:val="single" w:sz="18" w:space="0" w:color="auto"/>
              <w:right w:val="nil"/>
            </w:tcBorders>
            <w:shd w:val="clear" w:color="000000" w:fill="FFFFFF"/>
            <w:vAlign w:val="center"/>
            <w:hideMark/>
          </w:tcPr>
          <w:p w14:paraId="1BEBD6F8" w14:textId="38B905F3" w:rsidR="00410ABF" w:rsidRPr="00410ABF" w:rsidRDefault="00410ABF" w:rsidP="00596DFC">
            <w:pPr>
              <w:spacing w:after="0" w:line="240" w:lineRule="auto"/>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Author</w:t>
            </w:r>
          </w:p>
        </w:tc>
        <w:tc>
          <w:tcPr>
            <w:tcW w:w="1608" w:type="dxa"/>
            <w:tcBorders>
              <w:top w:val="single" w:sz="18" w:space="0" w:color="auto"/>
              <w:left w:val="nil"/>
              <w:bottom w:val="single" w:sz="18" w:space="0" w:color="auto"/>
              <w:right w:val="nil"/>
            </w:tcBorders>
            <w:shd w:val="clear" w:color="000000" w:fill="FFFFFF"/>
            <w:vAlign w:val="center"/>
            <w:hideMark/>
          </w:tcPr>
          <w:p w14:paraId="41A29CFE" w14:textId="77777777" w:rsidR="00410ABF" w:rsidRPr="00410ABF" w:rsidRDefault="00410ABF" w:rsidP="00596DFC">
            <w:pPr>
              <w:spacing w:after="0" w:line="240" w:lineRule="auto"/>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Region</w:t>
            </w:r>
          </w:p>
        </w:tc>
        <w:tc>
          <w:tcPr>
            <w:tcW w:w="1089" w:type="dxa"/>
            <w:tcBorders>
              <w:top w:val="single" w:sz="18" w:space="0" w:color="auto"/>
              <w:left w:val="nil"/>
              <w:bottom w:val="single" w:sz="18" w:space="0" w:color="auto"/>
              <w:right w:val="nil"/>
            </w:tcBorders>
            <w:shd w:val="clear" w:color="000000" w:fill="FFFFFF"/>
            <w:vAlign w:val="center"/>
            <w:hideMark/>
          </w:tcPr>
          <w:p w14:paraId="166D9F42" w14:textId="77777777" w:rsidR="00410ABF" w:rsidRPr="00410ABF" w:rsidRDefault="00410ABF" w:rsidP="00596DFC">
            <w:pPr>
              <w:spacing w:after="0" w:line="240" w:lineRule="auto"/>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Country</w:t>
            </w:r>
          </w:p>
        </w:tc>
        <w:tc>
          <w:tcPr>
            <w:tcW w:w="1276" w:type="dxa"/>
            <w:tcBorders>
              <w:top w:val="single" w:sz="18" w:space="0" w:color="auto"/>
              <w:left w:val="nil"/>
              <w:bottom w:val="single" w:sz="18" w:space="0" w:color="auto"/>
              <w:right w:val="nil"/>
            </w:tcBorders>
            <w:shd w:val="clear" w:color="000000" w:fill="FFFFFF"/>
            <w:vAlign w:val="center"/>
            <w:hideMark/>
          </w:tcPr>
          <w:p w14:paraId="0683586F" w14:textId="77777777" w:rsidR="00410ABF" w:rsidRPr="00410ABF" w:rsidRDefault="00410ABF" w:rsidP="00596DFC">
            <w:pPr>
              <w:spacing w:after="0" w:line="240" w:lineRule="auto"/>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Study design</w:t>
            </w:r>
          </w:p>
        </w:tc>
        <w:tc>
          <w:tcPr>
            <w:tcW w:w="3075" w:type="dxa"/>
            <w:tcBorders>
              <w:top w:val="single" w:sz="18" w:space="0" w:color="auto"/>
              <w:left w:val="nil"/>
              <w:bottom w:val="single" w:sz="18" w:space="0" w:color="auto"/>
              <w:right w:val="nil"/>
            </w:tcBorders>
            <w:shd w:val="clear" w:color="000000" w:fill="FFFFFF"/>
            <w:vAlign w:val="center"/>
            <w:hideMark/>
          </w:tcPr>
          <w:p w14:paraId="77E4494D" w14:textId="77777777" w:rsidR="00410ABF" w:rsidRPr="00410ABF" w:rsidRDefault="00410ABF" w:rsidP="00596DFC">
            <w:pPr>
              <w:spacing w:after="0" w:line="240" w:lineRule="auto"/>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Contact definition</w:t>
            </w:r>
          </w:p>
        </w:tc>
        <w:tc>
          <w:tcPr>
            <w:tcW w:w="1170" w:type="dxa"/>
            <w:tcBorders>
              <w:top w:val="single" w:sz="18" w:space="0" w:color="auto"/>
              <w:left w:val="nil"/>
              <w:bottom w:val="single" w:sz="18" w:space="0" w:color="auto"/>
              <w:right w:val="nil"/>
            </w:tcBorders>
            <w:shd w:val="clear" w:color="000000" w:fill="FFFFFF"/>
            <w:vAlign w:val="center"/>
            <w:hideMark/>
          </w:tcPr>
          <w:p w14:paraId="0BDD0AE8" w14:textId="77777777" w:rsidR="00410ABF" w:rsidRPr="00410ABF" w:rsidRDefault="00410ABF" w:rsidP="00596DFC">
            <w:pPr>
              <w:spacing w:after="0" w:line="240" w:lineRule="auto"/>
              <w:jc w:val="center"/>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Testing strategy</w:t>
            </w:r>
          </w:p>
        </w:tc>
        <w:tc>
          <w:tcPr>
            <w:tcW w:w="1123" w:type="dxa"/>
            <w:tcBorders>
              <w:top w:val="single" w:sz="18" w:space="0" w:color="auto"/>
              <w:left w:val="nil"/>
              <w:bottom w:val="single" w:sz="18" w:space="0" w:color="auto"/>
              <w:right w:val="nil"/>
            </w:tcBorders>
            <w:shd w:val="clear" w:color="000000" w:fill="FFFFFF"/>
            <w:vAlign w:val="center"/>
            <w:hideMark/>
          </w:tcPr>
          <w:p w14:paraId="39F82A8B" w14:textId="77777777" w:rsidR="00410ABF" w:rsidRPr="00410ABF" w:rsidRDefault="00410ABF" w:rsidP="00596DFC">
            <w:pPr>
              <w:spacing w:after="0" w:line="240" w:lineRule="auto"/>
              <w:jc w:val="center"/>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Testing method</w:t>
            </w:r>
          </w:p>
        </w:tc>
        <w:tc>
          <w:tcPr>
            <w:tcW w:w="850" w:type="dxa"/>
            <w:tcBorders>
              <w:top w:val="single" w:sz="18" w:space="0" w:color="auto"/>
              <w:left w:val="nil"/>
              <w:bottom w:val="single" w:sz="18" w:space="0" w:color="auto"/>
              <w:right w:val="nil"/>
            </w:tcBorders>
            <w:shd w:val="clear" w:color="000000" w:fill="FFFFFF"/>
            <w:vAlign w:val="center"/>
            <w:hideMark/>
          </w:tcPr>
          <w:p w14:paraId="0084DC2F" w14:textId="77777777" w:rsidR="00410ABF" w:rsidRPr="00410ABF" w:rsidRDefault="00410ABF" w:rsidP="00596DFC">
            <w:pPr>
              <w:spacing w:after="0" w:line="240" w:lineRule="auto"/>
              <w:jc w:val="right"/>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Index cases</w:t>
            </w:r>
          </w:p>
        </w:tc>
        <w:tc>
          <w:tcPr>
            <w:tcW w:w="1134" w:type="dxa"/>
            <w:tcBorders>
              <w:top w:val="single" w:sz="18" w:space="0" w:color="auto"/>
              <w:left w:val="nil"/>
              <w:bottom w:val="single" w:sz="18" w:space="0" w:color="auto"/>
              <w:right w:val="nil"/>
            </w:tcBorders>
            <w:shd w:val="clear" w:color="000000" w:fill="FFFFFF"/>
            <w:vAlign w:val="center"/>
            <w:hideMark/>
          </w:tcPr>
          <w:p w14:paraId="03FFA7B5" w14:textId="77777777" w:rsidR="00410ABF" w:rsidRPr="00410ABF" w:rsidRDefault="00410ABF" w:rsidP="00596DFC">
            <w:pPr>
              <w:spacing w:after="0" w:line="240" w:lineRule="auto"/>
              <w:jc w:val="right"/>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Contacts traced</w:t>
            </w:r>
          </w:p>
        </w:tc>
        <w:tc>
          <w:tcPr>
            <w:tcW w:w="866" w:type="dxa"/>
            <w:tcBorders>
              <w:top w:val="single" w:sz="18" w:space="0" w:color="auto"/>
              <w:left w:val="nil"/>
              <w:bottom w:val="single" w:sz="18" w:space="0" w:color="auto"/>
              <w:right w:val="nil"/>
            </w:tcBorders>
            <w:shd w:val="clear" w:color="000000" w:fill="FFFFFF"/>
            <w:vAlign w:val="center"/>
            <w:hideMark/>
          </w:tcPr>
          <w:p w14:paraId="01D179D0" w14:textId="77777777" w:rsidR="00410ABF" w:rsidRPr="00410ABF" w:rsidRDefault="00410ABF" w:rsidP="00596DFC">
            <w:pPr>
              <w:spacing w:after="0" w:line="240" w:lineRule="auto"/>
              <w:jc w:val="right"/>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Contacts tested</w:t>
            </w:r>
          </w:p>
        </w:tc>
        <w:tc>
          <w:tcPr>
            <w:tcW w:w="996" w:type="dxa"/>
            <w:tcBorders>
              <w:top w:val="single" w:sz="18" w:space="0" w:color="auto"/>
              <w:left w:val="nil"/>
              <w:bottom w:val="single" w:sz="18" w:space="0" w:color="auto"/>
              <w:right w:val="nil"/>
            </w:tcBorders>
            <w:shd w:val="clear" w:color="000000" w:fill="FFFFFF"/>
            <w:vAlign w:val="center"/>
            <w:hideMark/>
          </w:tcPr>
          <w:p w14:paraId="5C3AE23B" w14:textId="77777777" w:rsidR="00410ABF" w:rsidRPr="00410ABF" w:rsidRDefault="00410ABF" w:rsidP="00596DFC">
            <w:pPr>
              <w:spacing w:after="0" w:line="240" w:lineRule="auto"/>
              <w:jc w:val="right"/>
              <w:rPr>
                <w:rFonts w:ascii="Calibri" w:eastAsia="Times New Roman" w:hAnsi="Calibri" w:cs="Calibri"/>
                <w:b/>
                <w:bCs/>
                <w:color w:val="000000"/>
                <w:sz w:val="18"/>
                <w:szCs w:val="18"/>
                <w:lang w:eastAsia="en-GB"/>
              </w:rPr>
            </w:pPr>
            <w:r w:rsidRPr="00410ABF">
              <w:rPr>
                <w:rFonts w:ascii="Calibri" w:eastAsia="Times New Roman" w:hAnsi="Calibri" w:cs="Calibri"/>
                <w:b/>
                <w:bCs/>
                <w:color w:val="000000"/>
                <w:sz w:val="18"/>
                <w:szCs w:val="18"/>
                <w:lang w:eastAsia="en-GB"/>
              </w:rPr>
              <w:t>Secondary cases</w:t>
            </w:r>
          </w:p>
        </w:tc>
      </w:tr>
      <w:tr w:rsidR="004E7F1D" w:rsidRPr="00410ABF" w14:paraId="7A1B6D01" w14:textId="77777777" w:rsidTr="00AE0B49">
        <w:trPr>
          <w:trHeight w:val="586"/>
        </w:trPr>
        <w:tc>
          <w:tcPr>
            <w:tcW w:w="1163" w:type="dxa"/>
            <w:tcBorders>
              <w:top w:val="single" w:sz="18" w:space="0" w:color="auto"/>
              <w:left w:val="nil"/>
              <w:bottom w:val="single" w:sz="8" w:space="0" w:color="auto"/>
              <w:right w:val="nil"/>
            </w:tcBorders>
            <w:shd w:val="clear" w:color="000000" w:fill="FFFFFF"/>
            <w:vAlign w:val="center"/>
          </w:tcPr>
          <w:p w14:paraId="5CDC48F0" w14:textId="247176A0"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tcBorders>
              <w:top w:val="single" w:sz="18" w:space="0" w:color="auto"/>
              <w:left w:val="nil"/>
              <w:bottom w:val="single" w:sz="8" w:space="0" w:color="auto"/>
              <w:right w:val="nil"/>
            </w:tcBorders>
            <w:shd w:val="clear" w:color="000000" w:fill="FFFFFF"/>
            <w:vAlign w:val="center"/>
            <w:hideMark/>
          </w:tcPr>
          <w:p w14:paraId="2E417D66" w14:textId="356D407A" w:rsidR="00410ABF" w:rsidRPr="00410ABF" w:rsidRDefault="00410ABF" w:rsidP="00596DFC">
            <w:pPr>
              <w:spacing w:after="0" w:line="240" w:lineRule="auto"/>
              <w:rPr>
                <w:rFonts w:ascii="Calibri" w:eastAsia="Times New Roman" w:hAnsi="Calibri" w:cs="Calibri"/>
                <w:color w:val="000000"/>
                <w:sz w:val="18"/>
                <w:szCs w:val="18"/>
                <w:lang w:eastAsia="en-GB"/>
              </w:rPr>
            </w:pPr>
            <w:proofErr w:type="spellStart"/>
            <w:r w:rsidRPr="00410ABF">
              <w:rPr>
                <w:rFonts w:ascii="Calibri" w:eastAsia="Times New Roman" w:hAnsi="Calibri" w:cs="Calibri"/>
                <w:color w:val="000000"/>
                <w:sz w:val="18"/>
                <w:szCs w:val="18"/>
                <w:lang w:eastAsia="en-GB"/>
              </w:rPr>
              <w:t>Baettig</w:t>
            </w:r>
            <w:proofErr w:type="spellEnd"/>
            <w:r w:rsidRPr="00410ABF">
              <w:rPr>
                <w:rFonts w:ascii="Calibri" w:eastAsia="Times New Roman" w:hAnsi="Calibri" w:cs="Calibri"/>
                <w:color w:val="000000"/>
                <w:sz w:val="18"/>
                <w:szCs w:val="18"/>
                <w:lang w:eastAsia="en-GB"/>
              </w:rPr>
              <w:t xml:space="preserve"> et al </w:t>
            </w:r>
            <w:r w:rsidR="00AE0B49">
              <w:rPr>
                <w:rFonts w:ascii="Calibri" w:eastAsia="Times New Roman" w:hAnsi="Calibri" w:cs="Calibri"/>
                <w:color w:val="000000"/>
                <w:sz w:val="18"/>
                <w:szCs w:val="18"/>
                <w:lang w:eastAsia="en-GB"/>
              </w:rPr>
              <w:fldChar w:fldCharType="begin" w:fldLock="1"/>
            </w:r>
            <w:r w:rsidR="0004151B">
              <w:rPr>
                <w:rFonts w:ascii="Calibri" w:eastAsia="Times New Roman" w:hAnsi="Calibri" w:cs="Calibri"/>
                <w:color w:val="000000"/>
                <w:sz w:val="18"/>
                <w:szCs w:val="18"/>
                <w:lang w:eastAsia="en-GB"/>
              </w:rPr>
              <w:instrText>ADDIN CSL_CITATION {"citationItems":[{"id":"ITEM-1","itemData":{"DOI":"10.1136/bmjmilitary-2020-001482","ISBN":"2633-3767 (Print)\r2633-3767","PMID":"32303575","abstract":"INTRODUCTION: A new coronavirus, called Severe Acute Respiratory Syndrome-CoronaVirus-2 (SARS-CoV-2), has emerged from China in late 2019 and has now caused a worldwide pandemic. The impact of COVID-19 has not been described so far in a military setting. We therefore report a case series of infected patients in a recruit school in Switzerland and the herein associated challenges. METHODS: Retrospective review of COVID-19 cases among Swiss Armed Forces recruits in the early weeks of SARS-CoV-2 pandemic in the canton of Ticino, the southernmost canton of Switzerland. Positive cases were defined with two positive PCR testing for SARS-CoV-2 from nasopharyngeal swabs. Serological testing was performed with a commercially available kit according to manufacturers' instructions. RESULTS: The first case was likely contaminated while skiing during weekend permission. He became symptomatic 4 days later, tested positive for SARS-CoV-2 and was put into isolation. He showed complete symptom resolution after 48 hours. Quarantine was ordered for all recruits with close contact in the past 2 days, a total of 55 persons out of 140 in the company. Seven out of nine recruits in one particular quarantine room became mildly symptomatic. SARS-CoV-2 PCR was positive in one of them. Seven days after initial diagnosis, the index patient and the other one from the quarantine retested positive for SARS-CoV-2, although they had been completely asymptomatic for over 96 hours. Serological testing revealed positive for both patients. All others showed negative IgM and IgG. CONCLUSIONS: Young healthy recruits often showed a mild course of COVID-19 with rapid symptom decline but were persistent SARS-CoV-2 carriers. This illustrates how asymptomatic patients may be responsible for covert viral transmission. An early and prolonged establishment of isolation and quarantine for patients and close contacts is essential to slow down the spread of SARS-CoV-2, especially in the confined space of a military environment.","author":[{"dropping-particle":"","family":"Baettig","given":"S J","non-dropping-particle":"","parse-names":false,"suffix":""},{"dropping-particle":"","family":"Parini","given":"A","non-dropping-particle":"","parse-names":false,"suffix":""},{"dropping-particle":"","family":"Cardona","given":"I","non-dropping-particle":"","parse-names":false,"suffix":""},{"dropping-particle":"","family":"Morand","given":"G B","non-dropping-particle":"","parse-names":false,"suffix":""}],"container-title":"BMJ Mil Health","edition":"2020/04/19","id":"ITEM-1","issued":{"date-parts":[["2020"]]},"language":"eng","note":"2633-3775\nBaettig, Sascha J\nParini, A\nCardona, I\nOrcid: 0000-0002-8645-9626\nMorand, G B\nOrcid: 0000-0002-6150-6772\nJournal Article\nBMJ Mil Health. 2020 Apr 16:bmjmilitary-2020-001482. doi: 10.1136/bmjmilitary-2020-001482.","title":"Case series of coronavirus (SARS-CoV-2) in a military recruit school: clinical, sanitary and logistical implications","type":"article-journal"},"uris":["http://www.mendeley.com/documents/?uuid=cd63b45a-bd77-4cdb-925c-460496c186f0"]}],"mendeley":{"formattedCitation":"[4]","plainTextFormattedCitation":"[4]","previouslyFormattedCitation":"[4]"},"properties":{"noteIndex":0},"schema":"https://github.com/citation-style-language/schema/raw/master/csl-citation.json"}</w:instrText>
            </w:r>
            <w:r w:rsidR="00AE0B49">
              <w:rPr>
                <w:rFonts w:ascii="Calibri" w:eastAsia="Times New Roman" w:hAnsi="Calibri" w:cs="Calibri"/>
                <w:color w:val="000000"/>
                <w:sz w:val="18"/>
                <w:szCs w:val="18"/>
                <w:lang w:eastAsia="en-GB"/>
              </w:rPr>
              <w:fldChar w:fldCharType="separate"/>
            </w:r>
            <w:r w:rsidR="00B058AB" w:rsidRPr="00B058AB">
              <w:rPr>
                <w:rFonts w:ascii="Calibri" w:eastAsia="Times New Roman" w:hAnsi="Calibri" w:cs="Calibri"/>
                <w:noProof/>
                <w:color w:val="000000"/>
                <w:sz w:val="18"/>
                <w:szCs w:val="18"/>
                <w:lang w:eastAsia="en-GB"/>
              </w:rPr>
              <w:t>[4]</w:t>
            </w:r>
            <w:r w:rsidR="00AE0B49">
              <w:rPr>
                <w:rFonts w:ascii="Calibri" w:eastAsia="Times New Roman" w:hAnsi="Calibri" w:cs="Calibri"/>
                <w:color w:val="000000"/>
                <w:sz w:val="18"/>
                <w:szCs w:val="18"/>
                <w:lang w:eastAsia="en-GB"/>
              </w:rPr>
              <w:fldChar w:fldCharType="end"/>
            </w:r>
          </w:p>
        </w:tc>
        <w:tc>
          <w:tcPr>
            <w:tcW w:w="1608" w:type="dxa"/>
            <w:tcBorders>
              <w:top w:val="single" w:sz="18" w:space="0" w:color="auto"/>
              <w:left w:val="nil"/>
              <w:bottom w:val="single" w:sz="8" w:space="0" w:color="auto"/>
              <w:right w:val="nil"/>
            </w:tcBorders>
            <w:shd w:val="clear" w:color="000000" w:fill="FFFFFF"/>
            <w:vAlign w:val="center"/>
            <w:hideMark/>
          </w:tcPr>
          <w:p w14:paraId="21746F80"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Ticino</w:t>
            </w:r>
          </w:p>
        </w:tc>
        <w:tc>
          <w:tcPr>
            <w:tcW w:w="1089" w:type="dxa"/>
            <w:tcBorders>
              <w:top w:val="single" w:sz="18" w:space="0" w:color="auto"/>
              <w:left w:val="nil"/>
              <w:bottom w:val="single" w:sz="8" w:space="0" w:color="auto"/>
              <w:right w:val="nil"/>
            </w:tcBorders>
            <w:shd w:val="clear" w:color="000000" w:fill="FFFFFF"/>
            <w:vAlign w:val="center"/>
            <w:hideMark/>
          </w:tcPr>
          <w:p w14:paraId="0AE632E2"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Switzerland</w:t>
            </w:r>
          </w:p>
        </w:tc>
        <w:tc>
          <w:tcPr>
            <w:tcW w:w="1276" w:type="dxa"/>
            <w:tcBorders>
              <w:top w:val="single" w:sz="18" w:space="0" w:color="auto"/>
              <w:left w:val="nil"/>
              <w:bottom w:val="single" w:sz="8" w:space="0" w:color="auto"/>
              <w:right w:val="nil"/>
            </w:tcBorders>
            <w:shd w:val="clear" w:color="000000" w:fill="FFFFFF"/>
            <w:vAlign w:val="center"/>
            <w:hideMark/>
          </w:tcPr>
          <w:p w14:paraId="3C3AB01D"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Retrospective case series</w:t>
            </w:r>
          </w:p>
        </w:tc>
        <w:tc>
          <w:tcPr>
            <w:tcW w:w="3075" w:type="dxa"/>
            <w:tcBorders>
              <w:top w:val="single" w:sz="18" w:space="0" w:color="auto"/>
              <w:left w:val="nil"/>
              <w:bottom w:val="single" w:sz="8" w:space="0" w:color="auto"/>
              <w:right w:val="nil"/>
            </w:tcBorders>
            <w:shd w:val="clear" w:color="000000" w:fill="FFFFFF"/>
            <w:vAlign w:val="center"/>
            <w:hideMark/>
          </w:tcPr>
          <w:p w14:paraId="3283223A"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Contact for &gt;15mins within 2 days of symptom onset of the index patient </w:t>
            </w:r>
          </w:p>
        </w:tc>
        <w:tc>
          <w:tcPr>
            <w:tcW w:w="1170" w:type="dxa"/>
            <w:tcBorders>
              <w:top w:val="single" w:sz="18" w:space="0" w:color="auto"/>
              <w:left w:val="nil"/>
              <w:bottom w:val="single" w:sz="8" w:space="0" w:color="auto"/>
              <w:right w:val="nil"/>
            </w:tcBorders>
            <w:shd w:val="clear" w:color="000000" w:fill="FFFFFF"/>
            <w:vAlign w:val="center"/>
            <w:hideMark/>
          </w:tcPr>
          <w:p w14:paraId="6BC4CECE"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all</w:t>
            </w:r>
          </w:p>
        </w:tc>
        <w:tc>
          <w:tcPr>
            <w:tcW w:w="1123" w:type="dxa"/>
            <w:tcBorders>
              <w:top w:val="single" w:sz="18" w:space="0" w:color="auto"/>
              <w:left w:val="nil"/>
              <w:bottom w:val="single" w:sz="8" w:space="0" w:color="auto"/>
              <w:right w:val="nil"/>
            </w:tcBorders>
            <w:shd w:val="clear" w:color="000000" w:fill="FFFFFF"/>
            <w:vAlign w:val="center"/>
            <w:hideMark/>
          </w:tcPr>
          <w:p w14:paraId="783E9677"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RT-PCR and serology</w:t>
            </w:r>
          </w:p>
        </w:tc>
        <w:tc>
          <w:tcPr>
            <w:tcW w:w="850" w:type="dxa"/>
            <w:tcBorders>
              <w:top w:val="single" w:sz="18" w:space="0" w:color="auto"/>
              <w:left w:val="nil"/>
              <w:bottom w:val="single" w:sz="8" w:space="0" w:color="auto"/>
              <w:right w:val="nil"/>
            </w:tcBorders>
            <w:shd w:val="clear" w:color="000000" w:fill="FFFFFF"/>
            <w:vAlign w:val="center"/>
            <w:hideMark/>
          </w:tcPr>
          <w:p w14:paraId="141F4726"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w:t>
            </w:r>
          </w:p>
        </w:tc>
        <w:tc>
          <w:tcPr>
            <w:tcW w:w="1134" w:type="dxa"/>
            <w:tcBorders>
              <w:top w:val="single" w:sz="18" w:space="0" w:color="auto"/>
              <w:left w:val="nil"/>
              <w:bottom w:val="single" w:sz="8" w:space="0" w:color="auto"/>
              <w:right w:val="nil"/>
            </w:tcBorders>
            <w:shd w:val="clear" w:color="000000" w:fill="FFFFFF"/>
            <w:vAlign w:val="center"/>
            <w:hideMark/>
          </w:tcPr>
          <w:p w14:paraId="0EF93049"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51</w:t>
            </w:r>
          </w:p>
        </w:tc>
        <w:tc>
          <w:tcPr>
            <w:tcW w:w="866" w:type="dxa"/>
            <w:tcBorders>
              <w:top w:val="single" w:sz="18" w:space="0" w:color="auto"/>
              <w:left w:val="nil"/>
              <w:bottom w:val="single" w:sz="8" w:space="0" w:color="auto"/>
              <w:right w:val="nil"/>
            </w:tcBorders>
            <w:shd w:val="clear" w:color="000000" w:fill="FFFFFF"/>
            <w:vAlign w:val="center"/>
            <w:hideMark/>
          </w:tcPr>
          <w:p w14:paraId="08BE0BD5"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51</w:t>
            </w:r>
          </w:p>
        </w:tc>
        <w:tc>
          <w:tcPr>
            <w:tcW w:w="996" w:type="dxa"/>
            <w:tcBorders>
              <w:top w:val="single" w:sz="18" w:space="0" w:color="auto"/>
              <w:left w:val="nil"/>
              <w:bottom w:val="single" w:sz="8" w:space="0" w:color="auto"/>
              <w:right w:val="nil"/>
            </w:tcBorders>
            <w:shd w:val="clear" w:color="000000" w:fill="FFFFFF"/>
            <w:vAlign w:val="center"/>
            <w:hideMark/>
          </w:tcPr>
          <w:p w14:paraId="7DD89D67"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w:t>
            </w:r>
          </w:p>
        </w:tc>
      </w:tr>
      <w:tr w:rsidR="000F13C3" w:rsidRPr="00410ABF" w14:paraId="598527DE" w14:textId="77777777" w:rsidTr="001516F1">
        <w:trPr>
          <w:trHeight w:val="690"/>
        </w:trPr>
        <w:tc>
          <w:tcPr>
            <w:tcW w:w="1163" w:type="dxa"/>
            <w:tcBorders>
              <w:top w:val="nil"/>
              <w:left w:val="nil"/>
              <w:bottom w:val="single" w:sz="8" w:space="0" w:color="auto"/>
              <w:right w:val="nil"/>
            </w:tcBorders>
            <w:shd w:val="clear" w:color="000000" w:fill="FFFFFF"/>
            <w:vAlign w:val="center"/>
          </w:tcPr>
          <w:p w14:paraId="6DDC361E" w14:textId="54EDDDE4"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tcBorders>
              <w:top w:val="nil"/>
              <w:left w:val="nil"/>
              <w:bottom w:val="single" w:sz="8" w:space="0" w:color="auto"/>
              <w:right w:val="nil"/>
            </w:tcBorders>
            <w:shd w:val="clear" w:color="000000" w:fill="FFFFFF"/>
            <w:vAlign w:val="center"/>
            <w:hideMark/>
          </w:tcPr>
          <w:p w14:paraId="0931B17C" w14:textId="5AAC9A39" w:rsidR="00410ABF" w:rsidRPr="00410ABF" w:rsidRDefault="00410ABF" w:rsidP="00596DFC">
            <w:pPr>
              <w:spacing w:after="0" w:line="240" w:lineRule="auto"/>
              <w:rPr>
                <w:rFonts w:ascii="Calibri" w:eastAsia="Times New Roman" w:hAnsi="Calibri" w:cs="Calibri"/>
                <w:color w:val="000000"/>
                <w:sz w:val="18"/>
                <w:szCs w:val="18"/>
                <w:lang w:eastAsia="en-GB"/>
              </w:rPr>
            </w:pPr>
            <w:proofErr w:type="spellStart"/>
            <w:r w:rsidRPr="00410ABF">
              <w:rPr>
                <w:rFonts w:ascii="Calibri" w:eastAsia="Times New Roman" w:hAnsi="Calibri" w:cs="Calibri"/>
                <w:color w:val="000000"/>
                <w:sz w:val="18"/>
                <w:szCs w:val="18"/>
                <w:lang w:eastAsia="en-GB"/>
              </w:rPr>
              <w:t>Danis</w:t>
            </w:r>
            <w:proofErr w:type="spellEnd"/>
            <w:r w:rsidRPr="00410ABF">
              <w:rPr>
                <w:rFonts w:ascii="Calibri" w:eastAsia="Times New Roman" w:hAnsi="Calibri" w:cs="Calibri"/>
                <w:color w:val="000000"/>
                <w:sz w:val="18"/>
                <w:szCs w:val="18"/>
                <w:lang w:eastAsia="en-GB"/>
              </w:rPr>
              <w:t xml:space="preserve"> et al</w:t>
            </w:r>
            <w:r w:rsidR="00AE0B49">
              <w:rPr>
                <w:rFonts w:ascii="Calibri" w:eastAsia="Times New Roman" w:hAnsi="Calibri" w:cs="Calibri"/>
                <w:color w:val="000000"/>
                <w:sz w:val="18"/>
                <w:szCs w:val="18"/>
                <w:lang w:eastAsia="en-GB"/>
              </w:rPr>
              <w:t xml:space="preserve"> </w:t>
            </w:r>
            <w:r w:rsidR="00AE0B49">
              <w:rPr>
                <w:rFonts w:ascii="Calibri" w:eastAsia="Times New Roman" w:hAnsi="Calibri" w:cs="Calibri"/>
                <w:color w:val="000000"/>
                <w:sz w:val="18"/>
                <w:szCs w:val="18"/>
                <w:lang w:eastAsia="en-GB"/>
              </w:rPr>
              <w:fldChar w:fldCharType="begin" w:fldLock="1"/>
            </w:r>
            <w:r w:rsidR="0004151B">
              <w:rPr>
                <w:rFonts w:ascii="Calibri" w:eastAsia="Times New Roman" w:hAnsi="Calibri" w:cs="Calibri"/>
                <w:color w:val="000000"/>
                <w:sz w:val="18"/>
                <w:szCs w:val="18"/>
                <w:lang w:eastAsia="en-GB"/>
              </w:rPr>
              <w:instrText>ADDIN CSL_CITATION {"citationItems":[{"id":"ITEM-1","itemData":{"DOI":"10.1093/cid/ciaa424","ISBN":"1058-4838","abstract":"On 7 February 2020, French Health authorities were informed of a confirmed case of severe acute respiratory syndrome coronavirus 2 (SARS-CoV-2) in an Englishman infected in Singapore who had recently stayed in a chalet in the French Alps. We conducted an investigation to identify secondary cases and interrupt transmission.We defined as a confirmed case a person linked to the chalet with a positive reverse-transcription polymerase chain reaction sample for SARS-CoV-2.The index case stayed 4 days in the chalet with 10 English tourists and a family of 5 French residents; SARS-CoV-2 was detected in 5 individuals in France, 6 in England (including the index case), and 1 in Spain (overall attack rate in the chalet: 75%). One pediatric case, with picornavirus and influenza A coinfection, visited 3 different schools while symptomatic. One case was asymptomatic, with similar viral load as that of a symptomatic case. Seven days after the first cases were diagnosed, 1 tertiary case was detected in a symptomatic patient with from the chalet a positive endotracheal aspirate; all previous and concurrent nasopharyngeal specimens were negative. Additionally, 172 contacts were monitored; all contacts tested for SARS-CoV-2 (N = 73) were negative.The occurrence in this cluster of 1 asymptomatic case with similar viral load as a symptomatic patient suggests transmission potential of asymptomatic individuals. The fact that an infected child did not transmit the disease despite close interactions within schools suggests potential different transmission dynamics in children. Finally, the dissociation between upper and lower respiratory tract results underscores the need for close monitoring of the clinical evolution of suspected cases of coronavirus disease 2019.","author":[{"dropping-particle":"","family":"Danis","given":"Kostas","non-dropping-particle":"","parse-names":false,"suffix":""},{"dropping-particle":"","family":"Epaulard","given":"Olivier","non-dropping-particle":"","parse-names":false,"suffix":""},{"dropping-particle":"","family":"Bénet","given":"Thomas","non-dropping-particle":"","parse-names":false,"suffix":""},{"dropping-particle":"","family":"Gaymard","given":"Alexandre","non-dropping-particle":"","parse-names":false,"suffix":""},{"dropping-particle":"","family":"Campoy","given":"Séphora","non-dropping-particle":"","parse-names":false,"suffix":""},{"dropping-particle":"","family":"Botelho-Nevers","given":"Elisabeth","non-dropping-particle":"","parse-names":false,"suffix":""},{"dropping-particle":"","family":"Bouscambert-Duchamp","given":"Maude","non-dropping-particle":"","parse-names":false,"suffix":""},{"dropping-particle":"","family":"Spaccaferri","given":"Guillaume","non-dropping-particle":"","parse-names":false,"suffix":""},{"dropping-particle":"","family":"Ader","given":"Florence","non-dropping-particle":"","parse-names":false,"suffix":""},{"dropping-particle":"","family":"Mailles","given":"Alexandra","non-dropping-particle":"","parse-names":false,"suffix":""},{"dropping-particle":"","family":"Boudalaa","given":"Zoubida","non-dropping-particle":"","parse-names":false,"suffix":""},{"dropping-particle":"","family":"Tolsma","given":"Violaine","non-dropping-particle":"","parse-names":false,"suffix":""},{"dropping-particle":"","family":"Berra","given":"Julien","non-dropping-particle":"","parse-names":false,"suffix":""},{"dropping-particle":"","family":"Vaux","given":"Sophie","non-dropping-particle":"","parse-names":false,"suffix":""},{"dropping-particle":"","family":"Forestier","given":"Emmanuel","non-dropping-particle":"","parse-names":false,"suffix":""},{"dropping-particle":"","family":"Landelle","given":"Caroline","non-dropping-particle":"","parse-names":false,"suffix":""},{"dropping-particle":"","family":"Fougere","given":"Erica","non-dropping-particle":"","parse-names":false,"suffix":""},{"dropping-particle":"","family":"Thabuis","given":"Alexandra","non-dropping-particle":"","parse-names":false,"suffix":""},{"dropping-particle":"","family":"Berthelot","given":"Philippe","non-dropping-particle":"","parse-names":false,"suffix":""},{"dropping-particle":"","family":"Veil","given":"Raphael","non-dropping-particle":"","parse-names":false,"suffix":""},{"dropping-particle":"","family":"Levy-Bruhl","given":"Daniel","non-dropping-particle":"","parse-names":false,"suffix":""},{"dropping-particle":"","family":"Chidiac","given":"Christian","non-dropping-particle":"","parse-names":false,"suffix":""},{"dropping-particle":"","family":"Lina","given":"Bruno","non-dropping-particle":"","parse-names":false,"suffix":""},{"dropping-particle":"","family":"Coignard","given":"Bruno","non-dropping-particle":"","parse-names":false,"suffix":""},{"dropping-particle":"","family":"Saura","given":"Christine","non-dropping-particle":"","parse-names":false,"suffix":""},{"dropping-particle":"","family":"Team","given":"Investigation","non-dropping-particle":"","parse-names":false,"suffix":""}],"container-title":"Clinical Infectious Diseases","id":"ITEM-1","issue":"15","issued":{"date-parts":[["2020"]]},"page":"825-832","title":"Cluster of Coronavirus Disease 2019 (COVID-19) in the French Alps, February 2020","type":"article-journal","volume":"71"},"uris":["http://www.mendeley.com/documents/?uuid=02721fe3-1db3-481d-b7f9-3d6ecca2703f"]}],"mendeley":{"formattedCitation":"[5]","plainTextFormattedCitation":"[5]","previouslyFormattedCitation":"[5]"},"properties":{"noteIndex":0},"schema":"https://github.com/citation-style-language/schema/raw/master/csl-citation.json"}</w:instrText>
            </w:r>
            <w:r w:rsidR="00AE0B49">
              <w:rPr>
                <w:rFonts w:ascii="Calibri" w:eastAsia="Times New Roman" w:hAnsi="Calibri" w:cs="Calibri"/>
                <w:color w:val="000000"/>
                <w:sz w:val="18"/>
                <w:szCs w:val="18"/>
                <w:lang w:eastAsia="en-GB"/>
              </w:rPr>
              <w:fldChar w:fldCharType="separate"/>
            </w:r>
            <w:r w:rsidR="00B058AB" w:rsidRPr="00B058AB">
              <w:rPr>
                <w:rFonts w:ascii="Calibri" w:eastAsia="Times New Roman" w:hAnsi="Calibri" w:cs="Calibri"/>
                <w:noProof/>
                <w:color w:val="000000"/>
                <w:sz w:val="18"/>
                <w:szCs w:val="18"/>
                <w:lang w:eastAsia="en-GB"/>
              </w:rPr>
              <w:t>[5]</w:t>
            </w:r>
            <w:r w:rsidR="00AE0B49">
              <w:rPr>
                <w:rFonts w:ascii="Calibri" w:eastAsia="Times New Roman" w:hAnsi="Calibri" w:cs="Calibri"/>
                <w:color w:val="000000"/>
                <w:sz w:val="18"/>
                <w:szCs w:val="18"/>
                <w:lang w:eastAsia="en-GB"/>
              </w:rPr>
              <w:fldChar w:fldCharType="end"/>
            </w:r>
          </w:p>
        </w:tc>
        <w:tc>
          <w:tcPr>
            <w:tcW w:w="1608" w:type="dxa"/>
            <w:tcBorders>
              <w:top w:val="nil"/>
              <w:left w:val="nil"/>
              <w:bottom w:val="single" w:sz="8" w:space="0" w:color="auto"/>
              <w:right w:val="nil"/>
            </w:tcBorders>
            <w:shd w:val="clear" w:color="000000" w:fill="FFFFFF"/>
            <w:vAlign w:val="center"/>
            <w:hideMark/>
          </w:tcPr>
          <w:p w14:paraId="527287BC"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Not specified</w:t>
            </w:r>
          </w:p>
        </w:tc>
        <w:tc>
          <w:tcPr>
            <w:tcW w:w="1089" w:type="dxa"/>
            <w:tcBorders>
              <w:top w:val="nil"/>
              <w:left w:val="nil"/>
              <w:bottom w:val="single" w:sz="8" w:space="0" w:color="auto"/>
              <w:right w:val="nil"/>
            </w:tcBorders>
            <w:shd w:val="clear" w:color="000000" w:fill="FFFFFF"/>
            <w:vAlign w:val="center"/>
            <w:hideMark/>
          </w:tcPr>
          <w:p w14:paraId="0ECE1F27"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France</w:t>
            </w:r>
          </w:p>
        </w:tc>
        <w:tc>
          <w:tcPr>
            <w:tcW w:w="1276" w:type="dxa"/>
            <w:tcBorders>
              <w:top w:val="nil"/>
              <w:left w:val="nil"/>
              <w:bottom w:val="single" w:sz="8" w:space="0" w:color="auto"/>
              <w:right w:val="nil"/>
            </w:tcBorders>
            <w:shd w:val="clear" w:color="000000" w:fill="FFFFFF"/>
            <w:vAlign w:val="center"/>
            <w:hideMark/>
          </w:tcPr>
          <w:p w14:paraId="148DC535"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Outbreak investigation and contact tracing </w:t>
            </w:r>
          </w:p>
        </w:tc>
        <w:tc>
          <w:tcPr>
            <w:tcW w:w="3075" w:type="dxa"/>
            <w:tcBorders>
              <w:top w:val="nil"/>
              <w:left w:val="nil"/>
              <w:bottom w:val="single" w:sz="8" w:space="0" w:color="auto"/>
              <w:right w:val="nil"/>
            </w:tcBorders>
            <w:shd w:val="clear" w:color="000000" w:fill="FFFFFF"/>
            <w:vAlign w:val="center"/>
            <w:hideMark/>
          </w:tcPr>
          <w:p w14:paraId="1DD331E9"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All children and teachers who were in the same class as the symptomatic paediatric case </w:t>
            </w:r>
          </w:p>
        </w:tc>
        <w:tc>
          <w:tcPr>
            <w:tcW w:w="1170" w:type="dxa"/>
            <w:tcBorders>
              <w:top w:val="nil"/>
              <w:left w:val="nil"/>
              <w:bottom w:val="single" w:sz="8" w:space="0" w:color="auto"/>
              <w:right w:val="nil"/>
            </w:tcBorders>
            <w:shd w:val="clear" w:color="000000" w:fill="FFFFFF"/>
            <w:vAlign w:val="center"/>
            <w:hideMark/>
          </w:tcPr>
          <w:p w14:paraId="4A2E7F33"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symptomatic</w:t>
            </w:r>
          </w:p>
        </w:tc>
        <w:tc>
          <w:tcPr>
            <w:tcW w:w="1123" w:type="dxa"/>
            <w:tcBorders>
              <w:top w:val="nil"/>
              <w:left w:val="nil"/>
              <w:bottom w:val="single" w:sz="8" w:space="0" w:color="auto"/>
              <w:right w:val="nil"/>
            </w:tcBorders>
            <w:shd w:val="clear" w:color="000000" w:fill="FFFFFF"/>
            <w:vAlign w:val="center"/>
            <w:hideMark/>
          </w:tcPr>
          <w:p w14:paraId="74D2B345"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RT-PCR</w:t>
            </w:r>
          </w:p>
        </w:tc>
        <w:tc>
          <w:tcPr>
            <w:tcW w:w="850" w:type="dxa"/>
            <w:tcBorders>
              <w:top w:val="nil"/>
              <w:left w:val="nil"/>
              <w:bottom w:val="single" w:sz="8" w:space="0" w:color="auto"/>
              <w:right w:val="nil"/>
            </w:tcBorders>
            <w:shd w:val="clear" w:color="000000" w:fill="FFFFFF"/>
            <w:vAlign w:val="center"/>
            <w:hideMark/>
          </w:tcPr>
          <w:p w14:paraId="523465E9"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w:t>
            </w:r>
          </w:p>
        </w:tc>
        <w:tc>
          <w:tcPr>
            <w:tcW w:w="1134" w:type="dxa"/>
            <w:tcBorders>
              <w:top w:val="nil"/>
              <w:left w:val="nil"/>
              <w:bottom w:val="single" w:sz="8" w:space="0" w:color="auto"/>
              <w:right w:val="nil"/>
            </w:tcBorders>
            <w:shd w:val="clear" w:color="000000" w:fill="FFFFFF"/>
            <w:vAlign w:val="center"/>
            <w:hideMark/>
          </w:tcPr>
          <w:p w14:paraId="3F36819F"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112</w:t>
            </w:r>
          </w:p>
        </w:tc>
        <w:tc>
          <w:tcPr>
            <w:tcW w:w="866" w:type="dxa"/>
            <w:tcBorders>
              <w:top w:val="nil"/>
              <w:left w:val="nil"/>
              <w:bottom w:val="single" w:sz="8" w:space="0" w:color="auto"/>
              <w:right w:val="nil"/>
            </w:tcBorders>
            <w:shd w:val="clear" w:color="000000" w:fill="FFFFFF"/>
            <w:vAlign w:val="center"/>
            <w:hideMark/>
          </w:tcPr>
          <w:p w14:paraId="291792C5"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55</w:t>
            </w:r>
          </w:p>
        </w:tc>
        <w:tc>
          <w:tcPr>
            <w:tcW w:w="996" w:type="dxa"/>
            <w:tcBorders>
              <w:top w:val="nil"/>
              <w:left w:val="nil"/>
              <w:bottom w:val="single" w:sz="8" w:space="0" w:color="auto"/>
              <w:right w:val="nil"/>
            </w:tcBorders>
            <w:shd w:val="clear" w:color="000000" w:fill="FFFFFF"/>
            <w:vAlign w:val="center"/>
            <w:hideMark/>
          </w:tcPr>
          <w:p w14:paraId="08665986"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0</w:t>
            </w:r>
          </w:p>
        </w:tc>
      </w:tr>
      <w:tr w:rsidR="004E7F1D" w:rsidRPr="00410ABF" w14:paraId="6181EB2D" w14:textId="77777777" w:rsidTr="00410ABF">
        <w:trPr>
          <w:trHeight w:val="493"/>
        </w:trPr>
        <w:tc>
          <w:tcPr>
            <w:tcW w:w="1163" w:type="dxa"/>
            <w:tcBorders>
              <w:top w:val="nil"/>
              <w:left w:val="nil"/>
              <w:bottom w:val="single" w:sz="4" w:space="0" w:color="FFFFFF" w:themeColor="background1"/>
              <w:right w:val="nil"/>
            </w:tcBorders>
            <w:shd w:val="clear" w:color="000000" w:fill="FFFFFF"/>
            <w:vAlign w:val="center"/>
          </w:tcPr>
          <w:p w14:paraId="0D20E534" w14:textId="260E9027"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vMerge w:val="restart"/>
            <w:tcBorders>
              <w:top w:val="nil"/>
              <w:left w:val="nil"/>
              <w:bottom w:val="single" w:sz="8" w:space="0" w:color="000000"/>
              <w:right w:val="nil"/>
            </w:tcBorders>
            <w:shd w:val="clear" w:color="000000" w:fill="FFFFFF"/>
            <w:hideMark/>
          </w:tcPr>
          <w:p w14:paraId="645766B5" w14:textId="046614EF" w:rsidR="00410ABF" w:rsidRPr="00410ABF" w:rsidRDefault="00410ABF" w:rsidP="00F6420B">
            <w:pPr>
              <w:spacing w:after="0" w:line="240" w:lineRule="auto"/>
              <w:rPr>
                <w:rFonts w:ascii="Calibri" w:eastAsia="Times New Roman" w:hAnsi="Calibri" w:cs="Calibri"/>
                <w:color w:val="000000"/>
                <w:sz w:val="18"/>
                <w:szCs w:val="18"/>
                <w:lang w:eastAsia="en-GB"/>
              </w:rPr>
            </w:pPr>
            <w:proofErr w:type="spellStart"/>
            <w:r w:rsidRPr="00410ABF">
              <w:rPr>
                <w:rFonts w:ascii="Calibri" w:eastAsia="Times New Roman" w:hAnsi="Calibri" w:cs="Calibri"/>
                <w:color w:val="000000"/>
                <w:sz w:val="18"/>
                <w:szCs w:val="18"/>
                <w:lang w:eastAsia="en-GB"/>
              </w:rPr>
              <w:t>Fontanet</w:t>
            </w:r>
            <w:proofErr w:type="spellEnd"/>
            <w:r w:rsidRPr="00410ABF">
              <w:rPr>
                <w:rFonts w:ascii="Calibri" w:eastAsia="Times New Roman" w:hAnsi="Calibri" w:cs="Calibri"/>
                <w:color w:val="000000"/>
                <w:sz w:val="18"/>
                <w:szCs w:val="18"/>
                <w:lang w:eastAsia="en-GB"/>
              </w:rPr>
              <w:t xml:space="preserve"> at al*</w:t>
            </w:r>
            <w:r w:rsidR="00AE0B49">
              <w:rPr>
                <w:rFonts w:ascii="Calibri" w:eastAsia="Times New Roman" w:hAnsi="Calibri" w:cs="Calibri"/>
                <w:color w:val="000000"/>
                <w:sz w:val="18"/>
                <w:szCs w:val="18"/>
                <w:lang w:eastAsia="en-GB"/>
              </w:rPr>
              <w:t xml:space="preserve"> </w:t>
            </w:r>
            <w:r w:rsidR="00AE0B49">
              <w:rPr>
                <w:rFonts w:ascii="Calibri" w:eastAsia="Times New Roman" w:hAnsi="Calibri" w:cs="Calibri"/>
                <w:color w:val="000000"/>
                <w:sz w:val="18"/>
                <w:szCs w:val="18"/>
                <w:lang w:eastAsia="en-GB"/>
              </w:rPr>
              <w:fldChar w:fldCharType="begin" w:fldLock="1"/>
            </w:r>
            <w:r w:rsidR="0004151B">
              <w:rPr>
                <w:rFonts w:ascii="Calibri" w:eastAsia="Times New Roman" w:hAnsi="Calibri" w:cs="Calibri"/>
                <w:color w:val="000000"/>
                <w:sz w:val="18"/>
                <w:szCs w:val="18"/>
                <w:lang w:eastAsia="en-GB"/>
              </w:rPr>
              <w:instrText>ADDIN CSL_CITATION {"citationItems":[{"id":"ITEM-1","itemData":{"DOI":"10.1101/2020.06.25.20140178","abstract":"Background: The extent of SARS-CoV-2 transmission among pupils in primary schools and their families is unknown. Methods: Between 28-30 April 2020, a retrospective cohort study was conducted among pupils, their parents and relatives, and staff of primary schools exposed to SARS-CoV-2 in February and March 2020 in a city north of Paris, France. Participants completed a questionnaire that covered sociodemographic information and history of recent symptoms. A blood sample was tested for the presence of anti-SARS-CoV-2 antibodies using a flow-cytometry-based assay. Results: The infection attack rate (IAR) was 45/510 (8.8%), 3/42 (7.1%), 1/28 (3.6%), 76/641 (11.9%) and 14/119 (11.8%) among primary school pupils, teachers, non-teaching staff, parents, and relatives, respectively (P = 0.29). Prior to school closure on February 14, three SARS-CoV-2 infected pupils attended three separate schools with no secondary cases in the following 14 days among pupils, teachers and non-teaching staff of the same schools. Familial clustering of cases was documented by the high proportion of antibodies among parents and relatives of infected pupils (36/59 = 61.0% and 4/9 = 44.4%, respectively). In children, disease manifestations were mild, and 24/58 (41.4%) of infected children were asymptomatic. Interpretation: In young children, SARS-CoV-2 infection was largely mild or asymptomatic and there was no evidence of onwards transmission from children in the school setting.Competing Interest StatementThe authors have declared no competing interest.Clinical TrialNCT04325646Funding StatementInstitut Pasteur, Labex IBEID (ANR-10-LABX-62-IBEID), INCEPTION project (PIA/ANR-16-CONV-0005).Author DeclarationsI confirm all relevant ethical guidelines have been followed, and any necessary IRB and/or ethics committee approvals have been obtained.YesThe details of the IRB/oversight body that provided approval or exemption for the research described are given below:IRB: Comite de Protection des Personnes Ile de France IIIAll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author":[{"dropping-particle":"","family":"Fontanet","given":"Arnaud","non-dropping-particle":"","parse-names":false,"suffix":""},{"dropping-particle":"","family":"Grant","given":"Rebecca","non-dropping-particle":"","parse-names":false,"suffix":""},{"dropping-particle":"","family":"Tondeur","given":"Laura","non-dropping-particle":"","parse-names":false,"suffix":""},{"dropping-particle":"","family":"Madec","given":"Yoann","non-dropping-particle":"","parse-names":false,"suffix":""},{"dropping-particle":"","family":"Grzelak","given":"Ludivine","non-dropping-particle":"","parse-names":false,"suffix":""},{"dropping-particle":"","family":"Cailleau","given":"Isabelle","non-dropping-particle":"","parse-names":false,"suffix":""},{"dropping-particle":"","family":"Ungeheuer","given":"Marie-Noelle","non-dropping-particle":"","parse-names":false,"suffix":""},{"dropping-particle":"","family":"Renaudat","given":"Charlotte","non-dropping-particle":"","parse-names":false,"suffix":""},{"dropping-particle":"","family":"Fernandes Pellerin","given":"Sandrine","non-dropping-particle":"","parse-names":false,"suffix":""},{"dropping-particle":"","family":"Kuhmel","given":"Lucie","non-dropping-particle":"","parse-names":false,"suffix":""},{"dropping-particle":"","family":"Staropoli","given":"Isabelle","non-dropping-particle":"","parse-names":false,"suffix":""},{"dropping-particle":"","family":"Anna","given":"Francois","non-dropping-particle":"","parse-names":false,"suffix":""},{"dropping-particle":"","family":"Charneau","given":"Pierre","non-dropping-particle":"","parse-names":false,"suffix":""},{"dropping-particle":"","family":"Demeret","given":"Caroline","non-dropping-particle":"","parse-names":false,"suffix":""},{"dropping-particle":"","family":"Bruel","given":"Timothee","non-dropping-particle":"","parse-names":false,"suffix":""},{"dropping-particle":"","family":"Schwartz","given":"Olivier","non-dropping-particle":"","parse-names":false,"suffix":""},{"dropping-particle":"","family":"Hoen","given":"Bruno","non-dropping-particle":"","parse-names":false,"suffix":""}],"container-title":"medRxiv","id":"ITEM-1","issued":{"date-parts":[["2020"]]},"page":"2020.06.25.20140178","title":"SARS-CoV-2 infection in primary schools in northern France: A retrospective cohort study in an area of high transmission","type":"article-journal"},"uris":["http://www.mendeley.com/documents/?uuid=c447d001-b2e5-42b6-97fc-34a96515f516"]}],"mendeley":{"formattedCitation":"[7]","plainTextFormattedCitation":"[7]","previouslyFormattedCitation":"[7]"},"properties":{"noteIndex":0},"schema":"https://github.com/citation-style-language/schema/raw/master/csl-citation.json"}</w:instrText>
            </w:r>
            <w:r w:rsidR="00AE0B49">
              <w:rPr>
                <w:rFonts w:ascii="Calibri" w:eastAsia="Times New Roman" w:hAnsi="Calibri" w:cs="Calibri"/>
                <w:color w:val="000000"/>
                <w:sz w:val="18"/>
                <w:szCs w:val="18"/>
                <w:lang w:eastAsia="en-GB"/>
              </w:rPr>
              <w:fldChar w:fldCharType="separate"/>
            </w:r>
            <w:r w:rsidR="00B058AB" w:rsidRPr="00B058AB">
              <w:rPr>
                <w:rFonts w:ascii="Calibri" w:eastAsia="Times New Roman" w:hAnsi="Calibri" w:cs="Calibri"/>
                <w:noProof/>
                <w:color w:val="000000"/>
                <w:sz w:val="18"/>
                <w:szCs w:val="18"/>
                <w:lang w:eastAsia="en-GB"/>
              </w:rPr>
              <w:t>[7]</w:t>
            </w:r>
            <w:r w:rsidR="00AE0B49">
              <w:rPr>
                <w:rFonts w:ascii="Calibri" w:eastAsia="Times New Roman" w:hAnsi="Calibri" w:cs="Calibri"/>
                <w:color w:val="000000"/>
                <w:sz w:val="18"/>
                <w:szCs w:val="18"/>
                <w:lang w:eastAsia="en-GB"/>
              </w:rPr>
              <w:fldChar w:fldCharType="end"/>
            </w:r>
          </w:p>
        </w:tc>
        <w:tc>
          <w:tcPr>
            <w:tcW w:w="1608" w:type="dxa"/>
            <w:vMerge w:val="restart"/>
            <w:tcBorders>
              <w:top w:val="nil"/>
              <w:left w:val="nil"/>
              <w:bottom w:val="single" w:sz="8" w:space="0" w:color="000000"/>
              <w:right w:val="nil"/>
            </w:tcBorders>
            <w:shd w:val="clear" w:color="000000" w:fill="FFFFFF"/>
            <w:hideMark/>
          </w:tcPr>
          <w:p w14:paraId="080C1FA6" w14:textId="77777777" w:rsidR="00410ABF" w:rsidRPr="00410ABF" w:rsidRDefault="00410ABF" w:rsidP="00F6420B">
            <w:pPr>
              <w:spacing w:after="0" w:line="240" w:lineRule="auto"/>
              <w:rPr>
                <w:rFonts w:ascii="Calibri" w:eastAsia="Times New Roman" w:hAnsi="Calibri" w:cs="Calibri"/>
                <w:color w:val="000000"/>
                <w:sz w:val="18"/>
                <w:szCs w:val="18"/>
                <w:lang w:eastAsia="en-GB"/>
              </w:rPr>
            </w:pPr>
            <w:proofErr w:type="spellStart"/>
            <w:r w:rsidRPr="00410ABF">
              <w:rPr>
                <w:rFonts w:ascii="Calibri" w:eastAsia="Times New Roman" w:hAnsi="Calibri" w:cs="Calibri"/>
                <w:color w:val="000000"/>
                <w:sz w:val="18"/>
                <w:szCs w:val="18"/>
                <w:lang w:eastAsia="en-GB"/>
              </w:rPr>
              <w:t>Crepy</w:t>
            </w:r>
            <w:proofErr w:type="spellEnd"/>
            <w:r w:rsidRPr="00410ABF">
              <w:rPr>
                <w:rFonts w:ascii="Calibri" w:eastAsia="Times New Roman" w:hAnsi="Calibri" w:cs="Calibri"/>
                <w:color w:val="000000"/>
                <w:sz w:val="18"/>
                <w:szCs w:val="18"/>
                <w:lang w:eastAsia="en-GB"/>
              </w:rPr>
              <w:t>-</w:t>
            </w:r>
            <w:proofErr w:type="spellStart"/>
            <w:r w:rsidRPr="00410ABF">
              <w:rPr>
                <w:rFonts w:ascii="Calibri" w:eastAsia="Times New Roman" w:hAnsi="Calibri" w:cs="Calibri"/>
                <w:color w:val="000000"/>
                <w:sz w:val="18"/>
                <w:szCs w:val="18"/>
                <w:lang w:eastAsia="en-GB"/>
              </w:rPr>
              <w:t>en</w:t>
            </w:r>
            <w:proofErr w:type="spellEnd"/>
            <w:r w:rsidRPr="00410ABF">
              <w:rPr>
                <w:rFonts w:ascii="Calibri" w:eastAsia="Times New Roman" w:hAnsi="Calibri" w:cs="Calibri"/>
                <w:color w:val="000000"/>
                <w:sz w:val="18"/>
                <w:szCs w:val="18"/>
                <w:lang w:eastAsia="en-GB"/>
              </w:rPr>
              <w:t>-Valois</w:t>
            </w:r>
          </w:p>
        </w:tc>
        <w:tc>
          <w:tcPr>
            <w:tcW w:w="1089" w:type="dxa"/>
            <w:vMerge w:val="restart"/>
            <w:tcBorders>
              <w:top w:val="nil"/>
              <w:left w:val="nil"/>
              <w:bottom w:val="single" w:sz="8" w:space="0" w:color="000000"/>
              <w:right w:val="nil"/>
            </w:tcBorders>
            <w:shd w:val="clear" w:color="000000" w:fill="FFFFFF"/>
            <w:hideMark/>
          </w:tcPr>
          <w:p w14:paraId="5426DA60" w14:textId="77777777" w:rsidR="00410ABF" w:rsidRPr="00410ABF" w:rsidRDefault="00410ABF" w:rsidP="00F6420B">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France</w:t>
            </w:r>
          </w:p>
        </w:tc>
        <w:tc>
          <w:tcPr>
            <w:tcW w:w="1276" w:type="dxa"/>
            <w:vMerge w:val="restart"/>
            <w:tcBorders>
              <w:top w:val="nil"/>
              <w:left w:val="nil"/>
              <w:bottom w:val="single" w:sz="8" w:space="0" w:color="000000"/>
              <w:right w:val="nil"/>
            </w:tcBorders>
            <w:shd w:val="clear" w:color="000000" w:fill="FFFFFF"/>
            <w:hideMark/>
          </w:tcPr>
          <w:p w14:paraId="7194821E" w14:textId="77777777" w:rsidR="00410ABF" w:rsidRPr="00410ABF" w:rsidRDefault="00410ABF" w:rsidP="00F6420B">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Retrospective serosurvey </w:t>
            </w:r>
          </w:p>
        </w:tc>
        <w:tc>
          <w:tcPr>
            <w:tcW w:w="3075" w:type="dxa"/>
            <w:tcBorders>
              <w:top w:val="nil"/>
              <w:left w:val="nil"/>
              <w:bottom w:val="single" w:sz="8" w:space="0" w:color="auto"/>
              <w:right w:val="nil"/>
            </w:tcBorders>
            <w:shd w:val="clear" w:color="auto" w:fill="auto"/>
            <w:vAlign w:val="center"/>
            <w:hideMark/>
          </w:tcPr>
          <w:p w14:paraId="6950B2A8"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Students </w:t>
            </w:r>
            <w:proofErr w:type="gramStart"/>
            <w:r w:rsidRPr="00410ABF">
              <w:rPr>
                <w:rFonts w:ascii="Calibri" w:eastAsia="Times New Roman" w:hAnsi="Calibri" w:cs="Calibri"/>
                <w:color w:val="000000"/>
                <w:sz w:val="18"/>
                <w:szCs w:val="18"/>
                <w:lang w:eastAsia="en-GB"/>
              </w:rPr>
              <w:t>of</w:t>
            </w:r>
            <w:proofErr w:type="gramEnd"/>
            <w:r w:rsidRPr="00410ABF">
              <w:rPr>
                <w:rFonts w:ascii="Calibri" w:eastAsia="Times New Roman" w:hAnsi="Calibri" w:cs="Calibri"/>
                <w:color w:val="000000"/>
                <w:sz w:val="18"/>
                <w:szCs w:val="18"/>
                <w:lang w:eastAsia="en-GB"/>
              </w:rPr>
              <w:t xml:space="preserve"> primary schools in </w:t>
            </w:r>
            <w:proofErr w:type="spellStart"/>
            <w:r w:rsidRPr="00410ABF">
              <w:rPr>
                <w:rFonts w:ascii="Calibri" w:eastAsia="Times New Roman" w:hAnsi="Calibri" w:cs="Calibri"/>
                <w:color w:val="000000"/>
                <w:sz w:val="18"/>
                <w:szCs w:val="18"/>
                <w:lang w:eastAsia="en-GB"/>
              </w:rPr>
              <w:t>Crépy</w:t>
            </w:r>
            <w:proofErr w:type="spellEnd"/>
            <w:r w:rsidRPr="00410ABF">
              <w:rPr>
                <w:rFonts w:ascii="Calibri" w:eastAsia="Times New Roman" w:hAnsi="Calibri" w:cs="Calibri"/>
                <w:color w:val="000000"/>
                <w:sz w:val="18"/>
                <w:szCs w:val="18"/>
                <w:lang w:eastAsia="en-GB"/>
              </w:rPr>
              <w:t>-</w:t>
            </w:r>
            <w:proofErr w:type="spellStart"/>
            <w:r w:rsidRPr="00410ABF">
              <w:rPr>
                <w:rFonts w:ascii="Calibri" w:eastAsia="Times New Roman" w:hAnsi="Calibri" w:cs="Calibri"/>
                <w:color w:val="000000"/>
                <w:sz w:val="18"/>
                <w:szCs w:val="18"/>
                <w:lang w:eastAsia="en-GB"/>
              </w:rPr>
              <w:t>en</w:t>
            </w:r>
            <w:proofErr w:type="spellEnd"/>
            <w:r w:rsidRPr="00410ABF">
              <w:rPr>
                <w:rFonts w:ascii="Calibri" w:eastAsia="Times New Roman" w:hAnsi="Calibri" w:cs="Calibri"/>
                <w:color w:val="000000"/>
                <w:sz w:val="18"/>
                <w:szCs w:val="18"/>
                <w:lang w:eastAsia="en-GB"/>
              </w:rPr>
              <w:t>-Valois</w:t>
            </w:r>
          </w:p>
        </w:tc>
        <w:tc>
          <w:tcPr>
            <w:tcW w:w="1170" w:type="dxa"/>
            <w:tcBorders>
              <w:top w:val="nil"/>
              <w:left w:val="nil"/>
              <w:bottom w:val="single" w:sz="8" w:space="0" w:color="auto"/>
              <w:right w:val="nil"/>
            </w:tcBorders>
            <w:shd w:val="clear" w:color="000000" w:fill="FFFFFF"/>
            <w:vAlign w:val="center"/>
            <w:hideMark/>
          </w:tcPr>
          <w:p w14:paraId="57E2B750"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all</w:t>
            </w:r>
          </w:p>
        </w:tc>
        <w:tc>
          <w:tcPr>
            <w:tcW w:w="1123" w:type="dxa"/>
            <w:tcBorders>
              <w:top w:val="nil"/>
              <w:left w:val="nil"/>
              <w:bottom w:val="single" w:sz="8" w:space="0" w:color="auto"/>
              <w:right w:val="nil"/>
            </w:tcBorders>
            <w:shd w:val="clear" w:color="000000" w:fill="FFFFFF"/>
            <w:vAlign w:val="center"/>
            <w:hideMark/>
          </w:tcPr>
          <w:p w14:paraId="2F9F6190"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serology</w:t>
            </w:r>
          </w:p>
        </w:tc>
        <w:tc>
          <w:tcPr>
            <w:tcW w:w="850" w:type="dxa"/>
            <w:tcBorders>
              <w:top w:val="nil"/>
              <w:left w:val="nil"/>
              <w:bottom w:val="single" w:sz="8" w:space="0" w:color="auto"/>
              <w:right w:val="nil"/>
            </w:tcBorders>
            <w:shd w:val="clear" w:color="000000" w:fill="FFFFFF"/>
            <w:vAlign w:val="center"/>
            <w:hideMark/>
          </w:tcPr>
          <w:p w14:paraId="106EA190"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1134" w:type="dxa"/>
            <w:tcBorders>
              <w:top w:val="nil"/>
              <w:left w:val="nil"/>
              <w:bottom w:val="single" w:sz="8" w:space="0" w:color="auto"/>
              <w:right w:val="nil"/>
            </w:tcBorders>
            <w:shd w:val="clear" w:color="000000" w:fill="FFFFFF"/>
            <w:vAlign w:val="center"/>
            <w:hideMark/>
          </w:tcPr>
          <w:p w14:paraId="7F38D964"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866" w:type="dxa"/>
            <w:tcBorders>
              <w:top w:val="nil"/>
              <w:left w:val="nil"/>
              <w:bottom w:val="single" w:sz="8" w:space="0" w:color="auto"/>
              <w:right w:val="nil"/>
            </w:tcBorders>
            <w:shd w:val="clear" w:color="000000" w:fill="FFFFFF"/>
            <w:vAlign w:val="center"/>
            <w:hideMark/>
          </w:tcPr>
          <w:p w14:paraId="42F8C77D"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510</w:t>
            </w:r>
          </w:p>
        </w:tc>
        <w:tc>
          <w:tcPr>
            <w:tcW w:w="996" w:type="dxa"/>
            <w:tcBorders>
              <w:top w:val="nil"/>
              <w:left w:val="nil"/>
              <w:bottom w:val="single" w:sz="8" w:space="0" w:color="auto"/>
              <w:right w:val="nil"/>
            </w:tcBorders>
            <w:shd w:val="clear" w:color="000000" w:fill="FFFFFF"/>
            <w:vAlign w:val="center"/>
            <w:hideMark/>
          </w:tcPr>
          <w:p w14:paraId="5D09F17B"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43</w:t>
            </w:r>
          </w:p>
        </w:tc>
      </w:tr>
      <w:tr w:rsidR="000F13C3" w:rsidRPr="00410ABF" w14:paraId="443D9B47" w14:textId="77777777" w:rsidTr="00410ABF">
        <w:trPr>
          <w:trHeight w:val="403"/>
        </w:trPr>
        <w:tc>
          <w:tcPr>
            <w:tcW w:w="1163" w:type="dxa"/>
            <w:tcBorders>
              <w:top w:val="single" w:sz="4" w:space="0" w:color="FFFFFF" w:themeColor="background1"/>
              <w:left w:val="nil"/>
              <w:bottom w:val="single" w:sz="4" w:space="0" w:color="FFFFFF" w:themeColor="background1"/>
              <w:right w:val="nil"/>
            </w:tcBorders>
            <w:vAlign w:val="center"/>
          </w:tcPr>
          <w:p w14:paraId="6B433EAF" w14:textId="77777777"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vMerge/>
            <w:tcBorders>
              <w:top w:val="nil"/>
              <w:left w:val="nil"/>
              <w:bottom w:val="single" w:sz="8" w:space="0" w:color="000000"/>
              <w:right w:val="nil"/>
            </w:tcBorders>
            <w:vAlign w:val="center"/>
            <w:hideMark/>
          </w:tcPr>
          <w:p w14:paraId="502801FA" w14:textId="7FE0B9C2"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608" w:type="dxa"/>
            <w:vMerge/>
            <w:tcBorders>
              <w:top w:val="nil"/>
              <w:left w:val="nil"/>
              <w:bottom w:val="single" w:sz="8" w:space="0" w:color="000000"/>
              <w:right w:val="nil"/>
            </w:tcBorders>
            <w:vAlign w:val="center"/>
            <w:hideMark/>
          </w:tcPr>
          <w:p w14:paraId="29E0AB7D"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089" w:type="dxa"/>
            <w:vMerge/>
            <w:tcBorders>
              <w:top w:val="nil"/>
              <w:left w:val="nil"/>
              <w:bottom w:val="single" w:sz="8" w:space="0" w:color="000000"/>
              <w:right w:val="nil"/>
            </w:tcBorders>
            <w:vAlign w:val="center"/>
            <w:hideMark/>
          </w:tcPr>
          <w:p w14:paraId="2B1FA1D2"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276" w:type="dxa"/>
            <w:vMerge/>
            <w:tcBorders>
              <w:top w:val="nil"/>
              <w:left w:val="nil"/>
              <w:bottom w:val="single" w:sz="8" w:space="0" w:color="000000"/>
              <w:right w:val="nil"/>
            </w:tcBorders>
            <w:vAlign w:val="center"/>
            <w:hideMark/>
          </w:tcPr>
          <w:p w14:paraId="778FACBC"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3075" w:type="dxa"/>
            <w:tcBorders>
              <w:top w:val="nil"/>
              <w:left w:val="nil"/>
              <w:bottom w:val="single" w:sz="8" w:space="0" w:color="auto"/>
              <w:right w:val="nil"/>
            </w:tcBorders>
            <w:shd w:val="clear" w:color="auto" w:fill="auto"/>
            <w:vAlign w:val="center"/>
            <w:hideMark/>
          </w:tcPr>
          <w:p w14:paraId="5DE29205"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Teachers </w:t>
            </w:r>
            <w:proofErr w:type="gramStart"/>
            <w:r w:rsidRPr="00410ABF">
              <w:rPr>
                <w:rFonts w:ascii="Calibri" w:eastAsia="Times New Roman" w:hAnsi="Calibri" w:cs="Calibri"/>
                <w:color w:val="000000"/>
                <w:sz w:val="18"/>
                <w:szCs w:val="18"/>
                <w:lang w:eastAsia="en-GB"/>
              </w:rPr>
              <w:t>of</w:t>
            </w:r>
            <w:proofErr w:type="gramEnd"/>
            <w:r w:rsidRPr="00410ABF">
              <w:rPr>
                <w:rFonts w:ascii="Calibri" w:eastAsia="Times New Roman" w:hAnsi="Calibri" w:cs="Calibri"/>
                <w:color w:val="000000"/>
                <w:sz w:val="18"/>
                <w:szCs w:val="18"/>
                <w:lang w:eastAsia="en-GB"/>
              </w:rPr>
              <w:t xml:space="preserve"> primary schools in </w:t>
            </w:r>
            <w:proofErr w:type="spellStart"/>
            <w:r w:rsidRPr="00410ABF">
              <w:rPr>
                <w:rFonts w:ascii="Calibri" w:eastAsia="Times New Roman" w:hAnsi="Calibri" w:cs="Calibri"/>
                <w:color w:val="000000"/>
                <w:sz w:val="18"/>
                <w:szCs w:val="18"/>
                <w:lang w:eastAsia="en-GB"/>
              </w:rPr>
              <w:t>Crépy</w:t>
            </w:r>
            <w:proofErr w:type="spellEnd"/>
            <w:r w:rsidRPr="00410ABF">
              <w:rPr>
                <w:rFonts w:ascii="Calibri" w:eastAsia="Times New Roman" w:hAnsi="Calibri" w:cs="Calibri"/>
                <w:color w:val="000000"/>
                <w:sz w:val="18"/>
                <w:szCs w:val="18"/>
                <w:lang w:eastAsia="en-GB"/>
              </w:rPr>
              <w:t>-</w:t>
            </w:r>
            <w:proofErr w:type="spellStart"/>
            <w:r w:rsidRPr="00410ABF">
              <w:rPr>
                <w:rFonts w:ascii="Calibri" w:eastAsia="Times New Roman" w:hAnsi="Calibri" w:cs="Calibri"/>
                <w:color w:val="000000"/>
                <w:sz w:val="18"/>
                <w:szCs w:val="18"/>
                <w:lang w:eastAsia="en-GB"/>
              </w:rPr>
              <w:t>en</w:t>
            </w:r>
            <w:proofErr w:type="spellEnd"/>
            <w:r w:rsidRPr="00410ABF">
              <w:rPr>
                <w:rFonts w:ascii="Calibri" w:eastAsia="Times New Roman" w:hAnsi="Calibri" w:cs="Calibri"/>
                <w:color w:val="000000"/>
                <w:sz w:val="18"/>
                <w:szCs w:val="18"/>
                <w:lang w:eastAsia="en-GB"/>
              </w:rPr>
              <w:t>-Valois</w:t>
            </w:r>
          </w:p>
        </w:tc>
        <w:tc>
          <w:tcPr>
            <w:tcW w:w="1170" w:type="dxa"/>
            <w:tcBorders>
              <w:top w:val="nil"/>
              <w:left w:val="nil"/>
              <w:bottom w:val="single" w:sz="8" w:space="0" w:color="auto"/>
              <w:right w:val="nil"/>
            </w:tcBorders>
            <w:shd w:val="clear" w:color="000000" w:fill="FFFFFF"/>
            <w:vAlign w:val="center"/>
            <w:hideMark/>
          </w:tcPr>
          <w:p w14:paraId="5808AF0B"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all</w:t>
            </w:r>
          </w:p>
        </w:tc>
        <w:tc>
          <w:tcPr>
            <w:tcW w:w="1123" w:type="dxa"/>
            <w:tcBorders>
              <w:top w:val="nil"/>
              <w:left w:val="nil"/>
              <w:bottom w:val="single" w:sz="8" w:space="0" w:color="auto"/>
              <w:right w:val="nil"/>
            </w:tcBorders>
            <w:shd w:val="clear" w:color="000000" w:fill="FFFFFF"/>
            <w:vAlign w:val="center"/>
            <w:hideMark/>
          </w:tcPr>
          <w:p w14:paraId="6030220B"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serology</w:t>
            </w:r>
          </w:p>
        </w:tc>
        <w:tc>
          <w:tcPr>
            <w:tcW w:w="850" w:type="dxa"/>
            <w:tcBorders>
              <w:top w:val="nil"/>
              <w:left w:val="nil"/>
              <w:bottom w:val="single" w:sz="8" w:space="0" w:color="auto"/>
              <w:right w:val="nil"/>
            </w:tcBorders>
            <w:shd w:val="clear" w:color="000000" w:fill="FFFFFF"/>
            <w:vAlign w:val="center"/>
            <w:hideMark/>
          </w:tcPr>
          <w:p w14:paraId="3196F329"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1134" w:type="dxa"/>
            <w:tcBorders>
              <w:top w:val="nil"/>
              <w:left w:val="nil"/>
              <w:bottom w:val="single" w:sz="8" w:space="0" w:color="auto"/>
              <w:right w:val="nil"/>
            </w:tcBorders>
            <w:shd w:val="clear" w:color="000000" w:fill="FFFFFF"/>
            <w:vAlign w:val="center"/>
            <w:hideMark/>
          </w:tcPr>
          <w:p w14:paraId="06FB4CB5"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866" w:type="dxa"/>
            <w:tcBorders>
              <w:top w:val="nil"/>
              <w:left w:val="nil"/>
              <w:bottom w:val="single" w:sz="8" w:space="0" w:color="auto"/>
              <w:right w:val="nil"/>
            </w:tcBorders>
            <w:shd w:val="clear" w:color="000000" w:fill="FFFFFF"/>
            <w:vAlign w:val="center"/>
            <w:hideMark/>
          </w:tcPr>
          <w:p w14:paraId="71BA62F0"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42</w:t>
            </w:r>
          </w:p>
        </w:tc>
        <w:tc>
          <w:tcPr>
            <w:tcW w:w="996" w:type="dxa"/>
            <w:tcBorders>
              <w:top w:val="nil"/>
              <w:left w:val="nil"/>
              <w:bottom w:val="single" w:sz="8" w:space="0" w:color="auto"/>
              <w:right w:val="nil"/>
            </w:tcBorders>
            <w:shd w:val="clear" w:color="000000" w:fill="FFFFFF"/>
            <w:vAlign w:val="center"/>
            <w:hideMark/>
          </w:tcPr>
          <w:p w14:paraId="16729151"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3</w:t>
            </w:r>
          </w:p>
        </w:tc>
      </w:tr>
      <w:tr w:rsidR="000F13C3" w:rsidRPr="00410ABF" w14:paraId="07A8B254" w14:textId="77777777" w:rsidTr="00410ABF">
        <w:trPr>
          <w:trHeight w:val="469"/>
        </w:trPr>
        <w:tc>
          <w:tcPr>
            <w:tcW w:w="1163" w:type="dxa"/>
            <w:tcBorders>
              <w:top w:val="single" w:sz="4" w:space="0" w:color="FFFFFF" w:themeColor="background1"/>
              <w:left w:val="nil"/>
              <w:bottom w:val="single" w:sz="8" w:space="0" w:color="000000"/>
              <w:right w:val="nil"/>
            </w:tcBorders>
            <w:vAlign w:val="center"/>
          </w:tcPr>
          <w:p w14:paraId="37069B91" w14:textId="77777777"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vMerge/>
            <w:tcBorders>
              <w:top w:val="nil"/>
              <w:left w:val="nil"/>
              <w:bottom w:val="single" w:sz="8" w:space="0" w:color="000000"/>
              <w:right w:val="nil"/>
            </w:tcBorders>
            <w:vAlign w:val="center"/>
            <w:hideMark/>
          </w:tcPr>
          <w:p w14:paraId="0A7ADE3E" w14:textId="1D6B436E"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608" w:type="dxa"/>
            <w:vMerge/>
            <w:tcBorders>
              <w:top w:val="nil"/>
              <w:left w:val="nil"/>
              <w:bottom w:val="single" w:sz="8" w:space="0" w:color="000000"/>
              <w:right w:val="nil"/>
            </w:tcBorders>
            <w:vAlign w:val="center"/>
            <w:hideMark/>
          </w:tcPr>
          <w:p w14:paraId="26ACB622"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089" w:type="dxa"/>
            <w:vMerge/>
            <w:tcBorders>
              <w:top w:val="nil"/>
              <w:left w:val="nil"/>
              <w:bottom w:val="single" w:sz="8" w:space="0" w:color="000000"/>
              <w:right w:val="nil"/>
            </w:tcBorders>
            <w:vAlign w:val="center"/>
            <w:hideMark/>
          </w:tcPr>
          <w:p w14:paraId="4AD40660"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276" w:type="dxa"/>
            <w:vMerge/>
            <w:tcBorders>
              <w:top w:val="nil"/>
              <w:left w:val="nil"/>
              <w:bottom w:val="single" w:sz="8" w:space="0" w:color="000000"/>
              <w:right w:val="nil"/>
            </w:tcBorders>
            <w:vAlign w:val="center"/>
            <w:hideMark/>
          </w:tcPr>
          <w:p w14:paraId="43056A6A"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3075" w:type="dxa"/>
            <w:tcBorders>
              <w:top w:val="nil"/>
              <w:left w:val="nil"/>
              <w:bottom w:val="single" w:sz="8" w:space="0" w:color="auto"/>
              <w:right w:val="nil"/>
            </w:tcBorders>
            <w:shd w:val="clear" w:color="auto" w:fill="auto"/>
            <w:vAlign w:val="center"/>
            <w:hideMark/>
          </w:tcPr>
          <w:p w14:paraId="41D040AB"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Staff of primary schools in </w:t>
            </w:r>
            <w:proofErr w:type="spellStart"/>
            <w:r w:rsidRPr="00410ABF">
              <w:rPr>
                <w:rFonts w:ascii="Calibri" w:eastAsia="Times New Roman" w:hAnsi="Calibri" w:cs="Calibri"/>
                <w:color w:val="000000"/>
                <w:sz w:val="18"/>
                <w:szCs w:val="18"/>
                <w:lang w:eastAsia="en-GB"/>
              </w:rPr>
              <w:t>Crépy</w:t>
            </w:r>
            <w:proofErr w:type="spellEnd"/>
            <w:r w:rsidRPr="00410ABF">
              <w:rPr>
                <w:rFonts w:ascii="Calibri" w:eastAsia="Times New Roman" w:hAnsi="Calibri" w:cs="Calibri"/>
                <w:color w:val="000000"/>
                <w:sz w:val="18"/>
                <w:szCs w:val="18"/>
                <w:lang w:eastAsia="en-GB"/>
              </w:rPr>
              <w:t>-</w:t>
            </w:r>
            <w:proofErr w:type="spellStart"/>
            <w:r w:rsidRPr="00410ABF">
              <w:rPr>
                <w:rFonts w:ascii="Calibri" w:eastAsia="Times New Roman" w:hAnsi="Calibri" w:cs="Calibri"/>
                <w:color w:val="000000"/>
                <w:sz w:val="18"/>
                <w:szCs w:val="18"/>
                <w:lang w:eastAsia="en-GB"/>
              </w:rPr>
              <w:t>en</w:t>
            </w:r>
            <w:proofErr w:type="spellEnd"/>
            <w:r w:rsidRPr="00410ABF">
              <w:rPr>
                <w:rFonts w:ascii="Calibri" w:eastAsia="Times New Roman" w:hAnsi="Calibri" w:cs="Calibri"/>
                <w:color w:val="000000"/>
                <w:sz w:val="18"/>
                <w:szCs w:val="18"/>
                <w:lang w:eastAsia="en-GB"/>
              </w:rPr>
              <w:t>-Valois</w:t>
            </w:r>
          </w:p>
        </w:tc>
        <w:tc>
          <w:tcPr>
            <w:tcW w:w="1170" w:type="dxa"/>
            <w:tcBorders>
              <w:top w:val="nil"/>
              <w:left w:val="nil"/>
              <w:bottom w:val="single" w:sz="8" w:space="0" w:color="auto"/>
              <w:right w:val="nil"/>
            </w:tcBorders>
            <w:shd w:val="clear" w:color="000000" w:fill="FFFFFF"/>
            <w:vAlign w:val="center"/>
            <w:hideMark/>
          </w:tcPr>
          <w:p w14:paraId="6D4DC9FE"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all</w:t>
            </w:r>
          </w:p>
        </w:tc>
        <w:tc>
          <w:tcPr>
            <w:tcW w:w="1123" w:type="dxa"/>
            <w:tcBorders>
              <w:top w:val="nil"/>
              <w:left w:val="nil"/>
              <w:bottom w:val="single" w:sz="8" w:space="0" w:color="auto"/>
              <w:right w:val="nil"/>
            </w:tcBorders>
            <w:shd w:val="clear" w:color="000000" w:fill="FFFFFF"/>
            <w:vAlign w:val="center"/>
            <w:hideMark/>
          </w:tcPr>
          <w:p w14:paraId="5C4B085D"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serology</w:t>
            </w:r>
          </w:p>
        </w:tc>
        <w:tc>
          <w:tcPr>
            <w:tcW w:w="850" w:type="dxa"/>
            <w:tcBorders>
              <w:top w:val="nil"/>
              <w:left w:val="nil"/>
              <w:bottom w:val="single" w:sz="8" w:space="0" w:color="auto"/>
              <w:right w:val="nil"/>
            </w:tcBorders>
            <w:shd w:val="clear" w:color="000000" w:fill="FFFFFF"/>
            <w:vAlign w:val="center"/>
            <w:hideMark/>
          </w:tcPr>
          <w:p w14:paraId="458CB1A0"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1134" w:type="dxa"/>
            <w:tcBorders>
              <w:top w:val="nil"/>
              <w:left w:val="nil"/>
              <w:bottom w:val="single" w:sz="8" w:space="0" w:color="auto"/>
              <w:right w:val="nil"/>
            </w:tcBorders>
            <w:shd w:val="clear" w:color="000000" w:fill="FFFFFF"/>
            <w:vAlign w:val="center"/>
            <w:hideMark/>
          </w:tcPr>
          <w:p w14:paraId="418718CC"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866" w:type="dxa"/>
            <w:tcBorders>
              <w:top w:val="nil"/>
              <w:left w:val="nil"/>
              <w:bottom w:val="single" w:sz="8" w:space="0" w:color="auto"/>
              <w:right w:val="nil"/>
            </w:tcBorders>
            <w:shd w:val="clear" w:color="000000" w:fill="FFFFFF"/>
            <w:vAlign w:val="center"/>
            <w:hideMark/>
          </w:tcPr>
          <w:p w14:paraId="76CF237F"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28</w:t>
            </w:r>
          </w:p>
        </w:tc>
        <w:tc>
          <w:tcPr>
            <w:tcW w:w="996" w:type="dxa"/>
            <w:tcBorders>
              <w:top w:val="nil"/>
              <w:left w:val="nil"/>
              <w:bottom w:val="single" w:sz="8" w:space="0" w:color="auto"/>
              <w:right w:val="nil"/>
            </w:tcBorders>
            <w:shd w:val="clear" w:color="000000" w:fill="FFFFFF"/>
            <w:vAlign w:val="center"/>
            <w:hideMark/>
          </w:tcPr>
          <w:p w14:paraId="0391B3BB"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w:t>
            </w:r>
          </w:p>
        </w:tc>
      </w:tr>
      <w:tr w:rsidR="004E7F1D" w:rsidRPr="00410ABF" w14:paraId="00692625" w14:textId="77777777" w:rsidTr="00410ABF">
        <w:trPr>
          <w:trHeight w:val="269"/>
        </w:trPr>
        <w:tc>
          <w:tcPr>
            <w:tcW w:w="1163" w:type="dxa"/>
            <w:tcBorders>
              <w:top w:val="nil"/>
              <w:left w:val="nil"/>
              <w:bottom w:val="single" w:sz="4" w:space="0" w:color="FFFFFF" w:themeColor="background1"/>
              <w:right w:val="nil"/>
            </w:tcBorders>
            <w:shd w:val="clear" w:color="000000" w:fill="FFFFFF"/>
            <w:vAlign w:val="center"/>
          </w:tcPr>
          <w:p w14:paraId="7FEC5E30" w14:textId="4833E1B6"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vMerge w:val="restart"/>
            <w:tcBorders>
              <w:top w:val="nil"/>
              <w:left w:val="nil"/>
              <w:bottom w:val="single" w:sz="8" w:space="0" w:color="000000"/>
              <w:right w:val="nil"/>
            </w:tcBorders>
            <w:shd w:val="clear" w:color="000000" w:fill="FFFFFF"/>
            <w:noWrap/>
            <w:hideMark/>
          </w:tcPr>
          <w:p w14:paraId="6DCDE621" w14:textId="47021996" w:rsidR="00410ABF" w:rsidRPr="00410ABF" w:rsidRDefault="00410ABF" w:rsidP="00F6420B">
            <w:pPr>
              <w:spacing w:after="0" w:line="240" w:lineRule="auto"/>
              <w:rPr>
                <w:rFonts w:ascii="Calibri" w:eastAsia="Times New Roman" w:hAnsi="Calibri" w:cs="Calibri"/>
                <w:color w:val="000000"/>
                <w:sz w:val="18"/>
                <w:szCs w:val="18"/>
                <w:lang w:eastAsia="en-GB"/>
              </w:rPr>
            </w:pPr>
            <w:proofErr w:type="spellStart"/>
            <w:r w:rsidRPr="00410ABF">
              <w:rPr>
                <w:rFonts w:ascii="Calibri" w:eastAsia="Times New Roman" w:hAnsi="Calibri" w:cs="Calibri"/>
                <w:color w:val="000000"/>
                <w:sz w:val="18"/>
                <w:szCs w:val="18"/>
                <w:lang w:eastAsia="en-GB"/>
              </w:rPr>
              <w:t>Fontanet</w:t>
            </w:r>
            <w:proofErr w:type="spellEnd"/>
            <w:r w:rsidRPr="00410ABF">
              <w:rPr>
                <w:rFonts w:ascii="Calibri" w:eastAsia="Times New Roman" w:hAnsi="Calibri" w:cs="Calibri"/>
                <w:color w:val="000000"/>
                <w:sz w:val="18"/>
                <w:szCs w:val="18"/>
                <w:lang w:eastAsia="en-GB"/>
              </w:rPr>
              <w:t xml:space="preserve"> at al*</w:t>
            </w:r>
            <w:r w:rsidR="00AE0B49">
              <w:rPr>
                <w:rFonts w:ascii="Calibri" w:eastAsia="Times New Roman" w:hAnsi="Calibri" w:cs="Calibri"/>
                <w:color w:val="000000"/>
                <w:sz w:val="18"/>
                <w:szCs w:val="18"/>
                <w:lang w:eastAsia="en-GB"/>
              </w:rPr>
              <w:t xml:space="preserve"> </w:t>
            </w:r>
            <w:r w:rsidR="00AE0B49">
              <w:rPr>
                <w:rFonts w:ascii="Calibri" w:eastAsia="Times New Roman" w:hAnsi="Calibri" w:cs="Calibri"/>
                <w:color w:val="000000"/>
                <w:sz w:val="18"/>
                <w:szCs w:val="18"/>
                <w:lang w:eastAsia="en-GB"/>
              </w:rPr>
              <w:fldChar w:fldCharType="begin" w:fldLock="1"/>
            </w:r>
            <w:r w:rsidR="0004151B">
              <w:rPr>
                <w:rFonts w:ascii="Calibri" w:eastAsia="Times New Roman" w:hAnsi="Calibri" w:cs="Calibri"/>
                <w:color w:val="000000"/>
                <w:sz w:val="18"/>
                <w:szCs w:val="18"/>
                <w:lang w:eastAsia="en-GB"/>
              </w:rPr>
              <w:instrText>ADDIN CSL_CITATION {"citationItems":[{"id":"ITEM-1","itemData":{"DOI":"10.1101/2020.04.18.20071134","abstract":"Background: The Oise department in France has been heavily affected by COVID-19 in early 2020. Methods: Between 30 March and 4 April 2020, we conducted a retrospective closed cohort study among pupils, their parents and siblings, as well as teachers and non-teaching staff of a high-school located in Oise. Participants completed a questionnaire that covered history of fever and/or respiratory symptoms since 13 January 2020 and had blood tested for the presence of anti-SARS-CoV-2 antibodies. The infection attack rate (IAR) was defined as the proportion of participants with confirmed SARS-CoV-2 infection based on antibody detection. Blood samples from two blood donor centres collected between 23 and 27 March 2020 in the Oise department were also tested for presence of anti-SARS-CoV-2 antibodies. Findings: Of the 661 participants (median age: 37 years), 171 participants had anti-SARS-CoV-2 antibodies. The overall IAR was 25.9% (95% confidence interval (CI) = 22.6-29.4), and the infection fatality rate was 0% (one-sided 97.5% CI = 0-2.1). Nine of the ten participants hospitalised since mid-January were in the infected group, giving a hospitalisation rate of 5.3% (95% CI = 2.4-9.8). Anosmia and ageusia had high positive predictive values for SARS-CoV-2 infection (84.7% and 88.1%, respectively). Smokers had a lower IAR compared to non-smokers (7.2% versus 28.0%, P &amp;lt;0.001). The proportion of infected individuals who had no symptoms during the study period was 17.0% (95% CI = 11.2-23.4). The proportion of donors with anti-SARS-CoV-2 antibodies in two nearby blood banks of the Oise department was 3.0% (95% CI = 1.1-6.4). Interpretation: The relatively low IAR observed in an area where SARS-CoV-2 actively circulated weeks before confinement measures indicates that establishing herd immunity will take time, and that lifting these measures in France will be long and complex.Competing Interest StatementThe authors have declared no competing interest.Clinical TrialNCT04325646Funding StatementInstitut Pasteur, CNRS, Université de Paris, Santé publique France, Labex IBEID (ANR-10-LABX-62-IBEID), REACTing, EU grant Recover, INCEPTION project (PIA/ANR-16-CONV-0005).Author DeclarationsAll relevant ethical guidelines have been followed; any necessary IRB and/or ethics committee approvals have been obtained and details of the IRB/oversight body are included in the manuscript.YesAll necessary patient/participant consent has been obtained and the appropriate institutional f…","author":[{"dropping-particle":"","family":"Fontanet","given":"Arnaud","non-dropping-particle":"","parse-names":false,"suffix":""},{"dropping-particle":"","family":"Tondeur","given":"Laura","non-dropping-particle":"","parse-names":false,"suffix":""},{"dropping-particle":"","family":"Madec","given":"Yoann","non-dropping-particle":"","parse-names":false,"suffix":""},{"dropping-particle":"","family":"Grant","given":"Rebecca","non-dropping-particle":"","parse-names":false,"suffix":""},{"dropping-particle":"","family":"Besombes","given":"Camille","non-dropping-particle":"","parse-names":false,"suffix":""},{"dropping-particle":"","family":"Jolly","given":"Nathalie","non-dropping-particle":"","parse-names":false,"suffix":""},{"dropping-particle":"","family":"Fernandes Pellerin","given":"Sandrine","non-dropping-particle":"","parse-names":false,"suffix":""},{"dropping-particle":"","family":"Ungeheuer","given":"Marie-Noelle","non-dropping-particle":"","parse-names":false,"suffix":""},{"dropping-particle":"","family":"Cailleau","given":"Isabelle","non-dropping-particle":"","parse-names":false,"suffix":""},{"dropping-particle":"","family":"Kuhmel","given":"Lucie","non-dropping-particle":"","parse-names":false,"suffix":""},{"dropping-particle":"","family":"Temmam","given":"Sarah","non-dropping-particle":"","parse-names":false,"suffix":""},{"dropping-particle":"","family":"Huon","given":"Christele","non-dropping-particle":"","parse-names":false,"suffix":""},{"dropping-particle":"","family":"Chen","given":"Kuang-Yu","non-dropping-particle":"","parse-names":false,"suffix":""},{"dropping-particle":"","family":"Crescenzo","given":"Bernadette","non-dropping-particle":"","parse-names":false,"suffix":""},{"dropping-particle":"","family":"Munier","given":"Sandie","non-dropping-particle":"","parse-names":false,"suffix":""},{"dropping-particle":"","family":"Demeret","given":"Caroline","non-dropping-particle":"","parse-names":false,"suffix":""},{"dropping-particle":"","family":"Grzelak","given":"Ludivine","non-dropping-particle":"","parse-names":false,"suffix":""},{"dropping-particle":"","family":"Staropoli","given":"Isabelle","non-dropping-particle":"","parse-names":false,"suffix":""},{"dropping-particle":"","family":"Bruel","given":"Timothee","non-dropping-particle":"","parse-names":false,"suffix":""},{"dropping-particle":"","family":"Gallian","given":"Pierre","non-dropping-particle":"","parse-names":false,"suffix":""},{"dropping-particle":"","family":"Cauchemez","given":"Simon","non-dropping-particle":"","parse-names":false,"suffix":""},{"dropping-particle":"","family":"Werf","given":"Sylvie","non-dropping-particle":"van der","parse-names":false,"suffix":""},{"dropping-particle":"","family":"Schwartz","given":"Olivier","non-dropping-particle":"","parse-names":false,"suffix":""},{"dropping-particle":"","family":"Eloit","given":"Marc","non-dropping-particle":"","parse-names":false,"suffix":""},{"dropping-particle":"","family":"Hoen","given":"Bruno","non-dropping-particle":"","parse-names":false,"suffix":""}],"container-title":"medRxiv","id":"ITEM-1","issued":{"date-parts":[["2020"]]},"page":"2020.04.18.20071134","title":"Cluster of COVID-19 in northern France: A retrospective closed cohort study","type":"article-journal"},"uris":["http://www.mendeley.com/documents/?uuid=2e8b8bcd-d513-4a5a-a42c-90bedd155435"]}],"mendeley":{"formattedCitation":"[6]","plainTextFormattedCitation":"[6]","previouslyFormattedCitation":"[6]"},"properties":{"noteIndex":0},"schema":"https://github.com/citation-style-language/schema/raw/master/csl-citation.json"}</w:instrText>
            </w:r>
            <w:r w:rsidR="00AE0B49">
              <w:rPr>
                <w:rFonts w:ascii="Calibri" w:eastAsia="Times New Roman" w:hAnsi="Calibri" w:cs="Calibri"/>
                <w:color w:val="000000"/>
                <w:sz w:val="18"/>
                <w:szCs w:val="18"/>
                <w:lang w:eastAsia="en-GB"/>
              </w:rPr>
              <w:fldChar w:fldCharType="separate"/>
            </w:r>
            <w:r w:rsidR="00B058AB" w:rsidRPr="00B058AB">
              <w:rPr>
                <w:rFonts w:ascii="Calibri" w:eastAsia="Times New Roman" w:hAnsi="Calibri" w:cs="Calibri"/>
                <w:noProof/>
                <w:color w:val="000000"/>
                <w:sz w:val="18"/>
                <w:szCs w:val="18"/>
                <w:lang w:eastAsia="en-GB"/>
              </w:rPr>
              <w:t>[6]</w:t>
            </w:r>
            <w:r w:rsidR="00AE0B49">
              <w:rPr>
                <w:rFonts w:ascii="Calibri" w:eastAsia="Times New Roman" w:hAnsi="Calibri" w:cs="Calibri"/>
                <w:color w:val="000000"/>
                <w:sz w:val="18"/>
                <w:szCs w:val="18"/>
                <w:lang w:eastAsia="en-GB"/>
              </w:rPr>
              <w:fldChar w:fldCharType="end"/>
            </w:r>
          </w:p>
        </w:tc>
        <w:tc>
          <w:tcPr>
            <w:tcW w:w="1608" w:type="dxa"/>
            <w:vMerge w:val="restart"/>
            <w:tcBorders>
              <w:top w:val="nil"/>
              <w:left w:val="nil"/>
              <w:bottom w:val="single" w:sz="8" w:space="0" w:color="000000"/>
              <w:right w:val="nil"/>
            </w:tcBorders>
            <w:shd w:val="clear" w:color="000000" w:fill="FFFFFF"/>
            <w:hideMark/>
          </w:tcPr>
          <w:p w14:paraId="0F0260E0" w14:textId="77777777" w:rsidR="00410ABF" w:rsidRPr="00410ABF" w:rsidRDefault="00410ABF" w:rsidP="00F6420B">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Oise</w:t>
            </w:r>
          </w:p>
        </w:tc>
        <w:tc>
          <w:tcPr>
            <w:tcW w:w="1089" w:type="dxa"/>
            <w:vMerge w:val="restart"/>
            <w:tcBorders>
              <w:top w:val="nil"/>
              <w:left w:val="nil"/>
              <w:bottom w:val="single" w:sz="8" w:space="0" w:color="000000"/>
              <w:right w:val="nil"/>
            </w:tcBorders>
            <w:shd w:val="clear" w:color="000000" w:fill="FFFFFF"/>
            <w:hideMark/>
          </w:tcPr>
          <w:p w14:paraId="694B1F9B" w14:textId="77777777" w:rsidR="00410ABF" w:rsidRPr="00410ABF" w:rsidRDefault="00410ABF" w:rsidP="00F6420B">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France</w:t>
            </w:r>
          </w:p>
        </w:tc>
        <w:tc>
          <w:tcPr>
            <w:tcW w:w="1276" w:type="dxa"/>
            <w:vMerge w:val="restart"/>
            <w:tcBorders>
              <w:top w:val="nil"/>
              <w:left w:val="nil"/>
              <w:bottom w:val="nil"/>
              <w:right w:val="nil"/>
            </w:tcBorders>
            <w:shd w:val="clear" w:color="000000" w:fill="FFFFFF"/>
            <w:hideMark/>
          </w:tcPr>
          <w:p w14:paraId="020859ED" w14:textId="77777777" w:rsidR="00410ABF" w:rsidRPr="00410ABF" w:rsidRDefault="00410ABF" w:rsidP="00F6420B">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Retrospective serosurvey </w:t>
            </w:r>
          </w:p>
        </w:tc>
        <w:tc>
          <w:tcPr>
            <w:tcW w:w="3075" w:type="dxa"/>
            <w:tcBorders>
              <w:top w:val="nil"/>
              <w:left w:val="nil"/>
              <w:bottom w:val="single" w:sz="8" w:space="0" w:color="auto"/>
              <w:right w:val="nil"/>
            </w:tcBorders>
            <w:shd w:val="clear" w:color="auto" w:fill="auto"/>
            <w:vAlign w:val="center"/>
            <w:hideMark/>
          </w:tcPr>
          <w:p w14:paraId="156E79B2"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Students </w:t>
            </w:r>
            <w:proofErr w:type="gramStart"/>
            <w:r w:rsidRPr="00410ABF">
              <w:rPr>
                <w:rFonts w:ascii="Calibri" w:eastAsia="Times New Roman" w:hAnsi="Calibri" w:cs="Calibri"/>
                <w:color w:val="000000"/>
                <w:sz w:val="18"/>
                <w:szCs w:val="18"/>
                <w:lang w:eastAsia="en-GB"/>
              </w:rPr>
              <w:t>of</w:t>
            </w:r>
            <w:proofErr w:type="gramEnd"/>
            <w:r w:rsidRPr="00410ABF">
              <w:rPr>
                <w:rFonts w:ascii="Calibri" w:eastAsia="Times New Roman" w:hAnsi="Calibri" w:cs="Calibri"/>
                <w:color w:val="000000"/>
                <w:sz w:val="18"/>
                <w:szCs w:val="18"/>
                <w:lang w:eastAsia="en-GB"/>
              </w:rPr>
              <w:t xml:space="preserve"> a high schools in Oise</w:t>
            </w:r>
          </w:p>
        </w:tc>
        <w:tc>
          <w:tcPr>
            <w:tcW w:w="1170" w:type="dxa"/>
            <w:tcBorders>
              <w:top w:val="nil"/>
              <w:left w:val="nil"/>
              <w:bottom w:val="single" w:sz="8" w:space="0" w:color="auto"/>
              <w:right w:val="nil"/>
            </w:tcBorders>
            <w:shd w:val="clear" w:color="000000" w:fill="FFFFFF"/>
            <w:vAlign w:val="center"/>
            <w:hideMark/>
          </w:tcPr>
          <w:p w14:paraId="4A3F55AB"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all</w:t>
            </w:r>
          </w:p>
        </w:tc>
        <w:tc>
          <w:tcPr>
            <w:tcW w:w="1123" w:type="dxa"/>
            <w:tcBorders>
              <w:top w:val="nil"/>
              <w:left w:val="nil"/>
              <w:bottom w:val="single" w:sz="8" w:space="0" w:color="auto"/>
              <w:right w:val="nil"/>
            </w:tcBorders>
            <w:shd w:val="clear" w:color="000000" w:fill="FFFFFF"/>
            <w:vAlign w:val="center"/>
            <w:hideMark/>
          </w:tcPr>
          <w:p w14:paraId="7AC64DD8"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serology</w:t>
            </w:r>
          </w:p>
        </w:tc>
        <w:tc>
          <w:tcPr>
            <w:tcW w:w="850" w:type="dxa"/>
            <w:tcBorders>
              <w:top w:val="nil"/>
              <w:left w:val="nil"/>
              <w:bottom w:val="single" w:sz="8" w:space="0" w:color="auto"/>
              <w:right w:val="nil"/>
            </w:tcBorders>
            <w:shd w:val="clear" w:color="000000" w:fill="FFFFFF"/>
            <w:vAlign w:val="center"/>
            <w:hideMark/>
          </w:tcPr>
          <w:p w14:paraId="24A557AC"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1134" w:type="dxa"/>
            <w:tcBorders>
              <w:top w:val="nil"/>
              <w:left w:val="nil"/>
              <w:bottom w:val="single" w:sz="8" w:space="0" w:color="auto"/>
              <w:right w:val="nil"/>
            </w:tcBorders>
            <w:shd w:val="clear" w:color="000000" w:fill="FFFFFF"/>
            <w:vAlign w:val="center"/>
            <w:hideMark/>
          </w:tcPr>
          <w:p w14:paraId="7621333A"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866" w:type="dxa"/>
            <w:tcBorders>
              <w:top w:val="nil"/>
              <w:left w:val="nil"/>
              <w:bottom w:val="single" w:sz="8" w:space="0" w:color="auto"/>
              <w:right w:val="nil"/>
            </w:tcBorders>
            <w:shd w:val="clear" w:color="000000" w:fill="FFFFFF"/>
            <w:vAlign w:val="center"/>
            <w:hideMark/>
          </w:tcPr>
          <w:p w14:paraId="72B73ECA"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240</w:t>
            </w:r>
          </w:p>
        </w:tc>
        <w:tc>
          <w:tcPr>
            <w:tcW w:w="996" w:type="dxa"/>
            <w:tcBorders>
              <w:top w:val="nil"/>
              <w:left w:val="nil"/>
              <w:bottom w:val="single" w:sz="8" w:space="0" w:color="auto"/>
              <w:right w:val="nil"/>
            </w:tcBorders>
            <w:shd w:val="clear" w:color="000000" w:fill="FFFFFF"/>
            <w:vAlign w:val="center"/>
            <w:hideMark/>
          </w:tcPr>
          <w:p w14:paraId="7AF0BBFF"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43</w:t>
            </w:r>
          </w:p>
        </w:tc>
      </w:tr>
      <w:tr w:rsidR="000F13C3" w:rsidRPr="00410ABF" w14:paraId="4C4ACC94" w14:textId="77777777" w:rsidTr="00410ABF">
        <w:trPr>
          <w:trHeight w:val="317"/>
        </w:trPr>
        <w:tc>
          <w:tcPr>
            <w:tcW w:w="1163" w:type="dxa"/>
            <w:tcBorders>
              <w:top w:val="single" w:sz="4" w:space="0" w:color="FFFFFF" w:themeColor="background1"/>
              <w:left w:val="nil"/>
              <w:bottom w:val="single" w:sz="4" w:space="0" w:color="FFFFFF" w:themeColor="background1"/>
              <w:right w:val="nil"/>
            </w:tcBorders>
            <w:vAlign w:val="center"/>
          </w:tcPr>
          <w:p w14:paraId="2DD8F3DA" w14:textId="77777777"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vMerge/>
            <w:tcBorders>
              <w:top w:val="nil"/>
              <w:left w:val="nil"/>
              <w:bottom w:val="single" w:sz="8" w:space="0" w:color="000000"/>
              <w:right w:val="nil"/>
            </w:tcBorders>
            <w:vAlign w:val="center"/>
            <w:hideMark/>
          </w:tcPr>
          <w:p w14:paraId="5CE8FA55" w14:textId="383A40E9"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608" w:type="dxa"/>
            <w:vMerge/>
            <w:tcBorders>
              <w:top w:val="nil"/>
              <w:left w:val="nil"/>
              <w:bottom w:val="single" w:sz="8" w:space="0" w:color="000000"/>
              <w:right w:val="nil"/>
            </w:tcBorders>
            <w:vAlign w:val="center"/>
            <w:hideMark/>
          </w:tcPr>
          <w:p w14:paraId="70D8851D"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089" w:type="dxa"/>
            <w:vMerge/>
            <w:tcBorders>
              <w:top w:val="nil"/>
              <w:left w:val="nil"/>
              <w:bottom w:val="single" w:sz="8" w:space="0" w:color="000000"/>
              <w:right w:val="nil"/>
            </w:tcBorders>
            <w:vAlign w:val="center"/>
            <w:hideMark/>
          </w:tcPr>
          <w:p w14:paraId="3D77A9E3"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276" w:type="dxa"/>
            <w:vMerge/>
            <w:tcBorders>
              <w:top w:val="nil"/>
              <w:left w:val="nil"/>
              <w:bottom w:val="nil"/>
              <w:right w:val="nil"/>
            </w:tcBorders>
            <w:vAlign w:val="center"/>
            <w:hideMark/>
          </w:tcPr>
          <w:p w14:paraId="32BD4926"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3075" w:type="dxa"/>
            <w:tcBorders>
              <w:top w:val="nil"/>
              <w:left w:val="nil"/>
              <w:bottom w:val="single" w:sz="8" w:space="0" w:color="auto"/>
              <w:right w:val="nil"/>
            </w:tcBorders>
            <w:shd w:val="clear" w:color="auto" w:fill="auto"/>
            <w:vAlign w:val="center"/>
            <w:hideMark/>
          </w:tcPr>
          <w:p w14:paraId="22AC0EEC"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Teachers </w:t>
            </w:r>
            <w:proofErr w:type="gramStart"/>
            <w:r w:rsidRPr="00410ABF">
              <w:rPr>
                <w:rFonts w:ascii="Calibri" w:eastAsia="Times New Roman" w:hAnsi="Calibri" w:cs="Calibri"/>
                <w:color w:val="000000"/>
                <w:sz w:val="18"/>
                <w:szCs w:val="18"/>
                <w:lang w:eastAsia="en-GB"/>
              </w:rPr>
              <w:t>of</w:t>
            </w:r>
            <w:proofErr w:type="gramEnd"/>
            <w:r w:rsidRPr="00410ABF">
              <w:rPr>
                <w:rFonts w:ascii="Calibri" w:eastAsia="Times New Roman" w:hAnsi="Calibri" w:cs="Calibri"/>
                <w:color w:val="000000"/>
                <w:sz w:val="18"/>
                <w:szCs w:val="18"/>
                <w:lang w:eastAsia="en-GB"/>
              </w:rPr>
              <w:t xml:space="preserve"> a high schools in Oise</w:t>
            </w:r>
          </w:p>
        </w:tc>
        <w:tc>
          <w:tcPr>
            <w:tcW w:w="1170" w:type="dxa"/>
            <w:tcBorders>
              <w:top w:val="nil"/>
              <w:left w:val="nil"/>
              <w:bottom w:val="single" w:sz="8" w:space="0" w:color="auto"/>
              <w:right w:val="nil"/>
            </w:tcBorders>
            <w:shd w:val="clear" w:color="000000" w:fill="FFFFFF"/>
            <w:vAlign w:val="center"/>
            <w:hideMark/>
          </w:tcPr>
          <w:p w14:paraId="3DC53E97"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all</w:t>
            </w:r>
          </w:p>
        </w:tc>
        <w:tc>
          <w:tcPr>
            <w:tcW w:w="1123" w:type="dxa"/>
            <w:tcBorders>
              <w:top w:val="nil"/>
              <w:left w:val="nil"/>
              <w:bottom w:val="single" w:sz="8" w:space="0" w:color="auto"/>
              <w:right w:val="nil"/>
            </w:tcBorders>
            <w:shd w:val="clear" w:color="000000" w:fill="FFFFFF"/>
            <w:vAlign w:val="center"/>
            <w:hideMark/>
          </w:tcPr>
          <w:p w14:paraId="52FEEBF0"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serology</w:t>
            </w:r>
          </w:p>
        </w:tc>
        <w:tc>
          <w:tcPr>
            <w:tcW w:w="850" w:type="dxa"/>
            <w:tcBorders>
              <w:top w:val="nil"/>
              <w:left w:val="nil"/>
              <w:bottom w:val="single" w:sz="8" w:space="0" w:color="auto"/>
              <w:right w:val="nil"/>
            </w:tcBorders>
            <w:shd w:val="clear" w:color="000000" w:fill="FFFFFF"/>
            <w:vAlign w:val="center"/>
            <w:hideMark/>
          </w:tcPr>
          <w:p w14:paraId="18AE4229"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1134" w:type="dxa"/>
            <w:tcBorders>
              <w:top w:val="nil"/>
              <w:left w:val="nil"/>
              <w:bottom w:val="single" w:sz="8" w:space="0" w:color="auto"/>
              <w:right w:val="nil"/>
            </w:tcBorders>
            <w:shd w:val="clear" w:color="000000" w:fill="FFFFFF"/>
            <w:vAlign w:val="center"/>
            <w:hideMark/>
          </w:tcPr>
          <w:p w14:paraId="702CEEEA"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866" w:type="dxa"/>
            <w:tcBorders>
              <w:top w:val="nil"/>
              <w:left w:val="nil"/>
              <w:bottom w:val="single" w:sz="8" w:space="0" w:color="auto"/>
              <w:right w:val="nil"/>
            </w:tcBorders>
            <w:shd w:val="clear" w:color="000000" w:fill="FFFFFF"/>
            <w:vAlign w:val="center"/>
            <w:hideMark/>
          </w:tcPr>
          <w:p w14:paraId="06D686EA"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53</w:t>
            </w:r>
          </w:p>
        </w:tc>
        <w:tc>
          <w:tcPr>
            <w:tcW w:w="996" w:type="dxa"/>
            <w:tcBorders>
              <w:top w:val="nil"/>
              <w:left w:val="nil"/>
              <w:bottom w:val="single" w:sz="8" w:space="0" w:color="auto"/>
              <w:right w:val="nil"/>
            </w:tcBorders>
            <w:shd w:val="clear" w:color="000000" w:fill="FFFFFF"/>
            <w:vAlign w:val="center"/>
            <w:hideMark/>
          </w:tcPr>
          <w:p w14:paraId="6F0274E1"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3</w:t>
            </w:r>
          </w:p>
        </w:tc>
      </w:tr>
      <w:tr w:rsidR="000F13C3" w:rsidRPr="00410ABF" w14:paraId="477928A8" w14:textId="77777777" w:rsidTr="00410ABF">
        <w:trPr>
          <w:trHeight w:val="315"/>
        </w:trPr>
        <w:tc>
          <w:tcPr>
            <w:tcW w:w="1163" w:type="dxa"/>
            <w:tcBorders>
              <w:top w:val="single" w:sz="4" w:space="0" w:color="FFFFFF" w:themeColor="background1"/>
              <w:left w:val="nil"/>
              <w:bottom w:val="single" w:sz="8" w:space="0" w:color="000000"/>
              <w:right w:val="nil"/>
            </w:tcBorders>
            <w:vAlign w:val="center"/>
          </w:tcPr>
          <w:p w14:paraId="0D56F7E4" w14:textId="77777777"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vMerge/>
            <w:tcBorders>
              <w:top w:val="nil"/>
              <w:left w:val="nil"/>
              <w:bottom w:val="single" w:sz="8" w:space="0" w:color="000000"/>
              <w:right w:val="nil"/>
            </w:tcBorders>
            <w:vAlign w:val="center"/>
            <w:hideMark/>
          </w:tcPr>
          <w:p w14:paraId="6C9738E2" w14:textId="6CF1A515"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608" w:type="dxa"/>
            <w:vMerge/>
            <w:tcBorders>
              <w:top w:val="nil"/>
              <w:left w:val="nil"/>
              <w:bottom w:val="single" w:sz="8" w:space="0" w:color="000000"/>
              <w:right w:val="nil"/>
            </w:tcBorders>
            <w:vAlign w:val="center"/>
            <w:hideMark/>
          </w:tcPr>
          <w:p w14:paraId="006E1E42"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089" w:type="dxa"/>
            <w:vMerge/>
            <w:tcBorders>
              <w:top w:val="nil"/>
              <w:left w:val="nil"/>
              <w:bottom w:val="single" w:sz="8" w:space="0" w:color="000000"/>
              <w:right w:val="nil"/>
            </w:tcBorders>
            <w:vAlign w:val="center"/>
            <w:hideMark/>
          </w:tcPr>
          <w:p w14:paraId="1B8B69AC"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276" w:type="dxa"/>
            <w:tcBorders>
              <w:top w:val="nil"/>
              <w:left w:val="nil"/>
              <w:bottom w:val="single" w:sz="8" w:space="0" w:color="auto"/>
              <w:right w:val="nil"/>
            </w:tcBorders>
            <w:shd w:val="clear" w:color="000000" w:fill="FFFFFF"/>
            <w:vAlign w:val="center"/>
            <w:hideMark/>
          </w:tcPr>
          <w:p w14:paraId="4E61BEF5"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w:t>
            </w:r>
          </w:p>
        </w:tc>
        <w:tc>
          <w:tcPr>
            <w:tcW w:w="3075" w:type="dxa"/>
            <w:tcBorders>
              <w:top w:val="nil"/>
              <w:left w:val="nil"/>
              <w:bottom w:val="single" w:sz="8" w:space="0" w:color="auto"/>
              <w:right w:val="nil"/>
            </w:tcBorders>
            <w:shd w:val="clear" w:color="auto" w:fill="auto"/>
            <w:vAlign w:val="center"/>
            <w:hideMark/>
          </w:tcPr>
          <w:p w14:paraId="16E78952"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Staff of a high schools in Oise</w:t>
            </w:r>
          </w:p>
        </w:tc>
        <w:tc>
          <w:tcPr>
            <w:tcW w:w="1170" w:type="dxa"/>
            <w:tcBorders>
              <w:top w:val="nil"/>
              <w:left w:val="nil"/>
              <w:bottom w:val="single" w:sz="8" w:space="0" w:color="auto"/>
              <w:right w:val="nil"/>
            </w:tcBorders>
            <w:shd w:val="clear" w:color="000000" w:fill="FFFFFF"/>
            <w:vAlign w:val="center"/>
            <w:hideMark/>
          </w:tcPr>
          <w:p w14:paraId="4B8BD585"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all</w:t>
            </w:r>
          </w:p>
        </w:tc>
        <w:tc>
          <w:tcPr>
            <w:tcW w:w="1123" w:type="dxa"/>
            <w:tcBorders>
              <w:top w:val="nil"/>
              <w:left w:val="nil"/>
              <w:bottom w:val="single" w:sz="8" w:space="0" w:color="auto"/>
              <w:right w:val="nil"/>
            </w:tcBorders>
            <w:shd w:val="clear" w:color="000000" w:fill="FFFFFF"/>
            <w:vAlign w:val="center"/>
            <w:hideMark/>
          </w:tcPr>
          <w:p w14:paraId="4E8B3B23"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serology</w:t>
            </w:r>
          </w:p>
        </w:tc>
        <w:tc>
          <w:tcPr>
            <w:tcW w:w="850" w:type="dxa"/>
            <w:tcBorders>
              <w:top w:val="nil"/>
              <w:left w:val="nil"/>
              <w:bottom w:val="single" w:sz="8" w:space="0" w:color="auto"/>
              <w:right w:val="nil"/>
            </w:tcBorders>
            <w:shd w:val="clear" w:color="000000" w:fill="FFFFFF"/>
            <w:vAlign w:val="center"/>
            <w:hideMark/>
          </w:tcPr>
          <w:p w14:paraId="4E68962A"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1134" w:type="dxa"/>
            <w:tcBorders>
              <w:top w:val="nil"/>
              <w:left w:val="nil"/>
              <w:bottom w:val="single" w:sz="8" w:space="0" w:color="auto"/>
              <w:right w:val="nil"/>
            </w:tcBorders>
            <w:shd w:val="clear" w:color="000000" w:fill="FFFFFF"/>
            <w:vAlign w:val="center"/>
            <w:hideMark/>
          </w:tcPr>
          <w:p w14:paraId="1D55AB0B"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NA</w:t>
            </w:r>
          </w:p>
        </w:tc>
        <w:tc>
          <w:tcPr>
            <w:tcW w:w="866" w:type="dxa"/>
            <w:tcBorders>
              <w:top w:val="nil"/>
              <w:left w:val="nil"/>
              <w:bottom w:val="single" w:sz="8" w:space="0" w:color="auto"/>
              <w:right w:val="nil"/>
            </w:tcBorders>
            <w:shd w:val="clear" w:color="000000" w:fill="FFFFFF"/>
            <w:vAlign w:val="center"/>
            <w:hideMark/>
          </w:tcPr>
          <w:p w14:paraId="7A8F7A0B"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28</w:t>
            </w:r>
          </w:p>
        </w:tc>
        <w:tc>
          <w:tcPr>
            <w:tcW w:w="996" w:type="dxa"/>
            <w:tcBorders>
              <w:top w:val="nil"/>
              <w:left w:val="nil"/>
              <w:bottom w:val="single" w:sz="8" w:space="0" w:color="auto"/>
              <w:right w:val="nil"/>
            </w:tcBorders>
            <w:shd w:val="clear" w:color="000000" w:fill="FFFFFF"/>
            <w:vAlign w:val="center"/>
            <w:hideMark/>
          </w:tcPr>
          <w:p w14:paraId="6D49E8E9"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w:t>
            </w:r>
          </w:p>
        </w:tc>
      </w:tr>
      <w:tr w:rsidR="000F13C3" w:rsidRPr="00410ABF" w14:paraId="6B427A6E" w14:textId="77777777" w:rsidTr="00AE0B49">
        <w:trPr>
          <w:trHeight w:val="786"/>
        </w:trPr>
        <w:tc>
          <w:tcPr>
            <w:tcW w:w="1163" w:type="dxa"/>
            <w:tcBorders>
              <w:top w:val="nil"/>
              <w:left w:val="nil"/>
              <w:bottom w:val="single" w:sz="8" w:space="0" w:color="auto"/>
              <w:right w:val="nil"/>
            </w:tcBorders>
            <w:shd w:val="clear" w:color="000000" w:fill="FFFFFF"/>
          </w:tcPr>
          <w:p w14:paraId="20DAD29B" w14:textId="489F470A" w:rsidR="00410ABF" w:rsidRPr="00410ABF" w:rsidRDefault="00410ABF" w:rsidP="00AE0B49">
            <w:pPr>
              <w:spacing w:after="0" w:line="240" w:lineRule="auto"/>
              <w:jc w:val="center"/>
              <w:rPr>
                <w:rFonts w:ascii="Calibri" w:eastAsia="Times New Roman" w:hAnsi="Calibri" w:cs="Calibri"/>
                <w:color w:val="000000"/>
                <w:sz w:val="18"/>
                <w:szCs w:val="18"/>
                <w:lang w:eastAsia="en-GB"/>
              </w:rPr>
            </w:pPr>
          </w:p>
        </w:tc>
        <w:tc>
          <w:tcPr>
            <w:tcW w:w="1386" w:type="dxa"/>
            <w:tcBorders>
              <w:top w:val="nil"/>
              <w:left w:val="nil"/>
              <w:bottom w:val="single" w:sz="8" w:space="0" w:color="auto"/>
              <w:right w:val="nil"/>
            </w:tcBorders>
            <w:shd w:val="clear" w:color="000000" w:fill="FFFFFF"/>
            <w:noWrap/>
            <w:hideMark/>
          </w:tcPr>
          <w:p w14:paraId="0E19922C" w14:textId="4A934893" w:rsidR="00410ABF" w:rsidRPr="00410ABF" w:rsidRDefault="00410ABF" w:rsidP="00AE0B49">
            <w:pPr>
              <w:spacing w:after="0" w:line="240" w:lineRule="auto"/>
              <w:rPr>
                <w:rFonts w:ascii="Calibri" w:eastAsia="Times New Roman" w:hAnsi="Calibri" w:cs="Calibri"/>
                <w:color w:val="000000"/>
                <w:sz w:val="18"/>
                <w:szCs w:val="18"/>
                <w:lang w:eastAsia="en-GB"/>
              </w:rPr>
            </w:pPr>
            <w:proofErr w:type="spellStart"/>
            <w:r w:rsidRPr="00410ABF">
              <w:rPr>
                <w:rFonts w:ascii="Calibri" w:eastAsia="Times New Roman" w:hAnsi="Calibri" w:cs="Calibri"/>
                <w:color w:val="000000"/>
                <w:sz w:val="18"/>
                <w:szCs w:val="18"/>
                <w:lang w:eastAsia="en-GB"/>
              </w:rPr>
              <w:t>Heavey</w:t>
            </w:r>
            <w:proofErr w:type="spellEnd"/>
            <w:r w:rsidRPr="00410ABF">
              <w:rPr>
                <w:rFonts w:ascii="Calibri" w:eastAsia="Times New Roman" w:hAnsi="Calibri" w:cs="Calibri"/>
                <w:color w:val="000000"/>
                <w:sz w:val="18"/>
                <w:szCs w:val="18"/>
                <w:lang w:eastAsia="en-GB"/>
              </w:rPr>
              <w:t xml:space="preserve"> et al </w:t>
            </w:r>
            <w:r w:rsidR="00AE0B49">
              <w:rPr>
                <w:rFonts w:ascii="Calibri" w:eastAsia="Times New Roman" w:hAnsi="Calibri" w:cs="Calibri"/>
                <w:color w:val="000000"/>
                <w:sz w:val="18"/>
                <w:szCs w:val="18"/>
                <w:lang w:eastAsia="en-GB"/>
              </w:rPr>
              <w:fldChar w:fldCharType="begin" w:fldLock="1"/>
            </w:r>
            <w:r w:rsidR="0004151B">
              <w:rPr>
                <w:rFonts w:ascii="Calibri" w:eastAsia="Times New Roman" w:hAnsi="Calibri" w:cs="Calibri"/>
                <w:color w:val="000000"/>
                <w:sz w:val="18"/>
                <w:szCs w:val="18"/>
                <w:lang w:eastAsia="en-GB"/>
              </w:rPr>
              <w:instrText>ADDIN CSL_CITATION {"citationItems":[{"id":"ITEM-1","itemData":{"DOI":"10.2807/1560-7917.ES.2020.25.21.2000903","ISBN":"1560-7917\r1025-496X","PMID":"32489179","abstract":"As many countries begin to lift some of the restrictions to contain COVID-19 spread, lack of evidence of transmission in the school setting remains. We examined Irish notifications of SARS-CoV2 in the school setting before school closures on 12 March 2020 and identified no paediatric transmission. This adds to current evidence that children do not appear to be drivers of transmission, and we argue that reopening schools should be considered safe accompanied by certain measures.","author":[{"dropping-particle":"","family":"Heavey","given":"Laura","non-dropping-particle":"","parse-names":false,"suffix":""},{"dropping-particle":"","family":"Casey","given":"Geraldine","non-dropping-particle":"","parse-names":false,"suffix":""},{"dropping-particle":"","family":"Kelly","given":"Ciara","non-dropping-particle":"","parse-names":false,"suffix":""},{"dropping-particle":"","family":"Kelly","given":"David","non-dropping-particle":"","parse-names":false,"suffix":""},{"dropping-particle":"","family":"McDarby","given":"Geraldine","non-dropping-particle":"","parse-names":false,"suffix":""}],"container-title":"Euro surveillance : bulletin Europeen sur les maladies transmissibles = European communicable disease bulletin","id":"ITEM-1","issue":"21","issued":{"date-parts":[["2020"]]},"language":"eng","note":"32489179[pmid]\nPMC7268273[pmcid]","page":"2000903","publisher":"European Centre for Disease Prevention and Control (ECDC)","title":"No evidence of secondary transmission of COVID-19 from children attending school in Ireland, 2020","type":"article-journal","volume":"25"},"uris":["http://www.mendeley.com/documents/?uuid=1b8b12af-bdda-4671-91f8-50387038976a"]}],"mendeley":{"formattedCitation":"[8]","plainTextFormattedCitation":"[8]","previouslyFormattedCitation":"[8]"},"properties":{"noteIndex":0},"schema":"https://github.com/citation-style-language/schema/raw/master/csl-citation.json"}</w:instrText>
            </w:r>
            <w:r w:rsidR="00AE0B49">
              <w:rPr>
                <w:rFonts w:ascii="Calibri" w:eastAsia="Times New Roman" w:hAnsi="Calibri" w:cs="Calibri"/>
                <w:color w:val="000000"/>
                <w:sz w:val="18"/>
                <w:szCs w:val="18"/>
                <w:lang w:eastAsia="en-GB"/>
              </w:rPr>
              <w:fldChar w:fldCharType="separate"/>
            </w:r>
            <w:r w:rsidR="00B058AB" w:rsidRPr="00B058AB">
              <w:rPr>
                <w:rFonts w:ascii="Calibri" w:eastAsia="Times New Roman" w:hAnsi="Calibri" w:cs="Calibri"/>
                <w:noProof/>
                <w:color w:val="000000"/>
                <w:sz w:val="18"/>
                <w:szCs w:val="18"/>
                <w:lang w:eastAsia="en-GB"/>
              </w:rPr>
              <w:t>[8]</w:t>
            </w:r>
            <w:r w:rsidR="00AE0B49">
              <w:rPr>
                <w:rFonts w:ascii="Calibri" w:eastAsia="Times New Roman" w:hAnsi="Calibri" w:cs="Calibri"/>
                <w:color w:val="000000"/>
                <w:sz w:val="18"/>
                <w:szCs w:val="18"/>
                <w:lang w:eastAsia="en-GB"/>
              </w:rPr>
              <w:fldChar w:fldCharType="end"/>
            </w:r>
          </w:p>
        </w:tc>
        <w:tc>
          <w:tcPr>
            <w:tcW w:w="1608" w:type="dxa"/>
            <w:tcBorders>
              <w:top w:val="nil"/>
              <w:left w:val="nil"/>
              <w:bottom w:val="single" w:sz="8" w:space="0" w:color="auto"/>
              <w:right w:val="nil"/>
            </w:tcBorders>
            <w:shd w:val="clear" w:color="000000" w:fill="FFFFFF"/>
            <w:hideMark/>
          </w:tcPr>
          <w:p w14:paraId="06094CFF" w14:textId="77777777" w:rsidR="00410ABF" w:rsidRPr="00410ABF" w:rsidRDefault="00410ABF" w:rsidP="00AE0B49">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Not specified</w:t>
            </w:r>
          </w:p>
        </w:tc>
        <w:tc>
          <w:tcPr>
            <w:tcW w:w="1089" w:type="dxa"/>
            <w:tcBorders>
              <w:top w:val="nil"/>
              <w:left w:val="nil"/>
              <w:bottom w:val="single" w:sz="8" w:space="0" w:color="auto"/>
              <w:right w:val="nil"/>
            </w:tcBorders>
            <w:shd w:val="clear" w:color="000000" w:fill="FFFFFF"/>
            <w:noWrap/>
            <w:hideMark/>
          </w:tcPr>
          <w:p w14:paraId="2DDB9027" w14:textId="77777777" w:rsidR="00410ABF" w:rsidRPr="00410ABF" w:rsidRDefault="00410ABF" w:rsidP="00AE0B49">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Ireland</w:t>
            </w:r>
          </w:p>
        </w:tc>
        <w:tc>
          <w:tcPr>
            <w:tcW w:w="1276" w:type="dxa"/>
            <w:tcBorders>
              <w:top w:val="nil"/>
              <w:left w:val="nil"/>
              <w:bottom w:val="single" w:sz="8" w:space="0" w:color="auto"/>
              <w:right w:val="nil"/>
            </w:tcBorders>
            <w:shd w:val="clear" w:color="000000" w:fill="FFFFFF"/>
            <w:hideMark/>
          </w:tcPr>
          <w:p w14:paraId="5B3606E0" w14:textId="77777777" w:rsidR="00410ABF" w:rsidRPr="00410ABF" w:rsidRDefault="00410ABF" w:rsidP="00AE0B49">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Surveillance and contact tracing</w:t>
            </w:r>
          </w:p>
        </w:tc>
        <w:tc>
          <w:tcPr>
            <w:tcW w:w="3075" w:type="dxa"/>
            <w:tcBorders>
              <w:top w:val="nil"/>
              <w:left w:val="nil"/>
              <w:bottom w:val="single" w:sz="8" w:space="0" w:color="auto"/>
              <w:right w:val="nil"/>
            </w:tcBorders>
            <w:shd w:val="clear" w:color="000000" w:fill="FFFFFF"/>
            <w:vAlign w:val="center"/>
            <w:hideMark/>
          </w:tcPr>
          <w:p w14:paraId="42B2AFFE"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Child and adult contacts who shared activities with 6 index cases in a school setting </w:t>
            </w:r>
          </w:p>
        </w:tc>
        <w:tc>
          <w:tcPr>
            <w:tcW w:w="1170" w:type="dxa"/>
            <w:tcBorders>
              <w:top w:val="nil"/>
              <w:left w:val="nil"/>
              <w:bottom w:val="single" w:sz="8" w:space="0" w:color="auto"/>
              <w:right w:val="nil"/>
            </w:tcBorders>
            <w:shd w:val="clear" w:color="000000" w:fill="FFFFFF"/>
            <w:noWrap/>
            <w:vAlign w:val="center"/>
            <w:hideMark/>
          </w:tcPr>
          <w:p w14:paraId="5C167D56"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symptomatic</w:t>
            </w:r>
          </w:p>
        </w:tc>
        <w:tc>
          <w:tcPr>
            <w:tcW w:w="1123" w:type="dxa"/>
            <w:tcBorders>
              <w:top w:val="nil"/>
              <w:left w:val="nil"/>
              <w:bottom w:val="single" w:sz="8" w:space="0" w:color="auto"/>
              <w:right w:val="nil"/>
            </w:tcBorders>
            <w:shd w:val="clear" w:color="000000" w:fill="FFFFFF"/>
            <w:vAlign w:val="center"/>
            <w:hideMark/>
          </w:tcPr>
          <w:p w14:paraId="65D332D1"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RT-PCR</w:t>
            </w:r>
          </w:p>
        </w:tc>
        <w:tc>
          <w:tcPr>
            <w:tcW w:w="850" w:type="dxa"/>
            <w:tcBorders>
              <w:top w:val="nil"/>
              <w:left w:val="nil"/>
              <w:bottom w:val="single" w:sz="8" w:space="0" w:color="auto"/>
              <w:right w:val="nil"/>
            </w:tcBorders>
            <w:shd w:val="clear" w:color="000000" w:fill="FFFFFF"/>
            <w:vAlign w:val="center"/>
            <w:hideMark/>
          </w:tcPr>
          <w:p w14:paraId="72516F50"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nil"/>
            </w:tcBorders>
            <w:shd w:val="clear" w:color="000000" w:fill="FFFFFF"/>
            <w:noWrap/>
            <w:vAlign w:val="center"/>
            <w:hideMark/>
          </w:tcPr>
          <w:p w14:paraId="392845C7"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1,025</w:t>
            </w:r>
          </w:p>
        </w:tc>
        <w:tc>
          <w:tcPr>
            <w:tcW w:w="866" w:type="dxa"/>
            <w:tcBorders>
              <w:top w:val="nil"/>
              <w:left w:val="nil"/>
              <w:bottom w:val="single" w:sz="8" w:space="0" w:color="auto"/>
              <w:right w:val="nil"/>
            </w:tcBorders>
            <w:shd w:val="clear" w:color="000000" w:fill="FFFFFF"/>
            <w:noWrap/>
            <w:vAlign w:val="center"/>
            <w:hideMark/>
          </w:tcPr>
          <w:p w14:paraId="5909A48E" w14:textId="23ED074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Not stated</w:t>
            </w:r>
          </w:p>
        </w:tc>
        <w:tc>
          <w:tcPr>
            <w:tcW w:w="996" w:type="dxa"/>
            <w:tcBorders>
              <w:top w:val="nil"/>
              <w:left w:val="nil"/>
              <w:bottom w:val="single" w:sz="8" w:space="0" w:color="auto"/>
              <w:right w:val="nil"/>
            </w:tcBorders>
            <w:shd w:val="clear" w:color="000000" w:fill="FFFFFF"/>
            <w:noWrap/>
            <w:vAlign w:val="center"/>
            <w:hideMark/>
          </w:tcPr>
          <w:p w14:paraId="61FABD71"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0</w:t>
            </w:r>
          </w:p>
        </w:tc>
      </w:tr>
      <w:tr w:rsidR="004E7F1D" w:rsidRPr="00410ABF" w14:paraId="6524A786" w14:textId="77777777" w:rsidTr="00AE0B49">
        <w:trPr>
          <w:trHeight w:val="918"/>
        </w:trPr>
        <w:tc>
          <w:tcPr>
            <w:tcW w:w="1163" w:type="dxa"/>
            <w:tcBorders>
              <w:top w:val="single" w:sz="8" w:space="0" w:color="auto"/>
              <w:left w:val="nil"/>
              <w:right w:val="nil"/>
            </w:tcBorders>
            <w:shd w:val="clear" w:color="000000" w:fill="FFFFFF"/>
          </w:tcPr>
          <w:p w14:paraId="506177B9" w14:textId="27697798" w:rsidR="00410ABF" w:rsidRPr="00410ABF" w:rsidRDefault="00410ABF" w:rsidP="00AE0B49">
            <w:pPr>
              <w:spacing w:after="0" w:line="240" w:lineRule="auto"/>
              <w:jc w:val="center"/>
              <w:rPr>
                <w:rFonts w:ascii="Calibri" w:eastAsia="Times New Roman" w:hAnsi="Calibri" w:cs="Calibri"/>
                <w:color w:val="000000"/>
                <w:sz w:val="18"/>
                <w:szCs w:val="18"/>
                <w:lang w:eastAsia="en-GB"/>
              </w:rPr>
            </w:pPr>
          </w:p>
        </w:tc>
        <w:tc>
          <w:tcPr>
            <w:tcW w:w="1386" w:type="dxa"/>
            <w:vMerge w:val="restart"/>
            <w:tcBorders>
              <w:top w:val="single" w:sz="8" w:space="0" w:color="auto"/>
              <w:left w:val="nil"/>
              <w:right w:val="nil"/>
            </w:tcBorders>
            <w:shd w:val="clear" w:color="000000" w:fill="FFFFFF"/>
            <w:hideMark/>
          </w:tcPr>
          <w:p w14:paraId="705FBAC1" w14:textId="2F8C600D"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Macartney et al</w:t>
            </w:r>
            <w:r w:rsidR="00AE0B49">
              <w:rPr>
                <w:rFonts w:ascii="Calibri" w:eastAsia="Times New Roman" w:hAnsi="Calibri" w:cs="Calibri"/>
                <w:color w:val="000000"/>
                <w:sz w:val="18"/>
                <w:szCs w:val="18"/>
                <w:lang w:eastAsia="en-GB"/>
              </w:rPr>
              <w:t xml:space="preserve"> </w:t>
            </w:r>
            <w:r w:rsidR="00AE0B49">
              <w:rPr>
                <w:rFonts w:ascii="Calibri" w:eastAsia="Times New Roman" w:hAnsi="Calibri" w:cs="Calibri"/>
                <w:color w:val="000000"/>
                <w:sz w:val="18"/>
                <w:szCs w:val="18"/>
                <w:lang w:eastAsia="en-GB"/>
              </w:rPr>
              <w:fldChar w:fldCharType="begin" w:fldLock="1"/>
            </w:r>
            <w:r w:rsidR="0004151B">
              <w:rPr>
                <w:rFonts w:ascii="Calibri" w:eastAsia="Times New Roman" w:hAnsi="Calibri" w:cs="Calibri"/>
                <w:color w:val="000000"/>
                <w:sz w:val="18"/>
                <w:szCs w:val="18"/>
                <w:lang w:eastAsia="en-GB"/>
              </w:rPr>
              <w:instrText>ADDIN CSL_CITATION {"citationItems":[{"id":"ITEM-1","itemData":{"ISBN":"2352-4642","author":[{"dropping-particle":"","family":"Macartney","given":"Kristine","non-dropping-particle":"","parse-names":false,"suffix":""},{"dropping-particle":"","family":"Quinn","given":"Helen E","non-dropping-particle":"","parse-names":false,"suffix":""},{"dropping-particle":"","family":"Pillsbury","given":"Alexis J","non-dropping-particle":"","parse-names":false,"suffix":""},{"dropping-particle":"","family":"Koirala","given":"Archana","non-dropping-particle":"","parse-names":false,"suffix":""},{"dropping-particle":"","family":"Deng","given":"Lucy","non-dropping-particle":"","parse-names":false,"suffix":""},{"dropping-particle":"","family":"Winkler","given":"Noni","non-dropping-particle":"","parse-names":false,"suffix":""},{"dropping-particle":"","family":"Katelaris","given":"Anthea L","non-dropping-particle":"","parse-names":false,"suffix":""},{"dropping-particle":"","family":"O'Sullivan","given":"Matthew V N","non-dropping-particle":"","parse-names":false,"suffix":""},{"dropping-particle":"","family":"Dalton","given":"Craig","non-dropping-particle":"","parse-names":false,"suffix":""},{"dropping-particle":"","family":"Wood","given":"Nicholas","non-dropping-particle":"","parse-names":false,"suffix":""}],"container-title":"The Lancet Child &amp; Adolescent Health","id":"ITEM-1","issued":{"date-parts":[["2020"]]},"title":"Transmission of SARS-CoV-2 in Australian educational settings: a prospective cohort study","type":"article-journal"},"uris":["http://www.mendeley.com/documents/?uuid=33289591-7a29-4c49-a3e2-40917d0a5421"]}],"mendeley":{"formattedCitation":"[9]","plainTextFormattedCitation":"[9]","previouslyFormattedCitation":"[9]"},"properties":{"noteIndex":0},"schema":"https://github.com/citation-style-language/schema/raw/master/csl-citation.json"}</w:instrText>
            </w:r>
            <w:r w:rsidR="00AE0B49">
              <w:rPr>
                <w:rFonts w:ascii="Calibri" w:eastAsia="Times New Roman" w:hAnsi="Calibri" w:cs="Calibri"/>
                <w:color w:val="000000"/>
                <w:sz w:val="18"/>
                <w:szCs w:val="18"/>
                <w:lang w:eastAsia="en-GB"/>
              </w:rPr>
              <w:fldChar w:fldCharType="separate"/>
            </w:r>
            <w:r w:rsidR="00B058AB" w:rsidRPr="00B058AB">
              <w:rPr>
                <w:rFonts w:ascii="Calibri" w:eastAsia="Times New Roman" w:hAnsi="Calibri" w:cs="Calibri"/>
                <w:noProof/>
                <w:color w:val="000000"/>
                <w:sz w:val="18"/>
                <w:szCs w:val="18"/>
                <w:lang w:eastAsia="en-GB"/>
              </w:rPr>
              <w:t>[9]</w:t>
            </w:r>
            <w:r w:rsidR="00AE0B49">
              <w:rPr>
                <w:rFonts w:ascii="Calibri" w:eastAsia="Times New Roman" w:hAnsi="Calibri" w:cs="Calibri"/>
                <w:color w:val="000000"/>
                <w:sz w:val="18"/>
                <w:szCs w:val="18"/>
                <w:lang w:eastAsia="en-GB"/>
              </w:rPr>
              <w:fldChar w:fldCharType="end"/>
            </w:r>
          </w:p>
        </w:tc>
        <w:tc>
          <w:tcPr>
            <w:tcW w:w="1608" w:type="dxa"/>
            <w:vMerge w:val="restart"/>
            <w:tcBorders>
              <w:top w:val="single" w:sz="8" w:space="0" w:color="auto"/>
              <w:left w:val="nil"/>
              <w:right w:val="nil"/>
            </w:tcBorders>
            <w:shd w:val="clear" w:color="000000" w:fill="FFFFFF"/>
            <w:noWrap/>
            <w:hideMark/>
          </w:tcPr>
          <w:p w14:paraId="238C746D"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New South Wales</w:t>
            </w:r>
          </w:p>
        </w:tc>
        <w:tc>
          <w:tcPr>
            <w:tcW w:w="1089" w:type="dxa"/>
            <w:vMerge w:val="restart"/>
            <w:tcBorders>
              <w:top w:val="single" w:sz="8" w:space="0" w:color="auto"/>
              <w:left w:val="nil"/>
              <w:right w:val="nil"/>
            </w:tcBorders>
            <w:shd w:val="clear" w:color="000000" w:fill="FFFFFF"/>
            <w:noWrap/>
            <w:hideMark/>
          </w:tcPr>
          <w:p w14:paraId="5E5B4C3E"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Australia</w:t>
            </w:r>
          </w:p>
        </w:tc>
        <w:tc>
          <w:tcPr>
            <w:tcW w:w="1276" w:type="dxa"/>
            <w:vMerge w:val="restart"/>
            <w:tcBorders>
              <w:top w:val="single" w:sz="8" w:space="0" w:color="auto"/>
              <w:left w:val="nil"/>
              <w:right w:val="nil"/>
            </w:tcBorders>
            <w:shd w:val="clear" w:color="000000" w:fill="FFFFFF"/>
            <w:hideMark/>
          </w:tcPr>
          <w:p w14:paraId="6F88CDC6"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Surveillance and contact tracing</w:t>
            </w:r>
          </w:p>
        </w:tc>
        <w:tc>
          <w:tcPr>
            <w:tcW w:w="3075" w:type="dxa"/>
            <w:tcBorders>
              <w:top w:val="single" w:sz="8" w:space="0" w:color="auto"/>
              <w:left w:val="nil"/>
              <w:bottom w:val="single" w:sz="8" w:space="0" w:color="auto"/>
              <w:right w:val="nil"/>
            </w:tcBorders>
            <w:shd w:val="clear" w:color="000000" w:fill="FFFFFF"/>
            <w:vAlign w:val="center"/>
            <w:hideMark/>
          </w:tcPr>
          <w:p w14:paraId="6E4B0A4E"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Secondary school students having face-to-face contact for at least 15 mins or in the same room for 2 hours with a case while infectious</w:t>
            </w:r>
          </w:p>
        </w:tc>
        <w:tc>
          <w:tcPr>
            <w:tcW w:w="1170" w:type="dxa"/>
            <w:tcBorders>
              <w:top w:val="single" w:sz="8" w:space="0" w:color="auto"/>
              <w:left w:val="nil"/>
              <w:bottom w:val="single" w:sz="8" w:space="0" w:color="auto"/>
              <w:right w:val="nil"/>
            </w:tcBorders>
            <w:shd w:val="clear" w:color="000000" w:fill="FFFFFF"/>
            <w:noWrap/>
            <w:vAlign w:val="center"/>
            <w:hideMark/>
          </w:tcPr>
          <w:p w14:paraId="4FD74965"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subset</w:t>
            </w:r>
          </w:p>
        </w:tc>
        <w:tc>
          <w:tcPr>
            <w:tcW w:w="1123" w:type="dxa"/>
            <w:tcBorders>
              <w:top w:val="single" w:sz="8" w:space="0" w:color="auto"/>
              <w:left w:val="nil"/>
              <w:bottom w:val="single" w:sz="8" w:space="0" w:color="auto"/>
              <w:right w:val="nil"/>
            </w:tcBorders>
            <w:shd w:val="clear" w:color="000000" w:fill="FFFFFF"/>
            <w:vAlign w:val="center"/>
            <w:hideMark/>
          </w:tcPr>
          <w:p w14:paraId="112799A9"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RT-PCR and serology</w:t>
            </w:r>
          </w:p>
        </w:tc>
        <w:tc>
          <w:tcPr>
            <w:tcW w:w="850" w:type="dxa"/>
            <w:tcBorders>
              <w:top w:val="single" w:sz="8" w:space="0" w:color="auto"/>
              <w:left w:val="nil"/>
              <w:bottom w:val="single" w:sz="8" w:space="0" w:color="auto"/>
              <w:right w:val="nil"/>
            </w:tcBorders>
            <w:shd w:val="clear" w:color="000000" w:fill="FFFFFF"/>
            <w:vAlign w:val="center"/>
            <w:hideMark/>
          </w:tcPr>
          <w:p w14:paraId="373EA670"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12</w:t>
            </w:r>
          </w:p>
        </w:tc>
        <w:tc>
          <w:tcPr>
            <w:tcW w:w="1134" w:type="dxa"/>
            <w:tcBorders>
              <w:top w:val="single" w:sz="8" w:space="0" w:color="auto"/>
              <w:left w:val="nil"/>
              <w:bottom w:val="single" w:sz="8" w:space="0" w:color="auto"/>
              <w:right w:val="nil"/>
            </w:tcBorders>
            <w:shd w:val="clear" w:color="000000" w:fill="FFFFFF"/>
            <w:noWrap/>
            <w:vAlign w:val="center"/>
            <w:hideMark/>
          </w:tcPr>
          <w:p w14:paraId="7983D972"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600</w:t>
            </w:r>
          </w:p>
        </w:tc>
        <w:tc>
          <w:tcPr>
            <w:tcW w:w="866" w:type="dxa"/>
            <w:tcBorders>
              <w:top w:val="single" w:sz="8" w:space="0" w:color="auto"/>
              <w:left w:val="nil"/>
              <w:bottom w:val="single" w:sz="8" w:space="0" w:color="auto"/>
              <w:right w:val="nil"/>
            </w:tcBorders>
            <w:shd w:val="clear" w:color="000000" w:fill="FFFFFF"/>
            <w:noWrap/>
            <w:vAlign w:val="center"/>
            <w:hideMark/>
          </w:tcPr>
          <w:p w14:paraId="5239E48C"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196</w:t>
            </w:r>
          </w:p>
        </w:tc>
        <w:tc>
          <w:tcPr>
            <w:tcW w:w="996" w:type="dxa"/>
            <w:tcBorders>
              <w:top w:val="single" w:sz="8" w:space="0" w:color="auto"/>
              <w:left w:val="nil"/>
              <w:bottom w:val="single" w:sz="8" w:space="0" w:color="auto"/>
              <w:right w:val="nil"/>
            </w:tcBorders>
            <w:shd w:val="clear" w:color="000000" w:fill="FFFFFF"/>
            <w:noWrap/>
            <w:vAlign w:val="center"/>
            <w:hideMark/>
          </w:tcPr>
          <w:p w14:paraId="1201ABB3"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2</w:t>
            </w:r>
          </w:p>
        </w:tc>
      </w:tr>
      <w:tr w:rsidR="000F13C3" w:rsidRPr="00410ABF" w14:paraId="2C1E6AB0" w14:textId="77777777" w:rsidTr="00410ABF">
        <w:trPr>
          <w:trHeight w:val="904"/>
        </w:trPr>
        <w:tc>
          <w:tcPr>
            <w:tcW w:w="1163" w:type="dxa"/>
            <w:tcBorders>
              <w:top w:val="nil"/>
              <w:left w:val="nil"/>
              <w:right w:val="nil"/>
            </w:tcBorders>
            <w:vAlign w:val="center"/>
          </w:tcPr>
          <w:p w14:paraId="45630CD2" w14:textId="77777777"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vMerge/>
            <w:tcBorders>
              <w:top w:val="nil"/>
              <w:left w:val="nil"/>
              <w:right w:val="nil"/>
            </w:tcBorders>
            <w:vAlign w:val="center"/>
            <w:hideMark/>
          </w:tcPr>
          <w:p w14:paraId="4A3BB40B" w14:textId="2D62E11E"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608" w:type="dxa"/>
            <w:vMerge/>
            <w:tcBorders>
              <w:top w:val="nil"/>
              <w:left w:val="nil"/>
              <w:right w:val="nil"/>
            </w:tcBorders>
            <w:vAlign w:val="center"/>
            <w:hideMark/>
          </w:tcPr>
          <w:p w14:paraId="6F76E734"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089" w:type="dxa"/>
            <w:vMerge/>
            <w:tcBorders>
              <w:top w:val="nil"/>
              <w:left w:val="nil"/>
              <w:right w:val="nil"/>
            </w:tcBorders>
            <w:vAlign w:val="center"/>
            <w:hideMark/>
          </w:tcPr>
          <w:p w14:paraId="3F90B498"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276" w:type="dxa"/>
            <w:vMerge/>
            <w:tcBorders>
              <w:top w:val="nil"/>
              <w:left w:val="nil"/>
              <w:right w:val="nil"/>
            </w:tcBorders>
            <w:vAlign w:val="center"/>
            <w:hideMark/>
          </w:tcPr>
          <w:p w14:paraId="2D6D0B0E"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3075" w:type="dxa"/>
            <w:tcBorders>
              <w:top w:val="nil"/>
              <w:left w:val="nil"/>
              <w:bottom w:val="single" w:sz="8" w:space="0" w:color="auto"/>
              <w:right w:val="nil"/>
            </w:tcBorders>
            <w:shd w:val="clear" w:color="000000" w:fill="FFFFFF"/>
            <w:vAlign w:val="center"/>
            <w:hideMark/>
          </w:tcPr>
          <w:p w14:paraId="4B4DD7C6"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Secondary school staff having face-to-face contact for at least 15 mins or in the same room for 2 hours with a case while infectious</w:t>
            </w:r>
          </w:p>
        </w:tc>
        <w:tc>
          <w:tcPr>
            <w:tcW w:w="1170" w:type="dxa"/>
            <w:tcBorders>
              <w:top w:val="nil"/>
              <w:left w:val="nil"/>
              <w:bottom w:val="single" w:sz="8" w:space="0" w:color="auto"/>
              <w:right w:val="nil"/>
            </w:tcBorders>
            <w:shd w:val="clear" w:color="000000" w:fill="FFFFFF"/>
            <w:noWrap/>
            <w:vAlign w:val="center"/>
            <w:hideMark/>
          </w:tcPr>
          <w:p w14:paraId="045BAFE8"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subset</w:t>
            </w:r>
          </w:p>
        </w:tc>
        <w:tc>
          <w:tcPr>
            <w:tcW w:w="1123" w:type="dxa"/>
            <w:tcBorders>
              <w:top w:val="nil"/>
              <w:left w:val="nil"/>
              <w:bottom w:val="single" w:sz="8" w:space="0" w:color="auto"/>
              <w:right w:val="nil"/>
            </w:tcBorders>
            <w:shd w:val="clear" w:color="000000" w:fill="FFFFFF"/>
            <w:vAlign w:val="center"/>
            <w:hideMark/>
          </w:tcPr>
          <w:p w14:paraId="4C781D1D"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RT-PCR and serology</w:t>
            </w:r>
          </w:p>
        </w:tc>
        <w:tc>
          <w:tcPr>
            <w:tcW w:w="850" w:type="dxa"/>
            <w:tcBorders>
              <w:top w:val="nil"/>
              <w:left w:val="nil"/>
              <w:bottom w:val="single" w:sz="8" w:space="0" w:color="auto"/>
              <w:right w:val="nil"/>
            </w:tcBorders>
            <w:shd w:val="clear" w:color="000000" w:fill="FFFFFF"/>
            <w:vAlign w:val="center"/>
            <w:hideMark/>
          </w:tcPr>
          <w:p w14:paraId="3701C677"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12</w:t>
            </w:r>
          </w:p>
        </w:tc>
        <w:tc>
          <w:tcPr>
            <w:tcW w:w="1134" w:type="dxa"/>
            <w:tcBorders>
              <w:top w:val="nil"/>
              <w:left w:val="nil"/>
              <w:bottom w:val="single" w:sz="8" w:space="0" w:color="auto"/>
              <w:right w:val="nil"/>
            </w:tcBorders>
            <w:shd w:val="clear" w:color="000000" w:fill="FFFFFF"/>
            <w:noWrap/>
            <w:vAlign w:val="center"/>
            <w:hideMark/>
          </w:tcPr>
          <w:p w14:paraId="5A279068"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96</w:t>
            </w:r>
          </w:p>
        </w:tc>
        <w:tc>
          <w:tcPr>
            <w:tcW w:w="866" w:type="dxa"/>
            <w:tcBorders>
              <w:top w:val="nil"/>
              <w:left w:val="nil"/>
              <w:bottom w:val="single" w:sz="8" w:space="0" w:color="auto"/>
              <w:right w:val="nil"/>
            </w:tcBorders>
            <w:shd w:val="clear" w:color="000000" w:fill="FFFFFF"/>
            <w:noWrap/>
            <w:vAlign w:val="center"/>
            <w:hideMark/>
          </w:tcPr>
          <w:p w14:paraId="3ADBC311"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36</w:t>
            </w:r>
          </w:p>
        </w:tc>
        <w:tc>
          <w:tcPr>
            <w:tcW w:w="996" w:type="dxa"/>
            <w:tcBorders>
              <w:top w:val="nil"/>
              <w:left w:val="nil"/>
              <w:bottom w:val="single" w:sz="8" w:space="0" w:color="auto"/>
              <w:right w:val="nil"/>
            </w:tcBorders>
            <w:shd w:val="clear" w:color="000000" w:fill="FFFFFF"/>
            <w:noWrap/>
            <w:vAlign w:val="center"/>
            <w:hideMark/>
          </w:tcPr>
          <w:p w14:paraId="1BD7427D"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w:t>
            </w:r>
          </w:p>
        </w:tc>
      </w:tr>
      <w:tr w:rsidR="000F13C3" w:rsidRPr="00410ABF" w14:paraId="1E793C78" w14:textId="77777777" w:rsidTr="00410ABF">
        <w:trPr>
          <w:trHeight w:val="821"/>
        </w:trPr>
        <w:tc>
          <w:tcPr>
            <w:tcW w:w="1163" w:type="dxa"/>
            <w:tcBorders>
              <w:top w:val="nil"/>
              <w:left w:val="nil"/>
              <w:right w:val="nil"/>
            </w:tcBorders>
            <w:vAlign w:val="center"/>
          </w:tcPr>
          <w:p w14:paraId="5D53FC16" w14:textId="77777777"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vMerge/>
            <w:tcBorders>
              <w:top w:val="nil"/>
              <w:left w:val="nil"/>
              <w:right w:val="nil"/>
            </w:tcBorders>
            <w:vAlign w:val="center"/>
            <w:hideMark/>
          </w:tcPr>
          <w:p w14:paraId="25EF9B09" w14:textId="58660829"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608" w:type="dxa"/>
            <w:vMerge/>
            <w:tcBorders>
              <w:top w:val="nil"/>
              <w:left w:val="nil"/>
              <w:right w:val="nil"/>
            </w:tcBorders>
            <w:vAlign w:val="center"/>
            <w:hideMark/>
          </w:tcPr>
          <w:p w14:paraId="741B6B7A"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089" w:type="dxa"/>
            <w:vMerge/>
            <w:tcBorders>
              <w:top w:val="nil"/>
              <w:left w:val="nil"/>
              <w:right w:val="nil"/>
            </w:tcBorders>
            <w:vAlign w:val="center"/>
            <w:hideMark/>
          </w:tcPr>
          <w:p w14:paraId="5AF724E6"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276" w:type="dxa"/>
            <w:vMerge/>
            <w:tcBorders>
              <w:top w:val="nil"/>
              <w:left w:val="nil"/>
              <w:right w:val="nil"/>
            </w:tcBorders>
            <w:vAlign w:val="center"/>
            <w:hideMark/>
          </w:tcPr>
          <w:p w14:paraId="564F75E0"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3075" w:type="dxa"/>
            <w:tcBorders>
              <w:top w:val="single" w:sz="8" w:space="0" w:color="auto"/>
              <w:left w:val="nil"/>
              <w:bottom w:val="single" w:sz="8" w:space="0" w:color="000000"/>
              <w:right w:val="nil"/>
            </w:tcBorders>
            <w:shd w:val="clear" w:color="000000" w:fill="FFFFFF"/>
            <w:vAlign w:val="center"/>
            <w:hideMark/>
          </w:tcPr>
          <w:p w14:paraId="416A08E9"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Primary school and early learning centre students having face-to-face contact for at least 15 mins or in the same room for 2 hours with a case while infectious</w:t>
            </w:r>
          </w:p>
        </w:tc>
        <w:tc>
          <w:tcPr>
            <w:tcW w:w="1170" w:type="dxa"/>
            <w:tcBorders>
              <w:top w:val="single" w:sz="8" w:space="0" w:color="auto"/>
              <w:left w:val="nil"/>
              <w:bottom w:val="single" w:sz="8" w:space="0" w:color="000000"/>
              <w:right w:val="nil"/>
            </w:tcBorders>
            <w:shd w:val="clear" w:color="000000" w:fill="FFFFFF"/>
            <w:noWrap/>
            <w:vAlign w:val="center"/>
            <w:hideMark/>
          </w:tcPr>
          <w:p w14:paraId="1BE4BA1F"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subset</w:t>
            </w:r>
          </w:p>
        </w:tc>
        <w:tc>
          <w:tcPr>
            <w:tcW w:w="1123" w:type="dxa"/>
            <w:tcBorders>
              <w:top w:val="single" w:sz="8" w:space="0" w:color="auto"/>
              <w:left w:val="nil"/>
              <w:bottom w:val="single" w:sz="8" w:space="0" w:color="000000"/>
              <w:right w:val="nil"/>
            </w:tcBorders>
            <w:shd w:val="clear" w:color="000000" w:fill="FFFFFF"/>
            <w:vAlign w:val="center"/>
            <w:hideMark/>
          </w:tcPr>
          <w:p w14:paraId="30C50B2F"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RT-PCR and serology</w:t>
            </w:r>
          </w:p>
        </w:tc>
        <w:tc>
          <w:tcPr>
            <w:tcW w:w="850" w:type="dxa"/>
            <w:tcBorders>
              <w:top w:val="single" w:sz="8" w:space="0" w:color="auto"/>
              <w:left w:val="nil"/>
              <w:bottom w:val="single" w:sz="8" w:space="0" w:color="000000"/>
              <w:right w:val="nil"/>
            </w:tcBorders>
            <w:shd w:val="clear" w:color="000000" w:fill="FFFFFF"/>
            <w:vAlign w:val="center"/>
            <w:hideMark/>
          </w:tcPr>
          <w:p w14:paraId="124ACE56"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15</w:t>
            </w:r>
          </w:p>
        </w:tc>
        <w:tc>
          <w:tcPr>
            <w:tcW w:w="1134" w:type="dxa"/>
            <w:tcBorders>
              <w:top w:val="single" w:sz="8" w:space="0" w:color="auto"/>
              <w:left w:val="nil"/>
              <w:bottom w:val="single" w:sz="8" w:space="0" w:color="000000"/>
              <w:right w:val="nil"/>
            </w:tcBorders>
            <w:shd w:val="clear" w:color="000000" w:fill="FFFFFF"/>
            <w:noWrap/>
            <w:vAlign w:val="center"/>
            <w:hideMark/>
          </w:tcPr>
          <w:p w14:paraId="5ADA7EED"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585</w:t>
            </w:r>
          </w:p>
        </w:tc>
        <w:tc>
          <w:tcPr>
            <w:tcW w:w="866" w:type="dxa"/>
            <w:tcBorders>
              <w:top w:val="single" w:sz="8" w:space="0" w:color="auto"/>
              <w:left w:val="nil"/>
              <w:bottom w:val="single" w:sz="8" w:space="0" w:color="000000"/>
              <w:right w:val="nil"/>
            </w:tcBorders>
            <w:shd w:val="clear" w:color="000000" w:fill="FFFFFF"/>
            <w:noWrap/>
            <w:vAlign w:val="center"/>
            <w:hideMark/>
          </w:tcPr>
          <w:p w14:paraId="0B442118"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182</w:t>
            </w:r>
          </w:p>
        </w:tc>
        <w:tc>
          <w:tcPr>
            <w:tcW w:w="996" w:type="dxa"/>
            <w:tcBorders>
              <w:top w:val="single" w:sz="8" w:space="0" w:color="auto"/>
              <w:left w:val="nil"/>
              <w:bottom w:val="single" w:sz="8" w:space="0" w:color="000000"/>
              <w:right w:val="nil"/>
            </w:tcBorders>
            <w:shd w:val="clear" w:color="000000" w:fill="FFFFFF"/>
            <w:noWrap/>
            <w:vAlign w:val="center"/>
            <w:hideMark/>
          </w:tcPr>
          <w:p w14:paraId="4FB644C6"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8</w:t>
            </w:r>
          </w:p>
        </w:tc>
      </w:tr>
      <w:tr w:rsidR="000F13C3" w:rsidRPr="00410ABF" w14:paraId="3731233B" w14:textId="77777777" w:rsidTr="00AE0B49">
        <w:trPr>
          <w:trHeight w:val="1133"/>
        </w:trPr>
        <w:tc>
          <w:tcPr>
            <w:tcW w:w="1163" w:type="dxa"/>
            <w:tcBorders>
              <w:top w:val="nil"/>
              <w:left w:val="nil"/>
              <w:bottom w:val="single" w:sz="4" w:space="0" w:color="auto"/>
              <w:right w:val="nil"/>
            </w:tcBorders>
            <w:vAlign w:val="center"/>
          </w:tcPr>
          <w:p w14:paraId="4A3ED616" w14:textId="77777777"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vMerge/>
            <w:tcBorders>
              <w:top w:val="nil"/>
              <w:left w:val="nil"/>
              <w:bottom w:val="single" w:sz="4" w:space="0" w:color="auto"/>
              <w:right w:val="nil"/>
            </w:tcBorders>
            <w:vAlign w:val="center"/>
            <w:hideMark/>
          </w:tcPr>
          <w:p w14:paraId="2C118796" w14:textId="5DFCE735"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608" w:type="dxa"/>
            <w:vMerge/>
            <w:tcBorders>
              <w:top w:val="nil"/>
              <w:left w:val="nil"/>
              <w:bottom w:val="single" w:sz="4" w:space="0" w:color="auto"/>
              <w:right w:val="nil"/>
            </w:tcBorders>
            <w:vAlign w:val="center"/>
            <w:hideMark/>
          </w:tcPr>
          <w:p w14:paraId="378B3D9D"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089" w:type="dxa"/>
            <w:vMerge/>
            <w:tcBorders>
              <w:top w:val="nil"/>
              <w:left w:val="nil"/>
              <w:bottom w:val="single" w:sz="4" w:space="0" w:color="auto"/>
              <w:right w:val="nil"/>
            </w:tcBorders>
            <w:vAlign w:val="center"/>
            <w:hideMark/>
          </w:tcPr>
          <w:p w14:paraId="73C78BBF"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276" w:type="dxa"/>
            <w:vMerge/>
            <w:tcBorders>
              <w:top w:val="nil"/>
              <w:left w:val="nil"/>
              <w:bottom w:val="single" w:sz="4" w:space="0" w:color="auto"/>
              <w:right w:val="nil"/>
            </w:tcBorders>
            <w:vAlign w:val="center"/>
            <w:hideMark/>
          </w:tcPr>
          <w:p w14:paraId="494904D0"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3075" w:type="dxa"/>
            <w:tcBorders>
              <w:top w:val="nil"/>
              <w:left w:val="nil"/>
              <w:bottom w:val="single" w:sz="4" w:space="0" w:color="auto"/>
              <w:right w:val="nil"/>
            </w:tcBorders>
            <w:shd w:val="clear" w:color="000000" w:fill="FFFFFF"/>
            <w:vAlign w:val="center"/>
            <w:hideMark/>
          </w:tcPr>
          <w:p w14:paraId="114A8518"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Primary school and early learning centre students having face-to-face contact for at least 15 mins or in the same room for 2 hours with a case while infectious</w:t>
            </w:r>
          </w:p>
        </w:tc>
        <w:tc>
          <w:tcPr>
            <w:tcW w:w="1170" w:type="dxa"/>
            <w:tcBorders>
              <w:top w:val="nil"/>
              <w:left w:val="nil"/>
              <w:bottom w:val="single" w:sz="4" w:space="0" w:color="auto"/>
              <w:right w:val="nil"/>
            </w:tcBorders>
            <w:shd w:val="clear" w:color="000000" w:fill="FFFFFF"/>
            <w:noWrap/>
            <w:vAlign w:val="center"/>
            <w:hideMark/>
          </w:tcPr>
          <w:p w14:paraId="72E0A1EA"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subset</w:t>
            </w:r>
          </w:p>
        </w:tc>
        <w:tc>
          <w:tcPr>
            <w:tcW w:w="1123" w:type="dxa"/>
            <w:tcBorders>
              <w:top w:val="nil"/>
              <w:left w:val="nil"/>
              <w:bottom w:val="single" w:sz="4" w:space="0" w:color="auto"/>
              <w:right w:val="nil"/>
            </w:tcBorders>
            <w:shd w:val="clear" w:color="000000" w:fill="FFFFFF"/>
            <w:vAlign w:val="center"/>
            <w:hideMark/>
          </w:tcPr>
          <w:p w14:paraId="2EB070B1"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RT-PCR and serology</w:t>
            </w:r>
          </w:p>
        </w:tc>
        <w:tc>
          <w:tcPr>
            <w:tcW w:w="850" w:type="dxa"/>
            <w:tcBorders>
              <w:top w:val="nil"/>
              <w:left w:val="nil"/>
              <w:bottom w:val="single" w:sz="4" w:space="0" w:color="auto"/>
              <w:right w:val="nil"/>
            </w:tcBorders>
            <w:shd w:val="clear" w:color="000000" w:fill="FFFFFF"/>
            <w:vAlign w:val="center"/>
            <w:hideMark/>
          </w:tcPr>
          <w:p w14:paraId="41DFF252"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15</w:t>
            </w:r>
          </w:p>
        </w:tc>
        <w:tc>
          <w:tcPr>
            <w:tcW w:w="1134" w:type="dxa"/>
            <w:tcBorders>
              <w:top w:val="nil"/>
              <w:left w:val="nil"/>
              <w:bottom w:val="single" w:sz="4" w:space="0" w:color="auto"/>
              <w:right w:val="nil"/>
            </w:tcBorders>
            <w:shd w:val="clear" w:color="000000" w:fill="FFFFFF"/>
            <w:noWrap/>
            <w:vAlign w:val="center"/>
            <w:hideMark/>
          </w:tcPr>
          <w:p w14:paraId="475FFA39"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167</w:t>
            </w:r>
          </w:p>
        </w:tc>
        <w:tc>
          <w:tcPr>
            <w:tcW w:w="866" w:type="dxa"/>
            <w:tcBorders>
              <w:top w:val="nil"/>
              <w:left w:val="nil"/>
              <w:bottom w:val="single" w:sz="4" w:space="0" w:color="auto"/>
              <w:right w:val="nil"/>
            </w:tcBorders>
            <w:shd w:val="clear" w:color="000000" w:fill="FFFFFF"/>
            <w:noWrap/>
            <w:vAlign w:val="center"/>
            <w:hideMark/>
          </w:tcPr>
          <w:p w14:paraId="480F2CA8"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63</w:t>
            </w:r>
          </w:p>
        </w:tc>
        <w:tc>
          <w:tcPr>
            <w:tcW w:w="996" w:type="dxa"/>
            <w:tcBorders>
              <w:top w:val="nil"/>
              <w:left w:val="nil"/>
              <w:bottom w:val="single" w:sz="4" w:space="0" w:color="auto"/>
              <w:right w:val="nil"/>
            </w:tcBorders>
            <w:shd w:val="clear" w:color="000000" w:fill="FFFFFF"/>
            <w:noWrap/>
            <w:vAlign w:val="center"/>
            <w:hideMark/>
          </w:tcPr>
          <w:p w14:paraId="0930FB9B"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7</w:t>
            </w:r>
          </w:p>
        </w:tc>
      </w:tr>
      <w:tr w:rsidR="000F13C3" w:rsidRPr="00410ABF" w14:paraId="05B46FD5" w14:textId="77777777" w:rsidTr="00AE0B49">
        <w:trPr>
          <w:trHeight w:val="525"/>
        </w:trPr>
        <w:tc>
          <w:tcPr>
            <w:tcW w:w="1163" w:type="dxa"/>
            <w:tcBorders>
              <w:top w:val="single" w:sz="4" w:space="0" w:color="auto"/>
              <w:left w:val="nil"/>
              <w:right w:val="nil"/>
            </w:tcBorders>
            <w:shd w:val="clear" w:color="000000" w:fill="FFFFFF"/>
          </w:tcPr>
          <w:p w14:paraId="1611DADB" w14:textId="1990A453" w:rsidR="00410ABF" w:rsidRPr="00410ABF" w:rsidRDefault="00AA5DCE" w:rsidP="00AE0B4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53</w:t>
            </w:r>
          </w:p>
        </w:tc>
        <w:tc>
          <w:tcPr>
            <w:tcW w:w="1386" w:type="dxa"/>
            <w:vMerge w:val="restart"/>
            <w:tcBorders>
              <w:top w:val="single" w:sz="4" w:space="0" w:color="auto"/>
              <w:left w:val="nil"/>
              <w:right w:val="nil"/>
            </w:tcBorders>
            <w:shd w:val="clear" w:color="000000" w:fill="FFFFFF"/>
            <w:hideMark/>
          </w:tcPr>
          <w:p w14:paraId="258D329F" w14:textId="752FC47E"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Stein-Zamir et al</w:t>
            </w:r>
            <w:r w:rsidR="00AE0B49">
              <w:rPr>
                <w:rFonts w:ascii="Calibri" w:eastAsia="Times New Roman" w:hAnsi="Calibri" w:cs="Calibri"/>
                <w:color w:val="000000"/>
                <w:sz w:val="18"/>
                <w:szCs w:val="18"/>
                <w:lang w:eastAsia="en-GB"/>
              </w:rPr>
              <w:t xml:space="preserve"> </w:t>
            </w:r>
            <w:r w:rsidR="00AE0B49">
              <w:rPr>
                <w:rFonts w:ascii="Calibri" w:eastAsia="Times New Roman" w:hAnsi="Calibri" w:cs="Calibri"/>
                <w:color w:val="000000"/>
                <w:sz w:val="18"/>
                <w:szCs w:val="18"/>
                <w:lang w:eastAsia="en-GB"/>
              </w:rPr>
              <w:fldChar w:fldCharType="begin" w:fldLock="1"/>
            </w:r>
            <w:r w:rsidR="0004151B">
              <w:rPr>
                <w:rFonts w:ascii="Calibri" w:eastAsia="Times New Roman" w:hAnsi="Calibri" w:cs="Calibri"/>
                <w:color w:val="000000"/>
                <w:sz w:val="18"/>
                <w:szCs w:val="18"/>
                <w:lang w:eastAsia="en-GB"/>
              </w:rPr>
              <w:instrText>ADDIN CSL_CITATION {"citationItems":[{"id":"ITEM-1","itemData":{"DOI":"10.2807/1560-7917.ES.2020.25.29.2001352","ISBN":"1560-7917\r1025-496X","PMID":"32720636","abstract":"On 13 March 2020, Israel's government declared closure of all schools. Schools fully reopened on 17 May 2020. Ten days later, a major outbreak of coronavirus disease (COVID-19) occurred in a high school. The first case was registered on 26 May, the second on 27 May. They were not epidemiologically linked. Testing of the complete school community revealed 153 students (attack rate: 13.2%) and 25 staff members (attack rate: 16.6%) who were COVID-19 positive.","author":[{"dropping-particle":"","family":"Stein-Zamir","given":"Chen","non-dropping-particle":"","parse-names":false,"suffix":""},{"dropping-particle":"","family":"Abramson","given":"Nitza","non-dropping-particle":"","parse-names":false,"suffix":""},{"dropping-particle":"","family":"Shoob","given":"Hanna","non-dropping-particle":"","parse-names":false,"suffix":""},{"dropping-particle":"","family":"Libal","given":"Erez","non-dropping-particle":"","parse-names":false,"suffix":""},{"dropping-particle":"","family":"Bitan","given":"Menachem","non-dropping-particle":"","parse-names":false,"suffix":""},{"dropping-particle":"","family":"Cardash","given":"Tanya","non-dropping-particle":"","parse-names":false,"suffix":""},{"dropping-particle":"","family":"Cayam","given":"Refael","non-dropping-particle":"","parse-names":false,"suffix":""},{"dropping-particle":"","family":"Miskin","given":"Ian","non-dropping-particle":"","parse-names":false,"suffix":""}],"container-title":"Euro surveillance : bulletin Europeen sur les maladies transmissibles = European communicable disease bulletin","id":"ITEM-1","issue":"29","issued":{"date-parts":[["2020"]]},"language":"eng","note":"32720636[pmid]\nPMC7384285[pmcid]","page":"2001352","publisher":"European Centre for Disease Prevention and Control (ECDC)","title":"A large COVID-19 outbreak in a high school 10 days after schools' reopening, Israel, May 2020","type":"article-journal","volume":"25"},"uris":["http://www.mendeley.com/documents/?uuid=c12644a4-058d-4212-9ac9-42ec1762ad2d"]}],"mendeley":{"formattedCitation":"[10]","plainTextFormattedCitation":"[10]","previouslyFormattedCitation":"[10]"},"properties":{"noteIndex":0},"schema":"https://github.com/citation-style-language/schema/raw/master/csl-citation.json"}</w:instrText>
            </w:r>
            <w:r w:rsidR="00AE0B49">
              <w:rPr>
                <w:rFonts w:ascii="Calibri" w:eastAsia="Times New Roman" w:hAnsi="Calibri" w:cs="Calibri"/>
                <w:color w:val="000000"/>
                <w:sz w:val="18"/>
                <w:szCs w:val="18"/>
                <w:lang w:eastAsia="en-GB"/>
              </w:rPr>
              <w:fldChar w:fldCharType="separate"/>
            </w:r>
            <w:r w:rsidR="00B058AB" w:rsidRPr="00B058AB">
              <w:rPr>
                <w:rFonts w:ascii="Calibri" w:eastAsia="Times New Roman" w:hAnsi="Calibri" w:cs="Calibri"/>
                <w:noProof/>
                <w:color w:val="000000"/>
                <w:sz w:val="18"/>
                <w:szCs w:val="18"/>
                <w:lang w:eastAsia="en-GB"/>
              </w:rPr>
              <w:t>[10]</w:t>
            </w:r>
            <w:r w:rsidR="00AE0B49">
              <w:rPr>
                <w:rFonts w:ascii="Calibri" w:eastAsia="Times New Roman" w:hAnsi="Calibri" w:cs="Calibri"/>
                <w:color w:val="000000"/>
                <w:sz w:val="18"/>
                <w:szCs w:val="18"/>
                <w:lang w:eastAsia="en-GB"/>
              </w:rPr>
              <w:fldChar w:fldCharType="end"/>
            </w:r>
          </w:p>
          <w:p w14:paraId="73215191" w14:textId="34DBC312"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w:t>
            </w:r>
          </w:p>
        </w:tc>
        <w:tc>
          <w:tcPr>
            <w:tcW w:w="1608" w:type="dxa"/>
            <w:vMerge w:val="restart"/>
            <w:tcBorders>
              <w:top w:val="single" w:sz="4" w:space="0" w:color="auto"/>
              <w:left w:val="nil"/>
              <w:right w:val="nil"/>
            </w:tcBorders>
            <w:shd w:val="clear" w:color="000000" w:fill="FFFFFF"/>
            <w:hideMark/>
          </w:tcPr>
          <w:p w14:paraId="37382191"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Jerusalem </w:t>
            </w:r>
          </w:p>
          <w:p w14:paraId="60431E49" w14:textId="7F6C84EC"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w:t>
            </w:r>
          </w:p>
        </w:tc>
        <w:tc>
          <w:tcPr>
            <w:tcW w:w="1089" w:type="dxa"/>
            <w:vMerge w:val="restart"/>
            <w:tcBorders>
              <w:top w:val="single" w:sz="4" w:space="0" w:color="auto"/>
              <w:left w:val="nil"/>
              <w:right w:val="nil"/>
            </w:tcBorders>
            <w:shd w:val="clear" w:color="000000" w:fill="FFFFFF"/>
            <w:hideMark/>
          </w:tcPr>
          <w:p w14:paraId="563CCC3E" w14:textId="77777777"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Israel</w:t>
            </w:r>
          </w:p>
          <w:p w14:paraId="09EDC50B" w14:textId="757452F1"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w:t>
            </w:r>
          </w:p>
        </w:tc>
        <w:tc>
          <w:tcPr>
            <w:tcW w:w="1276" w:type="dxa"/>
            <w:vMerge w:val="restart"/>
            <w:tcBorders>
              <w:top w:val="single" w:sz="4" w:space="0" w:color="auto"/>
              <w:left w:val="nil"/>
              <w:right w:val="nil"/>
            </w:tcBorders>
            <w:shd w:val="clear" w:color="000000" w:fill="FFFFFF"/>
            <w:hideMark/>
          </w:tcPr>
          <w:p w14:paraId="01ACE767" w14:textId="1609049D" w:rsidR="00410ABF" w:rsidRPr="00410ABF" w:rsidRDefault="00410ABF" w:rsidP="00F6420B">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Outbreak investigation and contact tracing</w:t>
            </w:r>
          </w:p>
        </w:tc>
        <w:tc>
          <w:tcPr>
            <w:tcW w:w="3075" w:type="dxa"/>
            <w:tcBorders>
              <w:top w:val="single" w:sz="4" w:space="0" w:color="auto"/>
              <w:left w:val="nil"/>
              <w:bottom w:val="single" w:sz="8" w:space="0" w:color="auto"/>
              <w:right w:val="nil"/>
            </w:tcBorders>
            <w:shd w:val="clear" w:color="auto" w:fill="auto"/>
            <w:vAlign w:val="center"/>
            <w:hideMark/>
          </w:tcPr>
          <w:p w14:paraId="61361AEE" w14:textId="4C1B0D42"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Students </w:t>
            </w:r>
            <w:r w:rsidR="00AE0B49" w:rsidRPr="00410ABF">
              <w:rPr>
                <w:rFonts w:ascii="Calibri" w:eastAsia="Times New Roman" w:hAnsi="Calibri" w:cs="Calibri"/>
                <w:color w:val="000000"/>
                <w:sz w:val="18"/>
                <w:szCs w:val="18"/>
                <w:lang w:eastAsia="en-GB"/>
              </w:rPr>
              <w:t>at</w:t>
            </w:r>
            <w:r w:rsidRPr="00410ABF">
              <w:rPr>
                <w:rFonts w:ascii="Calibri" w:eastAsia="Times New Roman" w:hAnsi="Calibri" w:cs="Calibri"/>
                <w:color w:val="000000"/>
                <w:sz w:val="18"/>
                <w:szCs w:val="18"/>
                <w:lang w:eastAsia="en-GB"/>
              </w:rPr>
              <w:t xml:space="preserve"> a high school in Jerusalem</w:t>
            </w:r>
          </w:p>
        </w:tc>
        <w:tc>
          <w:tcPr>
            <w:tcW w:w="1170" w:type="dxa"/>
            <w:tcBorders>
              <w:top w:val="single" w:sz="4" w:space="0" w:color="auto"/>
              <w:left w:val="nil"/>
              <w:bottom w:val="single" w:sz="8" w:space="0" w:color="auto"/>
              <w:right w:val="nil"/>
            </w:tcBorders>
            <w:shd w:val="clear" w:color="000000" w:fill="FFFFFF"/>
            <w:noWrap/>
            <w:vAlign w:val="center"/>
            <w:hideMark/>
          </w:tcPr>
          <w:p w14:paraId="73B4055C"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all</w:t>
            </w:r>
          </w:p>
        </w:tc>
        <w:tc>
          <w:tcPr>
            <w:tcW w:w="1123" w:type="dxa"/>
            <w:tcBorders>
              <w:top w:val="single" w:sz="4" w:space="0" w:color="auto"/>
              <w:left w:val="nil"/>
              <w:bottom w:val="single" w:sz="8" w:space="0" w:color="auto"/>
              <w:right w:val="nil"/>
            </w:tcBorders>
            <w:shd w:val="clear" w:color="000000" w:fill="FFFFFF"/>
            <w:vAlign w:val="center"/>
            <w:hideMark/>
          </w:tcPr>
          <w:p w14:paraId="5C3E96A7"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RT-PCR</w:t>
            </w:r>
          </w:p>
        </w:tc>
        <w:tc>
          <w:tcPr>
            <w:tcW w:w="850" w:type="dxa"/>
            <w:tcBorders>
              <w:top w:val="single" w:sz="4" w:space="0" w:color="auto"/>
              <w:left w:val="nil"/>
              <w:bottom w:val="single" w:sz="8" w:space="0" w:color="auto"/>
              <w:right w:val="nil"/>
            </w:tcBorders>
            <w:shd w:val="clear" w:color="000000" w:fill="FFFFFF"/>
            <w:vAlign w:val="center"/>
            <w:hideMark/>
          </w:tcPr>
          <w:p w14:paraId="682664CD" w14:textId="36F7022B" w:rsidR="00410ABF" w:rsidRPr="00410ABF" w:rsidRDefault="00410ABF" w:rsidP="00153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2</w:t>
            </w:r>
          </w:p>
        </w:tc>
        <w:tc>
          <w:tcPr>
            <w:tcW w:w="1134" w:type="dxa"/>
            <w:tcBorders>
              <w:top w:val="single" w:sz="4" w:space="0" w:color="auto"/>
              <w:left w:val="nil"/>
              <w:bottom w:val="single" w:sz="8" w:space="0" w:color="auto"/>
              <w:right w:val="nil"/>
            </w:tcBorders>
            <w:shd w:val="clear" w:color="000000" w:fill="FFFFFF"/>
            <w:noWrap/>
            <w:vAlign w:val="center"/>
            <w:hideMark/>
          </w:tcPr>
          <w:p w14:paraId="23F5E809"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1,164</w:t>
            </w:r>
          </w:p>
        </w:tc>
        <w:tc>
          <w:tcPr>
            <w:tcW w:w="866" w:type="dxa"/>
            <w:tcBorders>
              <w:top w:val="single" w:sz="4" w:space="0" w:color="auto"/>
              <w:left w:val="nil"/>
              <w:bottom w:val="single" w:sz="8" w:space="0" w:color="auto"/>
              <w:right w:val="nil"/>
            </w:tcBorders>
            <w:shd w:val="clear" w:color="000000" w:fill="FFFFFF"/>
            <w:noWrap/>
            <w:vAlign w:val="center"/>
            <w:hideMark/>
          </w:tcPr>
          <w:p w14:paraId="2BD379C3"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1,161</w:t>
            </w:r>
          </w:p>
        </w:tc>
        <w:tc>
          <w:tcPr>
            <w:tcW w:w="996" w:type="dxa"/>
            <w:tcBorders>
              <w:top w:val="single" w:sz="4" w:space="0" w:color="auto"/>
              <w:left w:val="nil"/>
              <w:bottom w:val="single" w:sz="8" w:space="0" w:color="auto"/>
              <w:right w:val="nil"/>
            </w:tcBorders>
            <w:shd w:val="clear" w:color="000000" w:fill="FFFFFF"/>
            <w:noWrap/>
            <w:vAlign w:val="center"/>
            <w:hideMark/>
          </w:tcPr>
          <w:p w14:paraId="6AF2F52B"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153</w:t>
            </w:r>
          </w:p>
        </w:tc>
      </w:tr>
      <w:tr w:rsidR="000F13C3" w:rsidRPr="00410ABF" w14:paraId="5E7C708A" w14:textId="77777777" w:rsidTr="00410ABF">
        <w:trPr>
          <w:trHeight w:val="387"/>
        </w:trPr>
        <w:tc>
          <w:tcPr>
            <w:tcW w:w="1163" w:type="dxa"/>
            <w:tcBorders>
              <w:left w:val="nil"/>
              <w:bottom w:val="single" w:sz="18" w:space="0" w:color="auto"/>
              <w:right w:val="nil"/>
            </w:tcBorders>
            <w:shd w:val="clear" w:color="000000" w:fill="FFFFFF"/>
            <w:vAlign w:val="center"/>
          </w:tcPr>
          <w:p w14:paraId="69037598" w14:textId="77777777" w:rsidR="00410ABF" w:rsidRPr="00410ABF" w:rsidRDefault="00410ABF" w:rsidP="00410ABF">
            <w:pPr>
              <w:spacing w:after="0" w:line="240" w:lineRule="auto"/>
              <w:jc w:val="center"/>
              <w:rPr>
                <w:rFonts w:ascii="Calibri" w:eastAsia="Times New Roman" w:hAnsi="Calibri" w:cs="Calibri"/>
                <w:color w:val="000000"/>
                <w:sz w:val="18"/>
                <w:szCs w:val="18"/>
                <w:lang w:eastAsia="en-GB"/>
              </w:rPr>
            </w:pPr>
          </w:p>
        </w:tc>
        <w:tc>
          <w:tcPr>
            <w:tcW w:w="1386" w:type="dxa"/>
            <w:vMerge/>
            <w:tcBorders>
              <w:left w:val="nil"/>
              <w:bottom w:val="single" w:sz="18" w:space="0" w:color="auto"/>
              <w:right w:val="nil"/>
            </w:tcBorders>
            <w:shd w:val="clear" w:color="000000" w:fill="FFFFFF"/>
            <w:vAlign w:val="center"/>
            <w:hideMark/>
          </w:tcPr>
          <w:p w14:paraId="7632DF92" w14:textId="3EF8C752"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608" w:type="dxa"/>
            <w:vMerge/>
            <w:tcBorders>
              <w:left w:val="nil"/>
              <w:bottom w:val="single" w:sz="18" w:space="0" w:color="auto"/>
              <w:right w:val="nil"/>
            </w:tcBorders>
            <w:shd w:val="clear" w:color="000000" w:fill="FFFFFF"/>
            <w:vAlign w:val="center"/>
            <w:hideMark/>
          </w:tcPr>
          <w:p w14:paraId="18B7CFCA" w14:textId="0E2EB399"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089" w:type="dxa"/>
            <w:vMerge/>
            <w:tcBorders>
              <w:left w:val="nil"/>
              <w:bottom w:val="single" w:sz="18" w:space="0" w:color="auto"/>
              <w:right w:val="nil"/>
            </w:tcBorders>
            <w:shd w:val="clear" w:color="000000" w:fill="FFFFFF"/>
            <w:vAlign w:val="center"/>
            <w:hideMark/>
          </w:tcPr>
          <w:p w14:paraId="5EAB33A6" w14:textId="1A6864EB"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1276" w:type="dxa"/>
            <w:vMerge/>
            <w:tcBorders>
              <w:left w:val="nil"/>
              <w:bottom w:val="single" w:sz="18" w:space="0" w:color="auto"/>
              <w:right w:val="nil"/>
            </w:tcBorders>
            <w:shd w:val="clear" w:color="000000" w:fill="FFFFFF"/>
            <w:vAlign w:val="center"/>
            <w:hideMark/>
          </w:tcPr>
          <w:p w14:paraId="68E95B24" w14:textId="319F20FA" w:rsidR="00410ABF" w:rsidRPr="00410ABF" w:rsidRDefault="00410ABF" w:rsidP="00596DFC">
            <w:pPr>
              <w:spacing w:after="0" w:line="240" w:lineRule="auto"/>
              <w:rPr>
                <w:rFonts w:ascii="Calibri" w:eastAsia="Times New Roman" w:hAnsi="Calibri" w:cs="Calibri"/>
                <w:color w:val="000000"/>
                <w:sz w:val="18"/>
                <w:szCs w:val="18"/>
                <w:lang w:eastAsia="en-GB"/>
              </w:rPr>
            </w:pPr>
          </w:p>
        </w:tc>
        <w:tc>
          <w:tcPr>
            <w:tcW w:w="3075" w:type="dxa"/>
            <w:tcBorders>
              <w:top w:val="nil"/>
              <w:left w:val="nil"/>
              <w:bottom w:val="single" w:sz="18" w:space="0" w:color="auto"/>
              <w:right w:val="nil"/>
            </w:tcBorders>
            <w:shd w:val="clear" w:color="auto" w:fill="auto"/>
            <w:vAlign w:val="center"/>
            <w:hideMark/>
          </w:tcPr>
          <w:p w14:paraId="5B5A6D3C" w14:textId="6642C0CC" w:rsidR="00410ABF" w:rsidRPr="00410ABF" w:rsidRDefault="00410ABF" w:rsidP="00596DFC">
            <w:pPr>
              <w:spacing w:after="0" w:line="240" w:lineRule="auto"/>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 xml:space="preserve">Staff </w:t>
            </w:r>
            <w:r w:rsidR="00AE0B49">
              <w:rPr>
                <w:rFonts w:ascii="Calibri" w:eastAsia="Times New Roman" w:hAnsi="Calibri" w:cs="Calibri"/>
                <w:color w:val="000000"/>
                <w:sz w:val="18"/>
                <w:szCs w:val="18"/>
                <w:lang w:eastAsia="en-GB"/>
              </w:rPr>
              <w:t>at</w:t>
            </w:r>
            <w:r w:rsidRPr="00410ABF">
              <w:rPr>
                <w:rFonts w:ascii="Calibri" w:eastAsia="Times New Roman" w:hAnsi="Calibri" w:cs="Calibri"/>
                <w:color w:val="000000"/>
                <w:sz w:val="18"/>
                <w:szCs w:val="18"/>
                <w:lang w:eastAsia="en-GB"/>
              </w:rPr>
              <w:t xml:space="preserve"> a high school in Jerusalem</w:t>
            </w:r>
          </w:p>
        </w:tc>
        <w:tc>
          <w:tcPr>
            <w:tcW w:w="1170" w:type="dxa"/>
            <w:tcBorders>
              <w:top w:val="nil"/>
              <w:left w:val="nil"/>
              <w:bottom w:val="single" w:sz="18" w:space="0" w:color="auto"/>
              <w:right w:val="nil"/>
            </w:tcBorders>
            <w:shd w:val="clear" w:color="000000" w:fill="FFFFFF"/>
            <w:noWrap/>
            <w:vAlign w:val="center"/>
            <w:hideMark/>
          </w:tcPr>
          <w:p w14:paraId="371D8BFC"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all</w:t>
            </w:r>
          </w:p>
        </w:tc>
        <w:tc>
          <w:tcPr>
            <w:tcW w:w="1123" w:type="dxa"/>
            <w:tcBorders>
              <w:top w:val="nil"/>
              <w:left w:val="nil"/>
              <w:bottom w:val="single" w:sz="18" w:space="0" w:color="auto"/>
              <w:right w:val="nil"/>
            </w:tcBorders>
            <w:shd w:val="clear" w:color="000000" w:fill="FFFFFF"/>
            <w:vAlign w:val="center"/>
            <w:hideMark/>
          </w:tcPr>
          <w:p w14:paraId="03901FB0" w14:textId="77777777" w:rsidR="00410ABF" w:rsidRPr="00410ABF" w:rsidRDefault="00410ABF" w:rsidP="00596DFC">
            <w:pPr>
              <w:spacing w:after="0" w:line="240" w:lineRule="auto"/>
              <w:jc w:val="center"/>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RT-PCR</w:t>
            </w:r>
          </w:p>
        </w:tc>
        <w:tc>
          <w:tcPr>
            <w:tcW w:w="850" w:type="dxa"/>
            <w:tcBorders>
              <w:top w:val="nil"/>
              <w:left w:val="nil"/>
              <w:bottom w:val="single" w:sz="18" w:space="0" w:color="auto"/>
              <w:right w:val="nil"/>
            </w:tcBorders>
            <w:shd w:val="clear" w:color="000000" w:fill="FFFFFF"/>
            <w:vAlign w:val="center"/>
            <w:hideMark/>
          </w:tcPr>
          <w:p w14:paraId="4B1C4DF2" w14:textId="3D1AF56D"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2</w:t>
            </w:r>
          </w:p>
        </w:tc>
        <w:tc>
          <w:tcPr>
            <w:tcW w:w="1134" w:type="dxa"/>
            <w:tcBorders>
              <w:top w:val="nil"/>
              <w:left w:val="nil"/>
              <w:bottom w:val="single" w:sz="18" w:space="0" w:color="auto"/>
              <w:right w:val="nil"/>
            </w:tcBorders>
            <w:shd w:val="clear" w:color="000000" w:fill="FFFFFF"/>
            <w:noWrap/>
            <w:vAlign w:val="center"/>
            <w:hideMark/>
          </w:tcPr>
          <w:p w14:paraId="17E720CC"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152</w:t>
            </w:r>
          </w:p>
        </w:tc>
        <w:tc>
          <w:tcPr>
            <w:tcW w:w="866" w:type="dxa"/>
            <w:tcBorders>
              <w:top w:val="nil"/>
              <w:left w:val="nil"/>
              <w:bottom w:val="single" w:sz="18" w:space="0" w:color="auto"/>
              <w:right w:val="nil"/>
            </w:tcBorders>
            <w:shd w:val="clear" w:color="000000" w:fill="FFFFFF"/>
            <w:noWrap/>
            <w:vAlign w:val="center"/>
            <w:hideMark/>
          </w:tcPr>
          <w:p w14:paraId="18E1EA75"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151</w:t>
            </w:r>
          </w:p>
        </w:tc>
        <w:tc>
          <w:tcPr>
            <w:tcW w:w="996" w:type="dxa"/>
            <w:tcBorders>
              <w:top w:val="nil"/>
              <w:left w:val="nil"/>
              <w:bottom w:val="single" w:sz="18" w:space="0" w:color="auto"/>
              <w:right w:val="nil"/>
            </w:tcBorders>
            <w:shd w:val="clear" w:color="000000" w:fill="FFFFFF"/>
            <w:noWrap/>
            <w:vAlign w:val="center"/>
            <w:hideMark/>
          </w:tcPr>
          <w:p w14:paraId="2DEC54C2" w14:textId="77777777" w:rsidR="00410ABF" w:rsidRPr="00410ABF" w:rsidRDefault="00410ABF" w:rsidP="00596DFC">
            <w:pPr>
              <w:spacing w:after="0" w:line="240" w:lineRule="auto"/>
              <w:jc w:val="right"/>
              <w:rPr>
                <w:rFonts w:ascii="Calibri" w:eastAsia="Times New Roman" w:hAnsi="Calibri" w:cs="Calibri"/>
                <w:color w:val="000000"/>
                <w:sz w:val="18"/>
                <w:szCs w:val="18"/>
                <w:lang w:eastAsia="en-GB"/>
              </w:rPr>
            </w:pPr>
            <w:r w:rsidRPr="00410ABF">
              <w:rPr>
                <w:rFonts w:ascii="Calibri" w:eastAsia="Times New Roman" w:hAnsi="Calibri" w:cs="Calibri"/>
                <w:color w:val="000000"/>
                <w:sz w:val="18"/>
                <w:szCs w:val="18"/>
                <w:lang w:eastAsia="en-GB"/>
              </w:rPr>
              <w:t>25</w:t>
            </w:r>
          </w:p>
        </w:tc>
      </w:tr>
    </w:tbl>
    <w:p w14:paraId="0BCE7086" w14:textId="77777777" w:rsidR="00665AEE" w:rsidRDefault="00602FA1" w:rsidP="00665AEE">
      <w:r>
        <w:t xml:space="preserve">*These studies do not report contacts from index cases but pertain to serological surveys in the school populations in the </w:t>
      </w:r>
      <w:proofErr w:type="gramStart"/>
      <w:r>
        <w:t>period of time</w:t>
      </w:r>
      <w:proofErr w:type="gramEnd"/>
      <w:r>
        <w:t xml:space="preserve"> after schools were open and as such cannot be used to estimate secondary attack rates as it is not clear where these transmission events occurred.</w:t>
      </w:r>
    </w:p>
    <w:p w14:paraId="0DC2B9CA" w14:textId="6AF31DE3" w:rsidR="00D5543F" w:rsidRPr="00665AEE" w:rsidRDefault="00D5543F" w:rsidP="00665AEE">
      <w:pPr>
        <w:sectPr w:rsidR="00D5543F" w:rsidRPr="00665AEE" w:rsidSect="00F6420B">
          <w:headerReference w:type="default" r:id="rId13"/>
          <w:footerReference w:type="default" r:id="rId14"/>
          <w:pgSz w:w="16838" w:h="11906" w:orient="landscape"/>
          <w:pgMar w:top="1440" w:right="1440" w:bottom="993" w:left="1440" w:header="709" w:footer="709" w:gutter="0"/>
          <w:cols w:space="708"/>
          <w:docGrid w:linePitch="360"/>
        </w:sectPr>
      </w:pPr>
    </w:p>
    <w:p w14:paraId="1474DA47" w14:textId="638FD9BC" w:rsidR="000F55AA" w:rsidRDefault="000F55AA" w:rsidP="000F55AA">
      <w:pPr>
        <w:pStyle w:val="Heading2"/>
        <w:rPr>
          <w:rFonts w:asciiTheme="minorHAnsi" w:hAnsiTheme="minorHAnsi" w:cstheme="minorHAnsi"/>
          <w:sz w:val="24"/>
          <w:szCs w:val="24"/>
        </w:rPr>
      </w:pPr>
      <w:r w:rsidRPr="00A80249">
        <w:rPr>
          <w:rFonts w:asciiTheme="minorHAnsi" w:hAnsiTheme="minorHAnsi" w:cstheme="minorHAnsi"/>
          <w:sz w:val="24"/>
          <w:szCs w:val="24"/>
        </w:rPr>
        <w:lastRenderedPageBreak/>
        <w:t>Workplaces</w:t>
      </w:r>
    </w:p>
    <w:p w14:paraId="2B78911B" w14:textId="6EABEABF" w:rsidR="00822DE6" w:rsidRPr="000D1FB5" w:rsidRDefault="0002039D" w:rsidP="0002039D">
      <w:pPr>
        <w:rPr>
          <w:b/>
          <w:bCs/>
          <w:sz w:val="20"/>
          <w:szCs w:val="20"/>
        </w:rPr>
      </w:pPr>
      <w:r w:rsidRPr="000D1FB5">
        <w:rPr>
          <w:b/>
          <w:bCs/>
          <w:sz w:val="20"/>
          <w:szCs w:val="20"/>
        </w:rPr>
        <w:t>Table 3. Summary of studies reporting on contacts of index cases in workplace locations</w:t>
      </w:r>
      <w:r w:rsidR="00153DFC" w:rsidRPr="000D1FB5">
        <w:rPr>
          <w:b/>
          <w:bCs/>
          <w:sz w:val="20"/>
          <w:szCs w:val="20"/>
        </w:rPr>
        <w:t xml:space="preserve">. </w:t>
      </w:r>
      <w:r w:rsidR="00153DFC" w:rsidRPr="000D1FB5">
        <w:rPr>
          <w:sz w:val="20"/>
          <w:szCs w:val="20"/>
        </w:rPr>
        <w:t xml:space="preserve">Where index cases were not broken down by exposure location the study level number of index cases is provided. </w:t>
      </w:r>
      <w:r w:rsidRPr="000D1FB5">
        <w:rPr>
          <w:b/>
          <w:bCs/>
          <w:sz w:val="20"/>
          <w:szCs w:val="20"/>
        </w:rPr>
        <w:t xml:space="preserve"> </w:t>
      </w:r>
    </w:p>
    <w:tbl>
      <w:tblPr>
        <w:tblW w:w="15877" w:type="dxa"/>
        <w:tblInd w:w="-993" w:type="dxa"/>
        <w:tblLook w:val="04A0" w:firstRow="1" w:lastRow="0" w:firstColumn="1" w:lastColumn="0" w:noHBand="0" w:noVBand="1"/>
      </w:tblPr>
      <w:tblGrid>
        <w:gridCol w:w="936"/>
        <w:gridCol w:w="1002"/>
        <w:gridCol w:w="1294"/>
        <w:gridCol w:w="1038"/>
        <w:gridCol w:w="2414"/>
        <w:gridCol w:w="2890"/>
        <w:gridCol w:w="1276"/>
        <w:gridCol w:w="1134"/>
        <w:gridCol w:w="958"/>
        <w:gridCol w:w="993"/>
        <w:gridCol w:w="992"/>
        <w:gridCol w:w="996"/>
      </w:tblGrid>
      <w:tr w:rsidR="000F13C3" w:rsidRPr="00AE0B49" w14:paraId="0D7BB52A" w14:textId="77777777" w:rsidTr="00AE0B49">
        <w:trPr>
          <w:trHeight w:val="434"/>
        </w:trPr>
        <w:tc>
          <w:tcPr>
            <w:tcW w:w="983" w:type="dxa"/>
            <w:tcBorders>
              <w:top w:val="single" w:sz="18" w:space="0" w:color="auto"/>
              <w:left w:val="nil"/>
              <w:bottom w:val="single" w:sz="18" w:space="0" w:color="auto"/>
              <w:right w:val="nil"/>
            </w:tcBorders>
            <w:shd w:val="clear" w:color="000000" w:fill="FFFFFF"/>
            <w:vAlign w:val="center"/>
          </w:tcPr>
          <w:p w14:paraId="21750640" w14:textId="7CCAB2EE" w:rsidR="00AE0B49" w:rsidRPr="00AE0B49" w:rsidRDefault="00AE0B49" w:rsidP="00AE0B49">
            <w:pPr>
              <w:spacing w:after="0" w:line="240" w:lineRule="auto"/>
              <w:jc w:val="center"/>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Main text reference number</w:t>
            </w:r>
          </w:p>
        </w:tc>
        <w:tc>
          <w:tcPr>
            <w:tcW w:w="1002" w:type="dxa"/>
            <w:tcBorders>
              <w:top w:val="single" w:sz="18" w:space="0" w:color="auto"/>
              <w:left w:val="nil"/>
              <w:bottom w:val="single" w:sz="18" w:space="0" w:color="auto"/>
              <w:right w:val="nil"/>
            </w:tcBorders>
            <w:shd w:val="clear" w:color="000000" w:fill="FFFFFF"/>
            <w:vAlign w:val="center"/>
            <w:hideMark/>
          </w:tcPr>
          <w:p w14:paraId="2D09ED92" w14:textId="18341778" w:rsidR="00AE0B49" w:rsidRPr="00AE0B49" w:rsidRDefault="00AE0B49" w:rsidP="00CD0DB3">
            <w:pPr>
              <w:spacing w:after="0" w:line="240" w:lineRule="auto"/>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Author</w:t>
            </w:r>
          </w:p>
        </w:tc>
        <w:tc>
          <w:tcPr>
            <w:tcW w:w="1294" w:type="dxa"/>
            <w:tcBorders>
              <w:top w:val="single" w:sz="18" w:space="0" w:color="auto"/>
              <w:left w:val="nil"/>
              <w:bottom w:val="single" w:sz="18" w:space="0" w:color="auto"/>
              <w:right w:val="nil"/>
            </w:tcBorders>
            <w:shd w:val="clear" w:color="000000" w:fill="FFFFFF"/>
            <w:vAlign w:val="center"/>
            <w:hideMark/>
          </w:tcPr>
          <w:p w14:paraId="70EBBF92" w14:textId="77777777" w:rsidR="00AE0B49" w:rsidRPr="00AE0B49" w:rsidRDefault="00AE0B49" w:rsidP="00CD0DB3">
            <w:pPr>
              <w:spacing w:after="0" w:line="240" w:lineRule="auto"/>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Region</w:t>
            </w:r>
          </w:p>
        </w:tc>
        <w:tc>
          <w:tcPr>
            <w:tcW w:w="1038" w:type="dxa"/>
            <w:tcBorders>
              <w:top w:val="single" w:sz="18" w:space="0" w:color="auto"/>
              <w:left w:val="nil"/>
              <w:bottom w:val="single" w:sz="18" w:space="0" w:color="auto"/>
              <w:right w:val="nil"/>
            </w:tcBorders>
            <w:shd w:val="clear" w:color="000000" w:fill="FFFFFF"/>
            <w:vAlign w:val="center"/>
            <w:hideMark/>
          </w:tcPr>
          <w:p w14:paraId="1F213376" w14:textId="77777777" w:rsidR="00AE0B49" w:rsidRPr="00AE0B49" w:rsidRDefault="00AE0B49" w:rsidP="00CD0DB3">
            <w:pPr>
              <w:spacing w:after="0" w:line="240" w:lineRule="auto"/>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Country</w:t>
            </w:r>
          </w:p>
        </w:tc>
        <w:tc>
          <w:tcPr>
            <w:tcW w:w="2414" w:type="dxa"/>
            <w:tcBorders>
              <w:top w:val="single" w:sz="18" w:space="0" w:color="auto"/>
              <w:left w:val="nil"/>
              <w:bottom w:val="single" w:sz="18" w:space="0" w:color="auto"/>
              <w:right w:val="nil"/>
            </w:tcBorders>
            <w:shd w:val="clear" w:color="000000" w:fill="FFFFFF"/>
            <w:vAlign w:val="center"/>
            <w:hideMark/>
          </w:tcPr>
          <w:p w14:paraId="57BFED3D" w14:textId="77777777" w:rsidR="00AE0B49" w:rsidRPr="00AE0B49" w:rsidRDefault="00AE0B49" w:rsidP="00CD0DB3">
            <w:pPr>
              <w:spacing w:after="0" w:line="240" w:lineRule="auto"/>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Study design</w:t>
            </w:r>
          </w:p>
        </w:tc>
        <w:tc>
          <w:tcPr>
            <w:tcW w:w="2890" w:type="dxa"/>
            <w:tcBorders>
              <w:top w:val="single" w:sz="18" w:space="0" w:color="auto"/>
              <w:left w:val="nil"/>
              <w:bottom w:val="single" w:sz="18" w:space="0" w:color="auto"/>
              <w:right w:val="nil"/>
            </w:tcBorders>
            <w:shd w:val="clear" w:color="000000" w:fill="FFFFFF"/>
            <w:vAlign w:val="center"/>
            <w:hideMark/>
          </w:tcPr>
          <w:p w14:paraId="78FD1FEA" w14:textId="77777777" w:rsidR="00AE0B49" w:rsidRPr="00AE0B49" w:rsidRDefault="00AE0B49" w:rsidP="00CD0DB3">
            <w:pPr>
              <w:spacing w:after="0" w:line="240" w:lineRule="auto"/>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Contact definition</w:t>
            </w:r>
          </w:p>
        </w:tc>
        <w:tc>
          <w:tcPr>
            <w:tcW w:w="1276" w:type="dxa"/>
            <w:tcBorders>
              <w:top w:val="single" w:sz="18" w:space="0" w:color="auto"/>
              <w:left w:val="nil"/>
              <w:bottom w:val="single" w:sz="18" w:space="0" w:color="auto"/>
              <w:right w:val="nil"/>
            </w:tcBorders>
            <w:shd w:val="clear" w:color="000000" w:fill="FFFFFF"/>
            <w:vAlign w:val="center"/>
            <w:hideMark/>
          </w:tcPr>
          <w:p w14:paraId="21BE3D49" w14:textId="77777777" w:rsidR="00AE0B49" w:rsidRPr="00AE0B49" w:rsidRDefault="00AE0B49" w:rsidP="00CD0DB3">
            <w:pPr>
              <w:spacing w:after="0" w:line="240" w:lineRule="auto"/>
              <w:jc w:val="center"/>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Testing strategy</w:t>
            </w:r>
          </w:p>
        </w:tc>
        <w:tc>
          <w:tcPr>
            <w:tcW w:w="1134" w:type="dxa"/>
            <w:tcBorders>
              <w:top w:val="single" w:sz="18" w:space="0" w:color="auto"/>
              <w:left w:val="nil"/>
              <w:bottom w:val="single" w:sz="18" w:space="0" w:color="auto"/>
              <w:right w:val="nil"/>
            </w:tcBorders>
            <w:shd w:val="clear" w:color="000000" w:fill="FFFFFF"/>
            <w:vAlign w:val="center"/>
            <w:hideMark/>
          </w:tcPr>
          <w:p w14:paraId="1A41D4F1" w14:textId="77777777" w:rsidR="00AE0B49" w:rsidRPr="00AE0B49" w:rsidRDefault="00AE0B49" w:rsidP="00CD0DB3">
            <w:pPr>
              <w:spacing w:after="0" w:line="240" w:lineRule="auto"/>
              <w:jc w:val="center"/>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Testing method</w:t>
            </w:r>
          </w:p>
        </w:tc>
        <w:tc>
          <w:tcPr>
            <w:tcW w:w="869" w:type="dxa"/>
            <w:tcBorders>
              <w:top w:val="single" w:sz="18" w:space="0" w:color="auto"/>
              <w:left w:val="nil"/>
              <w:bottom w:val="single" w:sz="18" w:space="0" w:color="auto"/>
              <w:right w:val="nil"/>
            </w:tcBorders>
            <w:shd w:val="clear" w:color="000000" w:fill="FFFFFF"/>
            <w:vAlign w:val="center"/>
            <w:hideMark/>
          </w:tcPr>
          <w:p w14:paraId="6A92D699" w14:textId="77777777" w:rsidR="00AE0B49" w:rsidRPr="00AE0B49" w:rsidRDefault="00AE0B49" w:rsidP="00CD0DB3">
            <w:pPr>
              <w:spacing w:after="0" w:line="240" w:lineRule="auto"/>
              <w:jc w:val="right"/>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Index cases</w:t>
            </w:r>
          </w:p>
        </w:tc>
        <w:tc>
          <w:tcPr>
            <w:tcW w:w="993" w:type="dxa"/>
            <w:tcBorders>
              <w:top w:val="single" w:sz="18" w:space="0" w:color="auto"/>
              <w:left w:val="nil"/>
              <w:bottom w:val="single" w:sz="18" w:space="0" w:color="auto"/>
              <w:right w:val="nil"/>
            </w:tcBorders>
            <w:shd w:val="clear" w:color="000000" w:fill="FFFFFF"/>
            <w:vAlign w:val="center"/>
            <w:hideMark/>
          </w:tcPr>
          <w:p w14:paraId="1E3F9C80" w14:textId="77777777" w:rsidR="00AE0B49" w:rsidRPr="00AE0B49" w:rsidRDefault="00AE0B49" w:rsidP="00CD0DB3">
            <w:pPr>
              <w:spacing w:after="0" w:line="240" w:lineRule="auto"/>
              <w:jc w:val="right"/>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Contacts traced</w:t>
            </w:r>
          </w:p>
        </w:tc>
        <w:tc>
          <w:tcPr>
            <w:tcW w:w="992" w:type="dxa"/>
            <w:tcBorders>
              <w:top w:val="single" w:sz="18" w:space="0" w:color="auto"/>
              <w:left w:val="nil"/>
              <w:bottom w:val="single" w:sz="18" w:space="0" w:color="auto"/>
              <w:right w:val="nil"/>
            </w:tcBorders>
            <w:shd w:val="clear" w:color="000000" w:fill="FFFFFF"/>
            <w:vAlign w:val="center"/>
            <w:hideMark/>
          </w:tcPr>
          <w:p w14:paraId="0963AA14" w14:textId="77777777" w:rsidR="00AE0B49" w:rsidRPr="00AE0B49" w:rsidRDefault="00AE0B49" w:rsidP="00CD0DB3">
            <w:pPr>
              <w:spacing w:after="0" w:line="240" w:lineRule="auto"/>
              <w:jc w:val="right"/>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Contacts tested</w:t>
            </w:r>
          </w:p>
        </w:tc>
        <w:tc>
          <w:tcPr>
            <w:tcW w:w="992" w:type="dxa"/>
            <w:tcBorders>
              <w:top w:val="single" w:sz="18" w:space="0" w:color="auto"/>
              <w:left w:val="nil"/>
              <w:bottom w:val="single" w:sz="18" w:space="0" w:color="auto"/>
              <w:right w:val="nil"/>
            </w:tcBorders>
            <w:shd w:val="clear" w:color="000000" w:fill="FFFFFF"/>
            <w:vAlign w:val="center"/>
            <w:hideMark/>
          </w:tcPr>
          <w:p w14:paraId="4F8070FF" w14:textId="77777777" w:rsidR="00AE0B49" w:rsidRPr="00AE0B49" w:rsidRDefault="00AE0B49" w:rsidP="00CD0DB3">
            <w:pPr>
              <w:spacing w:after="0" w:line="240" w:lineRule="auto"/>
              <w:jc w:val="right"/>
              <w:rPr>
                <w:rFonts w:ascii="Calibri" w:eastAsia="Times New Roman" w:hAnsi="Calibri" w:cs="Calibri"/>
                <w:b/>
                <w:bCs/>
                <w:color w:val="000000"/>
                <w:sz w:val="18"/>
                <w:szCs w:val="18"/>
                <w:lang w:eastAsia="en-GB"/>
              </w:rPr>
            </w:pPr>
            <w:r w:rsidRPr="00AE0B49">
              <w:rPr>
                <w:rFonts w:ascii="Calibri" w:eastAsia="Times New Roman" w:hAnsi="Calibri" w:cs="Calibri"/>
                <w:b/>
                <w:bCs/>
                <w:color w:val="000000"/>
                <w:sz w:val="18"/>
                <w:szCs w:val="18"/>
                <w:lang w:eastAsia="en-GB"/>
              </w:rPr>
              <w:t>Secondary cases</w:t>
            </w:r>
          </w:p>
        </w:tc>
      </w:tr>
      <w:tr w:rsidR="004E7F1D" w:rsidRPr="00AE0B49" w14:paraId="2E532FE7" w14:textId="77777777" w:rsidTr="00AE0B49">
        <w:trPr>
          <w:trHeight w:val="484"/>
        </w:trPr>
        <w:tc>
          <w:tcPr>
            <w:tcW w:w="983" w:type="dxa"/>
            <w:tcBorders>
              <w:top w:val="single" w:sz="18" w:space="0" w:color="auto"/>
              <w:left w:val="nil"/>
              <w:bottom w:val="single" w:sz="8" w:space="0" w:color="auto"/>
              <w:right w:val="nil"/>
            </w:tcBorders>
            <w:shd w:val="clear" w:color="000000" w:fill="FFFFFF"/>
            <w:vAlign w:val="center"/>
          </w:tcPr>
          <w:p w14:paraId="3123DD93" w14:textId="7AEAA14B" w:rsidR="00AE0B49" w:rsidRPr="00AE0B49" w:rsidRDefault="00ED69B5" w:rsidP="00AE0B4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31</w:t>
            </w:r>
          </w:p>
        </w:tc>
        <w:tc>
          <w:tcPr>
            <w:tcW w:w="1002" w:type="dxa"/>
            <w:tcBorders>
              <w:top w:val="single" w:sz="18" w:space="0" w:color="auto"/>
              <w:left w:val="nil"/>
              <w:bottom w:val="single" w:sz="8" w:space="0" w:color="auto"/>
              <w:right w:val="nil"/>
            </w:tcBorders>
            <w:shd w:val="clear" w:color="000000" w:fill="FFFFFF"/>
            <w:noWrap/>
            <w:vAlign w:val="center"/>
            <w:hideMark/>
          </w:tcPr>
          <w:p w14:paraId="5DE1CD85" w14:textId="56F5AF01"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Chaw et al</w:t>
            </w:r>
            <w:r w:rsidR="005C0D1A">
              <w:rPr>
                <w:rFonts w:ascii="Calibri" w:eastAsia="Times New Roman" w:hAnsi="Calibri" w:cs="Calibri"/>
                <w:color w:val="000000"/>
                <w:sz w:val="18"/>
                <w:szCs w:val="18"/>
                <w:lang w:eastAsia="en-GB"/>
              </w:rPr>
              <w:t xml:space="preserve"> </w:t>
            </w:r>
            <w:r w:rsidR="005C0D1A">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rsidR="005C0D1A">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[18]</w:t>
            </w:r>
            <w:r w:rsidR="005C0D1A">
              <w:rPr>
                <w:rFonts w:ascii="Calibri" w:eastAsia="Times New Roman" w:hAnsi="Calibri" w:cs="Calibri"/>
                <w:color w:val="000000"/>
                <w:sz w:val="18"/>
                <w:szCs w:val="18"/>
                <w:lang w:eastAsia="en-GB"/>
              </w:rPr>
              <w:fldChar w:fldCharType="end"/>
            </w:r>
          </w:p>
        </w:tc>
        <w:tc>
          <w:tcPr>
            <w:tcW w:w="1294" w:type="dxa"/>
            <w:tcBorders>
              <w:top w:val="single" w:sz="18" w:space="0" w:color="auto"/>
              <w:left w:val="nil"/>
              <w:bottom w:val="single" w:sz="8" w:space="0" w:color="auto"/>
              <w:right w:val="nil"/>
            </w:tcBorders>
            <w:shd w:val="clear" w:color="000000" w:fill="FFFFFF"/>
            <w:vAlign w:val="center"/>
            <w:hideMark/>
          </w:tcPr>
          <w:p w14:paraId="3A96492C"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Not specified</w:t>
            </w:r>
          </w:p>
        </w:tc>
        <w:tc>
          <w:tcPr>
            <w:tcW w:w="1038" w:type="dxa"/>
            <w:tcBorders>
              <w:top w:val="single" w:sz="18" w:space="0" w:color="auto"/>
              <w:left w:val="nil"/>
              <w:bottom w:val="single" w:sz="8" w:space="0" w:color="auto"/>
              <w:right w:val="nil"/>
            </w:tcBorders>
            <w:shd w:val="clear" w:color="000000" w:fill="FFFFFF"/>
            <w:vAlign w:val="center"/>
            <w:hideMark/>
          </w:tcPr>
          <w:p w14:paraId="3281FF5E"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Brunei</w:t>
            </w:r>
          </w:p>
        </w:tc>
        <w:tc>
          <w:tcPr>
            <w:tcW w:w="2414" w:type="dxa"/>
            <w:tcBorders>
              <w:top w:val="single" w:sz="18" w:space="0" w:color="auto"/>
              <w:left w:val="nil"/>
              <w:bottom w:val="single" w:sz="8" w:space="0" w:color="auto"/>
              <w:right w:val="nil"/>
            </w:tcBorders>
            <w:shd w:val="clear" w:color="000000" w:fill="FFFFFF"/>
            <w:vAlign w:val="center"/>
            <w:hideMark/>
          </w:tcPr>
          <w:p w14:paraId="402E7F95"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Cluster investigation and contact tracing</w:t>
            </w:r>
          </w:p>
        </w:tc>
        <w:tc>
          <w:tcPr>
            <w:tcW w:w="2890" w:type="dxa"/>
            <w:tcBorders>
              <w:top w:val="single" w:sz="18" w:space="0" w:color="auto"/>
              <w:left w:val="nil"/>
              <w:bottom w:val="single" w:sz="8" w:space="0" w:color="auto"/>
              <w:right w:val="nil"/>
            </w:tcBorders>
            <w:shd w:val="clear" w:color="000000" w:fill="FFFFFF"/>
            <w:vAlign w:val="center"/>
            <w:hideMark/>
          </w:tcPr>
          <w:p w14:paraId="52E14714" w14:textId="599BFB7D"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Contacts encountered in the workplace</w:t>
            </w:r>
          </w:p>
        </w:tc>
        <w:tc>
          <w:tcPr>
            <w:tcW w:w="1276" w:type="dxa"/>
            <w:tcBorders>
              <w:top w:val="single" w:sz="18" w:space="0" w:color="auto"/>
              <w:left w:val="nil"/>
              <w:bottom w:val="single" w:sz="8" w:space="0" w:color="auto"/>
              <w:right w:val="nil"/>
            </w:tcBorders>
            <w:shd w:val="clear" w:color="000000" w:fill="FFFFFF"/>
            <w:noWrap/>
            <w:vAlign w:val="center"/>
            <w:hideMark/>
          </w:tcPr>
          <w:p w14:paraId="27709CD7"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single" w:sz="18" w:space="0" w:color="auto"/>
              <w:left w:val="nil"/>
              <w:bottom w:val="single" w:sz="8" w:space="0" w:color="auto"/>
              <w:right w:val="nil"/>
            </w:tcBorders>
            <w:shd w:val="clear" w:color="000000" w:fill="FFFFFF"/>
            <w:noWrap/>
            <w:vAlign w:val="center"/>
            <w:hideMark/>
          </w:tcPr>
          <w:p w14:paraId="263D9E07"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single" w:sz="18" w:space="0" w:color="auto"/>
              <w:left w:val="nil"/>
              <w:bottom w:val="single" w:sz="8" w:space="0" w:color="auto"/>
              <w:right w:val="nil"/>
            </w:tcBorders>
            <w:shd w:val="clear" w:color="000000" w:fill="FFFFFF"/>
            <w:vAlign w:val="center"/>
            <w:hideMark/>
          </w:tcPr>
          <w:p w14:paraId="24E435AE"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19</w:t>
            </w:r>
          </w:p>
        </w:tc>
        <w:tc>
          <w:tcPr>
            <w:tcW w:w="993" w:type="dxa"/>
            <w:tcBorders>
              <w:top w:val="single" w:sz="18" w:space="0" w:color="auto"/>
              <w:left w:val="nil"/>
              <w:bottom w:val="single" w:sz="8" w:space="0" w:color="auto"/>
              <w:right w:val="nil"/>
            </w:tcBorders>
            <w:shd w:val="clear" w:color="000000" w:fill="FFFFFF"/>
            <w:noWrap/>
            <w:vAlign w:val="center"/>
            <w:hideMark/>
          </w:tcPr>
          <w:p w14:paraId="61EC2475"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848</w:t>
            </w:r>
          </w:p>
        </w:tc>
        <w:tc>
          <w:tcPr>
            <w:tcW w:w="992" w:type="dxa"/>
            <w:tcBorders>
              <w:top w:val="single" w:sz="18" w:space="0" w:color="auto"/>
              <w:left w:val="nil"/>
              <w:bottom w:val="single" w:sz="8" w:space="0" w:color="auto"/>
              <w:right w:val="nil"/>
            </w:tcBorders>
            <w:shd w:val="clear" w:color="000000" w:fill="FFFFFF"/>
            <w:noWrap/>
            <w:vAlign w:val="center"/>
            <w:hideMark/>
          </w:tcPr>
          <w:p w14:paraId="3B3F8AF3"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848</w:t>
            </w:r>
          </w:p>
        </w:tc>
        <w:tc>
          <w:tcPr>
            <w:tcW w:w="992" w:type="dxa"/>
            <w:tcBorders>
              <w:top w:val="single" w:sz="18" w:space="0" w:color="auto"/>
              <w:left w:val="nil"/>
              <w:bottom w:val="single" w:sz="8" w:space="0" w:color="auto"/>
              <w:right w:val="nil"/>
            </w:tcBorders>
            <w:shd w:val="clear" w:color="000000" w:fill="FFFFFF"/>
            <w:noWrap/>
            <w:vAlign w:val="center"/>
            <w:hideMark/>
          </w:tcPr>
          <w:p w14:paraId="0FC25C14"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6</w:t>
            </w:r>
          </w:p>
        </w:tc>
      </w:tr>
      <w:tr w:rsidR="000F13C3" w:rsidRPr="00AE0B49" w14:paraId="3F98C722" w14:textId="77777777" w:rsidTr="000C40FD">
        <w:trPr>
          <w:trHeight w:val="354"/>
        </w:trPr>
        <w:tc>
          <w:tcPr>
            <w:tcW w:w="983" w:type="dxa"/>
            <w:tcBorders>
              <w:top w:val="nil"/>
              <w:left w:val="nil"/>
              <w:bottom w:val="single" w:sz="8" w:space="0" w:color="auto"/>
              <w:right w:val="nil"/>
            </w:tcBorders>
            <w:shd w:val="clear" w:color="000000" w:fill="FFFFFF"/>
            <w:vAlign w:val="center"/>
          </w:tcPr>
          <w:p w14:paraId="0CE5820F" w14:textId="163ABB6D" w:rsidR="00AE0B49" w:rsidRPr="00AE0B49" w:rsidRDefault="005C0D1A" w:rsidP="00AE0B4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w:t>
            </w:r>
            <w:r w:rsidR="00ED69B5">
              <w:rPr>
                <w:rFonts w:ascii="Calibri" w:eastAsia="Times New Roman" w:hAnsi="Calibri" w:cs="Calibri"/>
                <w:color w:val="000000"/>
                <w:sz w:val="18"/>
                <w:szCs w:val="18"/>
                <w:lang w:eastAsia="en-GB"/>
              </w:rPr>
              <w:t>9</w:t>
            </w:r>
          </w:p>
        </w:tc>
        <w:tc>
          <w:tcPr>
            <w:tcW w:w="1002" w:type="dxa"/>
            <w:tcBorders>
              <w:top w:val="nil"/>
              <w:left w:val="nil"/>
              <w:bottom w:val="single" w:sz="8" w:space="0" w:color="auto"/>
              <w:right w:val="nil"/>
            </w:tcBorders>
            <w:shd w:val="clear" w:color="000000" w:fill="FFFFFF"/>
            <w:noWrap/>
            <w:vAlign w:val="center"/>
            <w:hideMark/>
          </w:tcPr>
          <w:p w14:paraId="48617314" w14:textId="4633503D"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Chen et al</w:t>
            </w:r>
            <w:r w:rsidR="005C0D1A">
              <w:rPr>
                <w:rFonts w:ascii="Calibri" w:eastAsia="Times New Roman" w:hAnsi="Calibri" w:cs="Calibri"/>
                <w:color w:val="000000"/>
                <w:sz w:val="18"/>
                <w:szCs w:val="18"/>
                <w:lang w:eastAsia="en-GB"/>
              </w:rPr>
              <w:t xml:space="preserve"> </w:t>
            </w:r>
            <w:r w:rsidR="005C0D1A">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10.3760/cma.j.cn112338-20200304-00251","author":[{"dropping-particle":"","family":"Chen","given":"Yi","non-dropping-particle":"","parse-names":false,"suffix":""},{"dropping-particle":"","family":"Wang","given":"Aihong","non-dropping-particle":"","parse-names":false,"suffix":""},{"dropping-particle":"","family":"Yi","given":"Bo","non-dropping-particle":"","parse-names":false,"suffix":""},{"dropping-particle":"","family":"Ding","given":"Keqin","non-dropping-particle":"","parse-names":false,"suffix":""},{"dropping-particle":"","family":"Wang","given":"Haibo","non-dropping-particle":"","parse-names":false,"suffix":""},{"dropping-particle":"","family":"Wang","given":"Jianmei","non-dropping-particle":"","parse-names":false,"suffix":""},{"dropping-particle":"","family":"Shi","given":"Hongbo","non-dropping-particle":"","parse-names":false,"suffix":""},{"dropping-particle":"","family":"Wang","given":"Sijia","non-dropping-particle":"","parse-names":false,"suffix":""},{"dropping-particle":"","family":"Xu","given":"Guozhang","non-dropping-particle":"","parse-names":false,"suffix":""}],"container-title":"Chinese Journal of Epidemiology","id":"ITEM-1","issued":{"date-parts":[["2020"]]},"title":"Epidemiological analysis of infection among close contacts of novel coronavirus pneumonia in Ningbo","type":"article-journal","volume":"41"},"uris":["http://www.mendeley.com/documents/?uuid=978fb15b-8773-4e7b-a513-1fd6611718ea"]}],"mendeley":{"formattedCitation":"[28]","plainTextFormattedCitation":"[28]","previouslyFormattedCitation":"[30]"},"properties":{"noteIndex":0},"schema":"https://github.com/citation-style-language/schema/raw/master/csl-citation.json"}</w:instrText>
            </w:r>
            <w:r w:rsidR="005C0D1A">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[28]</w:t>
            </w:r>
            <w:r w:rsidR="005C0D1A">
              <w:rPr>
                <w:rFonts w:ascii="Calibri" w:eastAsia="Times New Roman" w:hAnsi="Calibri" w:cs="Calibri"/>
                <w:color w:val="000000"/>
                <w:sz w:val="18"/>
                <w:szCs w:val="18"/>
                <w:lang w:eastAsia="en-GB"/>
              </w:rPr>
              <w:fldChar w:fldCharType="end"/>
            </w:r>
          </w:p>
        </w:tc>
        <w:tc>
          <w:tcPr>
            <w:tcW w:w="1294" w:type="dxa"/>
            <w:tcBorders>
              <w:top w:val="nil"/>
              <w:left w:val="nil"/>
              <w:bottom w:val="single" w:sz="8" w:space="0" w:color="auto"/>
              <w:right w:val="nil"/>
            </w:tcBorders>
            <w:shd w:val="clear" w:color="000000" w:fill="FFFFFF"/>
            <w:noWrap/>
            <w:vAlign w:val="center"/>
            <w:hideMark/>
          </w:tcPr>
          <w:p w14:paraId="5D88AF04"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Ningbo</w:t>
            </w:r>
          </w:p>
        </w:tc>
        <w:tc>
          <w:tcPr>
            <w:tcW w:w="1038" w:type="dxa"/>
            <w:tcBorders>
              <w:top w:val="nil"/>
              <w:left w:val="nil"/>
              <w:bottom w:val="single" w:sz="8" w:space="0" w:color="auto"/>
              <w:right w:val="nil"/>
            </w:tcBorders>
            <w:shd w:val="clear" w:color="000000" w:fill="FFFFFF"/>
            <w:noWrap/>
            <w:vAlign w:val="center"/>
            <w:hideMark/>
          </w:tcPr>
          <w:p w14:paraId="5FAF03BE"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China</w:t>
            </w:r>
          </w:p>
        </w:tc>
        <w:tc>
          <w:tcPr>
            <w:tcW w:w="2414" w:type="dxa"/>
            <w:tcBorders>
              <w:top w:val="nil"/>
              <w:left w:val="nil"/>
              <w:bottom w:val="single" w:sz="8" w:space="0" w:color="auto"/>
              <w:right w:val="nil"/>
            </w:tcBorders>
            <w:shd w:val="clear" w:color="000000" w:fill="FFFFFF"/>
            <w:vAlign w:val="center"/>
            <w:hideMark/>
          </w:tcPr>
          <w:p w14:paraId="582F8150"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Surveillance and contact tracing</w:t>
            </w:r>
          </w:p>
        </w:tc>
        <w:tc>
          <w:tcPr>
            <w:tcW w:w="2890" w:type="dxa"/>
            <w:tcBorders>
              <w:top w:val="nil"/>
              <w:left w:val="nil"/>
              <w:bottom w:val="single" w:sz="8" w:space="0" w:color="auto"/>
              <w:right w:val="nil"/>
            </w:tcBorders>
            <w:shd w:val="clear" w:color="000000" w:fill="FFFFFF"/>
            <w:noWrap/>
            <w:vAlign w:val="center"/>
            <w:hideMark/>
          </w:tcPr>
          <w:p w14:paraId="3180CC7B" w14:textId="4A203129"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Work</w:t>
            </w:r>
          </w:p>
        </w:tc>
        <w:tc>
          <w:tcPr>
            <w:tcW w:w="1276" w:type="dxa"/>
            <w:tcBorders>
              <w:top w:val="nil"/>
              <w:left w:val="nil"/>
              <w:bottom w:val="single" w:sz="8" w:space="0" w:color="auto"/>
              <w:right w:val="nil"/>
            </w:tcBorders>
            <w:shd w:val="clear" w:color="000000" w:fill="FFFFFF"/>
            <w:noWrap/>
            <w:vAlign w:val="center"/>
            <w:hideMark/>
          </w:tcPr>
          <w:p w14:paraId="35314C2C"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noWrap/>
            <w:vAlign w:val="center"/>
            <w:hideMark/>
          </w:tcPr>
          <w:p w14:paraId="3F440462"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2F68F99F"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187</w:t>
            </w:r>
          </w:p>
        </w:tc>
        <w:tc>
          <w:tcPr>
            <w:tcW w:w="993" w:type="dxa"/>
            <w:tcBorders>
              <w:top w:val="nil"/>
              <w:left w:val="nil"/>
              <w:bottom w:val="single" w:sz="8" w:space="0" w:color="auto"/>
              <w:right w:val="nil"/>
            </w:tcBorders>
            <w:shd w:val="clear" w:color="000000" w:fill="FFFFFF"/>
            <w:noWrap/>
            <w:vAlign w:val="center"/>
            <w:hideMark/>
          </w:tcPr>
          <w:p w14:paraId="693D1051"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47</w:t>
            </w:r>
          </w:p>
        </w:tc>
        <w:tc>
          <w:tcPr>
            <w:tcW w:w="992" w:type="dxa"/>
            <w:tcBorders>
              <w:top w:val="nil"/>
              <w:left w:val="nil"/>
              <w:bottom w:val="single" w:sz="8" w:space="0" w:color="auto"/>
              <w:right w:val="nil"/>
            </w:tcBorders>
            <w:shd w:val="clear" w:color="000000" w:fill="FFFFFF"/>
            <w:noWrap/>
            <w:vAlign w:val="center"/>
            <w:hideMark/>
          </w:tcPr>
          <w:p w14:paraId="66A7DF2C"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47</w:t>
            </w:r>
          </w:p>
        </w:tc>
        <w:tc>
          <w:tcPr>
            <w:tcW w:w="992" w:type="dxa"/>
            <w:tcBorders>
              <w:top w:val="nil"/>
              <w:left w:val="nil"/>
              <w:bottom w:val="single" w:sz="8" w:space="0" w:color="auto"/>
              <w:right w:val="nil"/>
            </w:tcBorders>
            <w:shd w:val="clear" w:color="000000" w:fill="FFFFFF"/>
            <w:noWrap/>
            <w:vAlign w:val="center"/>
            <w:hideMark/>
          </w:tcPr>
          <w:p w14:paraId="51297C77"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r>
      <w:tr w:rsidR="000F13C3" w:rsidRPr="00AE0B49" w14:paraId="16992B4B" w14:textId="77777777" w:rsidTr="00AE0B49">
        <w:trPr>
          <w:trHeight w:val="836"/>
        </w:trPr>
        <w:tc>
          <w:tcPr>
            <w:tcW w:w="983" w:type="dxa"/>
            <w:tcBorders>
              <w:top w:val="nil"/>
              <w:left w:val="nil"/>
              <w:bottom w:val="single" w:sz="8" w:space="0" w:color="auto"/>
              <w:right w:val="nil"/>
            </w:tcBorders>
            <w:shd w:val="clear" w:color="000000" w:fill="FFFFFF"/>
            <w:vAlign w:val="center"/>
          </w:tcPr>
          <w:p w14:paraId="144F9544" w14:textId="77777777" w:rsidR="00AE0B49" w:rsidRPr="00AE0B49" w:rsidRDefault="00AE0B49" w:rsidP="00AE0B49">
            <w:pPr>
              <w:spacing w:after="0" w:line="240" w:lineRule="auto"/>
              <w:jc w:val="center"/>
              <w:rPr>
                <w:rFonts w:ascii="Calibri" w:eastAsia="Times New Roman" w:hAnsi="Calibri" w:cs="Calibri"/>
                <w:color w:val="000000"/>
                <w:sz w:val="18"/>
                <w:szCs w:val="18"/>
                <w:lang w:eastAsia="en-GB"/>
              </w:rPr>
            </w:pPr>
          </w:p>
        </w:tc>
        <w:tc>
          <w:tcPr>
            <w:tcW w:w="1002" w:type="dxa"/>
            <w:tcBorders>
              <w:top w:val="nil"/>
              <w:left w:val="nil"/>
              <w:bottom w:val="single" w:sz="8" w:space="0" w:color="auto"/>
              <w:right w:val="nil"/>
            </w:tcBorders>
            <w:shd w:val="clear" w:color="000000" w:fill="FFFFFF"/>
            <w:vAlign w:val="center"/>
            <w:hideMark/>
          </w:tcPr>
          <w:p w14:paraId="631C3E63" w14:textId="44D0EEF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xml:space="preserve">Chu et al </w:t>
            </w:r>
            <w:r w:rsidR="005C0D1A">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{"citationItems":[{"id":"ITEM-1","itemData":{"DOI":"10.3201/eid2608.201423","ISBN":"1080-6059","abstract":"We describe the contact investigation for an early confirmed case of coronavirus disease (COVID-19), caused by severe acute respiratory syndrome coronavirus 2 (SARS-CoV-2), in the United States. Contacts of the case-patient were identified, actively monitored for symptoms, interviewed for a detailed exposure history, and tested for SARS-CoV-2 infection by real-time reverse transcription PCR (rRT-PCR) and ELISA. Fifty contacts were identified and 38 (76%) were interviewed, of whom 11 (29%) reported unprotected face-to-face interaction with the case-patient. Thirty-seven (74%) had respiratory specimens tested by rRT-PCR, and all tested negative. Twenty-three (46%) had ELISA performed on serum samples collected ≈6 weeks after exposure, and none had detectable antibodies to SARS-CoV-2. Among contacts who were tested, no secondary transmission was identified in this investigation, despite unprotected close interactions with the infectious case-patient.","author":[{"dropping-particle":"","family":"Chu","given":"Victoria","non-dropping-particle":"","parse-names":false,"suffix":""},{"dropping-particle":"","family":"Freeman-Ponder","given":"Brandi","non-dropping-particle":"","parse-names":false,"suffix":""},{"dropping-particle":"","family":"Lindquist","given":"Scott","non-dropping-particle":"","parse-names":false,"suffix":""},{"dropping-particle":"","family":"Spitters","given":"Christopher","non-dropping-particle":"","parse-names":false,"suffix":""},{"dropping-particle":"","family":"Kawakami","given":"Vance","non-dropping-particle":"","parse-names":false,"suffix":""},{"dropping-particle":"","family":"Dyal","given":"Jonathan","non-dropping-particle":"","parse-names":false,"suffix":""},{"dropping-particle":"","family":"Clark","given":"Shauna","non-dropping-particle":"","parse-names":false,"suffix":""},{"dropping-particle":"","family":"Bruce","given":"Hollianne","non-dropping-particle":"","parse-names":false,"suffix":""},{"dropping-particle":"","family":"Duchin","given":"Jeffrey","non-dropping-particle":"","parse-names":false,"suffix":""},{"dropping-particle":"","family":"DeBolt","given":"Chas","non-dropping-particle":"","parse-names":false,"suffix":""},{"dropping-particle":"","family":"Podczervinski","given":"Sara","non-dropping-particle":"","parse-names":false,"suffix":""},{"dropping-particle":"","family":"D’Angeli","given":"Marisa","non-dropping-particle":"","parse-names":false,"suffix":""},{"dropping-particle":"","family":"Pettrone","given":"Kristen","non-dropping-particle":"","parse-names":false,"suffix":""},{"dropping-particle":"","family":"Zacks","given":"Rachael","non-dropping-particle":"","parse-names":false,"suffix":""},{"dropping-particle":"","family":"Vahey","given":"Grace","non-dropping-particle":"","parse-names":false,"suffix":""},{"dropping-particle":"","family":"Holshue","given":"Michelle","non-dropping-particle":"","parse-names":false,"suffix":""},{"dropping-particle":"","family":"Lang","given":"Misty","non-dropping-particle":"","parse-names":false,"suffix":""},{"dropping-particle":"","family":"Burke","given":"Rachel","non-dropping-particle":"","parse-names":false,"suffix":""},{"dropping-particle":"","family":"Rolfes","given":"Melissa","non-dropping-particle":"","parse-names":false,"suffix":""},{"dropping-particle":"","family":"Marlow","given":"Mariel","non-dropping-particle":"","parse-names":false,"suffix":""},{"dropping-particle":"","family":"Midgley","given":"Claire","non-dropping-particle":"","parse-names":false,"suffix":""},{"dropping-particle":"","family":"Lu","given":"Xiaoyan","non-dropping-particle":"","parse-names":false,"suffix":""},{"dropping-particle":"","family":"Lindstrom","given":"Stephen","non-dropping-particle":"","parse-names":false,"suffix":""},{"dropping-particle":"","family":"Hall","given":"Aron","non-dropping-particle":"","parse-names":false,"suffix":""},{"dropping-particle":"","family":"Fry","given":"Alicia","non-dropping-particle":"","parse-names":false,"suffix":""},{"dropping-particle":"","family":"Thornburg","given":"Natalie","non-dropping-particle":"","parse-names":false,"suffix":""},{"dropping-particle":"","family":"Gerber","given":"Susan","non-dropping-particle":"","parse-names":false,"suffix":""},{"dropping-particle":"","family":"Pillai","given":"Satish","non-dropping-particle":"","parse-names":false,"suffix":""},{"dropping-particle":"","family":"Biggs","given":"Holly","non-dropping-particle":"","parse-names":false,"suffix":""}],"container-title":"Emerging Infectious Disease journal","id":"ITEM-1","issue":"8","issued":{"date-parts":[["2020"]]},"page":"1671","title":"Investigation and Serologic Follow-Up of Contacts of an Early Confirmed Case-Patient with COVID-19, Washington, USA","type":"article-journal","volume":"26"},"uris":["http://www.mendeley.com/documents/?uuid=4cd4758d-0179-4f77-83f2-09d19236caff"]}],"mendeley":{"formattedCitation":"[64]","plainTextFormattedCitation":"[64]","previouslyFormattedCitation":"[66]"},"properties":{"noteIndex":0},"schema":"https://github.com/citation-style-language/schema/raw/master/csl-citation.json"}</w:instrText>
            </w:r>
            <w:r w:rsidR="005C0D1A">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[64]</w:t>
            </w:r>
            <w:r w:rsidR="005C0D1A">
              <w:rPr>
                <w:rFonts w:ascii="Calibri" w:eastAsia="Times New Roman" w:hAnsi="Calibri" w:cs="Calibri"/>
                <w:color w:val="000000"/>
                <w:sz w:val="18"/>
                <w:szCs w:val="18"/>
                <w:lang w:eastAsia="en-GB"/>
              </w:rPr>
              <w:fldChar w:fldCharType="end"/>
            </w:r>
          </w:p>
        </w:tc>
        <w:tc>
          <w:tcPr>
            <w:tcW w:w="1294" w:type="dxa"/>
            <w:tcBorders>
              <w:top w:val="nil"/>
              <w:left w:val="nil"/>
              <w:bottom w:val="single" w:sz="8" w:space="0" w:color="auto"/>
              <w:right w:val="nil"/>
            </w:tcBorders>
            <w:shd w:val="clear" w:color="000000" w:fill="FFFFFF"/>
            <w:vAlign w:val="center"/>
            <w:hideMark/>
          </w:tcPr>
          <w:p w14:paraId="4D925067"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Washington</w:t>
            </w:r>
          </w:p>
        </w:tc>
        <w:tc>
          <w:tcPr>
            <w:tcW w:w="1038" w:type="dxa"/>
            <w:tcBorders>
              <w:top w:val="nil"/>
              <w:left w:val="nil"/>
              <w:bottom w:val="single" w:sz="8" w:space="0" w:color="auto"/>
              <w:right w:val="nil"/>
            </w:tcBorders>
            <w:shd w:val="clear" w:color="000000" w:fill="FFFFFF"/>
            <w:vAlign w:val="center"/>
            <w:hideMark/>
          </w:tcPr>
          <w:p w14:paraId="0123639A"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USA</w:t>
            </w:r>
          </w:p>
        </w:tc>
        <w:tc>
          <w:tcPr>
            <w:tcW w:w="2414" w:type="dxa"/>
            <w:tcBorders>
              <w:top w:val="nil"/>
              <w:left w:val="nil"/>
              <w:bottom w:val="single" w:sz="8" w:space="0" w:color="auto"/>
              <w:right w:val="nil"/>
            </w:tcBorders>
            <w:shd w:val="clear" w:color="000000" w:fill="FFFFFF"/>
            <w:vAlign w:val="center"/>
            <w:hideMark/>
          </w:tcPr>
          <w:p w14:paraId="45B0B8CD"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Enhanced contact investigation</w:t>
            </w:r>
          </w:p>
        </w:tc>
        <w:tc>
          <w:tcPr>
            <w:tcW w:w="2890" w:type="dxa"/>
            <w:tcBorders>
              <w:top w:val="nil"/>
              <w:left w:val="nil"/>
              <w:bottom w:val="single" w:sz="8" w:space="0" w:color="auto"/>
              <w:right w:val="nil"/>
            </w:tcBorders>
            <w:shd w:val="clear" w:color="000000" w:fill="FFFFFF"/>
            <w:vAlign w:val="center"/>
            <w:hideMark/>
          </w:tcPr>
          <w:p w14:paraId="27AE709C"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xml:space="preserve">Office based workers, with </w:t>
            </w:r>
            <w:proofErr w:type="gramStart"/>
            <w:r w:rsidRPr="00AE0B49">
              <w:rPr>
                <w:rFonts w:ascii="Calibri" w:eastAsia="Times New Roman" w:hAnsi="Calibri" w:cs="Calibri"/>
                <w:color w:val="000000"/>
                <w:sz w:val="18"/>
                <w:szCs w:val="18"/>
                <w:lang w:eastAsia="en-GB"/>
              </w:rPr>
              <w:t>face to face</w:t>
            </w:r>
            <w:proofErr w:type="gramEnd"/>
            <w:r w:rsidRPr="00AE0B49">
              <w:rPr>
                <w:rFonts w:ascii="Calibri" w:eastAsia="Times New Roman" w:hAnsi="Calibri" w:cs="Calibri"/>
                <w:color w:val="000000"/>
                <w:sz w:val="18"/>
                <w:szCs w:val="18"/>
                <w:lang w:eastAsia="en-GB"/>
              </w:rPr>
              <w:t xml:space="preserve"> contact inside the office, car-pooling and a shared lunch 2-90 minutes of contact </w:t>
            </w:r>
          </w:p>
        </w:tc>
        <w:tc>
          <w:tcPr>
            <w:tcW w:w="1276" w:type="dxa"/>
            <w:tcBorders>
              <w:top w:val="nil"/>
              <w:left w:val="nil"/>
              <w:bottom w:val="single" w:sz="8" w:space="0" w:color="auto"/>
              <w:right w:val="nil"/>
            </w:tcBorders>
            <w:shd w:val="clear" w:color="000000" w:fill="FFFFFF"/>
            <w:noWrap/>
            <w:vAlign w:val="center"/>
            <w:hideMark/>
          </w:tcPr>
          <w:p w14:paraId="6A22D155"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symptomatic</w:t>
            </w:r>
          </w:p>
        </w:tc>
        <w:tc>
          <w:tcPr>
            <w:tcW w:w="1134" w:type="dxa"/>
            <w:tcBorders>
              <w:top w:val="nil"/>
              <w:left w:val="nil"/>
              <w:bottom w:val="single" w:sz="8" w:space="0" w:color="auto"/>
              <w:right w:val="nil"/>
            </w:tcBorders>
            <w:shd w:val="clear" w:color="000000" w:fill="FFFFFF"/>
            <w:noWrap/>
            <w:vAlign w:val="center"/>
            <w:hideMark/>
          </w:tcPr>
          <w:p w14:paraId="54C5A0B7"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3CB36978"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c>
          <w:tcPr>
            <w:tcW w:w="993" w:type="dxa"/>
            <w:tcBorders>
              <w:top w:val="nil"/>
              <w:left w:val="nil"/>
              <w:bottom w:val="single" w:sz="8" w:space="0" w:color="auto"/>
              <w:right w:val="nil"/>
            </w:tcBorders>
            <w:shd w:val="clear" w:color="000000" w:fill="FFFFFF"/>
            <w:noWrap/>
            <w:vAlign w:val="center"/>
            <w:hideMark/>
          </w:tcPr>
          <w:p w14:paraId="49E1E407"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11</w:t>
            </w:r>
          </w:p>
        </w:tc>
        <w:tc>
          <w:tcPr>
            <w:tcW w:w="992" w:type="dxa"/>
            <w:tcBorders>
              <w:top w:val="nil"/>
              <w:left w:val="nil"/>
              <w:bottom w:val="single" w:sz="8" w:space="0" w:color="auto"/>
              <w:right w:val="nil"/>
            </w:tcBorders>
            <w:shd w:val="clear" w:color="000000" w:fill="FFFFFF"/>
            <w:noWrap/>
            <w:vAlign w:val="center"/>
            <w:hideMark/>
          </w:tcPr>
          <w:p w14:paraId="79F5CCA9"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not specified</w:t>
            </w:r>
          </w:p>
        </w:tc>
        <w:tc>
          <w:tcPr>
            <w:tcW w:w="992" w:type="dxa"/>
            <w:tcBorders>
              <w:top w:val="nil"/>
              <w:left w:val="nil"/>
              <w:bottom w:val="single" w:sz="8" w:space="0" w:color="auto"/>
              <w:right w:val="nil"/>
            </w:tcBorders>
            <w:shd w:val="clear" w:color="000000" w:fill="FFFFFF"/>
            <w:noWrap/>
            <w:vAlign w:val="center"/>
            <w:hideMark/>
          </w:tcPr>
          <w:p w14:paraId="65B973B7"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0</w:t>
            </w:r>
          </w:p>
        </w:tc>
      </w:tr>
      <w:tr w:rsidR="000F13C3" w:rsidRPr="00AE0B49" w14:paraId="7C1F9B8A" w14:textId="77777777" w:rsidTr="000C40FD">
        <w:trPr>
          <w:trHeight w:val="333"/>
        </w:trPr>
        <w:tc>
          <w:tcPr>
            <w:tcW w:w="983" w:type="dxa"/>
            <w:tcBorders>
              <w:top w:val="nil"/>
              <w:left w:val="nil"/>
              <w:bottom w:val="single" w:sz="8" w:space="0" w:color="auto"/>
              <w:right w:val="nil"/>
            </w:tcBorders>
            <w:shd w:val="clear" w:color="000000" w:fill="FFFFFF"/>
            <w:vAlign w:val="center"/>
          </w:tcPr>
          <w:p w14:paraId="2FCCBD64" w14:textId="77777777" w:rsidR="00AE0B49" w:rsidRPr="00AE0B49" w:rsidRDefault="00AE0B49" w:rsidP="00AE0B49">
            <w:pPr>
              <w:spacing w:after="0" w:line="240" w:lineRule="auto"/>
              <w:jc w:val="center"/>
              <w:rPr>
                <w:rFonts w:ascii="Calibri" w:eastAsia="Times New Roman" w:hAnsi="Calibri" w:cs="Calibri"/>
                <w:color w:val="000000"/>
                <w:sz w:val="18"/>
                <w:szCs w:val="18"/>
                <w:lang w:eastAsia="en-GB"/>
              </w:rPr>
            </w:pPr>
          </w:p>
        </w:tc>
        <w:tc>
          <w:tcPr>
            <w:tcW w:w="1002" w:type="dxa"/>
            <w:tcBorders>
              <w:top w:val="nil"/>
              <w:left w:val="nil"/>
              <w:bottom w:val="single" w:sz="8" w:space="0" w:color="auto"/>
              <w:right w:val="nil"/>
            </w:tcBorders>
            <w:shd w:val="clear" w:color="000000" w:fill="FFFFFF"/>
            <w:vAlign w:val="center"/>
            <w:hideMark/>
          </w:tcPr>
          <w:p w14:paraId="0D1EA0BC" w14:textId="0BC09456" w:rsidR="00AE0B49" w:rsidRPr="00AE0B49" w:rsidRDefault="00AE0B49" w:rsidP="00CD0DB3">
            <w:pPr>
              <w:spacing w:after="0" w:line="240" w:lineRule="auto"/>
              <w:rPr>
                <w:rFonts w:ascii="Calibri" w:eastAsia="Times New Roman" w:hAnsi="Calibri" w:cs="Calibri"/>
                <w:color w:val="000000"/>
                <w:sz w:val="18"/>
                <w:szCs w:val="18"/>
                <w:lang w:eastAsia="en-GB"/>
              </w:rPr>
            </w:pPr>
            <w:proofErr w:type="spellStart"/>
            <w:r w:rsidRPr="00AE0B49">
              <w:rPr>
                <w:rFonts w:ascii="Calibri" w:eastAsia="Times New Roman" w:hAnsi="Calibri" w:cs="Calibri"/>
                <w:color w:val="000000"/>
                <w:sz w:val="18"/>
                <w:szCs w:val="18"/>
                <w:lang w:eastAsia="en-GB"/>
              </w:rPr>
              <w:t>Guallar</w:t>
            </w:r>
            <w:proofErr w:type="spellEnd"/>
            <w:r w:rsidRPr="00AE0B49">
              <w:rPr>
                <w:rFonts w:ascii="Calibri" w:eastAsia="Times New Roman" w:hAnsi="Calibri" w:cs="Calibri"/>
                <w:color w:val="000000"/>
                <w:sz w:val="18"/>
                <w:szCs w:val="18"/>
                <w:lang w:eastAsia="en-GB"/>
              </w:rPr>
              <w:t xml:space="preserve"> et al</w:t>
            </w:r>
            <w:r w:rsidR="005C0D1A">
              <w:rPr>
                <w:rFonts w:ascii="Calibri" w:eastAsia="Times New Roman" w:hAnsi="Calibri" w:cs="Calibri"/>
                <w:color w:val="000000"/>
                <w:sz w:val="18"/>
                <w:szCs w:val="18"/>
                <w:lang w:eastAsia="en-GB"/>
              </w:rPr>
              <w:t xml:space="preserve"> </w:t>
            </w:r>
            <w:r w:rsidR="005C0D1A">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{"citationItems":[{"id":"ITEM-1","itemData":{"DOI":"https://doi.org/10.1016/j.ijid.2020.06.035","ISBN":"1201-9712","abstract":"A relationship between the infecting dose and the risk of disease severity has not been demonstrated for SARS-CoV-2 infection. Here, we report three clusters of individuals that were potentially exposed to distinct inoculum in Madrid. Overall each group developed divergent clinical forms of COVID-19. Our data support that a greater viral inoculum at the time of SARS-CoV-2 exposure might determine a higher risk of severe COVID-19.","author":[{"dropping-particle":"","family":"Guallar","given":"María Pilar","non-dropping-particle":"","parse-names":false,"suffix":""},{"dropping-particle":"","family":"Meiriño","given":"Rosa","non-dropping-particle":"","parse-names":false,"suffix":""},{"dropping-particle":"","family":"Donat-Vargas","given":"Carolina","non-dropping-particle":"","parse-names":false,"suffix":""},{"dropping-particle":"","family":"Corral","given":"Octavio","non-dropping-particle":"","parse-names":false,"suffix":""},{"dropping-particle":"","family":"Jouvé","given":"Nicolás","non-dropping-particle":"","parse-names":false,"suffix":""},{"dropping-particle":"","family":"Soriano","given":"Vicente","non-dropping-particle":"","parse-names":false,"suffix":""}],"container-title":"International Journal of Infectious Diseases","id":"ITEM-1","issued":{"date-parts":[["2020"]]},"page":"290-292","title":"Inoculum at the time of SARS-CoV-2 exposure and risk of disease severity","type":"article-journal","volume":"97"},"uris":["http://www.mendeley.com/documents/?uuid=5dec071a-1b4f-4fe9-a47f-7ba61f9a6c33"]}],"mendeley":{"formattedCitation":"[34]","plainTextFormattedCitation":"[34]","previouslyFormattedCitation":"[36]"},"properties":{"noteIndex":0},"schema":"https://github.com/citation-style-language/schema/raw/master/csl-citation.json"}</w:instrText>
            </w:r>
            <w:r w:rsidR="005C0D1A">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[34]</w:t>
            </w:r>
            <w:r w:rsidR="005C0D1A">
              <w:rPr>
                <w:rFonts w:ascii="Calibri" w:eastAsia="Times New Roman" w:hAnsi="Calibri" w:cs="Calibri"/>
                <w:color w:val="000000"/>
                <w:sz w:val="18"/>
                <w:szCs w:val="18"/>
                <w:lang w:eastAsia="en-GB"/>
              </w:rPr>
              <w:fldChar w:fldCharType="end"/>
            </w:r>
          </w:p>
        </w:tc>
        <w:tc>
          <w:tcPr>
            <w:tcW w:w="1294" w:type="dxa"/>
            <w:tcBorders>
              <w:top w:val="nil"/>
              <w:left w:val="nil"/>
              <w:bottom w:val="single" w:sz="8" w:space="0" w:color="auto"/>
              <w:right w:val="nil"/>
            </w:tcBorders>
            <w:shd w:val="clear" w:color="000000" w:fill="FFFFFF"/>
            <w:vAlign w:val="center"/>
            <w:hideMark/>
          </w:tcPr>
          <w:p w14:paraId="6B090085"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Madrid</w:t>
            </w:r>
          </w:p>
        </w:tc>
        <w:tc>
          <w:tcPr>
            <w:tcW w:w="1038" w:type="dxa"/>
            <w:tcBorders>
              <w:top w:val="nil"/>
              <w:left w:val="nil"/>
              <w:bottom w:val="single" w:sz="8" w:space="0" w:color="auto"/>
              <w:right w:val="nil"/>
            </w:tcBorders>
            <w:shd w:val="clear" w:color="000000" w:fill="FFFFFF"/>
            <w:vAlign w:val="center"/>
            <w:hideMark/>
          </w:tcPr>
          <w:p w14:paraId="5365DF4F"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Spain</w:t>
            </w:r>
          </w:p>
        </w:tc>
        <w:tc>
          <w:tcPr>
            <w:tcW w:w="2414" w:type="dxa"/>
            <w:tcBorders>
              <w:top w:val="nil"/>
              <w:left w:val="nil"/>
              <w:bottom w:val="single" w:sz="8" w:space="0" w:color="auto"/>
              <w:right w:val="nil"/>
            </w:tcBorders>
            <w:shd w:val="clear" w:color="000000" w:fill="FFFFFF"/>
            <w:vAlign w:val="center"/>
            <w:hideMark/>
          </w:tcPr>
          <w:p w14:paraId="0634B03F"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Cluster investigation</w:t>
            </w:r>
          </w:p>
        </w:tc>
        <w:tc>
          <w:tcPr>
            <w:tcW w:w="2890" w:type="dxa"/>
            <w:tcBorders>
              <w:top w:val="nil"/>
              <w:left w:val="nil"/>
              <w:bottom w:val="single" w:sz="8" w:space="0" w:color="auto"/>
              <w:right w:val="nil"/>
            </w:tcBorders>
            <w:shd w:val="clear" w:color="000000" w:fill="FFFFFF"/>
            <w:vAlign w:val="center"/>
            <w:hideMark/>
          </w:tcPr>
          <w:p w14:paraId="2E5A0C7F"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Adults that met in a small conference room for three hours</w:t>
            </w:r>
          </w:p>
        </w:tc>
        <w:tc>
          <w:tcPr>
            <w:tcW w:w="1276" w:type="dxa"/>
            <w:tcBorders>
              <w:top w:val="nil"/>
              <w:left w:val="nil"/>
              <w:bottom w:val="single" w:sz="8" w:space="0" w:color="auto"/>
              <w:right w:val="nil"/>
            </w:tcBorders>
            <w:shd w:val="clear" w:color="000000" w:fill="FFFFFF"/>
            <w:noWrap/>
            <w:vAlign w:val="center"/>
            <w:hideMark/>
          </w:tcPr>
          <w:p w14:paraId="4F9E3309" w14:textId="79A8EBEE"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unclear</w:t>
            </w:r>
          </w:p>
        </w:tc>
        <w:tc>
          <w:tcPr>
            <w:tcW w:w="1134" w:type="dxa"/>
            <w:tcBorders>
              <w:top w:val="nil"/>
              <w:left w:val="nil"/>
              <w:bottom w:val="single" w:sz="8" w:space="0" w:color="auto"/>
              <w:right w:val="nil"/>
            </w:tcBorders>
            <w:shd w:val="clear" w:color="000000" w:fill="FFFFFF"/>
            <w:noWrap/>
            <w:vAlign w:val="center"/>
            <w:hideMark/>
          </w:tcPr>
          <w:p w14:paraId="0318C461" w14:textId="421913FF"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unclear</w:t>
            </w:r>
          </w:p>
        </w:tc>
        <w:tc>
          <w:tcPr>
            <w:tcW w:w="869" w:type="dxa"/>
            <w:tcBorders>
              <w:top w:val="nil"/>
              <w:left w:val="nil"/>
              <w:bottom w:val="single" w:sz="8" w:space="0" w:color="auto"/>
              <w:right w:val="nil"/>
            </w:tcBorders>
            <w:shd w:val="clear" w:color="000000" w:fill="FFFFFF"/>
            <w:vAlign w:val="center"/>
            <w:hideMark/>
          </w:tcPr>
          <w:p w14:paraId="68326420"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c>
          <w:tcPr>
            <w:tcW w:w="993" w:type="dxa"/>
            <w:tcBorders>
              <w:top w:val="nil"/>
              <w:left w:val="nil"/>
              <w:bottom w:val="single" w:sz="8" w:space="0" w:color="auto"/>
              <w:right w:val="nil"/>
            </w:tcBorders>
            <w:shd w:val="clear" w:color="000000" w:fill="FFFFFF"/>
            <w:noWrap/>
            <w:vAlign w:val="center"/>
            <w:hideMark/>
          </w:tcPr>
          <w:p w14:paraId="703803E1"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7</w:t>
            </w:r>
          </w:p>
        </w:tc>
        <w:tc>
          <w:tcPr>
            <w:tcW w:w="992" w:type="dxa"/>
            <w:tcBorders>
              <w:top w:val="nil"/>
              <w:left w:val="nil"/>
              <w:bottom w:val="single" w:sz="8" w:space="0" w:color="auto"/>
              <w:right w:val="nil"/>
            </w:tcBorders>
            <w:shd w:val="clear" w:color="000000" w:fill="FFFFFF"/>
            <w:noWrap/>
            <w:vAlign w:val="center"/>
            <w:hideMark/>
          </w:tcPr>
          <w:p w14:paraId="2FF9C0EE"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7</w:t>
            </w:r>
          </w:p>
        </w:tc>
        <w:tc>
          <w:tcPr>
            <w:tcW w:w="992" w:type="dxa"/>
            <w:tcBorders>
              <w:top w:val="nil"/>
              <w:left w:val="nil"/>
              <w:bottom w:val="single" w:sz="8" w:space="0" w:color="auto"/>
              <w:right w:val="nil"/>
            </w:tcBorders>
            <w:shd w:val="clear" w:color="000000" w:fill="FFFFFF"/>
            <w:noWrap/>
            <w:vAlign w:val="center"/>
            <w:hideMark/>
          </w:tcPr>
          <w:p w14:paraId="1B6B3D69"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7</w:t>
            </w:r>
          </w:p>
        </w:tc>
      </w:tr>
      <w:tr w:rsidR="000F13C3" w:rsidRPr="00AE0B49" w14:paraId="624D54D8" w14:textId="77777777" w:rsidTr="000C40FD">
        <w:trPr>
          <w:trHeight w:val="383"/>
        </w:trPr>
        <w:tc>
          <w:tcPr>
            <w:tcW w:w="983" w:type="dxa"/>
            <w:tcBorders>
              <w:top w:val="nil"/>
              <w:left w:val="nil"/>
              <w:bottom w:val="single" w:sz="8" w:space="0" w:color="auto"/>
              <w:right w:val="nil"/>
            </w:tcBorders>
            <w:shd w:val="clear" w:color="000000" w:fill="FFFFFF"/>
            <w:vAlign w:val="center"/>
          </w:tcPr>
          <w:p w14:paraId="168CC742" w14:textId="23EF2F47" w:rsidR="00AE0B49" w:rsidRPr="00AE0B49" w:rsidRDefault="00ED69B5" w:rsidP="00AE0B4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41</w:t>
            </w:r>
          </w:p>
        </w:tc>
        <w:tc>
          <w:tcPr>
            <w:tcW w:w="1002" w:type="dxa"/>
            <w:tcBorders>
              <w:top w:val="nil"/>
              <w:left w:val="nil"/>
              <w:bottom w:val="single" w:sz="8" w:space="0" w:color="auto"/>
              <w:right w:val="nil"/>
            </w:tcBorders>
            <w:shd w:val="clear" w:color="000000" w:fill="FFFFFF"/>
            <w:noWrap/>
            <w:vAlign w:val="center"/>
            <w:hideMark/>
          </w:tcPr>
          <w:p w14:paraId="639EF863" w14:textId="77434F13" w:rsidR="00AE0B49" w:rsidRPr="00AE0B49" w:rsidRDefault="00AE0B49" w:rsidP="00CD0DB3">
            <w:pPr>
              <w:spacing w:after="0" w:line="240" w:lineRule="auto"/>
              <w:rPr>
                <w:rFonts w:ascii="Calibri" w:eastAsia="Times New Roman" w:hAnsi="Calibri" w:cs="Calibri"/>
                <w:color w:val="000000"/>
                <w:sz w:val="18"/>
                <w:szCs w:val="18"/>
                <w:lang w:eastAsia="en-GB"/>
              </w:rPr>
            </w:pPr>
            <w:proofErr w:type="spellStart"/>
            <w:r w:rsidRPr="00AE0B49">
              <w:rPr>
                <w:rFonts w:ascii="Calibri" w:eastAsia="Times New Roman" w:hAnsi="Calibri" w:cs="Calibri"/>
                <w:color w:val="000000"/>
                <w:sz w:val="18"/>
                <w:szCs w:val="18"/>
                <w:lang w:eastAsia="en-GB"/>
              </w:rPr>
              <w:t>Hijnen</w:t>
            </w:r>
            <w:proofErr w:type="spellEnd"/>
            <w:r w:rsidRPr="00AE0B49">
              <w:rPr>
                <w:rFonts w:ascii="Calibri" w:eastAsia="Times New Roman" w:hAnsi="Calibri" w:cs="Calibri"/>
                <w:color w:val="000000"/>
                <w:sz w:val="18"/>
                <w:szCs w:val="18"/>
                <w:lang w:eastAsia="en-GB"/>
              </w:rPr>
              <w:t xml:space="preserve"> et al</w:t>
            </w:r>
            <w:r w:rsidR="005C0D1A">
              <w:rPr>
                <w:rFonts w:ascii="Calibri" w:eastAsia="Times New Roman" w:hAnsi="Calibri" w:cs="Calibri"/>
                <w:color w:val="000000"/>
                <w:sz w:val="18"/>
                <w:szCs w:val="18"/>
                <w:lang w:eastAsia="en-GB"/>
              </w:rPr>
              <w:t xml:space="preserve"> </w:t>
            </w:r>
            <w:r w:rsidR="005C0D1A">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{"citationItems":[{"id":"ITEM-1","itemData":{"DOI":"10.3201/eid2608.201235","ISBN":"1080-6059","abstract":"During a meeting in Munich, Germany, a presymptomatic attendee with severe acute respiratory syndrome coronavirus 2 infected at least 11 of 13 other participants. Although 5 participants had no or mild symptoms, 6 had typical coronavirus disease, without dyspnea. Our findings suggest hand shaking and face-to-face contact as possible modes of transmission.","author":[{"dropping-particle":"","family":"Hijnen","given":"DirkJan","non-dropping-particle":"","parse-names":false,"suffix":""},{"dropping-particle":"","family":"Marzano","given":"Angelo Valerio","non-dropping-particle":"","parse-names":false,"suffix":""},{"dropping-particle":"","family":"Eyerich","given":"Kilian","non-dropping-particle":"","parse-names":false,"suffix":""},{"dropping-particle":"","family":"GeurtsvanKessel","given":"Corine","non-dropping-particle":"","parse-names":false,"suffix":""},{"dropping-particle":"","family":"Giménez-Arnau","given":"Ana Maria","non-dropping-particle":"","parse-names":false,"suffix":""},{"dropping-particle":"","family":"Joly","given":"Pascal","non-dropping-particle":"","parse-names":false,"suffix":""},{"dropping-particle":"","family":"Vestergaard","given":"Christian","non-dropping-particle":"","parse-names":false,"suffix":""},{"dropping-particle":"","family":"Sticherling","given":"Michael","non-dropping-particle":"","parse-names":false,"suffix":""},{"dropping-particle":"","family":"Schmidt","given":"Enno","non-dropping-particle":"","parse-names":false,"suffix":""}],"container-title":"Emerging Infectious Disease journal","id":"ITEM-1","issue":"8","issued":{"date-parts":[["2020"]]},"page":"1935","title":"SARS-CoV-2 Transmission from Presymptomatic Meeting Attendee, Germany","type":"article-journal","volume":"26"},"uris":["http://www.mendeley.com/documents/?uuid=125cff4c-2118-45e5-81a2-213d4fd97e5a"]}],"mendeley":{"formattedCitation":"[65]","plainTextFormattedCitation":"[65]","previouslyFormattedCitation":"[67]"},"properties":{"noteIndex":0},"schema":"https://github.com/citation-style-language/schema/raw/master/csl-citation.json"}</w:instrText>
            </w:r>
            <w:r w:rsidR="005C0D1A">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[65]</w:t>
            </w:r>
            <w:r w:rsidR="005C0D1A">
              <w:rPr>
                <w:rFonts w:ascii="Calibri" w:eastAsia="Times New Roman" w:hAnsi="Calibri" w:cs="Calibri"/>
                <w:color w:val="000000"/>
                <w:sz w:val="18"/>
                <w:szCs w:val="18"/>
                <w:lang w:eastAsia="en-GB"/>
              </w:rPr>
              <w:fldChar w:fldCharType="end"/>
            </w:r>
          </w:p>
        </w:tc>
        <w:tc>
          <w:tcPr>
            <w:tcW w:w="1294" w:type="dxa"/>
            <w:tcBorders>
              <w:top w:val="nil"/>
              <w:left w:val="nil"/>
              <w:bottom w:val="single" w:sz="8" w:space="0" w:color="auto"/>
              <w:right w:val="nil"/>
            </w:tcBorders>
            <w:shd w:val="clear" w:color="000000" w:fill="FFFFFF"/>
            <w:noWrap/>
            <w:vAlign w:val="center"/>
            <w:hideMark/>
          </w:tcPr>
          <w:p w14:paraId="64ABE686"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Munich</w:t>
            </w:r>
          </w:p>
        </w:tc>
        <w:tc>
          <w:tcPr>
            <w:tcW w:w="1038" w:type="dxa"/>
            <w:tcBorders>
              <w:top w:val="nil"/>
              <w:left w:val="nil"/>
              <w:bottom w:val="single" w:sz="8" w:space="0" w:color="auto"/>
              <w:right w:val="nil"/>
            </w:tcBorders>
            <w:shd w:val="clear" w:color="000000" w:fill="FFFFFF"/>
            <w:noWrap/>
            <w:vAlign w:val="center"/>
            <w:hideMark/>
          </w:tcPr>
          <w:p w14:paraId="31B7867C"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Germany</w:t>
            </w:r>
          </w:p>
        </w:tc>
        <w:tc>
          <w:tcPr>
            <w:tcW w:w="2414" w:type="dxa"/>
            <w:tcBorders>
              <w:top w:val="nil"/>
              <w:left w:val="nil"/>
              <w:bottom w:val="single" w:sz="8" w:space="0" w:color="auto"/>
              <w:right w:val="nil"/>
            </w:tcBorders>
            <w:shd w:val="clear" w:color="000000" w:fill="FFFFFF"/>
            <w:noWrap/>
            <w:vAlign w:val="center"/>
            <w:hideMark/>
          </w:tcPr>
          <w:p w14:paraId="68AF1AC9"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Outbreak investigation and contact tracing</w:t>
            </w:r>
          </w:p>
        </w:tc>
        <w:tc>
          <w:tcPr>
            <w:tcW w:w="2890" w:type="dxa"/>
            <w:tcBorders>
              <w:top w:val="nil"/>
              <w:left w:val="nil"/>
              <w:bottom w:val="single" w:sz="8" w:space="0" w:color="auto"/>
              <w:right w:val="nil"/>
            </w:tcBorders>
            <w:shd w:val="clear" w:color="000000" w:fill="FFFFFF"/>
            <w:vAlign w:val="center"/>
            <w:hideMark/>
          </w:tcPr>
          <w:p w14:paraId="20A385C3"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Shared the board room meeting and dinner with the index case</w:t>
            </w:r>
          </w:p>
        </w:tc>
        <w:tc>
          <w:tcPr>
            <w:tcW w:w="1276" w:type="dxa"/>
            <w:tcBorders>
              <w:top w:val="nil"/>
              <w:left w:val="nil"/>
              <w:bottom w:val="single" w:sz="8" w:space="0" w:color="auto"/>
              <w:right w:val="nil"/>
            </w:tcBorders>
            <w:shd w:val="clear" w:color="000000" w:fill="FFFFFF"/>
            <w:noWrap/>
            <w:vAlign w:val="center"/>
            <w:hideMark/>
          </w:tcPr>
          <w:p w14:paraId="3C4F3D2B"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subset</w:t>
            </w:r>
          </w:p>
        </w:tc>
        <w:tc>
          <w:tcPr>
            <w:tcW w:w="1134" w:type="dxa"/>
            <w:tcBorders>
              <w:top w:val="nil"/>
              <w:left w:val="nil"/>
              <w:bottom w:val="single" w:sz="8" w:space="0" w:color="auto"/>
              <w:right w:val="nil"/>
            </w:tcBorders>
            <w:shd w:val="clear" w:color="000000" w:fill="FFFFFF"/>
            <w:noWrap/>
            <w:vAlign w:val="center"/>
            <w:hideMark/>
          </w:tcPr>
          <w:p w14:paraId="46EA5E5B" w14:textId="541DEE2B"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 and serology</w:t>
            </w:r>
          </w:p>
        </w:tc>
        <w:tc>
          <w:tcPr>
            <w:tcW w:w="869" w:type="dxa"/>
            <w:tcBorders>
              <w:top w:val="nil"/>
              <w:left w:val="nil"/>
              <w:bottom w:val="single" w:sz="8" w:space="0" w:color="auto"/>
              <w:right w:val="nil"/>
            </w:tcBorders>
            <w:shd w:val="clear" w:color="000000" w:fill="FFFFFF"/>
            <w:vAlign w:val="center"/>
            <w:hideMark/>
          </w:tcPr>
          <w:p w14:paraId="2832AAB1"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c>
          <w:tcPr>
            <w:tcW w:w="993" w:type="dxa"/>
            <w:tcBorders>
              <w:top w:val="nil"/>
              <w:left w:val="nil"/>
              <w:bottom w:val="single" w:sz="8" w:space="0" w:color="auto"/>
              <w:right w:val="nil"/>
            </w:tcBorders>
            <w:shd w:val="clear" w:color="000000" w:fill="FFFFFF"/>
            <w:noWrap/>
            <w:vAlign w:val="center"/>
            <w:hideMark/>
          </w:tcPr>
          <w:p w14:paraId="3ACB15C7"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13</w:t>
            </w:r>
          </w:p>
        </w:tc>
        <w:tc>
          <w:tcPr>
            <w:tcW w:w="992" w:type="dxa"/>
            <w:tcBorders>
              <w:top w:val="nil"/>
              <w:left w:val="nil"/>
              <w:bottom w:val="single" w:sz="8" w:space="0" w:color="auto"/>
              <w:right w:val="nil"/>
            </w:tcBorders>
            <w:shd w:val="clear" w:color="000000" w:fill="FFFFFF"/>
            <w:noWrap/>
            <w:vAlign w:val="center"/>
            <w:hideMark/>
          </w:tcPr>
          <w:p w14:paraId="1C0F4617"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12</w:t>
            </w:r>
          </w:p>
        </w:tc>
        <w:tc>
          <w:tcPr>
            <w:tcW w:w="992" w:type="dxa"/>
            <w:tcBorders>
              <w:top w:val="nil"/>
              <w:left w:val="nil"/>
              <w:bottom w:val="single" w:sz="8" w:space="0" w:color="auto"/>
              <w:right w:val="nil"/>
            </w:tcBorders>
            <w:shd w:val="clear" w:color="000000" w:fill="FFFFFF"/>
            <w:noWrap/>
            <w:vAlign w:val="center"/>
            <w:hideMark/>
          </w:tcPr>
          <w:p w14:paraId="1100AF2F"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11</w:t>
            </w:r>
          </w:p>
        </w:tc>
      </w:tr>
      <w:tr w:rsidR="004E7F1D" w:rsidRPr="00AE0B49" w14:paraId="4E3A755C" w14:textId="77777777" w:rsidTr="00E96AD9">
        <w:trPr>
          <w:trHeight w:val="521"/>
        </w:trPr>
        <w:tc>
          <w:tcPr>
            <w:tcW w:w="983" w:type="dxa"/>
            <w:tcBorders>
              <w:top w:val="single" w:sz="8" w:space="0" w:color="auto"/>
              <w:left w:val="nil"/>
              <w:right w:val="nil"/>
            </w:tcBorders>
            <w:shd w:val="clear" w:color="000000" w:fill="FFFFFF"/>
          </w:tcPr>
          <w:p w14:paraId="453E6862" w14:textId="6800A4D9" w:rsidR="00AE0B49" w:rsidRPr="00AE0B49" w:rsidRDefault="00ED69B5" w:rsidP="005C0D1A">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40</w:t>
            </w:r>
          </w:p>
        </w:tc>
        <w:tc>
          <w:tcPr>
            <w:tcW w:w="1002" w:type="dxa"/>
            <w:vMerge w:val="restart"/>
            <w:tcBorders>
              <w:top w:val="single" w:sz="8" w:space="0" w:color="auto"/>
              <w:left w:val="nil"/>
              <w:right w:val="nil"/>
            </w:tcBorders>
            <w:shd w:val="clear" w:color="000000" w:fill="FFFFFF"/>
            <w:hideMark/>
          </w:tcPr>
          <w:p w14:paraId="4BBCDA34" w14:textId="2DC1987D"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Park et al</w:t>
            </w:r>
            <w:r w:rsidR="005C0D1A">
              <w:rPr>
                <w:rFonts w:ascii="Calibri" w:eastAsia="Times New Roman" w:hAnsi="Calibri" w:cs="Calibri"/>
                <w:color w:val="000000"/>
                <w:sz w:val="18"/>
                <w:szCs w:val="18"/>
                <w:lang w:eastAsia="en-GB"/>
              </w:rPr>
              <w:t xml:space="preserve"> </w:t>
            </w:r>
            <w:r w:rsidR="005C0D1A">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{"citationItems":[{"id":"ITEM-1","itemData":{"DOI":"10.3201/eid2608.201274","ISBN":"1080-6040 (Print)\r1080-6040","PMID":"32324530","abstract":"We describe the epidemiology of a coronavirus disease (COVID-19) outbreak in a call center in South Korea. We obtained information on demographic characteristics by using standardized epidemiologic investigation forms. We performed descriptive analyses and reported the results as frequencies and proportions for categoric variables. Of 1,143 persons who were tested for COVID-19, a total of 97 (8.5%, 95% CI 7.0%-10.3%) had confirmed cases. Of these, 94 were working in an 11th-floor call center with 216 employees, translating to an attack rate of 43.5% (95% CI 36.9%-50.4%). The household secondary attack rate among symptomatic case-patients was 16.2% (95% CI 11.6%- 22.0%). Of the 97 persons with confirmed COVID-19, only 4 (1.9%) remained asymptomatic within 14 days of quarantine, and none of their household contacts acquired secondary infections. Extensive contact tracing, testing all contacts, and early quarantine blocked further transmission and might be effective for containing rapid outbreaks in crowded work settings.","author":[{"dropping-particle":"","family":"Park","given":"S Y","non-dropping-particle":"","parse-names":false,"suffix":""},{"dropping-particle":"","family":"Kim","given":"Y M","non-dropping-particle":"","parse-names":false,"suffix":""},{"dropping-particle":"","family":"Yi","given":"S","non-dropping-particle":"","parse-names":false,"suffix":""},{"dropping-particle":"","family":"Lee","given":"S","non-dropping-particle":"","parse-names":false,"suffix":""},{"dropping-particle":"","family":"Na","given":"B J","non-dropping-particle":"","parse-names":false,"suffix":""},{"dropping-particle":"","family":"Kim","given":"C B","non-dropping-particle":"","parse-names":false,"suffix":""},{"dropping-particle":"","family":"Kim","given":"J I","non-dropping-particle":"","parse-names":false,"suffix":""},{"dropping-particle":"","family":"Kim","given":"H S","non-dropping-particle":"","parse-names":false,"suffix":""},{"dropping-particle":"","family":"Kim","given":"Y B","non-dropping-particle":"","parse-names":false,"suffix":""},{"dropping-particle":"","family":"Park","given":"Y","non-dropping-particle":"","parse-names":false,"suffix":""},{"dropping-particle":"","family":"Huh","given":"I S","non-dropping-particle":"","parse-names":false,"suffix":""},{"dropping-particle":"","family":"Kim","given":"H K","non-dropping-particle":"","parse-names":false,"suffix":""},{"dropping-particle":"","family":"Yoon","given":"H J","non-dropping-particle":"","parse-names":false,"suffix":""},{"dropping-particle":"","family":"Jang","given":"H","non-dropping-particle":"","parse-names":false,"suffix":""},{"dropping-particle":"","family":"Kim","given":"K","non-dropping-particle":"","parse-names":false,"suffix":""},{"dropping-particle":"","family":"Chang","given":"Y","non-dropping-particle":"","parse-names":false,"suffix":""},{"dropping-particle":"","family":"Kim","given":"I","non-dropping-particle":"","parse-names":false,"suffix":""},{"dropping-particle":"","family":"Lee","given":"H","non-dropping-particle":"","parse-names":false,"suffix":""},{"dropping-particle":"","family":"Gwack","given":"J","non-dropping-particle":"","parse-names":false,"suffix":""},{"dropping-particle":"","family":"Kim","given":"S S","non-dropping-particle":"","parse-names":false,"suffix":""},{"dropping-particle":"","family":"Kim","given":"M","non-dropping-particle":"","parse-names":false,"suffix":""},{"dropping-particle":"","family":"Kweon","given":"S","non-dropping-particle":"","parse-names":false,"suffix":""},{"dropping-particle":"","family":"Choe","given":"Y J","non-dropping-particle":"","parse-names":false,"suffix":""},{"dropping-particle":"","family":"Park","given":"O","non-dropping-particle":"","parse-names":false,"suffix":""},{"dropping-particle":"","family":"Park","given":"Y J","non-dropping-particle":"","parse-names":false,"suffix":""},{"dropping-particle":"","family":"Jeong","given":"E K","non-dropping-particle":"","parse-names":false,"suffix":""}],"container-title":"Emerg Infect Dis","edition":"2020/04/24","id":"ITEM-1","issue":"8","issued":{"date-parts":[["2020"]]},"language":"eng","note":"1080-6059\nPark, Shin Young\nKim, Young-Man\nYi, Seonju\nLee, Sangeun\nNa, Baeg-Ju\nKim, Chang Bo\nKim, Jung-Il\nKim, Hea Sook\nKim, Young Bok\nPark, Yoojin\nHuh, In Sil\nKim, Hye Kyung\nYoon, Hyung Jun\nJang, Hanaram\nKim, Kyungnam\nChang, Yeonhwa\nKim, Inhye\nLee, Hyeyoung\nGwack, Jin\nKim, Seong Sun\nKim, Miyoung\nKweon, Sanghui\nChoe, Young June\nPark, Ok\nPark, Young Joon\nJeong, Eun Kyeong\nJournal Article\nEmerg Infect Dis. 2020 Aug;26(8):1666-1670. doi: 10.3201/eid2608.201274. Epub 2020 Apr 23.","page":"1666-1670","title":"Coronavirus Disease Outbreak in Call Center, South Korea","type":"article-journal","volume":"26"},"uris":["http://www.mendeley.com/documents/?uuid=f979f780-d83c-4875-a8d3-e3c5a636e6be"]}],"mendeley":{"formattedCitation":"[66]","plainTextFormattedCitation":"[66]","previouslyFormattedCitation":"[68]"},"properties":{"noteIndex":0},"schema":"https://github.com/citation-style-language/schema/raw/master/csl-citation.json"}</w:instrText>
            </w:r>
            <w:r w:rsidR="005C0D1A">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[66]</w:t>
            </w:r>
            <w:r w:rsidR="005C0D1A">
              <w:rPr>
                <w:rFonts w:ascii="Calibri" w:eastAsia="Times New Roman" w:hAnsi="Calibri" w:cs="Calibri"/>
                <w:color w:val="000000"/>
                <w:sz w:val="18"/>
                <w:szCs w:val="18"/>
                <w:lang w:eastAsia="en-GB"/>
              </w:rPr>
              <w:fldChar w:fldCharType="end"/>
            </w:r>
          </w:p>
        </w:tc>
        <w:tc>
          <w:tcPr>
            <w:tcW w:w="1294" w:type="dxa"/>
            <w:vMerge w:val="restart"/>
            <w:tcBorders>
              <w:top w:val="single" w:sz="8" w:space="0" w:color="auto"/>
              <w:left w:val="nil"/>
              <w:right w:val="nil"/>
            </w:tcBorders>
            <w:shd w:val="clear" w:color="000000" w:fill="FFFFFF"/>
            <w:hideMark/>
          </w:tcPr>
          <w:p w14:paraId="3D15D3F4" w14:textId="2CD12BBB"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Seoul</w:t>
            </w:r>
          </w:p>
          <w:p w14:paraId="0971106F"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p w14:paraId="51902F2A"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p w14:paraId="236E4AFB"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p w14:paraId="270BE0C6" w14:textId="593F482A"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tc>
        <w:tc>
          <w:tcPr>
            <w:tcW w:w="1038" w:type="dxa"/>
            <w:vMerge w:val="restart"/>
            <w:tcBorders>
              <w:top w:val="single" w:sz="8" w:space="0" w:color="auto"/>
              <w:left w:val="nil"/>
              <w:right w:val="nil"/>
            </w:tcBorders>
            <w:shd w:val="clear" w:color="000000" w:fill="FFFFFF"/>
            <w:hideMark/>
          </w:tcPr>
          <w:p w14:paraId="0F425652" w14:textId="62135143"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South Korea </w:t>
            </w:r>
          </w:p>
          <w:p w14:paraId="7EF637D1"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p w14:paraId="46C845B1"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p w14:paraId="0C267198"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p w14:paraId="0DBAC447" w14:textId="39E082FA"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tc>
        <w:tc>
          <w:tcPr>
            <w:tcW w:w="2414" w:type="dxa"/>
            <w:vMerge w:val="restart"/>
            <w:tcBorders>
              <w:top w:val="single" w:sz="8" w:space="0" w:color="auto"/>
              <w:left w:val="nil"/>
              <w:right w:val="nil"/>
            </w:tcBorders>
            <w:shd w:val="clear" w:color="000000" w:fill="FFFFFF"/>
            <w:hideMark/>
          </w:tcPr>
          <w:p w14:paraId="1434EECF" w14:textId="1F107483"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Outbreak investigation and contact tracing of a cluster of cases associated with a cluster of cases in a call centre office building</w:t>
            </w:r>
          </w:p>
          <w:p w14:paraId="4DBA381E"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p w14:paraId="7C07A439"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p w14:paraId="4C3409EE"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p w14:paraId="5108A20C" w14:textId="036DC69B"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w:t>
            </w:r>
          </w:p>
        </w:tc>
        <w:tc>
          <w:tcPr>
            <w:tcW w:w="2890" w:type="dxa"/>
            <w:tcBorders>
              <w:top w:val="single" w:sz="8" w:space="0" w:color="auto"/>
              <w:left w:val="nil"/>
              <w:bottom w:val="single" w:sz="8" w:space="0" w:color="auto"/>
              <w:right w:val="nil"/>
            </w:tcBorders>
            <w:shd w:val="clear" w:color="auto" w:fill="auto"/>
            <w:noWrap/>
            <w:vAlign w:val="center"/>
            <w:hideMark/>
          </w:tcPr>
          <w:p w14:paraId="533D806C" w14:textId="775802DF"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floors 1 – 6 of office and residential building</w:t>
            </w:r>
          </w:p>
        </w:tc>
        <w:tc>
          <w:tcPr>
            <w:tcW w:w="1276" w:type="dxa"/>
            <w:tcBorders>
              <w:top w:val="nil"/>
              <w:left w:val="nil"/>
              <w:bottom w:val="single" w:sz="8" w:space="0" w:color="auto"/>
              <w:right w:val="nil"/>
            </w:tcBorders>
            <w:shd w:val="clear" w:color="000000" w:fill="FFFFFF"/>
            <w:noWrap/>
            <w:vAlign w:val="center"/>
            <w:hideMark/>
          </w:tcPr>
          <w:p w14:paraId="797495CF"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noWrap/>
            <w:vAlign w:val="center"/>
            <w:hideMark/>
          </w:tcPr>
          <w:p w14:paraId="08A41998"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1A768535"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2</w:t>
            </w:r>
          </w:p>
        </w:tc>
        <w:tc>
          <w:tcPr>
            <w:tcW w:w="993" w:type="dxa"/>
            <w:tcBorders>
              <w:top w:val="nil"/>
              <w:left w:val="nil"/>
              <w:bottom w:val="single" w:sz="8" w:space="0" w:color="auto"/>
              <w:right w:val="nil"/>
            </w:tcBorders>
            <w:shd w:val="clear" w:color="000000" w:fill="FFFFFF"/>
            <w:noWrap/>
            <w:vAlign w:val="center"/>
            <w:hideMark/>
          </w:tcPr>
          <w:p w14:paraId="4FE10371"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84</w:t>
            </w:r>
          </w:p>
        </w:tc>
        <w:tc>
          <w:tcPr>
            <w:tcW w:w="992" w:type="dxa"/>
            <w:tcBorders>
              <w:top w:val="nil"/>
              <w:left w:val="nil"/>
              <w:bottom w:val="single" w:sz="8" w:space="0" w:color="auto"/>
              <w:right w:val="nil"/>
            </w:tcBorders>
            <w:shd w:val="clear" w:color="000000" w:fill="FFFFFF"/>
            <w:noWrap/>
            <w:vAlign w:val="center"/>
            <w:hideMark/>
          </w:tcPr>
          <w:p w14:paraId="064DE0F1"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84</w:t>
            </w:r>
          </w:p>
        </w:tc>
        <w:tc>
          <w:tcPr>
            <w:tcW w:w="992" w:type="dxa"/>
            <w:tcBorders>
              <w:top w:val="nil"/>
              <w:left w:val="nil"/>
              <w:bottom w:val="single" w:sz="8" w:space="0" w:color="auto"/>
              <w:right w:val="nil"/>
            </w:tcBorders>
            <w:shd w:val="clear" w:color="000000" w:fill="FFFFFF"/>
            <w:noWrap/>
            <w:vAlign w:val="center"/>
            <w:hideMark/>
          </w:tcPr>
          <w:p w14:paraId="74BB3DB0"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0</w:t>
            </w:r>
          </w:p>
        </w:tc>
      </w:tr>
      <w:tr w:rsidR="000F13C3" w:rsidRPr="00AE0B49" w14:paraId="18C4B133" w14:textId="77777777" w:rsidTr="000C40FD">
        <w:trPr>
          <w:trHeight w:val="276"/>
        </w:trPr>
        <w:tc>
          <w:tcPr>
            <w:tcW w:w="983" w:type="dxa"/>
            <w:tcBorders>
              <w:left w:val="nil"/>
              <w:right w:val="nil"/>
            </w:tcBorders>
            <w:shd w:val="clear" w:color="000000" w:fill="FFFFFF"/>
            <w:vAlign w:val="center"/>
          </w:tcPr>
          <w:p w14:paraId="6F6577FC" w14:textId="77777777" w:rsidR="00AE0B49" w:rsidRPr="00AE0B49" w:rsidRDefault="00AE0B49" w:rsidP="00AE0B49">
            <w:pPr>
              <w:spacing w:after="0" w:line="240" w:lineRule="auto"/>
              <w:jc w:val="center"/>
              <w:rPr>
                <w:rFonts w:ascii="Calibri" w:eastAsia="Times New Roman" w:hAnsi="Calibri" w:cs="Calibri"/>
                <w:color w:val="000000"/>
                <w:sz w:val="18"/>
                <w:szCs w:val="18"/>
                <w:lang w:eastAsia="en-GB"/>
              </w:rPr>
            </w:pPr>
          </w:p>
        </w:tc>
        <w:tc>
          <w:tcPr>
            <w:tcW w:w="1002" w:type="dxa"/>
            <w:vMerge/>
            <w:tcBorders>
              <w:left w:val="nil"/>
              <w:right w:val="nil"/>
            </w:tcBorders>
            <w:shd w:val="clear" w:color="000000" w:fill="FFFFFF"/>
            <w:vAlign w:val="center"/>
          </w:tcPr>
          <w:p w14:paraId="33B51DF8" w14:textId="0693CE7E"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1294" w:type="dxa"/>
            <w:vMerge/>
            <w:tcBorders>
              <w:left w:val="nil"/>
              <w:right w:val="nil"/>
            </w:tcBorders>
            <w:shd w:val="clear" w:color="000000" w:fill="FFFFFF"/>
            <w:vAlign w:val="center"/>
            <w:hideMark/>
          </w:tcPr>
          <w:p w14:paraId="464B7AE0" w14:textId="6E6A2098"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1038" w:type="dxa"/>
            <w:vMerge/>
            <w:tcBorders>
              <w:left w:val="nil"/>
              <w:right w:val="nil"/>
            </w:tcBorders>
            <w:shd w:val="clear" w:color="000000" w:fill="FFFFFF"/>
            <w:vAlign w:val="center"/>
            <w:hideMark/>
          </w:tcPr>
          <w:p w14:paraId="58B5BDAA" w14:textId="2A98D9C9"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2414" w:type="dxa"/>
            <w:vMerge/>
            <w:tcBorders>
              <w:left w:val="nil"/>
              <w:right w:val="nil"/>
            </w:tcBorders>
            <w:shd w:val="clear" w:color="000000" w:fill="FFFFFF"/>
            <w:vAlign w:val="center"/>
            <w:hideMark/>
          </w:tcPr>
          <w:p w14:paraId="4F39F7E0" w14:textId="5B4E990F"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2890" w:type="dxa"/>
            <w:tcBorders>
              <w:top w:val="nil"/>
              <w:left w:val="nil"/>
              <w:bottom w:val="single" w:sz="8" w:space="0" w:color="auto"/>
              <w:right w:val="nil"/>
            </w:tcBorders>
            <w:shd w:val="clear" w:color="auto" w:fill="auto"/>
            <w:noWrap/>
            <w:vAlign w:val="center"/>
            <w:hideMark/>
          </w:tcPr>
          <w:p w14:paraId="7DE73366"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call centre floor 7</w:t>
            </w:r>
          </w:p>
        </w:tc>
        <w:tc>
          <w:tcPr>
            <w:tcW w:w="1276" w:type="dxa"/>
            <w:tcBorders>
              <w:top w:val="nil"/>
              <w:left w:val="nil"/>
              <w:bottom w:val="single" w:sz="8" w:space="0" w:color="auto"/>
              <w:right w:val="nil"/>
            </w:tcBorders>
            <w:shd w:val="clear" w:color="000000" w:fill="FFFFFF"/>
            <w:noWrap/>
            <w:vAlign w:val="center"/>
            <w:hideMark/>
          </w:tcPr>
          <w:p w14:paraId="29ABC6E5"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noWrap/>
            <w:vAlign w:val="center"/>
            <w:hideMark/>
          </w:tcPr>
          <w:p w14:paraId="3DF9F5F7"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395DD61A"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c>
          <w:tcPr>
            <w:tcW w:w="993" w:type="dxa"/>
            <w:tcBorders>
              <w:top w:val="nil"/>
              <w:left w:val="nil"/>
              <w:bottom w:val="single" w:sz="8" w:space="0" w:color="auto"/>
              <w:right w:val="nil"/>
            </w:tcBorders>
            <w:shd w:val="clear" w:color="000000" w:fill="FFFFFF"/>
            <w:noWrap/>
            <w:vAlign w:val="center"/>
            <w:hideMark/>
          </w:tcPr>
          <w:p w14:paraId="5FEB8753"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182</w:t>
            </w:r>
          </w:p>
        </w:tc>
        <w:tc>
          <w:tcPr>
            <w:tcW w:w="992" w:type="dxa"/>
            <w:tcBorders>
              <w:top w:val="nil"/>
              <w:left w:val="nil"/>
              <w:bottom w:val="single" w:sz="8" w:space="0" w:color="auto"/>
              <w:right w:val="nil"/>
            </w:tcBorders>
            <w:shd w:val="clear" w:color="000000" w:fill="FFFFFF"/>
            <w:noWrap/>
            <w:vAlign w:val="center"/>
            <w:hideMark/>
          </w:tcPr>
          <w:p w14:paraId="69B359DC"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182</w:t>
            </w:r>
          </w:p>
        </w:tc>
        <w:tc>
          <w:tcPr>
            <w:tcW w:w="992" w:type="dxa"/>
            <w:tcBorders>
              <w:top w:val="nil"/>
              <w:left w:val="nil"/>
              <w:bottom w:val="single" w:sz="8" w:space="0" w:color="auto"/>
              <w:right w:val="nil"/>
            </w:tcBorders>
            <w:shd w:val="clear" w:color="000000" w:fill="FFFFFF"/>
            <w:noWrap/>
            <w:vAlign w:val="center"/>
            <w:hideMark/>
          </w:tcPr>
          <w:p w14:paraId="208B3D8B"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0</w:t>
            </w:r>
          </w:p>
        </w:tc>
      </w:tr>
      <w:tr w:rsidR="000F13C3" w:rsidRPr="00AE0B49" w14:paraId="3F629952" w14:textId="77777777" w:rsidTr="000C40FD">
        <w:trPr>
          <w:trHeight w:val="267"/>
        </w:trPr>
        <w:tc>
          <w:tcPr>
            <w:tcW w:w="983" w:type="dxa"/>
            <w:tcBorders>
              <w:left w:val="nil"/>
              <w:right w:val="nil"/>
            </w:tcBorders>
            <w:shd w:val="clear" w:color="000000" w:fill="FFFFFF"/>
            <w:vAlign w:val="center"/>
          </w:tcPr>
          <w:p w14:paraId="4F16A2AD" w14:textId="77777777" w:rsidR="00AE0B49" w:rsidRPr="00AE0B49" w:rsidRDefault="00AE0B49" w:rsidP="00AE0B49">
            <w:pPr>
              <w:spacing w:after="0" w:line="240" w:lineRule="auto"/>
              <w:jc w:val="center"/>
              <w:rPr>
                <w:rFonts w:ascii="Calibri" w:eastAsia="Times New Roman" w:hAnsi="Calibri" w:cs="Calibri"/>
                <w:color w:val="000000"/>
                <w:sz w:val="18"/>
                <w:szCs w:val="18"/>
                <w:lang w:eastAsia="en-GB"/>
              </w:rPr>
            </w:pPr>
          </w:p>
        </w:tc>
        <w:tc>
          <w:tcPr>
            <w:tcW w:w="1002" w:type="dxa"/>
            <w:vMerge/>
            <w:tcBorders>
              <w:left w:val="nil"/>
              <w:right w:val="nil"/>
            </w:tcBorders>
            <w:shd w:val="clear" w:color="000000" w:fill="FFFFFF"/>
            <w:vAlign w:val="center"/>
          </w:tcPr>
          <w:p w14:paraId="4CCEB1BE" w14:textId="555F9652"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1294" w:type="dxa"/>
            <w:vMerge/>
            <w:tcBorders>
              <w:left w:val="nil"/>
              <w:right w:val="nil"/>
            </w:tcBorders>
            <w:shd w:val="clear" w:color="000000" w:fill="FFFFFF"/>
            <w:vAlign w:val="center"/>
            <w:hideMark/>
          </w:tcPr>
          <w:p w14:paraId="3085930D" w14:textId="7705FACF"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1038" w:type="dxa"/>
            <w:vMerge/>
            <w:tcBorders>
              <w:left w:val="nil"/>
              <w:right w:val="nil"/>
            </w:tcBorders>
            <w:shd w:val="clear" w:color="000000" w:fill="FFFFFF"/>
            <w:vAlign w:val="center"/>
            <w:hideMark/>
          </w:tcPr>
          <w:p w14:paraId="0F672913" w14:textId="26DB2FA9"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2414" w:type="dxa"/>
            <w:vMerge/>
            <w:tcBorders>
              <w:left w:val="nil"/>
              <w:right w:val="nil"/>
            </w:tcBorders>
            <w:shd w:val="clear" w:color="000000" w:fill="FFFFFF"/>
            <w:vAlign w:val="center"/>
            <w:hideMark/>
          </w:tcPr>
          <w:p w14:paraId="039F7F18" w14:textId="4434A52F"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2890" w:type="dxa"/>
            <w:tcBorders>
              <w:top w:val="nil"/>
              <w:left w:val="nil"/>
              <w:bottom w:val="single" w:sz="8" w:space="0" w:color="auto"/>
              <w:right w:val="nil"/>
            </w:tcBorders>
            <w:shd w:val="clear" w:color="auto" w:fill="auto"/>
            <w:noWrap/>
            <w:vAlign w:val="center"/>
            <w:hideMark/>
          </w:tcPr>
          <w:p w14:paraId="18DB703F"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call centre floor 8</w:t>
            </w:r>
          </w:p>
        </w:tc>
        <w:tc>
          <w:tcPr>
            <w:tcW w:w="1276" w:type="dxa"/>
            <w:tcBorders>
              <w:top w:val="nil"/>
              <w:left w:val="nil"/>
              <w:bottom w:val="single" w:sz="8" w:space="0" w:color="auto"/>
              <w:right w:val="nil"/>
            </w:tcBorders>
            <w:shd w:val="clear" w:color="000000" w:fill="FFFFFF"/>
            <w:noWrap/>
            <w:vAlign w:val="center"/>
            <w:hideMark/>
          </w:tcPr>
          <w:p w14:paraId="356DE107"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noWrap/>
            <w:vAlign w:val="center"/>
            <w:hideMark/>
          </w:tcPr>
          <w:p w14:paraId="535E8F9A"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6DB7DA6A"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c>
          <w:tcPr>
            <w:tcW w:w="993" w:type="dxa"/>
            <w:tcBorders>
              <w:top w:val="nil"/>
              <w:left w:val="nil"/>
              <w:bottom w:val="single" w:sz="8" w:space="0" w:color="auto"/>
              <w:right w:val="nil"/>
            </w:tcBorders>
            <w:shd w:val="clear" w:color="000000" w:fill="FFFFFF"/>
            <w:noWrap/>
            <w:vAlign w:val="center"/>
            <w:hideMark/>
          </w:tcPr>
          <w:p w14:paraId="4142FBAF"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207</w:t>
            </w:r>
          </w:p>
        </w:tc>
        <w:tc>
          <w:tcPr>
            <w:tcW w:w="992" w:type="dxa"/>
            <w:tcBorders>
              <w:top w:val="nil"/>
              <w:left w:val="nil"/>
              <w:bottom w:val="single" w:sz="8" w:space="0" w:color="auto"/>
              <w:right w:val="nil"/>
            </w:tcBorders>
            <w:shd w:val="clear" w:color="000000" w:fill="FFFFFF"/>
            <w:noWrap/>
            <w:vAlign w:val="center"/>
            <w:hideMark/>
          </w:tcPr>
          <w:p w14:paraId="41BE470F"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207</w:t>
            </w:r>
          </w:p>
        </w:tc>
        <w:tc>
          <w:tcPr>
            <w:tcW w:w="992" w:type="dxa"/>
            <w:tcBorders>
              <w:top w:val="nil"/>
              <w:left w:val="nil"/>
              <w:bottom w:val="single" w:sz="8" w:space="0" w:color="auto"/>
              <w:right w:val="nil"/>
            </w:tcBorders>
            <w:shd w:val="clear" w:color="000000" w:fill="FFFFFF"/>
            <w:noWrap/>
            <w:vAlign w:val="center"/>
            <w:hideMark/>
          </w:tcPr>
          <w:p w14:paraId="3BB8E629"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0</w:t>
            </w:r>
          </w:p>
        </w:tc>
      </w:tr>
      <w:tr w:rsidR="000F13C3" w:rsidRPr="00AE0B49" w14:paraId="0321E21C" w14:textId="77777777" w:rsidTr="000C40FD">
        <w:trPr>
          <w:trHeight w:val="289"/>
        </w:trPr>
        <w:tc>
          <w:tcPr>
            <w:tcW w:w="983" w:type="dxa"/>
            <w:tcBorders>
              <w:left w:val="nil"/>
              <w:right w:val="nil"/>
            </w:tcBorders>
            <w:shd w:val="clear" w:color="000000" w:fill="FFFFFF"/>
            <w:vAlign w:val="center"/>
          </w:tcPr>
          <w:p w14:paraId="4641D14E" w14:textId="77777777" w:rsidR="00AE0B49" w:rsidRPr="00AE0B49" w:rsidRDefault="00AE0B49" w:rsidP="00AE0B49">
            <w:pPr>
              <w:spacing w:after="0" w:line="240" w:lineRule="auto"/>
              <w:jc w:val="center"/>
              <w:rPr>
                <w:rFonts w:ascii="Calibri" w:eastAsia="Times New Roman" w:hAnsi="Calibri" w:cs="Calibri"/>
                <w:color w:val="000000"/>
                <w:sz w:val="18"/>
                <w:szCs w:val="18"/>
                <w:lang w:eastAsia="en-GB"/>
              </w:rPr>
            </w:pPr>
          </w:p>
        </w:tc>
        <w:tc>
          <w:tcPr>
            <w:tcW w:w="1002" w:type="dxa"/>
            <w:vMerge/>
            <w:tcBorders>
              <w:left w:val="nil"/>
              <w:right w:val="nil"/>
            </w:tcBorders>
            <w:shd w:val="clear" w:color="000000" w:fill="FFFFFF"/>
            <w:vAlign w:val="center"/>
          </w:tcPr>
          <w:p w14:paraId="44A0C43E" w14:textId="01C38E96"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1294" w:type="dxa"/>
            <w:vMerge/>
            <w:tcBorders>
              <w:left w:val="nil"/>
              <w:right w:val="nil"/>
            </w:tcBorders>
            <w:shd w:val="clear" w:color="000000" w:fill="FFFFFF"/>
            <w:vAlign w:val="center"/>
            <w:hideMark/>
          </w:tcPr>
          <w:p w14:paraId="6695561D" w14:textId="61065620"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1038" w:type="dxa"/>
            <w:vMerge/>
            <w:tcBorders>
              <w:left w:val="nil"/>
              <w:right w:val="nil"/>
            </w:tcBorders>
            <w:shd w:val="clear" w:color="000000" w:fill="FFFFFF"/>
            <w:vAlign w:val="center"/>
            <w:hideMark/>
          </w:tcPr>
          <w:p w14:paraId="0A157D57" w14:textId="22E4FCC3"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2414" w:type="dxa"/>
            <w:vMerge/>
            <w:tcBorders>
              <w:left w:val="nil"/>
              <w:right w:val="nil"/>
            </w:tcBorders>
            <w:shd w:val="clear" w:color="000000" w:fill="FFFFFF"/>
            <w:vAlign w:val="center"/>
            <w:hideMark/>
          </w:tcPr>
          <w:p w14:paraId="75762E2C" w14:textId="3554DAF4"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2890" w:type="dxa"/>
            <w:tcBorders>
              <w:top w:val="nil"/>
              <w:left w:val="nil"/>
              <w:bottom w:val="single" w:sz="8" w:space="0" w:color="auto"/>
              <w:right w:val="nil"/>
            </w:tcBorders>
            <w:shd w:val="clear" w:color="auto" w:fill="auto"/>
            <w:noWrap/>
            <w:vAlign w:val="center"/>
            <w:hideMark/>
          </w:tcPr>
          <w:p w14:paraId="51D63755"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call centre floor 9</w:t>
            </w:r>
          </w:p>
        </w:tc>
        <w:tc>
          <w:tcPr>
            <w:tcW w:w="1276" w:type="dxa"/>
            <w:tcBorders>
              <w:top w:val="nil"/>
              <w:left w:val="nil"/>
              <w:bottom w:val="single" w:sz="8" w:space="0" w:color="auto"/>
              <w:right w:val="nil"/>
            </w:tcBorders>
            <w:shd w:val="clear" w:color="000000" w:fill="FFFFFF"/>
            <w:noWrap/>
            <w:vAlign w:val="center"/>
            <w:hideMark/>
          </w:tcPr>
          <w:p w14:paraId="2215A0B5"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noWrap/>
            <w:vAlign w:val="center"/>
            <w:hideMark/>
          </w:tcPr>
          <w:p w14:paraId="32C2F7A7"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7CA38879"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c>
          <w:tcPr>
            <w:tcW w:w="993" w:type="dxa"/>
            <w:tcBorders>
              <w:top w:val="nil"/>
              <w:left w:val="nil"/>
              <w:bottom w:val="single" w:sz="8" w:space="0" w:color="auto"/>
              <w:right w:val="nil"/>
            </w:tcBorders>
            <w:shd w:val="clear" w:color="000000" w:fill="FFFFFF"/>
            <w:noWrap/>
            <w:vAlign w:val="center"/>
            <w:hideMark/>
          </w:tcPr>
          <w:p w14:paraId="28B77CC0"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206</w:t>
            </w:r>
          </w:p>
        </w:tc>
        <w:tc>
          <w:tcPr>
            <w:tcW w:w="992" w:type="dxa"/>
            <w:tcBorders>
              <w:top w:val="nil"/>
              <w:left w:val="nil"/>
              <w:bottom w:val="single" w:sz="8" w:space="0" w:color="auto"/>
              <w:right w:val="nil"/>
            </w:tcBorders>
            <w:shd w:val="clear" w:color="000000" w:fill="FFFFFF"/>
            <w:noWrap/>
            <w:vAlign w:val="center"/>
            <w:hideMark/>
          </w:tcPr>
          <w:p w14:paraId="22398FB8"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206</w:t>
            </w:r>
          </w:p>
        </w:tc>
        <w:tc>
          <w:tcPr>
            <w:tcW w:w="992" w:type="dxa"/>
            <w:tcBorders>
              <w:top w:val="nil"/>
              <w:left w:val="nil"/>
              <w:bottom w:val="single" w:sz="8" w:space="0" w:color="auto"/>
              <w:right w:val="nil"/>
            </w:tcBorders>
            <w:shd w:val="clear" w:color="000000" w:fill="FFFFFF"/>
            <w:noWrap/>
            <w:vAlign w:val="center"/>
            <w:hideMark/>
          </w:tcPr>
          <w:p w14:paraId="154B41A4"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r>
      <w:tr w:rsidR="000F13C3" w:rsidRPr="00AE0B49" w14:paraId="5D9BFCEC" w14:textId="77777777" w:rsidTr="000C40FD">
        <w:trPr>
          <w:trHeight w:val="263"/>
        </w:trPr>
        <w:tc>
          <w:tcPr>
            <w:tcW w:w="983" w:type="dxa"/>
            <w:tcBorders>
              <w:left w:val="nil"/>
              <w:right w:val="nil"/>
            </w:tcBorders>
            <w:shd w:val="clear" w:color="000000" w:fill="FFFFFF"/>
            <w:vAlign w:val="center"/>
          </w:tcPr>
          <w:p w14:paraId="0724D049" w14:textId="77777777" w:rsidR="00AE0B49" w:rsidRPr="00AE0B49" w:rsidRDefault="00AE0B49" w:rsidP="00AE0B49">
            <w:pPr>
              <w:spacing w:after="0" w:line="240" w:lineRule="auto"/>
              <w:jc w:val="center"/>
              <w:rPr>
                <w:rFonts w:ascii="Calibri" w:eastAsia="Times New Roman" w:hAnsi="Calibri" w:cs="Calibri"/>
                <w:color w:val="000000"/>
                <w:sz w:val="18"/>
                <w:szCs w:val="18"/>
                <w:lang w:eastAsia="en-GB"/>
              </w:rPr>
            </w:pPr>
          </w:p>
        </w:tc>
        <w:tc>
          <w:tcPr>
            <w:tcW w:w="1002" w:type="dxa"/>
            <w:vMerge/>
            <w:tcBorders>
              <w:left w:val="nil"/>
              <w:right w:val="nil"/>
            </w:tcBorders>
            <w:shd w:val="clear" w:color="000000" w:fill="FFFFFF"/>
            <w:vAlign w:val="center"/>
          </w:tcPr>
          <w:p w14:paraId="45EC021F" w14:textId="0A7A0BD6"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1294" w:type="dxa"/>
            <w:vMerge/>
            <w:tcBorders>
              <w:left w:val="nil"/>
              <w:right w:val="nil"/>
            </w:tcBorders>
            <w:shd w:val="clear" w:color="000000" w:fill="FFFFFF"/>
            <w:vAlign w:val="center"/>
            <w:hideMark/>
          </w:tcPr>
          <w:p w14:paraId="0A1A30B7" w14:textId="6A2CEA52"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1038" w:type="dxa"/>
            <w:vMerge/>
            <w:tcBorders>
              <w:left w:val="nil"/>
              <w:right w:val="nil"/>
            </w:tcBorders>
            <w:shd w:val="clear" w:color="000000" w:fill="FFFFFF"/>
            <w:vAlign w:val="center"/>
            <w:hideMark/>
          </w:tcPr>
          <w:p w14:paraId="29CB919B" w14:textId="1BA8EFFD"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2414" w:type="dxa"/>
            <w:vMerge/>
            <w:tcBorders>
              <w:left w:val="nil"/>
              <w:right w:val="nil"/>
            </w:tcBorders>
            <w:shd w:val="clear" w:color="000000" w:fill="FFFFFF"/>
            <w:vAlign w:val="center"/>
            <w:hideMark/>
          </w:tcPr>
          <w:p w14:paraId="019DB8D6" w14:textId="5E0A88D1"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2890" w:type="dxa"/>
            <w:tcBorders>
              <w:top w:val="nil"/>
              <w:left w:val="nil"/>
              <w:bottom w:val="single" w:sz="8" w:space="0" w:color="auto"/>
              <w:right w:val="nil"/>
            </w:tcBorders>
            <w:shd w:val="clear" w:color="auto" w:fill="auto"/>
            <w:noWrap/>
            <w:vAlign w:val="center"/>
            <w:hideMark/>
          </w:tcPr>
          <w:p w14:paraId="1AC88ED6"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call centre floor 10</w:t>
            </w:r>
          </w:p>
        </w:tc>
        <w:tc>
          <w:tcPr>
            <w:tcW w:w="1276" w:type="dxa"/>
            <w:tcBorders>
              <w:top w:val="nil"/>
              <w:left w:val="nil"/>
              <w:bottom w:val="single" w:sz="8" w:space="0" w:color="auto"/>
              <w:right w:val="nil"/>
            </w:tcBorders>
            <w:shd w:val="clear" w:color="000000" w:fill="FFFFFF"/>
            <w:noWrap/>
            <w:vAlign w:val="center"/>
            <w:hideMark/>
          </w:tcPr>
          <w:p w14:paraId="1B1C57DA"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noWrap/>
            <w:vAlign w:val="center"/>
            <w:hideMark/>
          </w:tcPr>
          <w:p w14:paraId="2962F657"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549122E9"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c>
          <w:tcPr>
            <w:tcW w:w="993" w:type="dxa"/>
            <w:tcBorders>
              <w:top w:val="nil"/>
              <w:left w:val="nil"/>
              <w:bottom w:val="single" w:sz="8" w:space="0" w:color="auto"/>
              <w:right w:val="nil"/>
            </w:tcBorders>
            <w:shd w:val="clear" w:color="000000" w:fill="FFFFFF"/>
            <w:noWrap/>
            <w:vAlign w:val="center"/>
            <w:hideMark/>
          </w:tcPr>
          <w:p w14:paraId="5EF528C9"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27</w:t>
            </w:r>
          </w:p>
        </w:tc>
        <w:tc>
          <w:tcPr>
            <w:tcW w:w="992" w:type="dxa"/>
            <w:tcBorders>
              <w:top w:val="nil"/>
              <w:left w:val="nil"/>
              <w:bottom w:val="single" w:sz="8" w:space="0" w:color="auto"/>
              <w:right w:val="nil"/>
            </w:tcBorders>
            <w:shd w:val="clear" w:color="000000" w:fill="FFFFFF"/>
            <w:noWrap/>
            <w:vAlign w:val="center"/>
            <w:hideMark/>
          </w:tcPr>
          <w:p w14:paraId="7E2A8AF8"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27</w:t>
            </w:r>
          </w:p>
        </w:tc>
        <w:tc>
          <w:tcPr>
            <w:tcW w:w="992" w:type="dxa"/>
            <w:tcBorders>
              <w:top w:val="nil"/>
              <w:left w:val="nil"/>
              <w:bottom w:val="single" w:sz="8" w:space="0" w:color="auto"/>
              <w:right w:val="nil"/>
            </w:tcBorders>
            <w:shd w:val="clear" w:color="000000" w:fill="FFFFFF"/>
            <w:noWrap/>
            <w:vAlign w:val="center"/>
            <w:hideMark/>
          </w:tcPr>
          <w:p w14:paraId="41225823"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2</w:t>
            </w:r>
          </w:p>
        </w:tc>
      </w:tr>
      <w:tr w:rsidR="000F13C3" w:rsidRPr="00AE0B49" w14:paraId="570C25A4" w14:textId="77777777" w:rsidTr="000C40FD">
        <w:trPr>
          <w:trHeight w:val="267"/>
        </w:trPr>
        <w:tc>
          <w:tcPr>
            <w:tcW w:w="983" w:type="dxa"/>
            <w:tcBorders>
              <w:left w:val="nil"/>
              <w:bottom w:val="single" w:sz="8" w:space="0" w:color="auto"/>
              <w:right w:val="nil"/>
            </w:tcBorders>
            <w:shd w:val="clear" w:color="000000" w:fill="FFFFFF"/>
            <w:vAlign w:val="center"/>
          </w:tcPr>
          <w:p w14:paraId="4E727AE6" w14:textId="77777777" w:rsidR="00AE0B49" w:rsidRPr="00AE0B49" w:rsidRDefault="00AE0B49" w:rsidP="00AE0B49">
            <w:pPr>
              <w:spacing w:after="0" w:line="240" w:lineRule="auto"/>
              <w:jc w:val="center"/>
              <w:rPr>
                <w:rFonts w:ascii="Calibri" w:eastAsia="Times New Roman" w:hAnsi="Calibri" w:cs="Calibri"/>
                <w:color w:val="000000"/>
                <w:sz w:val="18"/>
                <w:szCs w:val="18"/>
                <w:lang w:eastAsia="en-GB"/>
              </w:rPr>
            </w:pPr>
          </w:p>
        </w:tc>
        <w:tc>
          <w:tcPr>
            <w:tcW w:w="1002" w:type="dxa"/>
            <w:vMerge/>
            <w:tcBorders>
              <w:left w:val="nil"/>
              <w:bottom w:val="single" w:sz="8" w:space="0" w:color="auto"/>
              <w:right w:val="nil"/>
            </w:tcBorders>
            <w:shd w:val="clear" w:color="000000" w:fill="FFFFFF"/>
            <w:vAlign w:val="center"/>
          </w:tcPr>
          <w:p w14:paraId="4442CB24" w14:textId="20574157"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1294" w:type="dxa"/>
            <w:vMerge/>
            <w:tcBorders>
              <w:left w:val="nil"/>
              <w:bottom w:val="single" w:sz="8" w:space="0" w:color="auto"/>
              <w:right w:val="nil"/>
            </w:tcBorders>
            <w:shd w:val="clear" w:color="000000" w:fill="FFFFFF"/>
            <w:vAlign w:val="center"/>
            <w:hideMark/>
          </w:tcPr>
          <w:p w14:paraId="51780303" w14:textId="208A74F3"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1038" w:type="dxa"/>
            <w:vMerge/>
            <w:tcBorders>
              <w:left w:val="nil"/>
              <w:bottom w:val="single" w:sz="8" w:space="0" w:color="auto"/>
              <w:right w:val="nil"/>
            </w:tcBorders>
            <w:shd w:val="clear" w:color="000000" w:fill="FFFFFF"/>
            <w:vAlign w:val="center"/>
            <w:hideMark/>
          </w:tcPr>
          <w:p w14:paraId="04186941" w14:textId="4465963C"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2414" w:type="dxa"/>
            <w:vMerge/>
            <w:tcBorders>
              <w:left w:val="nil"/>
              <w:bottom w:val="single" w:sz="8" w:space="0" w:color="auto"/>
              <w:right w:val="nil"/>
            </w:tcBorders>
            <w:shd w:val="clear" w:color="000000" w:fill="FFFFFF"/>
            <w:vAlign w:val="center"/>
            <w:hideMark/>
          </w:tcPr>
          <w:p w14:paraId="378A89F4" w14:textId="667C1053" w:rsidR="00AE0B49" w:rsidRPr="00AE0B49" w:rsidRDefault="00AE0B49" w:rsidP="00CD0DB3">
            <w:pPr>
              <w:spacing w:after="0" w:line="240" w:lineRule="auto"/>
              <w:rPr>
                <w:rFonts w:ascii="Calibri" w:eastAsia="Times New Roman" w:hAnsi="Calibri" w:cs="Calibri"/>
                <w:color w:val="000000"/>
                <w:sz w:val="18"/>
                <w:szCs w:val="18"/>
                <w:lang w:eastAsia="en-GB"/>
              </w:rPr>
            </w:pPr>
          </w:p>
        </w:tc>
        <w:tc>
          <w:tcPr>
            <w:tcW w:w="2890" w:type="dxa"/>
            <w:tcBorders>
              <w:top w:val="nil"/>
              <w:left w:val="nil"/>
              <w:bottom w:val="single" w:sz="8" w:space="0" w:color="auto"/>
              <w:right w:val="nil"/>
            </w:tcBorders>
            <w:shd w:val="clear" w:color="auto" w:fill="auto"/>
            <w:noWrap/>
            <w:vAlign w:val="center"/>
            <w:hideMark/>
          </w:tcPr>
          <w:p w14:paraId="58DB16FA" w14:textId="77777777" w:rsidR="00AE0B49" w:rsidRPr="00AE0B49" w:rsidRDefault="00AE0B49" w:rsidP="00CD0DB3">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call centre floor 11</w:t>
            </w:r>
          </w:p>
        </w:tc>
        <w:tc>
          <w:tcPr>
            <w:tcW w:w="1276" w:type="dxa"/>
            <w:tcBorders>
              <w:top w:val="nil"/>
              <w:left w:val="nil"/>
              <w:bottom w:val="single" w:sz="8" w:space="0" w:color="auto"/>
              <w:right w:val="nil"/>
            </w:tcBorders>
            <w:shd w:val="clear" w:color="000000" w:fill="FFFFFF"/>
            <w:noWrap/>
            <w:vAlign w:val="center"/>
            <w:hideMark/>
          </w:tcPr>
          <w:p w14:paraId="680D5DA5"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noWrap/>
            <w:vAlign w:val="center"/>
            <w:hideMark/>
          </w:tcPr>
          <w:p w14:paraId="63CE6133" w14:textId="77777777" w:rsidR="00AE0B49" w:rsidRPr="00AE0B49" w:rsidRDefault="00AE0B49" w:rsidP="00CD0DB3">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7F73CEB2"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c>
          <w:tcPr>
            <w:tcW w:w="993" w:type="dxa"/>
            <w:tcBorders>
              <w:top w:val="nil"/>
              <w:left w:val="nil"/>
              <w:bottom w:val="single" w:sz="8" w:space="0" w:color="auto"/>
              <w:right w:val="nil"/>
            </w:tcBorders>
            <w:shd w:val="clear" w:color="000000" w:fill="FFFFFF"/>
            <w:noWrap/>
            <w:vAlign w:val="center"/>
            <w:hideMark/>
          </w:tcPr>
          <w:p w14:paraId="18CD7575"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216</w:t>
            </w:r>
          </w:p>
        </w:tc>
        <w:tc>
          <w:tcPr>
            <w:tcW w:w="992" w:type="dxa"/>
            <w:tcBorders>
              <w:top w:val="nil"/>
              <w:left w:val="nil"/>
              <w:bottom w:val="single" w:sz="8" w:space="0" w:color="auto"/>
              <w:right w:val="nil"/>
            </w:tcBorders>
            <w:shd w:val="clear" w:color="000000" w:fill="FFFFFF"/>
            <w:noWrap/>
            <w:vAlign w:val="center"/>
            <w:hideMark/>
          </w:tcPr>
          <w:p w14:paraId="1D1FC779"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216</w:t>
            </w:r>
          </w:p>
        </w:tc>
        <w:tc>
          <w:tcPr>
            <w:tcW w:w="992" w:type="dxa"/>
            <w:tcBorders>
              <w:top w:val="nil"/>
              <w:left w:val="nil"/>
              <w:bottom w:val="single" w:sz="8" w:space="0" w:color="auto"/>
              <w:right w:val="nil"/>
            </w:tcBorders>
            <w:shd w:val="clear" w:color="000000" w:fill="FFFFFF"/>
            <w:noWrap/>
            <w:vAlign w:val="center"/>
            <w:hideMark/>
          </w:tcPr>
          <w:p w14:paraId="673428BF" w14:textId="77777777" w:rsidR="00AE0B49" w:rsidRPr="00AE0B49" w:rsidRDefault="00AE0B49" w:rsidP="00CD0DB3">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94</w:t>
            </w:r>
          </w:p>
        </w:tc>
      </w:tr>
      <w:tr w:rsidR="000F13C3" w:rsidRPr="00AE0B49" w14:paraId="26898D18" w14:textId="77777777" w:rsidTr="00023ABF">
        <w:trPr>
          <w:trHeight w:val="426"/>
        </w:trPr>
        <w:tc>
          <w:tcPr>
            <w:tcW w:w="983" w:type="dxa"/>
            <w:tcBorders>
              <w:top w:val="nil"/>
              <w:left w:val="nil"/>
              <w:bottom w:val="single" w:sz="8" w:space="0" w:color="auto"/>
              <w:right w:val="nil"/>
            </w:tcBorders>
            <w:shd w:val="clear" w:color="000000" w:fill="FFFFFF"/>
            <w:vAlign w:val="center"/>
          </w:tcPr>
          <w:p w14:paraId="4A3EC876" w14:textId="6B78600A" w:rsidR="00AE0B49" w:rsidRPr="00AE0B49" w:rsidRDefault="00ED69B5" w:rsidP="00AE0B4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13</w:t>
            </w:r>
          </w:p>
        </w:tc>
        <w:tc>
          <w:tcPr>
            <w:tcW w:w="1002" w:type="dxa"/>
            <w:tcBorders>
              <w:top w:val="nil"/>
              <w:left w:val="nil"/>
              <w:bottom w:val="single" w:sz="8" w:space="0" w:color="auto"/>
              <w:right w:val="nil"/>
            </w:tcBorders>
            <w:shd w:val="clear" w:color="000000" w:fill="FFFFFF"/>
            <w:vAlign w:val="center"/>
          </w:tcPr>
          <w:p w14:paraId="5ED87AFF" w14:textId="04848D58"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Pollan et al</w:t>
            </w:r>
            <w:r w:rsidR="005C0D1A">
              <w:rPr>
                <w:rFonts w:ascii="Calibri" w:eastAsia="Times New Roman" w:hAnsi="Calibri" w:cs="Calibri"/>
                <w:color w:val="000000"/>
                <w:sz w:val="18"/>
                <w:szCs w:val="18"/>
                <w:lang w:eastAsia="en-GB"/>
              </w:rPr>
              <w:t xml:space="preserve"> </w:t>
            </w:r>
            <w:r w:rsidR="005C0D1A">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ISSN":"0140-6736","author":[{"dropping-particle":"","family":"Pollán","given":"Marina","non-dropping-particle":"","parse-names":false,"suffix":""},{"dropping-particle":"","family":"Pérez-Gómez","given":"Beatriz","non-dropping-particle":"","parse-names":false,"suffix":""},{"dropping-particle":"","family":"Pastor-Barriuso","given":"Roberto","non-dropping-particle":"","parse-names":false,"suffix":""},{"dropping-particle":"","family":"Oteo","given":"Jesús","non-dropping-particle":"","parse-names":false,"suffix":""},{"dropping-particle":"","family":"Hernán","given":"Miguel A","non-dropping-particle":"","parse-names":false,"suffix":""},{"dropping-particle":"","family":"Pérez-Olmeda","given":"Mayte","non-dropping-particle":"","parse-names":false,"suffix":""},{"dropping-particle":"","family":"Sanmartín","given":"Jose L","non-dropping-particle":"","parse-names":false,"suffix":""},{"dropping-particle":"","family":"Fernández-García","given":"Aurora","non-dropping-particle":"","parse-names":false,"suffix":""},{"dropping-particle":"","family":"Cruz","given":"Israel","non-dropping-particle":"","parse-names":false,"suffix":""},{"dropping-particle":"","family":"Larrea","given":"Nerea Fernández","non-dropping-particle":"de","parse-names":false,"suffix":""}],"container-title":"The Lancet","id":"ITEM-1","issue":"10250","issued":{"date-parts":[["2020"]]},"page":"535-544","publisher":"Elsevier","title":"Prevalence of SARS-CoV-2 in Spain (ENE-COVID): a nationwide, population-based seroepidemiological study","type":"article-journal","volume":"396"},"uris":["http://www.mendeley.com/documents/?uuid=94db7b8f-9534-4dab-8a72-9753c6041a80"]}],"mendeley":{"formattedCitation":"[46]","plainTextFormattedCitation":"[46]","previouslyFormattedCitation":"[48]"},"properties":{"noteIndex":0},"schema":"https://github.com/citation-style-language/schema/raw/master/csl-citation.json"}</w:instrText>
            </w:r>
            <w:r w:rsidR="005C0D1A">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[46]</w:t>
            </w:r>
            <w:r w:rsidR="005C0D1A">
              <w:rPr>
                <w:rFonts w:ascii="Calibri" w:eastAsia="Times New Roman" w:hAnsi="Calibri" w:cs="Calibri"/>
                <w:color w:val="000000"/>
                <w:sz w:val="18"/>
                <w:szCs w:val="18"/>
                <w:lang w:eastAsia="en-GB"/>
              </w:rPr>
              <w:fldChar w:fldCharType="end"/>
            </w:r>
          </w:p>
        </w:tc>
        <w:tc>
          <w:tcPr>
            <w:tcW w:w="1294" w:type="dxa"/>
            <w:tcBorders>
              <w:top w:val="nil"/>
              <w:left w:val="nil"/>
              <w:bottom w:val="single" w:sz="8" w:space="0" w:color="auto"/>
              <w:right w:val="nil"/>
            </w:tcBorders>
            <w:shd w:val="clear" w:color="000000" w:fill="FFFFFF"/>
            <w:vAlign w:val="center"/>
          </w:tcPr>
          <w:p w14:paraId="31F3761C" w14:textId="1E1E4909"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Nationwide</w:t>
            </w:r>
          </w:p>
        </w:tc>
        <w:tc>
          <w:tcPr>
            <w:tcW w:w="1038" w:type="dxa"/>
            <w:tcBorders>
              <w:top w:val="nil"/>
              <w:left w:val="nil"/>
              <w:bottom w:val="single" w:sz="8" w:space="0" w:color="auto"/>
              <w:right w:val="nil"/>
            </w:tcBorders>
            <w:shd w:val="clear" w:color="000000" w:fill="FFFFFF"/>
            <w:vAlign w:val="center"/>
          </w:tcPr>
          <w:p w14:paraId="6406D21B" w14:textId="2AFE812E"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Spain</w:t>
            </w:r>
          </w:p>
        </w:tc>
        <w:tc>
          <w:tcPr>
            <w:tcW w:w="2414" w:type="dxa"/>
            <w:tcBorders>
              <w:top w:val="nil"/>
              <w:left w:val="nil"/>
              <w:bottom w:val="single" w:sz="8" w:space="0" w:color="auto"/>
              <w:right w:val="nil"/>
            </w:tcBorders>
            <w:shd w:val="clear" w:color="000000" w:fill="FFFFFF"/>
            <w:vAlign w:val="center"/>
          </w:tcPr>
          <w:p w14:paraId="74B75004" w14:textId="494155F2"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Serosurvey</w:t>
            </w:r>
          </w:p>
        </w:tc>
        <w:tc>
          <w:tcPr>
            <w:tcW w:w="2890" w:type="dxa"/>
            <w:tcBorders>
              <w:top w:val="nil"/>
              <w:left w:val="nil"/>
              <w:bottom w:val="single" w:sz="8" w:space="0" w:color="auto"/>
              <w:right w:val="nil"/>
            </w:tcBorders>
            <w:shd w:val="clear" w:color="000000" w:fill="FFFFFF"/>
            <w:vAlign w:val="center"/>
          </w:tcPr>
          <w:p w14:paraId="37858D1C" w14:textId="34D06A15"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xml:space="preserve">Workplace contacts </w:t>
            </w:r>
          </w:p>
        </w:tc>
        <w:tc>
          <w:tcPr>
            <w:tcW w:w="1276" w:type="dxa"/>
            <w:tcBorders>
              <w:top w:val="nil"/>
              <w:left w:val="nil"/>
              <w:bottom w:val="single" w:sz="8" w:space="0" w:color="auto"/>
              <w:right w:val="nil"/>
            </w:tcBorders>
            <w:shd w:val="clear" w:color="000000" w:fill="FFFFFF"/>
            <w:noWrap/>
            <w:vAlign w:val="center"/>
          </w:tcPr>
          <w:p w14:paraId="19833521" w14:textId="1C59D8DA" w:rsidR="00AE0B49" w:rsidRPr="00AE0B49" w:rsidRDefault="00AE0B49" w:rsidP="001F6CAD">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noWrap/>
            <w:vAlign w:val="center"/>
          </w:tcPr>
          <w:p w14:paraId="5999F12D" w14:textId="241C8166" w:rsidR="00AE0B49" w:rsidRPr="00AE0B49" w:rsidRDefault="00AE0B49" w:rsidP="001F6CAD">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Serology</w:t>
            </w:r>
          </w:p>
        </w:tc>
        <w:tc>
          <w:tcPr>
            <w:tcW w:w="869" w:type="dxa"/>
            <w:tcBorders>
              <w:top w:val="nil"/>
              <w:left w:val="nil"/>
              <w:bottom w:val="single" w:sz="8" w:space="0" w:color="auto"/>
              <w:right w:val="nil"/>
            </w:tcBorders>
            <w:shd w:val="clear" w:color="000000" w:fill="FFFFFF"/>
            <w:vAlign w:val="center"/>
          </w:tcPr>
          <w:p w14:paraId="01C6426A" w14:textId="0457C17A" w:rsidR="00AE0B49" w:rsidRPr="00AE0B49" w:rsidRDefault="00AE0B49" w:rsidP="00023ABF">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not specified</w:t>
            </w:r>
            <w:r w:rsidR="00E96AD9">
              <w:rPr>
                <w:rFonts w:ascii="Calibri" w:eastAsia="Times New Roman" w:hAnsi="Calibri" w:cs="Calibri"/>
                <w:color w:val="000000"/>
                <w:sz w:val="18"/>
                <w:szCs w:val="18"/>
                <w:lang w:eastAsia="en-GB"/>
              </w:rPr>
              <w:t>*</w:t>
            </w:r>
          </w:p>
        </w:tc>
        <w:tc>
          <w:tcPr>
            <w:tcW w:w="993" w:type="dxa"/>
            <w:tcBorders>
              <w:top w:val="nil"/>
              <w:left w:val="nil"/>
              <w:bottom w:val="single" w:sz="8" w:space="0" w:color="auto"/>
              <w:right w:val="nil"/>
            </w:tcBorders>
            <w:shd w:val="clear" w:color="000000" w:fill="FFFFFF"/>
            <w:noWrap/>
            <w:vAlign w:val="center"/>
          </w:tcPr>
          <w:p w14:paraId="2DEE81AC" w14:textId="76BC59E0"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1461</w:t>
            </w:r>
          </w:p>
        </w:tc>
        <w:tc>
          <w:tcPr>
            <w:tcW w:w="992" w:type="dxa"/>
            <w:tcBorders>
              <w:top w:val="nil"/>
              <w:left w:val="nil"/>
              <w:bottom w:val="single" w:sz="8" w:space="0" w:color="auto"/>
              <w:right w:val="nil"/>
            </w:tcBorders>
            <w:shd w:val="clear" w:color="000000" w:fill="FFFFFF"/>
            <w:noWrap/>
            <w:vAlign w:val="center"/>
          </w:tcPr>
          <w:p w14:paraId="31F180EC" w14:textId="1A371E19"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1461</w:t>
            </w:r>
          </w:p>
        </w:tc>
        <w:tc>
          <w:tcPr>
            <w:tcW w:w="992" w:type="dxa"/>
            <w:tcBorders>
              <w:top w:val="nil"/>
              <w:left w:val="nil"/>
              <w:bottom w:val="single" w:sz="8" w:space="0" w:color="auto"/>
              <w:right w:val="nil"/>
            </w:tcBorders>
            <w:shd w:val="clear" w:color="000000" w:fill="FFFFFF"/>
            <w:noWrap/>
            <w:vAlign w:val="center"/>
          </w:tcPr>
          <w:p w14:paraId="18EBBB9F" w14:textId="75B481BB"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118</w:t>
            </w:r>
          </w:p>
        </w:tc>
      </w:tr>
      <w:tr w:rsidR="000F13C3" w:rsidRPr="00AE0B49" w14:paraId="41A1C0E2" w14:textId="77777777" w:rsidTr="00AE0B49">
        <w:trPr>
          <w:trHeight w:val="561"/>
        </w:trPr>
        <w:tc>
          <w:tcPr>
            <w:tcW w:w="983" w:type="dxa"/>
            <w:tcBorders>
              <w:top w:val="nil"/>
              <w:left w:val="nil"/>
              <w:bottom w:val="single" w:sz="8" w:space="0" w:color="auto"/>
              <w:right w:val="nil"/>
            </w:tcBorders>
            <w:shd w:val="clear" w:color="000000" w:fill="FFFFFF"/>
            <w:vAlign w:val="center"/>
          </w:tcPr>
          <w:p w14:paraId="4B354F14" w14:textId="25F885C2" w:rsidR="00AE0B49" w:rsidRPr="00AE0B49" w:rsidRDefault="005E3C72" w:rsidP="00AE0B4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w:t>
            </w:r>
            <w:r w:rsidR="00ED69B5">
              <w:rPr>
                <w:rFonts w:ascii="Calibri" w:eastAsia="Times New Roman" w:hAnsi="Calibri" w:cs="Calibri"/>
                <w:color w:val="000000"/>
                <w:sz w:val="18"/>
                <w:szCs w:val="18"/>
                <w:lang w:eastAsia="en-GB"/>
              </w:rPr>
              <w:t>8</w:t>
            </w:r>
          </w:p>
        </w:tc>
        <w:tc>
          <w:tcPr>
            <w:tcW w:w="1002" w:type="dxa"/>
            <w:tcBorders>
              <w:top w:val="nil"/>
              <w:left w:val="nil"/>
              <w:bottom w:val="single" w:sz="8" w:space="0" w:color="auto"/>
              <w:right w:val="nil"/>
            </w:tcBorders>
            <w:shd w:val="clear" w:color="000000" w:fill="FFFFFF"/>
            <w:vAlign w:val="center"/>
            <w:hideMark/>
          </w:tcPr>
          <w:p w14:paraId="080CE0E5" w14:textId="35DB7A9C"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Zhang et al</w:t>
            </w:r>
            <w:r w:rsidR="005E3C72">
              <w:rPr>
                <w:rFonts w:ascii="Calibri" w:eastAsia="Times New Roman" w:hAnsi="Calibri" w:cs="Calibri"/>
                <w:color w:val="000000"/>
                <w:sz w:val="18"/>
                <w:szCs w:val="18"/>
                <w:lang w:eastAsia="en-GB"/>
              </w:rPr>
              <w:t xml:space="preserve"> </w:t>
            </w:r>
            <w:r w:rsidR="005E3C72">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{"citationItems":[{"id":"ITEM-1","itemData":{"DOI":"10.3760/cma.j.cn112338-20200228-00206","ISBN":"0254-6450","PMID":"32340093","author":[{"dropping-particle":"","family":"Zhang","given":"J Z","non-dropping-particle":"","parse-names":false,"suffix":""},{"dropping-particle":"","family":"Zhou","given":"P","non-dropping-particle":"","parse-names":false,"suffix":""},{"dropping-particle":"","family":"Han","given":"D B","non-dropping-particle":"","parse-names":false,"suffix":""},{"dropping-particle":"","family":"Wang","given":"W C","non-dropping-particle":"","parse-names":false,"suffix":""},{"dropping-particle":"","family":"Cui","given":"C","non-dropping-particle":"","parse-names":false,"suffix":""},{"dropping-particle":"","family":"Zhou","given":"R","non-dropping-particle":"","parse-names":false,"suffix":""},{"dropping-particle":"","family":"Xu","given":"K X","non-dropping-particle":"","parse-names":false,"suffix":""},{"dropping-particle":"","family":"Liu","given":"L","non-dropping-particle":"","parse-names":false,"suffix":""},{"dropping-particle":"","family":"Wang","given":"X H","non-dropping-particle":"","parse-names":false,"suffix":""},{"dropping-particle":"","family":"Bai","given":"X H","non-dropping-particle":"","parse-names":false,"suffix":""},{"dropping-particle":"","family":"Jiang","given":"X K","non-dropping-particle":"","parse-names":false,"suffix":""}],"container-title":"Zhonghua liu xing bing xue za zhi = Zhonghua liuxingbingxue zazhi","id":"ITEM-1","issue":"0","issued":{"date-parts":[["2020"]]},"language":"chi","page":"E055","title":"[Investigation on a cluster epidemic of COVID-19 in a supermarket in Liaocheng, Shandong province]","type":"article-journal","volume":"41"},"uris":["http://www.mendeley.com/documents/?uuid=cd0281b2-8239-43f2-bbec-1a9fdbb4025b"]}],"mendeley":{"formattedCitation":"[61]","plainTextFormattedCitation":"[61]","previouslyFormattedCitation":"[63]"},"properties":{"noteIndex":0},"schema":"https://github.com/citation-style-language/schema/raw/master/csl-citation.json"}</w:instrText>
            </w:r>
            <w:r w:rsidR="005E3C72">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[61]</w:t>
            </w:r>
            <w:r w:rsidR="005E3C72">
              <w:rPr>
                <w:rFonts w:ascii="Calibri" w:eastAsia="Times New Roman" w:hAnsi="Calibri" w:cs="Calibri"/>
                <w:color w:val="000000"/>
                <w:sz w:val="18"/>
                <w:szCs w:val="18"/>
                <w:lang w:eastAsia="en-GB"/>
              </w:rPr>
              <w:fldChar w:fldCharType="end"/>
            </w:r>
          </w:p>
        </w:tc>
        <w:tc>
          <w:tcPr>
            <w:tcW w:w="1294" w:type="dxa"/>
            <w:tcBorders>
              <w:top w:val="nil"/>
              <w:left w:val="nil"/>
              <w:bottom w:val="single" w:sz="8" w:space="0" w:color="auto"/>
              <w:right w:val="nil"/>
            </w:tcBorders>
            <w:shd w:val="clear" w:color="000000" w:fill="FFFFFF"/>
            <w:vAlign w:val="center"/>
            <w:hideMark/>
          </w:tcPr>
          <w:p w14:paraId="711C5C46" w14:textId="77777777" w:rsidR="00AE0B49" w:rsidRPr="00AE0B49" w:rsidRDefault="00AE0B49" w:rsidP="001F6CAD">
            <w:pPr>
              <w:spacing w:after="0" w:line="240" w:lineRule="auto"/>
              <w:rPr>
                <w:rFonts w:ascii="Calibri" w:eastAsia="Times New Roman" w:hAnsi="Calibri" w:cs="Calibri"/>
                <w:color w:val="000000"/>
                <w:sz w:val="18"/>
                <w:szCs w:val="18"/>
                <w:lang w:eastAsia="en-GB"/>
              </w:rPr>
            </w:pPr>
            <w:proofErr w:type="spellStart"/>
            <w:r w:rsidRPr="00AE0B49">
              <w:rPr>
                <w:rFonts w:ascii="Calibri" w:eastAsia="Times New Roman" w:hAnsi="Calibri" w:cs="Calibri"/>
                <w:color w:val="000000"/>
                <w:sz w:val="18"/>
                <w:szCs w:val="18"/>
                <w:lang w:eastAsia="en-GB"/>
              </w:rPr>
              <w:t>Liocheng</w:t>
            </w:r>
            <w:proofErr w:type="spellEnd"/>
          </w:p>
        </w:tc>
        <w:tc>
          <w:tcPr>
            <w:tcW w:w="1038" w:type="dxa"/>
            <w:tcBorders>
              <w:top w:val="nil"/>
              <w:left w:val="nil"/>
              <w:bottom w:val="single" w:sz="8" w:space="0" w:color="auto"/>
              <w:right w:val="nil"/>
            </w:tcBorders>
            <w:shd w:val="clear" w:color="000000" w:fill="FFFFFF"/>
            <w:vAlign w:val="center"/>
            <w:hideMark/>
          </w:tcPr>
          <w:p w14:paraId="680CD446" w14:textId="77777777"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China</w:t>
            </w:r>
          </w:p>
        </w:tc>
        <w:tc>
          <w:tcPr>
            <w:tcW w:w="2414" w:type="dxa"/>
            <w:tcBorders>
              <w:top w:val="nil"/>
              <w:left w:val="nil"/>
              <w:bottom w:val="single" w:sz="8" w:space="0" w:color="auto"/>
              <w:right w:val="nil"/>
            </w:tcBorders>
            <w:shd w:val="clear" w:color="000000" w:fill="FFFFFF"/>
            <w:vAlign w:val="center"/>
            <w:hideMark/>
          </w:tcPr>
          <w:p w14:paraId="4F388288" w14:textId="77777777"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Outbreak investigation and contact tracing</w:t>
            </w:r>
          </w:p>
        </w:tc>
        <w:tc>
          <w:tcPr>
            <w:tcW w:w="2890" w:type="dxa"/>
            <w:tcBorders>
              <w:top w:val="nil"/>
              <w:left w:val="nil"/>
              <w:bottom w:val="single" w:sz="8" w:space="0" w:color="auto"/>
              <w:right w:val="nil"/>
            </w:tcBorders>
            <w:shd w:val="clear" w:color="000000" w:fill="FFFFFF"/>
            <w:vAlign w:val="center"/>
            <w:hideMark/>
          </w:tcPr>
          <w:p w14:paraId="45F473F9" w14:textId="77777777"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Employees of a supermarket where a confirmed case worked</w:t>
            </w:r>
          </w:p>
        </w:tc>
        <w:tc>
          <w:tcPr>
            <w:tcW w:w="1276" w:type="dxa"/>
            <w:tcBorders>
              <w:top w:val="nil"/>
              <w:left w:val="nil"/>
              <w:bottom w:val="single" w:sz="8" w:space="0" w:color="auto"/>
              <w:right w:val="nil"/>
            </w:tcBorders>
            <w:shd w:val="clear" w:color="000000" w:fill="FFFFFF"/>
            <w:noWrap/>
            <w:vAlign w:val="center"/>
            <w:hideMark/>
          </w:tcPr>
          <w:p w14:paraId="4E11E5C2" w14:textId="77777777" w:rsidR="00AE0B49" w:rsidRPr="00AE0B49" w:rsidRDefault="00AE0B49" w:rsidP="001F6CAD">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noWrap/>
            <w:vAlign w:val="center"/>
            <w:hideMark/>
          </w:tcPr>
          <w:p w14:paraId="1FA81633" w14:textId="77777777" w:rsidR="00AE0B49" w:rsidRPr="00AE0B49" w:rsidRDefault="00AE0B49" w:rsidP="001F6CAD">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0E686A63" w14:textId="77777777"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w:t>
            </w:r>
          </w:p>
        </w:tc>
        <w:tc>
          <w:tcPr>
            <w:tcW w:w="993" w:type="dxa"/>
            <w:tcBorders>
              <w:top w:val="nil"/>
              <w:left w:val="nil"/>
              <w:bottom w:val="single" w:sz="8" w:space="0" w:color="auto"/>
              <w:right w:val="nil"/>
            </w:tcBorders>
            <w:shd w:val="clear" w:color="000000" w:fill="FFFFFF"/>
            <w:noWrap/>
            <w:vAlign w:val="center"/>
            <w:hideMark/>
          </w:tcPr>
          <w:p w14:paraId="56C612DB" w14:textId="77777777"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120</w:t>
            </w:r>
          </w:p>
        </w:tc>
        <w:tc>
          <w:tcPr>
            <w:tcW w:w="992" w:type="dxa"/>
            <w:tcBorders>
              <w:top w:val="nil"/>
              <w:left w:val="nil"/>
              <w:bottom w:val="single" w:sz="8" w:space="0" w:color="auto"/>
              <w:right w:val="nil"/>
            </w:tcBorders>
            <w:shd w:val="clear" w:color="000000" w:fill="FFFFFF"/>
            <w:noWrap/>
            <w:vAlign w:val="center"/>
            <w:hideMark/>
          </w:tcPr>
          <w:p w14:paraId="07CE52EC" w14:textId="77777777"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120</w:t>
            </w:r>
          </w:p>
        </w:tc>
        <w:tc>
          <w:tcPr>
            <w:tcW w:w="992" w:type="dxa"/>
            <w:tcBorders>
              <w:top w:val="nil"/>
              <w:left w:val="nil"/>
              <w:bottom w:val="single" w:sz="8" w:space="0" w:color="auto"/>
              <w:right w:val="nil"/>
            </w:tcBorders>
            <w:shd w:val="clear" w:color="000000" w:fill="FFFFFF"/>
            <w:noWrap/>
            <w:vAlign w:val="center"/>
            <w:hideMark/>
          </w:tcPr>
          <w:p w14:paraId="114FE8C6" w14:textId="77777777"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11</w:t>
            </w:r>
          </w:p>
        </w:tc>
      </w:tr>
      <w:tr w:rsidR="004E7F1D" w:rsidRPr="00AE0B49" w14:paraId="522245E3" w14:textId="77777777" w:rsidTr="000C40FD">
        <w:trPr>
          <w:trHeight w:val="831"/>
        </w:trPr>
        <w:tc>
          <w:tcPr>
            <w:tcW w:w="983" w:type="dxa"/>
            <w:tcBorders>
              <w:top w:val="single" w:sz="8" w:space="0" w:color="auto"/>
              <w:left w:val="nil"/>
              <w:bottom w:val="single" w:sz="18" w:space="0" w:color="auto"/>
              <w:right w:val="nil"/>
            </w:tcBorders>
            <w:shd w:val="clear" w:color="000000" w:fill="FFFFFF"/>
            <w:vAlign w:val="center"/>
          </w:tcPr>
          <w:p w14:paraId="4C6D191B" w14:textId="64F4B1F0" w:rsidR="00AE0B49" w:rsidRPr="00AE0B49" w:rsidRDefault="008A6CA3" w:rsidP="00AE0B4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w:t>
            </w:r>
            <w:r w:rsidR="00ED69B5">
              <w:rPr>
                <w:rFonts w:ascii="Calibri" w:eastAsia="Times New Roman" w:hAnsi="Calibri" w:cs="Calibri"/>
                <w:color w:val="000000"/>
                <w:sz w:val="18"/>
                <w:szCs w:val="18"/>
                <w:lang w:eastAsia="en-GB"/>
              </w:rPr>
              <w:t>7</w:t>
            </w:r>
          </w:p>
        </w:tc>
        <w:tc>
          <w:tcPr>
            <w:tcW w:w="1002" w:type="dxa"/>
            <w:tcBorders>
              <w:top w:val="single" w:sz="8" w:space="0" w:color="auto"/>
              <w:left w:val="nil"/>
              <w:bottom w:val="single" w:sz="18" w:space="0" w:color="auto"/>
              <w:right w:val="nil"/>
            </w:tcBorders>
            <w:shd w:val="clear" w:color="000000" w:fill="FFFFFF"/>
            <w:vAlign w:val="center"/>
            <w:hideMark/>
          </w:tcPr>
          <w:p w14:paraId="7571667B" w14:textId="2C769F56"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Zhang et al</w:t>
            </w:r>
            <w:r w:rsidR="008A6CA3">
              <w:rPr>
                <w:rFonts w:ascii="Calibri" w:eastAsia="Times New Roman" w:hAnsi="Calibri" w:cs="Calibri"/>
                <w:color w:val="000000"/>
                <w:sz w:val="18"/>
                <w:szCs w:val="18"/>
                <w:lang w:eastAsia="en-GB"/>
              </w:rPr>
              <w:t xml:space="preserve"> </w:t>
            </w:r>
            <w:r w:rsidR="00F02A6E">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{"citationItems":[{"id":"ITEM-1","itemData":{"DOI":"10.3201/eid2608.201142","ISBN":"1080-6040 (Print)\r1080-6040","PMID":"32453686","abstract":"We explored the secondary attack rate in different types of contact with persons presymptomatic for coronavirus disease (COVID-19). Close contacts who lived with or had frequent contact with an index case-patient had a higher risk for COVID-19. Our findings provide population-based evidence for transmission from persons with presymptomatic COVID-19 infections.","author":[{"dropping-particle":"","family":"Zhang","given":"W","non-dropping-particle":"","parse-names":false,"suffix":""},{"dropping-particle":"","family":"Cheng","given":"W","non-dropping-particle":"","parse-names":false,"suffix":""},{"dropping-particle":"","family":"Luo","given":"L","non-dropping-particle":"","parse-names":false,"suffix":""},{"dropping-particle":"","family":"Ma","given":"Y","non-dropping-particle":"","parse-names":false,"suffix":""},{"dropping-particle":"","family":"Xu","given":"C","non-dropping-particle":"","parse-names":false,"suffix":""},{"dropping-particle":"","family":"Qin","given":"P","non-dropping-particle":"","parse-names":false,"suffix":""},{"dropping-particle":"","family":"Zhang","given":"Z","non-dropping-particle":"","parse-names":false,"suffix":""}],"container-title":"Emerg Infect Dis","edition":"2020/05/27","id":"ITEM-1","issue":"8","issued":{"date-parts":[["2020"]]},"language":"eng","note":"1080-6059\nZhang, Weiwei\nCheng, Weibin\nLuo, Lei\nMa, Yu\nXu, Conghui\nQin, Pengzhe\nZhang, Zhoubin\nJournal Article\nEmerg Infect Dis. 2020 Aug;26(8):1924-1926. doi: 10.3201/eid2608.201142. Epub 2020 May 26.","page":"1924-1926","title":"Secondary Transmission of Coronavirus Disease from Presymptomatic Persons, China","type":"article-journal","volume":"26"},"uris":["http://www.mendeley.com/documents/?uuid=b2867ff7-16d0-4e23-8c1a-d14f2726f827"]}],"mendeley":{"formattedCitation":"[62]","plainTextFormattedCitation":"[62]","previouslyFormattedCitation":"[64]"},"properties":{"noteIndex":0},"schema":"https://github.com/citation-style-language/schema/raw/master/csl-citation.json"}</w:instrText>
            </w:r>
            <w:r w:rsidR="00F02A6E">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[62]</w:t>
            </w:r>
            <w:r w:rsidR="00F02A6E">
              <w:rPr>
                <w:rFonts w:ascii="Calibri" w:eastAsia="Times New Roman" w:hAnsi="Calibri" w:cs="Calibri"/>
                <w:color w:val="000000"/>
                <w:sz w:val="18"/>
                <w:szCs w:val="18"/>
                <w:lang w:eastAsia="en-GB"/>
              </w:rPr>
              <w:fldChar w:fldCharType="end"/>
            </w:r>
          </w:p>
        </w:tc>
        <w:tc>
          <w:tcPr>
            <w:tcW w:w="1294" w:type="dxa"/>
            <w:tcBorders>
              <w:top w:val="single" w:sz="8" w:space="0" w:color="auto"/>
              <w:left w:val="nil"/>
              <w:bottom w:val="single" w:sz="18" w:space="0" w:color="auto"/>
              <w:right w:val="nil"/>
            </w:tcBorders>
            <w:shd w:val="clear" w:color="000000" w:fill="FFFFFF"/>
            <w:noWrap/>
            <w:vAlign w:val="center"/>
            <w:hideMark/>
          </w:tcPr>
          <w:p w14:paraId="1A75685C" w14:textId="77777777"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Guangzhou</w:t>
            </w:r>
          </w:p>
        </w:tc>
        <w:tc>
          <w:tcPr>
            <w:tcW w:w="1038" w:type="dxa"/>
            <w:tcBorders>
              <w:top w:val="single" w:sz="8" w:space="0" w:color="auto"/>
              <w:left w:val="nil"/>
              <w:bottom w:val="single" w:sz="18" w:space="0" w:color="auto"/>
              <w:right w:val="nil"/>
            </w:tcBorders>
            <w:shd w:val="clear" w:color="000000" w:fill="FFFFFF"/>
            <w:noWrap/>
            <w:vAlign w:val="center"/>
            <w:hideMark/>
          </w:tcPr>
          <w:p w14:paraId="253145A6" w14:textId="77777777"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China</w:t>
            </w:r>
          </w:p>
        </w:tc>
        <w:tc>
          <w:tcPr>
            <w:tcW w:w="2414" w:type="dxa"/>
            <w:tcBorders>
              <w:top w:val="single" w:sz="8" w:space="0" w:color="auto"/>
              <w:left w:val="nil"/>
              <w:bottom w:val="single" w:sz="18" w:space="0" w:color="auto"/>
              <w:right w:val="nil"/>
            </w:tcBorders>
            <w:shd w:val="clear" w:color="000000" w:fill="FFFFFF"/>
            <w:vAlign w:val="center"/>
            <w:hideMark/>
          </w:tcPr>
          <w:p w14:paraId="6E49BBEE" w14:textId="77777777"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Surveillance and contact tracing</w:t>
            </w:r>
          </w:p>
        </w:tc>
        <w:tc>
          <w:tcPr>
            <w:tcW w:w="2890" w:type="dxa"/>
            <w:tcBorders>
              <w:top w:val="single" w:sz="8" w:space="0" w:color="auto"/>
              <w:left w:val="nil"/>
              <w:bottom w:val="single" w:sz="18" w:space="0" w:color="auto"/>
              <w:right w:val="nil"/>
            </w:tcBorders>
            <w:shd w:val="clear" w:color="000000" w:fill="FFFFFF"/>
            <w:vAlign w:val="center"/>
            <w:hideMark/>
          </w:tcPr>
          <w:p w14:paraId="1DBB965E" w14:textId="18490C00" w:rsidR="00AE0B49" w:rsidRPr="00AE0B49" w:rsidRDefault="00AE0B49" w:rsidP="001F6CAD">
            <w:pPr>
              <w:spacing w:after="0" w:line="240" w:lineRule="auto"/>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 xml:space="preserve">Co-workers who had contact with index case without using proper protection </w:t>
            </w:r>
            <w:r w:rsidR="0001629A">
              <w:rPr>
                <w:rFonts w:ascii="Calibri" w:eastAsia="Times New Roman" w:hAnsi="Calibri" w:cs="Calibri"/>
                <w:color w:val="000000"/>
                <w:sz w:val="18"/>
                <w:szCs w:val="18"/>
                <w:lang w:eastAsia="en-GB"/>
              </w:rPr>
              <w:t xml:space="preserve">(surgical mask) </w:t>
            </w:r>
            <w:r w:rsidRPr="00AE0B49">
              <w:rPr>
                <w:rFonts w:ascii="Calibri" w:eastAsia="Times New Roman" w:hAnsi="Calibri" w:cs="Calibri"/>
                <w:color w:val="000000"/>
                <w:sz w:val="18"/>
                <w:szCs w:val="18"/>
                <w:lang w:eastAsia="en-GB"/>
              </w:rPr>
              <w:t>during 2 days before the index case was tested</w:t>
            </w:r>
          </w:p>
        </w:tc>
        <w:tc>
          <w:tcPr>
            <w:tcW w:w="1276" w:type="dxa"/>
            <w:tcBorders>
              <w:top w:val="single" w:sz="8" w:space="0" w:color="auto"/>
              <w:left w:val="nil"/>
              <w:bottom w:val="single" w:sz="18" w:space="0" w:color="auto"/>
              <w:right w:val="nil"/>
            </w:tcBorders>
            <w:shd w:val="clear" w:color="000000" w:fill="FFFFFF"/>
            <w:noWrap/>
            <w:vAlign w:val="center"/>
            <w:hideMark/>
          </w:tcPr>
          <w:p w14:paraId="40846632" w14:textId="77777777" w:rsidR="00AE0B49" w:rsidRPr="00AE0B49" w:rsidRDefault="00AE0B49" w:rsidP="001F6CAD">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all</w:t>
            </w:r>
          </w:p>
        </w:tc>
        <w:tc>
          <w:tcPr>
            <w:tcW w:w="1134" w:type="dxa"/>
            <w:tcBorders>
              <w:top w:val="single" w:sz="8" w:space="0" w:color="auto"/>
              <w:left w:val="nil"/>
              <w:bottom w:val="single" w:sz="18" w:space="0" w:color="auto"/>
              <w:right w:val="nil"/>
            </w:tcBorders>
            <w:shd w:val="clear" w:color="000000" w:fill="FFFFFF"/>
            <w:noWrap/>
            <w:vAlign w:val="center"/>
            <w:hideMark/>
          </w:tcPr>
          <w:p w14:paraId="32516208" w14:textId="77777777" w:rsidR="00AE0B49" w:rsidRPr="00AE0B49" w:rsidRDefault="00AE0B49" w:rsidP="001F6CAD">
            <w:pPr>
              <w:spacing w:after="0" w:line="240" w:lineRule="auto"/>
              <w:jc w:val="center"/>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RT-PCR</w:t>
            </w:r>
          </w:p>
        </w:tc>
        <w:tc>
          <w:tcPr>
            <w:tcW w:w="869" w:type="dxa"/>
            <w:tcBorders>
              <w:top w:val="single" w:sz="8" w:space="0" w:color="auto"/>
              <w:left w:val="nil"/>
              <w:bottom w:val="single" w:sz="18" w:space="0" w:color="auto"/>
              <w:right w:val="nil"/>
            </w:tcBorders>
            <w:shd w:val="clear" w:color="000000" w:fill="FFFFFF"/>
            <w:vAlign w:val="center"/>
            <w:hideMark/>
          </w:tcPr>
          <w:p w14:paraId="772AACE3" w14:textId="77777777"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38</w:t>
            </w:r>
          </w:p>
        </w:tc>
        <w:tc>
          <w:tcPr>
            <w:tcW w:w="993" w:type="dxa"/>
            <w:tcBorders>
              <w:top w:val="single" w:sz="8" w:space="0" w:color="auto"/>
              <w:left w:val="nil"/>
              <w:bottom w:val="single" w:sz="18" w:space="0" w:color="auto"/>
              <w:right w:val="nil"/>
            </w:tcBorders>
            <w:shd w:val="clear" w:color="000000" w:fill="FFFFFF"/>
            <w:noWrap/>
            <w:vAlign w:val="center"/>
            <w:hideMark/>
          </w:tcPr>
          <w:p w14:paraId="3B377474" w14:textId="77777777"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119</w:t>
            </w:r>
          </w:p>
        </w:tc>
        <w:tc>
          <w:tcPr>
            <w:tcW w:w="992" w:type="dxa"/>
            <w:tcBorders>
              <w:top w:val="single" w:sz="8" w:space="0" w:color="auto"/>
              <w:left w:val="nil"/>
              <w:bottom w:val="single" w:sz="18" w:space="0" w:color="auto"/>
              <w:right w:val="nil"/>
            </w:tcBorders>
            <w:shd w:val="clear" w:color="000000" w:fill="FFFFFF"/>
            <w:noWrap/>
            <w:vAlign w:val="center"/>
            <w:hideMark/>
          </w:tcPr>
          <w:p w14:paraId="597B66DF" w14:textId="77777777"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119</w:t>
            </w:r>
          </w:p>
        </w:tc>
        <w:tc>
          <w:tcPr>
            <w:tcW w:w="992" w:type="dxa"/>
            <w:tcBorders>
              <w:top w:val="single" w:sz="8" w:space="0" w:color="auto"/>
              <w:left w:val="nil"/>
              <w:bottom w:val="single" w:sz="18" w:space="0" w:color="auto"/>
              <w:right w:val="nil"/>
            </w:tcBorders>
            <w:shd w:val="clear" w:color="000000" w:fill="FFFFFF"/>
            <w:noWrap/>
            <w:vAlign w:val="center"/>
            <w:hideMark/>
          </w:tcPr>
          <w:p w14:paraId="6E2665F4" w14:textId="77777777" w:rsidR="00AE0B49" w:rsidRPr="00AE0B49" w:rsidRDefault="00AE0B49" w:rsidP="001F6CAD">
            <w:pPr>
              <w:spacing w:after="0" w:line="240" w:lineRule="auto"/>
              <w:jc w:val="right"/>
              <w:rPr>
                <w:rFonts w:ascii="Calibri" w:eastAsia="Times New Roman" w:hAnsi="Calibri" w:cs="Calibri"/>
                <w:color w:val="000000"/>
                <w:sz w:val="18"/>
                <w:szCs w:val="18"/>
                <w:lang w:eastAsia="en-GB"/>
              </w:rPr>
            </w:pPr>
            <w:r w:rsidRPr="00AE0B49">
              <w:rPr>
                <w:rFonts w:ascii="Calibri" w:eastAsia="Times New Roman" w:hAnsi="Calibri" w:cs="Calibri"/>
                <w:color w:val="000000"/>
                <w:sz w:val="18"/>
                <w:szCs w:val="18"/>
                <w:lang w:eastAsia="en-GB"/>
              </w:rPr>
              <w:t>0</w:t>
            </w:r>
          </w:p>
        </w:tc>
      </w:tr>
    </w:tbl>
    <w:p w14:paraId="2026D2F2" w14:textId="77777777" w:rsidR="00E96AD9" w:rsidRDefault="00E96AD9" w:rsidP="00E96AD9">
      <w:r>
        <w:t>*</w:t>
      </w:r>
      <w:r w:rsidRPr="006C15AF">
        <w:rPr>
          <w:rFonts w:ascii="Calibri" w:eastAsia="Times New Roman" w:hAnsi="Calibri" w:cs="Calibri"/>
          <w:color w:val="000000"/>
          <w:sz w:val="18"/>
          <w:szCs w:val="18"/>
          <w:lang w:eastAsia="en-GB"/>
        </w:rPr>
        <w:t xml:space="preserve"> </w:t>
      </w:r>
      <w:r>
        <w:rPr>
          <w:rFonts w:ascii="Calibri" w:eastAsia="Times New Roman" w:hAnsi="Calibri" w:cs="Calibri"/>
          <w:color w:val="000000"/>
          <w:sz w:val="18"/>
          <w:szCs w:val="18"/>
          <w:lang w:eastAsia="en-GB"/>
        </w:rPr>
        <w:t>I</w:t>
      </w:r>
      <w:r w:rsidRPr="008C4D21">
        <w:rPr>
          <w:rFonts w:ascii="Calibri" w:eastAsia="Times New Roman" w:hAnsi="Calibri" w:cs="Calibri"/>
          <w:color w:val="000000"/>
          <w:sz w:val="18"/>
          <w:szCs w:val="18"/>
          <w:lang w:eastAsia="en-GB"/>
        </w:rPr>
        <w:t xml:space="preserve">nferred &gt;1 due to </w:t>
      </w:r>
      <w:r>
        <w:rPr>
          <w:rFonts w:ascii="Calibri" w:eastAsia="Times New Roman" w:hAnsi="Calibri" w:cs="Calibri"/>
          <w:color w:val="000000"/>
          <w:sz w:val="18"/>
          <w:szCs w:val="18"/>
          <w:lang w:eastAsia="en-GB"/>
        </w:rPr>
        <w:t>contact</w:t>
      </w:r>
      <w:r w:rsidRPr="008C4D21">
        <w:rPr>
          <w:rFonts w:ascii="Calibri" w:eastAsia="Times New Roman" w:hAnsi="Calibri" w:cs="Calibri"/>
          <w:color w:val="000000"/>
          <w:sz w:val="18"/>
          <w:szCs w:val="18"/>
          <w:lang w:eastAsia="en-GB"/>
        </w:rPr>
        <w:t xml:space="preserve"> </w:t>
      </w:r>
      <w:r>
        <w:rPr>
          <w:rFonts w:ascii="Calibri" w:eastAsia="Times New Roman" w:hAnsi="Calibri" w:cs="Calibri"/>
          <w:color w:val="000000"/>
          <w:sz w:val="18"/>
          <w:szCs w:val="18"/>
          <w:lang w:eastAsia="en-GB"/>
        </w:rPr>
        <w:t xml:space="preserve">sample size </w:t>
      </w:r>
    </w:p>
    <w:p w14:paraId="1BE60F0C" w14:textId="1ADE231A" w:rsidR="00E96AD9" w:rsidRPr="00E96AD9" w:rsidRDefault="00E96AD9" w:rsidP="00E96AD9">
      <w:pPr>
        <w:sectPr w:rsidR="00E96AD9" w:rsidRPr="00E96AD9" w:rsidSect="0064008B">
          <w:pgSz w:w="16838" w:h="11906" w:orient="landscape"/>
          <w:pgMar w:top="1440" w:right="1440" w:bottom="568" w:left="1440" w:header="709" w:footer="709" w:gutter="0"/>
          <w:cols w:space="708"/>
          <w:docGrid w:linePitch="360"/>
        </w:sectPr>
      </w:pPr>
    </w:p>
    <w:p w14:paraId="4F9D5F99" w14:textId="3999FC7C" w:rsidR="000F55AA" w:rsidRDefault="00AF487A" w:rsidP="00AF487A">
      <w:pPr>
        <w:pStyle w:val="Heading2"/>
        <w:rPr>
          <w:rFonts w:asciiTheme="minorHAnsi" w:hAnsiTheme="minorHAnsi" w:cstheme="minorHAnsi"/>
          <w:sz w:val="24"/>
          <w:szCs w:val="24"/>
        </w:rPr>
      </w:pPr>
      <w:r w:rsidRPr="00A80249">
        <w:rPr>
          <w:rFonts w:asciiTheme="minorHAnsi" w:hAnsiTheme="minorHAnsi" w:cstheme="minorHAnsi"/>
          <w:sz w:val="24"/>
          <w:szCs w:val="24"/>
        </w:rPr>
        <w:lastRenderedPageBreak/>
        <w:t>Healthcare</w:t>
      </w:r>
    </w:p>
    <w:p w14:paraId="60AEA81F" w14:textId="6377E84D" w:rsidR="001F31E3" w:rsidRPr="000D1FB5" w:rsidRDefault="001F31E3" w:rsidP="001F31E3">
      <w:pPr>
        <w:rPr>
          <w:b/>
          <w:bCs/>
          <w:sz w:val="20"/>
          <w:szCs w:val="20"/>
        </w:rPr>
      </w:pPr>
      <w:r w:rsidRPr="000D1FB5">
        <w:rPr>
          <w:b/>
          <w:bCs/>
          <w:sz w:val="20"/>
          <w:szCs w:val="20"/>
        </w:rPr>
        <w:t xml:space="preserve">Table 4. Summary of studies reporting on contacts of index cases in </w:t>
      </w:r>
      <w:r w:rsidR="004D546D" w:rsidRPr="000D1FB5">
        <w:rPr>
          <w:b/>
          <w:bCs/>
          <w:sz w:val="20"/>
          <w:szCs w:val="20"/>
        </w:rPr>
        <w:t>healthcare</w:t>
      </w:r>
      <w:r w:rsidRPr="000D1FB5">
        <w:rPr>
          <w:b/>
          <w:bCs/>
          <w:sz w:val="20"/>
          <w:szCs w:val="20"/>
        </w:rPr>
        <w:t xml:space="preserve"> locations</w:t>
      </w:r>
      <w:r w:rsidR="00153DFC" w:rsidRPr="000D1FB5">
        <w:rPr>
          <w:b/>
          <w:bCs/>
          <w:sz w:val="20"/>
          <w:szCs w:val="20"/>
        </w:rPr>
        <w:t xml:space="preserve">. </w:t>
      </w:r>
      <w:r w:rsidR="00153DFC" w:rsidRPr="000D1FB5">
        <w:rPr>
          <w:sz w:val="20"/>
          <w:szCs w:val="20"/>
        </w:rPr>
        <w:t xml:space="preserve">Where index cases were not broken down by exposure location the study level number of index cases is provided. </w:t>
      </w:r>
      <w:r w:rsidRPr="000D1FB5">
        <w:rPr>
          <w:b/>
          <w:bCs/>
          <w:sz w:val="20"/>
          <w:szCs w:val="20"/>
        </w:rPr>
        <w:t xml:space="preserve"> </w:t>
      </w:r>
    </w:p>
    <w:tbl>
      <w:tblPr>
        <w:tblW w:w="15879" w:type="dxa"/>
        <w:tblInd w:w="-993" w:type="dxa"/>
        <w:tblLook w:val="04A0" w:firstRow="1" w:lastRow="0" w:firstColumn="1" w:lastColumn="0" w:noHBand="0" w:noVBand="1"/>
      </w:tblPr>
      <w:tblGrid>
        <w:gridCol w:w="991"/>
        <w:gridCol w:w="1139"/>
        <w:gridCol w:w="1129"/>
        <w:gridCol w:w="1070"/>
        <w:gridCol w:w="2294"/>
        <w:gridCol w:w="2924"/>
        <w:gridCol w:w="1276"/>
        <w:gridCol w:w="1134"/>
        <w:gridCol w:w="958"/>
        <w:gridCol w:w="976"/>
        <w:gridCol w:w="992"/>
        <w:gridCol w:w="996"/>
      </w:tblGrid>
      <w:tr w:rsidR="000F13C3" w:rsidRPr="00F6420B" w14:paraId="0ED13107" w14:textId="77777777" w:rsidTr="00CB478C">
        <w:trPr>
          <w:trHeight w:val="308"/>
        </w:trPr>
        <w:tc>
          <w:tcPr>
            <w:tcW w:w="993" w:type="dxa"/>
            <w:tcBorders>
              <w:top w:val="single" w:sz="18" w:space="0" w:color="auto"/>
              <w:left w:val="nil"/>
              <w:bottom w:val="single" w:sz="18" w:space="0" w:color="auto"/>
              <w:right w:val="nil"/>
            </w:tcBorders>
            <w:vAlign w:val="center"/>
          </w:tcPr>
          <w:p w14:paraId="54E35037" w14:textId="5E327301" w:rsidR="00F02A6E" w:rsidRPr="00F02A6E" w:rsidRDefault="00F02A6E" w:rsidP="00F02A6E">
            <w:pPr>
              <w:spacing w:after="0" w:line="240" w:lineRule="auto"/>
              <w:jc w:val="center"/>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Main text reference number</w:t>
            </w:r>
          </w:p>
        </w:tc>
        <w:tc>
          <w:tcPr>
            <w:tcW w:w="1139" w:type="dxa"/>
            <w:tcBorders>
              <w:top w:val="single" w:sz="18" w:space="0" w:color="auto"/>
              <w:left w:val="nil"/>
              <w:bottom w:val="single" w:sz="18" w:space="0" w:color="auto"/>
              <w:right w:val="nil"/>
            </w:tcBorders>
            <w:shd w:val="clear" w:color="auto" w:fill="auto"/>
            <w:vAlign w:val="center"/>
            <w:hideMark/>
          </w:tcPr>
          <w:p w14:paraId="18F3E1B2" w14:textId="285B62A0" w:rsidR="00F02A6E" w:rsidRPr="00F02A6E" w:rsidRDefault="00F02A6E" w:rsidP="00B802CE">
            <w:pPr>
              <w:spacing w:after="0" w:line="240" w:lineRule="auto"/>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Author</w:t>
            </w:r>
          </w:p>
        </w:tc>
        <w:tc>
          <w:tcPr>
            <w:tcW w:w="1129" w:type="dxa"/>
            <w:tcBorders>
              <w:top w:val="single" w:sz="18" w:space="0" w:color="auto"/>
              <w:left w:val="nil"/>
              <w:bottom w:val="single" w:sz="18" w:space="0" w:color="auto"/>
              <w:right w:val="nil"/>
            </w:tcBorders>
            <w:shd w:val="clear" w:color="000000" w:fill="FFFFFF"/>
            <w:vAlign w:val="center"/>
            <w:hideMark/>
          </w:tcPr>
          <w:p w14:paraId="5F2625E8" w14:textId="77777777" w:rsidR="00F02A6E" w:rsidRPr="00F02A6E" w:rsidRDefault="00F02A6E" w:rsidP="00B802CE">
            <w:pPr>
              <w:spacing w:after="0" w:line="240" w:lineRule="auto"/>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Region</w:t>
            </w:r>
          </w:p>
        </w:tc>
        <w:tc>
          <w:tcPr>
            <w:tcW w:w="1070" w:type="dxa"/>
            <w:tcBorders>
              <w:top w:val="single" w:sz="18" w:space="0" w:color="auto"/>
              <w:left w:val="nil"/>
              <w:bottom w:val="single" w:sz="18" w:space="0" w:color="auto"/>
              <w:right w:val="nil"/>
            </w:tcBorders>
            <w:shd w:val="clear" w:color="000000" w:fill="FFFFFF"/>
            <w:vAlign w:val="center"/>
            <w:hideMark/>
          </w:tcPr>
          <w:p w14:paraId="5589109E" w14:textId="77777777" w:rsidR="00F02A6E" w:rsidRPr="00F02A6E" w:rsidRDefault="00F02A6E" w:rsidP="00B802CE">
            <w:pPr>
              <w:spacing w:after="0" w:line="240" w:lineRule="auto"/>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Country</w:t>
            </w:r>
          </w:p>
        </w:tc>
        <w:tc>
          <w:tcPr>
            <w:tcW w:w="2330" w:type="dxa"/>
            <w:tcBorders>
              <w:top w:val="single" w:sz="18" w:space="0" w:color="auto"/>
              <w:left w:val="nil"/>
              <w:bottom w:val="single" w:sz="18" w:space="0" w:color="auto"/>
              <w:right w:val="nil"/>
            </w:tcBorders>
            <w:shd w:val="clear" w:color="000000" w:fill="FFFFFF"/>
            <w:vAlign w:val="center"/>
            <w:hideMark/>
          </w:tcPr>
          <w:p w14:paraId="064F675A" w14:textId="77777777" w:rsidR="00F02A6E" w:rsidRPr="00F02A6E" w:rsidRDefault="00F02A6E" w:rsidP="00B802CE">
            <w:pPr>
              <w:spacing w:after="0" w:line="240" w:lineRule="auto"/>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Study design</w:t>
            </w:r>
          </w:p>
        </w:tc>
        <w:tc>
          <w:tcPr>
            <w:tcW w:w="2975" w:type="dxa"/>
            <w:tcBorders>
              <w:top w:val="single" w:sz="18" w:space="0" w:color="auto"/>
              <w:left w:val="nil"/>
              <w:bottom w:val="single" w:sz="18" w:space="0" w:color="auto"/>
              <w:right w:val="nil"/>
            </w:tcBorders>
            <w:shd w:val="clear" w:color="000000" w:fill="FFFFFF"/>
            <w:vAlign w:val="center"/>
            <w:hideMark/>
          </w:tcPr>
          <w:p w14:paraId="2F3C9507" w14:textId="77777777" w:rsidR="00F02A6E" w:rsidRPr="00F02A6E" w:rsidRDefault="00F02A6E" w:rsidP="00B802CE">
            <w:pPr>
              <w:spacing w:after="0" w:line="240" w:lineRule="auto"/>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Contact definition</w:t>
            </w:r>
          </w:p>
        </w:tc>
        <w:tc>
          <w:tcPr>
            <w:tcW w:w="1276" w:type="dxa"/>
            <w:tcBorders>
              <w:top w:val="single" w:sz="18" w:space="0" w:color="auto"/>
              <w:left w:val="nil"/>
              <w:bottom w:val="single" w:sz="18" w:space="0" w:color="auto"/>
              <w:right w:val="nil"/>
            </w:tcBorders>
            <w:shd w:val="clear" w:color="000000" w:fill="FFFFFF"/>
            <w:vAlign w:val="center"/>
            <w:hideMark/>
          </w:tcPr>
          <w:p w14:paraId="422E0343" w14:textId="77777777" w:rsidR="00F02A6E" w:rsidRPr="00F02A6E" w:rsidRDefault="00F02A6E" w:rsidP="00B802CE">
            <w:pPr>
              <w:spacing w:after="0" w:line="240" w:lineRule="auto"/>
              <w:jc w:val="center"/>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Testing strategy</w:t>
            </w:r>
          </w:p>
        </w:tc>
        <w:tc>
          <w:tcPr>
            <w:tcW w:w="1134" w:type="dxa"/>
            <w:tcBorders>
              <w:top w:val="single" w:sz="18" w:space="0" w:color="auto"/>
              <w:left w:val="nil"/>
              <w:bottom w:val="single" w:sz="18" w:space="0" w:color="auto"/>
              <w:right w:val="nil"/>
            </w:tcBorders>
            <w:shd w:val="clear" w:color="000000" w:fill="FFFFFF"/>
            <w:vAlign w:val="center"/>
            <w:hideMark/>
          </w:tcPr>
          <w:p w14:paraId="7A3FF362" w14:textId="77777777" w:rsidR="00F02A6E" w:rsidRPr="00F02A6E" w:rsidRDefault="00F02A6E" w:rsidP="00B802CE">
            <w:pPr>
              <w:spacing w:after="0" w:line="240" w:lineRule="auto"/>
              <w:jc w:val="center"/>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Testing method</w:t>
            </w:r>
          </w:p>
        </w:tc>
        <w:tc>
          <w:tcPr>
            <w:tcW w:w="869" w:type="dxa"/>
            <w:tcBorders>
              <w:top w:val="single" w:sz="18" w:space="0" w:color="auto"/>
              <w:left w:val="nil"/>
              <w:bottom w:val="single" w:sz="18" w:space="0" w:color="auto"/>
              <w:right w:val="nil"/>
            </w:tcBorders>
            <w:shd w:val="clear" w:color="000000" w:fill="FFFFFF"/>
            <w:vAlign w:val="center"/>
            <w:hideMark/>
          </w:tcPr>
          <w:p w14:paraId="0268F2D6" w14:textId="77777777" w:rsidR="00F02A6E" w:rsidRPr="00F02A6E" w:rsidRDefault="00F02A6E" w:rsidP="00B802CE">
            <w:pPr>
              <w:spacing w:after="0" w:line="240" w:lineRule="auto"/>
              <w:jc w:val="right"/>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Index cases</w:t>
            </w:r>
          </w:p>
        </w:tc>
        <w:tc>
          <w:tcPr>
            <w:tcW w:w="976" w:type="dxa"/>
            <w:tcBorders>
              <w:top w:val="single" w:sz="18" w:space="0" w:color="auto"/>
              <w:left w:val="nil"/>
              <w:bottom w:val="single" w:sz="18" w:space="0" w:color="auto"/>
              <w:right w:val="nil"/>
            </w:tcBorders>
            <w:shd w:val="clear" w:color="000000" w:fill="FFFFFF"/>
            <w:vAlign w:val="center"/>
            <w:hideMark/>
          </w:tcPr>
          <w:p w14:paraId="0F38B584" w14:textId="77777777" w:rsidR="00F02A6E" w:rsidRPr="00F02A6E" w:rsidRDefault="00F02A6E" w:rsidP="00B802CE">
            <w:pPr>
              <w:spacing w:after="0" w:line="240" w:lineRule="auto"/>
              <w:jc w:val="right"/>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Contacts traced</w:t>
            </w:r>
          </w:p>
        </w:tc>
        <w:tc>
          <w:tcPr>
            <w:tcW w:w="992" w:type="dxa"/>
            <w:tcBorders>
              <w:top w:val="single" w:sz="18" w:space="0" w:color="auto"/>
              <w:left w:val="nil"/>
              <w:bottom w:val="single" w:sz="18" w:space="0" w:color="auto"/>
              <w:right w:val="nil"/>
            </w:tcBorders>
            <w:shd w:val="clear" w:color="000000" w:fill="FFFFFF"/>
            <w:vAlign w:val="center"/>
            <w:hideMark/>
          </w:tcPr>
          <w:p w14:paraId="0D983E28" w14:textId="77777777" w:rsidR="00F02A6E" w:rsidRPr="00F02A6E" w:rsidRDefault="00F02A6E" w:rsidP="00B802CE">
            <w:pPr>
              <w:spacing w:after="0" w:line="240" w:lineRule="auto"/>
              <w:jc w:val="right"/>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Contacts tested</w:t>
            </w:r>
          </w:p>
        </w:tc>
        <w:tc>
          <w:tcPr>
            <w:tcW w:w="996" w:type="dxa"/>
            <w:tcBorders>
              <w:top w:val="single" w:sz="18" w:space="0" w:color="auto"/>
              <w:left w:val="nil"/>
              <w:bottom w:val="single" w:sz="18" w:space="0" w:color="auto"/>
              <w:right w:val="nil"/>
            </w:tcBorders>
            <w:shd w:val="clear" w:color="000000" w:fill="FFFFFF"/>
            <w:vAlign w:val="center"/>
            <w:hideMark/>
          </w:tcPr>
          <w:p w14:paraId="24954DAA" w14:textId="77777777" w:rsidR="00F02A6E" w:rsidRPr="00F02A6E" w:rsidRDefault="00F02A6E" w:rsidP="00B802CE">
            <w:pPr>
              <w:spacing w:after="0" w:line="240" w:lineRule="auto"/>
              <w:jc w:val="right"/>
              <w:rPr>
                <w:rFonts w:ascii="Calibri" w:eastAsia="Times New Roman" w:hAnsi="Calibri" w:cs="Calibri"/>
                <w:b/>
                <w:bCs/>
                <w:color w:val="000000"/>
                <w:sz w:val="18"/>
                <w:szCs w:val="18"/>
                <w:lang w:eastAsia="en-GB"/>
              </w:rPr>
            </w:pPr>
            <w:r w:rsidRPr="00F02A6E">
              <w:rPr>
                <w:rFonts w:ascii="Calibri" w:eastAsia="Times New Roman" w:hAnsi="Calibri" w:cs="Calibri"/>
                <w:b/>
                <w:bCs/>
                <w:color w:val="000000"/>
                <w:sz w:val="18"/>
                <w:szCs w:val="18"/>
                <w:lang w:eastAsia="en-GB"/>
              </w:rPr>
              <w:t>Secondary cases</w:t>
            </w:r>
          </w:p>
        </w:tc>
      </w:tr>
      <w:tr w:rsidR="000F13C3" w:rsidRPr="00F6420B" w14:paraId="58008186" w14:textId="77777777" w:rsidTr="00CB478C">
        <w:trPr>
          <w:trHeight w:val="859"/>
        </w:trPr>
        <w:tc>
          <w:tcPr>
            <w:tcW w:w="993" w:type="dxa"/>
            <w:tcBorders>
              <w:top w:val="single" w:sz="18" w:space="0" w:color="auto"/>
              <w:left w:val="nil"/>
              <w:bottom w:val="single" w:sz="8" w:space="0" w:color="auto"/>
              <w:right w:val="nil"/>
            </w:tcBorders>
            <w:vAlign w:val="center"/>
          </w:tcPr>
          <w:p w14:paraId="0A3178DD"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18" w:space="0" w:color="auto"/>
              <w:left w:val="nil"/>
              <w:bottom w:val="single" w:sz="8" w:space="0" w:color="auto"/>
              <w:right w:val="nil"/>
            </w:tcBorders>
            <w:shd w:val="clear" w:color="auto" w:fill="auto"/>
            <w:vAlign w:val="center"/>
            <w:hideMark/>
          </w:tcPr>
          <w:p w14:paraId="0A528AD9" w14:textId="12F7C67B"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Baker et al </w:t>
            </w:r>
            <w:r>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{"citationItems":[{"id":"ITEM-1","itemData":{"DOI":"10.1017/ice.2020.256","ISBN":"1559-6834\r0899-823X","PMID":"32456720","abstract":"We report on COVID-19 risk among HCWs exposed to a patient diagnosed with COVID-19 on day 13 of hospitalization. There were 44 HCWs exposed to the patient before contact and droplet precautions were implemented: of these, 2 of 44 (5%) developed COVID-19 potentially attributable to the exposure.","author":[{"dropping-particle":"","family":"Baker","given":"Meghan A","non-dropping-particle":"","parse-names":false,"suffix":""},{"dropping-particle":"","family":"Rhee","given":"Chanu","non-dropping-particle":"","parse-names":false,"suffix":""},{"dropping-particle":"","family":"Fiumara","given":"Karen","non-dropping-particle":"","parse-names":false,"suffix":""},{"dropping-particle":"","family":"Bennett-Rizzo","given":"Carin","non-dropping-particle":"","parse-names":false,"suffix":""},{"dropping-particle":"","family":"Tucker","given":"Robert","non-dropping-particle":"","parse-names":false,"suffix":""},{"dropping-particle":"","family":"Williams","given":"Sarah A","non-dropping-particle":"","parse-names":false,"suffix":""},{"dropping-particle":"","family":"Wickner","given":"Paige","non-dropping-particle":"","parse-names":false,"suffix":""},{"dropping-particle":"","family":"Beloff","given":"Jennifer","non-dropping-particle":"","parse-names":false,"suffix":""},{"dropping-particle":"","family":"McGrath","given":"Casey","non-dropping-particle":"","parse-names":false,"suffix":""},{"dropping-particle":"","family":"Poulton","given":"Alexa","non-dropping-particle":"","parse-names":false,"suffix":""},{"dropping-particle":"","family":"Klompas","given":"Michael","non-dropping-particle":"","parse-names":false,"suffix":""}],"container-title":"Infection control and hospital epidemiology","id":"ITEM-1","issued":{"date-parts":[["2020"]]},"language":"eng","note":"32456720[pmid]\nPMC7276498[pmcid]\nS0899823X20002561[PII]","page":"1-2","publisher":"Cambridge University Press","title":"COVID-19 infections among HCWs exposed to a patient with a delayed diagnosis of COVID-19","type":"article-journal"},"uris":["http://www.mendeley.com/documents/?uuid=923d669a-040b-4811-8570-62fd9e7296cc"]}],"mendeley":{"formattedCitation":"[67]","plainTextFormattedCitation":"[67]","previouslyFormattedCitation":"[69]"},"properties":{"noteIndex":0},"schema":"https://github.com/citation-style-language/schema/raw/master/csl-citation.json"}</w:instrText>
            </w:r>
            <w:r>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[67]</w:t>
            </w:r>
            <w:r>
              <w:rPr>
                <w:rFonts w:ascii="Calibri" w:eastAsia="Times New Roman" w:hAnsi="Calibri" w:cs="Calibri"/>
                <w:color w:val="000000"/>
                <w:sz w:val="18"/>
                <w:szCs w:val="18"/>
                <w:lang w:eastAsia="en-GB"/>
              </w:rPr>
              <w:fldChar w:fldCharType="end"/>
            </w:r>
          </w:p>
        </w:tc>
        <w:tc>
          <w:tcPr>
            <w:tcW w:w="1129" w:type="dxa"/>
            <w:tcBorders>
              <w:top w:val="single" w:sz="18" w:space="0" w:color="auto"/>
              <w:left w:val="nil"/>
              <w:bottom w:val="single" w:sz="8" w:space="0" w:color="auto"/>
              <w:right w:val="nil"/>
            </w:tcBorders>
            <w:shd w:val="clear" w:color="000000" w:fill="FFFFFF"/>
            <w:vAlign w:val="center"/>
            <w:hideMark/>
          </w:tcPr>
          <w:p w14:paraId="1BA56E3E"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Boston </w:t>
            </w:r>
          </w:p>
        </w:tc>
        <w:tc>
          <w:tcPr>
            <w:tcW w:w="1070" w:type="dxa"/>
            <w:tcBorders>
              <w:top w:val="single" w:sz="18" w:space="0" w:color="auto"/>
              <w:left w:val="nil"/>
              <w:bottom w:val="single" w:sz="8" w:space="0" w:color="auto"/>
              <w:right w:val="nil"/>
            </w:tcBorders>
            <w:shd w:val="clear" w:color="000000" w:fill="FFFFFF"/>
            <w:vAlign w:val="center"/>
            <w:hideMark/>
          </w:tcPr>
          <w:p w14:paraId="3482F7F9"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USA</w:t>
            </w:r>
          </w:p>
        </w:tc>
        <w:tc>
          <w:tcPr>
            <w:tcW w:w="2330" w:type="dxa"/>
            <w:tcBorders>
              <w:top w:val="single" w:sz="18" w:space="0" w:color="auto"/>
              <w:left w:val="nil"/>
              <w:bottom w:val="single" w:sz="8" w:space="0" w:color="auto"/>
              <w:right w:val="nil"/>
            </w:tcBorders>
            <w:shd w:val="clear" w:color="000000" w:fill="FFFFFF"/>
            <w:vAlign w:val="center"/>
            <w:hideMark/>
          </w:tcPr>
          <w:p w14:paraId="1F6FCED2"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Retrospective hospital contact investigation</w:t>
            </w:r>
          </w:p>
        </w:tc>
        <w:tc>
          <w:tcPr>
            <w:tcW w:w="2975" w:type="dxa"/>
            <w:tcBorders>
              <w:top w:val="single" w:sz="18" w:space="0" w:color="auto"/>
              <w:left w:val="nil"/>
              <w:bottom w:val="single" w:sz="8" w:space="0" w:color="auto"/>
              <w:right w:val="nil"/>
            </w:tcBorders>
            <w:shd w:val="clear" w:color="000000" w:fill="FFFFFF"/>
            <w:vAlign w:val="center"/>
            <w:hideMark/>
          </w:tcPr>
          <w:p w14:paraId="1F5E0D15"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exposed to the patient during their hospitalisation</w:t>
            </w:r>
          </w:p>
        </w:tc>
        <w:tc>
          <w:tcPr>
            <w:tcW w:w="1276" w:type="dxa"/>
            <w:tcBorders>
              <w:top w:val="single" w:sz="18" w:space="0" w:color="auto"/>
              <w:left w:val="nil"/>
              <w:bottom w:val="single" w:sz="8" w:space="0" w:color="auto"/>
              <w:right w:val="nil"/>
            </w:tcBorders>
            <w:shd w:val="clear" w:color="000000" w:fill="FFFFFF"/>
            <w:vAlign w:val="center"/>
            <w:hideMark/>
          </w:tcPr>
          <w:p w14:paraId="76289A58"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subset (symptomatic and optional testing)</w:t>
            </w:r>
          </w:p>
        </w:tc>
        <w:tc>
          <w:tcPr>
            <w:tcW w:w="1134" w:type="dxa"/>
            <w:tcBorders>
              <w:top w:val="single" w:sz="18" w:space="0" w:color="auto"/>
              <w:left w:val="nil"/>
              <w:bottom w:val="single" w:sz="8" w:space="0" w:color="auto"/>
              <w:right w:val="nil"/>
            </w:tcBorders>
            <w:shd w:val="clear" w:color="000000" w:fill="FFFFFF"/>
            <w:vAlign w:val="center"/>
            <w:hideMark/>
          </w:tcPr>
          <w:p w14:paraId="0EB61942"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single" w:sz="18" w:space="0" w:color="auto"/>
              <w:left w:val="nil"/>
              <w:bottom w:val="single" w:sz="8" w:space="0" w:color="auto"/>
              <w:right w:val="nil"/>
            </w:tcBorders>
            <w:shd w:val="clear" w:color="000000" w:fill="FFFFFF"/>
            <w:vAlign w:val="center"/>
            <w:hideMark/>
          </w:tcPr>
          <w:p w14:paraId="7AF3B30B"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single" w:sz="18" w:space="0" w:color="auto"/>
              <w:left w:val="nil"/>
              <w:bottom w:val="single" w:sz="8" w:space="0" w:color="auto"/>
              <w:right w:val="nil"/>
            </w:tcBorders>
            <w:shd w:val="clear" w:color="000000" w:fill="FFFFFF"/>
            <w:vAlign w:val="center"/>
            <w:hideMark/>
          </w:tcPr>
          <w:p w14:paraId="7228A46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44</w:t>
            </w:r>
          </w:p>
        </w:tc>
        <w:tc>
          <w:tcPr>
            <w:tcW w:w="992" w:type="dxa"/>
            <w:tcBorders>
              <w:top w:val="single" w:sz="18" w:space="0" w:color="auto"/>
              <w:left w:val="nil"/>
              <w:bottom w:val="single" w:sz="8" w:space="0" w:color="auto"/>
              <w:right w:val="nil"/>
            </w:tcBorders>
            <w:shd w:val="clear" w:color="000000" w:fill="FFFFFF"/>
            <w:vAlign w:val="center"/>
            <w:hideMark/>
          </w:tcPr>
          <w:p w14:paraId="1C38FE7C"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37</w:t>
            </w:r>
          </w:p>
        </w:tc>
        <w:tc>
          <w:tcPr>
            <w:tcW w:w="996" w:type="dxa"/>
            <w:tcBorders>
              <w:top w:val="single" w:sz="18" w:space="0" w:color="auto"/>
              <w:left w:val="nil"/>
              <w:bottom w:val="single" w:sz="8" w:space="0" w:color="auto"/>
              <w:right w:val="nil"/>
            </w:tcBorders>
            <w:shd w:val="clear" w:color="000000" w:fill="FFFFFF"/>
            <w:vAlign w:val="center"/>
            <w:hideMark/>
          </w:tcPr>
          <w:p w14:paraId="51878B86"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w:t>
            </w:r>
          </w:p>
        </w:tc>
      </w:tr>
      <w:tr w:rsidR="000F13C3" w:rsidRPr="00F6420B" w14:paraId="61CF6D0C" w14:textId="77777777" w:rsidTr="00CB478C">
        <w:trPr>
          <w:trHeight w:val="671"/>
        </w:trPr>
        <w:tc>
          <w:tcPr>
            <w:tcW w:w="993" w:type="dxa"/>
            <w:tcBorders>
              <w:top w:val="nil"/>
              <w:left w:val="nil"/>
              <w:bottom w:val="nil"/>
              <w:right w:val="nil"/>
            </w:tcBorders>
            <w:vAlign w:val="center"/>
          </w:tcPr>
          <w:p w14:paraId="11A9F708" w14:textId="70E98F51" w:rsidR="00F02A6E" w:rsidRPr="00F02A6E" w:rsidRDefault="00ED69B5" w:rsidP="00F02A6E">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22</w:t>
            </w:r>
          </w:p>
        </w:tc>
        <w:tc>
          <w:tcPr>
            <w:tcW w:w="1139" w:type="dxa"/>
            <w:tcBorders>
              <w:top w:val="nil"/>
              <w:left w:val="nil"/>
              <w:bottom w:val="nil"/>
              <w:right w:val="nil"/>
            </w:tcBorders>
            <w:shd w:val="clear" w:color="auto" w:fill="auto"/>
            <w:vAlign w:val="center"/>
            <w:hideMark/>
          </w:tcPr>
          <w:p w14:paraId="2675D676" w14:textId="53ACA4DF"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Burke et al </w:t>
            </w:r>
            <w:r>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{"citationItems":[{"id":"ITEM-1","itemData":{"DOI":"10.1371/journal.pone.0238342","ISSN":"19326203","PMID":"32877446","abstract":"Coronavirus disease 2019 (COVID-19), the respiratory disease caused by severe acute respiratory syndrome coronavirus 2 (SARS-CoV-2), was first identified in Wuhan, China and has since become pandemic. In response to the first cases identified in the United States, close contacts of confirmed COVID-19 cases were investigated to enable early identification and isolation of additional cases and to learn more about risk factors for transmission. Close contacts of nine early travel-related cases in the United States were identified and monitored daily for development of symptoms (active monitoring). Selected close contacts (including those with exposures categorized as higher risk) were targeted for collection of additional exposure information and respiratory samples. Respiratory samples were tested for SARS-CoV-2 by real-time reverse transcription polymerase chain reaction at the Centers for Disease Control and Prevention. Four hundred four close contacts were actively monitored in the jurisdictions that managed the travel-related cases. Three hundred thirty-eight of the 404 close contacts provided at least basic exposure information, of whom 159 close contacts had ≥1 set of respiratory samples collected and tested. Across all actively monitored close contacts, two additional symptomatic COVID-19 cases (i.e., secondary cases) were identified; both secondary cases were in spouses of travel-associated case patients. When considering only household members, all of whom had ≥1 respiratory sample tested for SARS-CoV-2, the secondary attack rate (i.e., the number of secondary cases as a proportion of total close contacts) was 13% (95% CI: 4–38%). The results from these contact tracing investigations suggest that household members, especially significant others, of COVID-19 cases are at highest risk of becoming infected. The importance of personal protective equipment for healthcare workers is also underlined. Isolation of persons with COVID-19, in combination with quarantine of exposed close contacts and practice of everyday preventive behaviors, is important to mitigate spread of COVID-19.","author":[{"dropping-particle":"","family":"Burke","given":"Rachel M.","non-dropping-particle":"","parse-names":false,"suffix":""},{"dropping-particle":"","family":"Balter","given":"Sharon","non-dropping-particle":"","parse-names":false,"suffix":""},{"dropping-particle":"","family":"Barnes","given":"Emily","non-dropping-particle":"","parse-names":false,"suffix":""},{"dropping-particle":"","family":"Barry","given":"Vaughn","non-dropping-particle":"","parse-names":false,"suffix":""},{"dropping-particle":"","family":"Bartlett","given":"Karri","non-dropping-particle":"","parse-names":false,"suffix":""},{"dropping-particle":"","family":"Beer","given":"Karlyn D.","non-dropping-particle":"","parse-names":false,"suffix":""},{"dropping-particle":"","family":"Benowitz","given":"Isaac","non-dropping-particle":"","parse-names":false,"suffix":""},{"dropping-particle":"","family":"Biggs","given":"Holly M.","non-dropping-particle":"","parse-names":false,"suffix":""},{"dropping-particle":"","family":"Bruce","given":"Hollianne","non-dropping-particle":"","parse-names":false,"suffix":""},{"dropping-particle":"","family":"Bryant-Genevier","given":"Jonathan","non-dropping-particle":"","parse-names":false,"suffix":""},{"dropping-particle":"","family":"Cates","given":"Jordan","non-dropping-particle":"","parse-names":false,"suffix":""},{"dropping-particle":"","family":"Chatham-Stephens","given":"Kevin","non-dropping-particle":"","parse-names":false,"suffix":""},{"dropping-particle":"","family":"Chea","given":"Nora","non-dropping-particle":"","parse-names":false,"suffix":""},{"dropping-particle":"","family":"Chiou","given":"Howard","non-dropping-particle":"","parse-names":false,"suffix":""},{"dropping-particle":"","family":"Christiansen","given":"Demian","non-dropping-particle":"","parse-names":false,"suffix":""},{"dropping-particle":"","family":"Chu","given":"Victoria T.","non-dropping-particle":"","parse-names":false,"suffix":""},{"dropping-particle":"","family":"Clark","given":"Shauna","non-dropping-particle":"","parse-names":false,"suffix":""},{"dropping-particle":"","family":"Cody","given":"Sara H.","non-dropping-particle":"","parse-names":false,"suffix":""},{"dropping-particle":"","family":"Cohen","given":"Max","non-dropping-particle":"","parse-names":false,"suffix":""},{"dropping-particle":"","family":"Conners","given":"Erin E.","non-dropping-particle":"","parse-names":false,"suffix":""},{"dropping-particle":"","family":"Dasari","given":"Vishal","non-dropping-particle":"","parse-names":false,"suffix":""},{"dropping-particle":"","family":"Dawson","given":"Patrick","non-dropping-particle":"","parse-names":false,"suffix":""},{"dropping-particle":"","family":"DeSalvo","given":"Traci","non-dropping-particle":"","parse-names":false,"suffix":""},{"dropping-particle":"","family":"Donahue","given":"Matthew","non-dropping-particle":"","parse-names":false,"suffix":""},{"dropping-particle":"","family":"Dratch","given":"Alissa","non-dropping-particle":"","parse-names":false,"suffix":""},{"dropping-particle":"","family":"Duca","given":"Lindsey","non-dropping-particle":"","parse-names":false,"suffix":""},{"dropping-particle":"","family":"Duchin","given":"Jeffrey","non-dropping-particle":"","parse-names":false,"suffix":""},{"dropping-particle":"","family":"Dyal","given":"Jonathan W.","non-dropping-particle":"","parse-names":false,"suffix":""},{"dropping-particle":"","family":"Feldstein","given":"Leora R.","non-dropping-particle":"","parse-names":false,"suffix":""},{"dropping-particle":"","family":"Fenstersheib","given":"Marty","non-dropping-particle":"","parse-names":false,"suffix":""},{"dropping-particle":"","family":"Fischer","given":"Marc","non-dropping-particle":"","parse-names":false,"suffix":""},{"dropping-particle":"","family":"Fisher","given":"Rebecca","non-dropping-particle":"","parse-names":false,"suffix":""},{"dropping-particle":"","family":"Foo","given":"Chelsea","non-dropping-particle":"","parse-names":false,"suffix":""},{"dropping-particle":"","family":"Freeman-Ponder","given":"Brandi","non-dropping-particle":"","parse-names":false,"suffix":""},{"dropping-particle":"","family":"Fry","given":"Alicia M.","non-dropping-particle":"","parse-names":false,"suffix":""},{"dropping-particle":"","family":"Gant","given":"Jessica","non-dropping-particle":"","parse-names":false,"suffix":""},{"dropping-particle":"","family":"Gautom","given":"Romesh","non-dropping-particle":"","parse-names":false,"suffix":""},{"dropping-particle":"","family":"Ghinai","given":"Isaac","non-dropping-particle":"","parse-names":false,"suffix":""},{"dropping-particle":"","family":"Gounder","given":"Prabhu","non-dropping-particle":"","parse-names":false,"suffix":""},{"dropping-particle":"","family":"Grigg","given":"Cheri T.","non-dropping-particle":"","parse-names":false,"suffix":""},{"dropping-particle":"","family":"Gunzenhauser","given":"Jeffrey","non-dropping-particle":"","parse-names":false,"suffix":""},{"dropping-particle":"","family":"Hall","given":"Aron J.","non-dropping-particle":"","parse-names":false,"suffix":""},{"dropping-particle":"","family":"Han","given":"George S.","non-dropping-particle":"","parse-names":false,"suffix":""},{"dropping-particle":"","family":"Haupt","given":"Thomas","non-dropping-particle":"","parse-names":false,"suffix":""},{"dropping-particle":"","family":"Holshue","given":"Michelle","non-dropping-particle":"","parse-names":false,"suffix":""},{"dropping-particle":"","family":"Hunter","given":"Jennifer","non-dropping-particle":"","parse-names":false,"suffix":""},{"dropping-particle":"","family":"Ibrahim","given":"Mireille B.","non-dropping-particle":"","parse-names":false,"suffix":""},{"dropping-particle":"","family":"Jacobs","given":"Max W.","non-dropping-particle":"","parse-names":false,"suffix":""},{"dropping-particle":"","family":"Jarashow","given":"M. Claire","non-dropping-particle":"","parse-names":false,"suffix":""},{"dropping-particle":"","family":"Joshi","given":"Kiran","non-dropping-particle":"","parse-names":false,"suffix":""},{"dropping-particle":"","family":"Kamali","given":"Talar","non-dropping-particle":"","parse-names":false,"suffix":""},{"dropping-particle":"","family":"Kawakami","given":"Vance","non-dropping-particle":"","parse-names":false,"suffix":""},{"dropping-particle":"","family":"Kim","given":"Moon","non-dropping-particle":"","parse-names":false,"suffix":""},{"dropping-particle":"","family":"Kirking","given":"Hannah L.","non-dropping-particle":"","parse-names":false,"suffix":""},{"dropping-particle":"","family":"Kita-Yarbro","given":"Amanda","non-dropping-particle":"","parse-names":false,"suffix":""},{"dropping-particle":"","family":"Klos","given":"Rachel","non-dropping-particle":"","parse-names":false,"suffix":""},{"dropping-particle":"","family":"Kobayashi","given":"Miwako","non-dropping-particle":"","parse-names":false,"suffix":""},{"dropping-particle":"","family":"Kocharian","given":"Anna","non-dropping-particle":"","parse-names":false,"suffix":""},{"dropping-particle":"","family":"Lang","given":"Misty","non-dropping-particle":"","parse-names":false,"suffix":""},{"dropping-particle":"","family":"Layden","given":"Jennifer","non-dropping-particle":"","parse-names":false,"suffix":""},{"dropping-particle":"","family":"Leidman","given":"Eva","non-dropping-particle":"","parse-names":false,"suffix":""},{"dropping-particle":"","family":"Lindquist","given":"Scott","non-dropping-particle":"","parse-names":false,"suffix":""},{"dropping-particle":"","family":"Lindstrom","given":"Stephen","non-dropping-particle":"","parse-names":false,"suffix":""},{"dropping-particle":"","family":"Link-Gelles","given":"Ruth","non-dropping-particle":"","parse-names":false,"suffix":""},{"dropping-particle":"","family":"Marlow","given":"Mariel","non-dropping-particle":"","parse-names":false,"suffix":""},{"dropping-particle":"","family":"Mattison","given":"Claire P.","non-dropping-particle":"","parse-names":false,"suffix":""},{"dropping-particle":"","family":"McClung","given":"Nancy","non-dropping-particle":"","parse-names":false,"suffix":""},{"dropping-particle":"","family":"McPherson","given":"Tristan D.","non-dropping-particle":"","parse-names":false,"suffix":""},{"dropping-particle":"","family":"Mello","given":"Lynn","non-dropping-particle":"","parse-names":false,"suffix":""},{"dropping-particle":"","family":"Midgley","given":"Claire M.","non-dropping-particle":"","parse-names":false,"suffix":""},{"dropping-particle":"","family":"Novosad","given":"Shannon","non-dropping-particle":"","parse-names":false,"suffix":""},{"dropping-particle":"","family":"Patel","given":"Megan T.","non-dropping-particle":"","parse-names":false,"suffix":""},{"dropping-particle":"","family":"Pettrone","given":"Kristen","non-dropping-particle":"","parse-names":false,"suffix":""},{"dropping-particle":"","family":"Pillai","given":"Satish K.","non-dropping-particle":"","parse-names":false,"suffix":""},{"dropping-particle":"","family":"Pray","given":"Ian W.","non-dropping-particle":"","parse-names":false,"suffix":""},{"dropping-particle":"","family":"Reese","given":"Heather E.","non-dropping-particle":"","parse-names":false,"suffix":""},{"dropping-particle":"","family":"Rhodes","given":"Heather","non-dropping-particle":"","parse-names":false,"suffix":""},{"dropping-particle":"","family":"Robinson","given":"Susan","non-dropping-particle":"","parse-names":false,"suffix":""},{"dropping-particle":"","family":"Rolfes","given":"Melissa","non-dropping-particle":"","parse-names":false,"suffix":""},{"dropping-particle":"","family":"Routh","given":"Janell","non-dropping-particle":"","parse-names":false,"suffix":""},{"dropping-particle":"","family":"Rubin","given":"Rachel","non-dropping-particle":"","parse-names":false,"suffix":""},{"dropping-particle":"","family":"Rudman","given":"Sarah L.","non-dropping-particle":"","parse-names":false,"suffix":""},{"dropping-particle":"","family":"Russell","given":"Denny","non-dropping-particle":"","parse-names":false,"suffix":""},{"dropping-particle":"","family":"Scott","given":"Sarah","non-dropping-particle":"","parse-names":false,"suffix":""},{"dropping-particle":"","family":"Shetty","given":"Varun","non-dropping-particle":"","parse-names":false,"suffix":""},{"dropping-particle":"","family":"Smith-Jeffcoat","given":"Sarah E.","non-dropping-particle":"","parse-names":false,"suffix":""},{"dropping-particle":"","family":"Soda","given":"Elizabeth A.","non-dropping-particle":"","parse-names":false,"suffix":""},{"dropping-particle":"","family":"Spitters","given":"Christopher","non-dropping-particle":"","parse-names":false,"suffix":""},{"dropping-particle":"","family":"Stierman","given":"Bryan","non-dropping-particle":"","parse-names":false,"suffix":""},{"dropping-particle":"","family":"Sunenshine","given":"Rebecca","non-dropping-particle":"","parse-names":false,"suffix":""},{"dropping-particle":"","family":"Terashita","given":"Dawn","non-dropping-particle":"","parse-names":false,"suffix":""},{"dropping-particle":"","family":"Traub","given":"Elizabeth","non-dropping-particle":"","parse-names":false,"suffix":""},{"dropping-particle":"","family":"Vahey","given":"Grace M.","non-dropping-particle":"","parse-names":false,"suffix":""},{"dropping-particle":"","family":"Verani","given":"Jennifer R.","non-dropping-particle":"","parse-names":false,"suffix":""},{"dropping-particle":"","family":"Wallace","given":"Megan","non-dropping-particle":"","parse-names":false,"suffix":""},{"dropping-particle":"","family":"Westercamp","given":"Matthew","non-dropping-particle":"","parse-names":false,"suffix":""},{"dropping-particle":"","family":"Wortham","given":"Jonathan","non-dropping-particle":"","parse-names":false,"suffix":""},{"dropping-particle":"","family":"Xie","given":"Amy","non-dropping-particle":"","parse-names":false,"suffix":""},{"dropping-particle":"","family":"Yousaf","given":"Anna","non-dropping-particle":"","parse-names":false,"suffix":""},{"dropping-particle":"","family":"Zahn","given":"Matthew","non-dropping-particle":"","parse-names":false,"suffix":""}],"container-title":"PLoS ONE","id":"ITEM-1","issue":"9 September","issued":{"date-parts":[["2020","9","1"]]},"publisher":"Public Library of Science","title":"Enhanced contact investigations for nine early travel-related cases of SARS-CoV-2 in the United States","type":"article-journal","volume":"15"},"uris":["http://www.mendeley.com/documents/?uuid=d05b388a-6090-3826-9e4c-776f6e1c71c8"]}],"mendeley":{"formattedCitation":"[26]","plainTextFormattedCitation":"[26]","previouslyFormattedCitation":"[28]"},"properties":{"noteIndex":0},"schema":"https://github.com/citation-style-language/schema/raw/master/csl-citation.json"}</w:instrText>
            </w:r>
            <w:r>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[26]</w:t>
            </w:r>
            <w:r>
              <w:rPr>
                <w:rFonts w:ascii="Calibri" w:eastAsia="Times New Roman" w:hAnsi="Calibri" w:cs="Calibri"/>
                <w:color w:val="000000"/>
                <w:sz w:val="18"/>
                <w:szCs w:val="18"/>
                <w:lang w:eastAsia="en-GB"/>
              </w:rPr>
              <w:fldChar w:fldCharType="end"/>
            </w:r>
          </w:p>
        </w:tc>
        <w:tc>
          <w:tcPr>
            <w:tcW w:w="1129" w:type="dxa"/>
            <w:tcBorders>
              <w:top w:val="nil"/>
              <w:left w:val="nil"/>
              <w:bottom w:val="nil"/>
              <w:right w:val="nil"/>
            </w:tcBorders>
            <w:shd w:val="clear" w:color="000000" w:fill="FFFFFF"/>
            <w:vAlign w:val="center"/>
            <w:hideMark/>
          </w:tcPr>
          <w:p w14:paraId="11B12C1C" w14:textId="26803913" w:rsidR="00F02A6E" w:rsidRPr="00F02A6E" w:rsidRDefault="00DC5F62" w:rsidP="00B802CE">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Multiple</w:t>
            </w:r>
          </w:p>
        </w:tc>
        <w:tc>
          <w:tcPr>
            <w:tcW w:w="1070" w:type="dxa"/>
            <w:tcBorders>
              <w:top w:val="nil"/>
              <w:left w:val="nil"/>
              <w:bottom w:val="nil"/>
              <w:right w:val="nil"/>
            </w:tcBorders>
            <w:shd w:val="clear" w:color="000000" w:fill="FFFFFF"/>
            <w:vAlign w:val="center"/>
            <w:hideMark/>
          </w:tcPr>
          <w:p w14:paraId="54F5ED56"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USA</w:t>
            </w:r>
          </w:p>
        </w:tc>
        <w:tc>
          <w:tcPr>
            <w:tcW w:w="2330" w:type="dxa"/>
            <w:tcBorders>
              <w:top w:val="nil"/>
              <w:left w:val="nil"/>
              <w:bottom w:val="single" w:sz="8" w:space="0" w:color="auto"/>
              <w:right w:val="nil"/>
            </w:tcBorders>
            <w:shd w:val="clear" w:color="000000" w:fill="FFFFFF"/>
            <w:vAlign w:val="center"/>
            <w:hideMark/>
          </w:tcPr>
          <w:p w14:paraId="799EDACC"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Surveillance and contact tracing</w:t>
            </w:r>
          </w:p>
        </w:tc>
        <w:tc>
          <w:tcPr>
            <w:tcW w:w="2975" w:type="dxa"/>
            <w:tcBorders>
              <w:top w:val="nil"/>
              <w:left w:val="nil"/>
              <w:bottom w:val="single" w:sz="8" w:space="0" w:color="auto"/>
              <w:right w:val="nil"/>
            </w:tcBorders>
            <w:shd w:val="clear" w:color="000000" w:fill="FFFFFF"/>
            <w:vAlign w:val="center"/>
            <w:hideMark/>
          </w:tcPr>
          <w:p w14:paraId="5E3CCD27"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HCWs having contact (&gt;1-2 mins within 6ft) or sharing the same room for &gt;10mins as the case. </w:t>
            </w:r>
          </w:p>
        </w:tc>
        <w:tc>
          <w:tcPr>
            <w:tcW w:w="1276" w:type="dxa"/>
            <w:tcBorders>
              <w:top w:val="nil"/>
              <w:left w:val="nil"/>
              <w:bottom w:val="single" w:sz="8" w:space="0" w:color="auto"/>
              <w:right w:val="nil"/>
            </w:tcBorders>
            <w:shd w:val="clear" w:color="000000" w:fill="FFFFFF"/>
            <w:vAlign w:val="center"/>
            <w:hideMark/>
          </w:tcPr>
          <w:p w14:paraId="5D97338C" w14:textId="201A58D5" w:rsidR="00F02A6E" w:rsidRPr="00F02A6E" w:rsidRDefault="0022583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subset (symptomatic and </w:t>
            </w:r>
            <w:r w:rsidR="002E1F1F">
              <w:rPr>
                <w:rFonts w:ascii="Calibri" w:eastAsia="Times New Roman" w:hAnsi="Calibri" w:cs="Calibri"/>
                <w:color w:val="000000"/>
                <w:sz w:val="18"/>
                <w:szCs w:val="18"/>
                <w:lang w:eastAsia="en-GB"/>
              </w:rPr>
              <w:t>high-risk contacts</w:t>
            </w:r>
            <w:r w:rsidRPr="00F02A6E">
              <w:rPr>
                <w:rFonts w:ascii="Calibri" w:eastAsia="Times New Roman" w:hAnsi="Calibri" w:cs="Calibri"/>
                <w:color w:val="000000"/>
                <w:sz w:val="18"/>
                <w:szCs w:val="18"/>
                <w:lang w:eastAsia="en-GB"/>
              </w:rPr>
              <w:t>)</w:t>
            </w:r>
          </w:p>
        </w:tc>
        <w:tc>
          <w:tcPr>
            <w:tcW w:w="1134" w:type="dxa"/>
            <w:tcBorders>
              <w:top w:val="nil"/>
              <w:left w:val="nil"/>
              <w:bottom w:val="single" w:sz="8" w:space="0" w:color="auto"/>
              <w:right w:val="nil"/>
            </w:tcBorders>
            <w:shd w:val="clear" w:color="000000" w:fill="FFFFFF"/>
            <w:vAlign w:val="center"/>
            <w:hideMark/>
          </w:tcPr>
          <w:p w14:paraId="0CA16EA9"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281EF2FB"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9</w:t>
            </w:r>
          </w:p>
        </w:tc>
        <w:tc>
          <w:tcPr>
            <w:tcW w:w="976" w:type="dxa"/>
            <w:tcBorders>
              <w:top w:val="nil"/>
              <w:left w:val="nil"/>
              <w:bottom w:val="single" w:sz="8" w:space="0" w:color="auto"/>
              <w:right w:val="nil"/>
            </w:tcBorders>
            <w:shd w:val="clear" w:color="000000" w:fill="FFFFFF"/>
            <w:vAlign w:val="center"/>
            <w:hideMark/>
          </w:tcPr>
          <w:p w14:paraId="465C59C1"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163</w:t>
            </w:r>
          </w:p>
        </w:tc>
        <w:tc>
          <w:tcPr>
            <w:tcW w:w="992" w:type="dxa"/>
            <w:tcBorders>
              <w:top w:val="nil"/>
              <w:left w:val="nil"/>
              <w:bottom w:val="single" w:sz="8" w:space="0" w:color="auto"/>
              <w:right w:val="nil"/>
            </w:tcBorders>
            <w:shd w:val="clear" w:color="000000" w:fill="FFFFFF"/>
            <w:vAlign w:val="center"/>
            <w:hideMark/>
          </w:tcPr>
          <w:p w14:paraId="5FEC216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77</w:t>
            </w:r>
          </w:p>
        </w:tc>
        <w:tc>
          <w:tcPr>
            <w:tcW w:w="996" w:type="dxa"/>
            <w:tcBorders>
              <w:top w:val="nil"/>
              <w:left w:val="nil"/>
              <w:bottom w:val="single" w:sz="8" w:space="0" w:color="auto"/>
              <w:right w:val="nil"/>
            </w:tcBorders>
            <w:shd w:val="clear" w:color="000000" w:fill="FFFFFF"/>
            <w:vAlign w:val="center"/>
            <w:hideMark/>
          </w:tcPr>
          <w:p w14:paraId="00CA0932"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56F573DC" w14:textId="77777777" w:rsidTr="00CB478C">
        <w:trPr>
          <w:trHeight w:val="552"/>
        </w:trPr>
        <w:tc>
          <w:tcPr>
            <w:tcW w:w="993" w:type="dxa"/>
            <w:tcBorders>
              <w:top w:val="nil"/>
              <w:left w:val="nil"/>
              <w:bottom w:val="single" w:sz="8" w:space="0" w:color="auto"/>
              <w:right w:val="nil"/>
            </w:tcBorders>
            <w:vAlign w:val="center"/>
          </w:tcPr>
          <w:p w14:paraId="593F727A"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6D9753CD" w14:textId="4AC74218" w:rsidR="00F02A6E" w:rsidRPr="00F02A6E" w:rsidRDefault="00F02A6E" w:rsidP="00B802CE">
            <w:pPr>
              <w:spacing w:after="0" w:line="240" w:lineRule="auto"/>
              <w:jc w:val="right"/>
              <w:rPr>
                <w:rFonts w:ascii="Calibri" w:eastAsia="Times New Roman" w:hAnsi="Calibri" w:cs="Calibri"/>
                <w:color w:val="000000"/>
                <w:sz w:val="18"/>
                <w:szCs w:val="18"/>
                <w:lang w:eastAsia="en-GB"/>
              </w:rPr>
            </w:pPr>
          </w:p>
        </w:tc>
        <w:tc>
          <w:tcPr>
            <w:tcW w:w="1129" w:type="dxa"/>
            <w:tcBorders>
              <w:top w:val="nil"/>
              <w:left w:val="nil"/>
              <w:bottom w:val="single" w:sz="8" w:space="0" w:color="auto"/>
              <w:right w:val="nil"/>
            </w:tcBorders>
            <w:shd w:val="clear" w:color="000000" w:fill="FFFFFF"/>
            <w:vAlign w:val="center"/>
            <w:hideMark/>
          </w:tcPr>
          <w:p w14:paraId="6176E119"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070" w:type="dxa"/>
            <w:tcBorders>
              <w:top w:val="nil"/>
              <w:left w:val="nil"/>
              <w:bottom w:val="single" w:sz="8" w:space="0" w:color="auto"/>
              <w:right w:val="nil"/>
            </w:tcBorders>
            <w:shd w:val="clear" w:color="000000" w:fill="FFFFFF"/>
            <w:vAlign w:val="center"/>
            <w:hideMark/>
          </w:tcPr>
          <w:p w14:paraId="28A65F37"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330" w:type="dxa"/>
            <w:tcBorders>
              <w:top w:val="nil"/>
              <w:left w:val="nil"/>
              <w:bottom w:val="single" w:sz="8" w:space="0" w:color="auto"/>
              <w:right w:val="nil"/>
            </w:tcBorders>
            <w:shd w:val="clear" w:color="000000" w:fill="FFFFFF"/>
            <w:vAlign w:val="center"/>
            <w:hideMark/>
          </w:tcPr>
          <w:p w14:paraId="119F805F"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Surveillance and contact tracing</w:t>
            </w:r>
          </w:p>
        </w:tc>
        <w:tc>
          <w:tcPr>
            <w:tcW w:w="2975" w:type="dxa"/>
            <w:tcBorders>
              <w:top w:val="nil"/>
              <w:left w:val="nil"/>
              <w:bottom w:val="single" w:sz="8" w:space="0" w:color="auto"/>
              <w:right w:val="nil"/>
            </w:tcBorders>
            <w:shd w:val="clear" w:color="000000" w:fill="FFFFFF"/>
            <w:vAlign w:val="center"/>
            <w:hideMark/>
          </w:tcPr>
          <w:p w14:paraId="2F0C899D"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Patients having contact (&gt;1-2 mins within 6ft) or sharing the same room for &gt;10mins as the case. </w:t>
            </w:r>
          </w:p>
        </w:tc>
        <w:tc>
          <w:tcPr>
            <w:tcW w:w="1276" w:type="dxa"/>
            <w:tcBorders>
              <w:top w:val="nil"/>
              <w:left w:val="nil"/>
              <w:bottom w:val="single" w:sz="8" w:space="0" w:color="auto"/>
              <w:right w:val="nil"/>
            </w:tcBorders>
            <w:shd w:val="clear" w:color="000000" w:fill="FFFFFF"/>
            <w:vAlign w:val="center"/>
            <w:hideMark/>
          </w:tcPr>
          <w:p w14:paraId="0F08225B" w14:textId="2DCEAF6F" w:rsidR="00F02A6E" w:rsidRPr="00F02A6E" w:rsidRDefault="0022583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subset (symptomatic and </w:t>
            </w:r>
            <w:r w:rsidR="002E1F1F">
              <w:rPr>
                <w:rFonts w:ascii="Calibri" w:eastAsia="Times New Roman" w:hAnsi="Calibri" w:cs="Calibri"/>
                <w:color w:val="000000"/>
                <w:sz w:val="18"/>
                <w:szCs w:val="18"/>
                <w:lang w:eastAsia="en-GB"/>
              </w:rPr>
              <w:t>high-risk contacts</w:t>
            </w:r>
            <w:r w:rsidRPr="00F02A6E">
              <w:rPr>
                <w:rFonts w:ascii="Calibri" w:eastAsia="Times New Roman" w:hAnsi="Calibri" w:cs="Calibri"/>
                <w:color w:val="000000"/>
                <w:sz w:val="18"/>
                <w:szCs w:val="18"/>
                <w:lang w:eastAsia="en-GB"/>
              </w:rPr>
              <w:t>)</w:t>
            </w:r>
          </w:p>
        </w:tc>
        <w:tc>
          <w:tcPr>
            <w:tcW w:w="1134" w:type="dxa"/>
            <w:tcBorders>
              <w:top w:val="nil"/>
              <w:left w:val="nil"/>
              <w:bottom w:val="single" w:sz="8" w:space="0" w:color="auto"/>
              <w:right w:val="nil"/>
            </w:tcBorders>
            <w:shd w:val="clear" w:color="000000" w:fill="FFFFFF"/>
            <w:vAlign w:val="center"/>
            <w:hideMark/>
          </w:tcPr>
          <w:p w14:paraId="461ABA20"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0A6338E4"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9</w:t>
            </w:r>
          </w:p>
        </w:tc>
        <w:tc>
          <w:tcPr>
            <w:tcW w:w="976" w:type="dxa"/>
            <w:tcBorders>
              <w:top w:val="nil"/>
              <w:left w:val="nil"/>
              <w:bottom w:val="single" w:sz="8" w:space="0" w:color="auto"/>
              <w:right w:val="nil"/>
            </w:tcBorders>
            <w:shd w:val="clear" w:color="000000" w:fill="FFFFFF"/>
            <w:vAlign w:val="center"/>
            <w:hideMark/>
          </w:tcPr>
          <w:p w14:paraId="1B8A3F73"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95</w:t>
            </w:r>
          </w:p>
        </w:tc>
        <w:tc>
          <w:tcPr>
            <w:tcW w:w="992" w:type="dxa"/>
            <w:tcBorders>
              <w:top w:val="nil"/>
              <w:left w:val="nil"/>
              <w:bottom w:val="single" w:sz="8" w:space="0" w:color="auto"/>
              <w:right w:val="nil"/>
            </w:tcBorders>
            <w:shd w:val="clear" w:color="000000" w:fill="FFFFFF"/>
            <w:vAlign w:val="center"/>
            <w:hideMark/>
          </w:tcPr>
          <w:p w14:paraId="21B0D03B"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27</w:t>
            </w:r>
          </w:p>
        </w:tc>
        <w:tc>
          <w:tcPr>
            <w:tcW w:w="996" w:type="dxa"/>
            <w:tcBorders>
              <w:top w:val="nil"/>
              <w:left w:val="nil"/>
              <w:bottom w:val="single" w:sz="8" w:space="0" w:color="auto"/>
              <w:right w:val="nil"/>
            </w:tcBorders>
            <w:shd w:val="clear" w:color="000000" w:fill="FFFFFF"/>
            <w:vAlign w:val="center"/>
            <w:hideMark/>
          </w:tcPr>
          <w:p w14:paraId="17313CC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4E7F1D" w:rsidRPr="00F6420B" w14:paraId="1FF990D0" w14:textId="77777777" w:rsidTr="00CB478C">
        <w:trPr>
          <w:trHeight w:val="536"/>
        </w:trPr>
        <w:tc>
          <w:tcPr>
            <w:tcW w:w="993" w:type="dxa"/>
            <w:tcBorders>
              <w:top w:val="single" w:sz="8" w:space="0" w:color="auto"/>
              <w:left w:val="nil"/>
              <w:bottom w:val="single" w:sz="8" w:space="0" w:color="auto"/>
              <w:right w:val="nil"/>
            </w:tcBorders>
            <w:vAlign w:val="center"/>
          </w:tcPr>
          <w:p w14:paraId="3ED3A02F" w14:textId="77777777" w:rsidR="00150632" w:rsidRDefault="00150632" w:rsidP="00150632">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single" w:sz="8" w:space="0" w:color="auto"/>
              <w:right w:val="nil"/>
            </w:tcBorders>
            <w:shd w:val="clear" w:color="auto" w:fill="auto"/>
            <w:vAlign w:val="center"/>
          </w:tcPr>
          <w:p w14:paraId="57B50DD5" w14:textId="75B0264A" w:rsidR="00150632" w:rsidRPr="00F02A6E" w:rsidRDefault="00150632" w:rsidP="00150632">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Canova</w:t>
            </w:r>
            <w:r w:rsidRPr="00F02A6E">
              <w:rPr>
                <w:rFonts w:ascii="Calibri" w:eastAsia="Times New Roman" w:hAnsi="Calibri" w:cs="Calibri"/>
                <w:color w:val="000000"/>
                <w:sz w:val="18"/>
                <w:szCs w:val="18"/>
                <w:lang w:eastAsia="en-GB"/>
              </w:rPr>
              <w:t xml:space="preserve"> et al </w:t>
            </w:r>
            <w:r>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{"citationItems":[{"id":"ITEM-1","itemData":{"DOI":"10.4414/smw.2020.20257","ISBN":"0036-7672","PMID":"32333603","abstract":"BACKGROUND: The coronavirus disease (COVID)-19 epidemic is evolving rapidly. Healthcare workers are at increased risk for infection, and specific requirements for their protection are advisable to ensure the functioning of the basic healthcare system, including the availability of general practitioners (GPs). Understanding the transmission risk is particularly important for guiding evidence-based protective measures in the primary healthcare setting. METHODS: Healthcare worker contacts of an initially undiagnosed COVID-19 case, who were without personal protective equipment, in particular not wearing facemasks, were screened with nasopharyngeal swabs and polymerase chain reaction tests for severe acute respiratory syndrome coronavirus 2 (SARS-CoV-2), irrespective of respiratory symptoms or fever seven days after initial contact. The details of exposure to the index case were obtained during routine contact investigation after unintentional pathogen exposure. RESULTS: Twenty-one healthcare workers reported contacts with the index case. Three healthcare workers reported respiratory symptoms (cough) or low-grade fever within 4 days. None of them tested positive for SARS-CoV-2 at the time of symptom onset. All 21 healthcare workers tested SARS-CoV-2 negative 7 days after initial index case contact, including the three healthcare workers with previous symptoms. Ten of the 21 healthcare workers reported a cumulative exposure time of &amp;gt;15 minutes. Longer cumulative contact times were associated with more individual contacts, reduced contact time per contact and activities with physical patient contact. The closest relative of the index patient tested SARS-CoV-2 positive 2 days after the index case presented at the hospital emergency department. CONCLUSION: We found a low risk of SARS-CoV-2 transmission in a primary care setting. These findings are compatible with previous reports of the highest transmission probability in household settings with prolonged close contacts. The current protective measures for healthcare workers, including strict adherence to basic standard hygiene and facemasks, offer considerable protection during short periods of contact with symptomatic COVID-19 cases by diminishing the risk of direct and indirect transmission.","author":[{"dropping-particle":"","family":"Canova","given":"V","non-dropping-particle":"","parse-names":false,"suffix":""},{"dropping-particle":"","family":"Lederer Schläpfer","given":"H","non-dropping-particle":"","parse-names":false,"suffix":""},{"dropping-particle":"","family":"Piso","given":"R J","non-dropping-particle":"","parse-names":false,"suffix":""},{"dropping-particle":"","family":"Droll","given":"A","non-dropping-particle":"","parse-names":false,"suffix":""},{"dropping-particle":"","family":"Fenner","given":"L","non-dropping-particle":"","parse-names":false,"suffix":""},{"dropping-particle":"","family":"Hoffmann","given":"T","non-dropping-particle":"","parse-names":false,"suffix":""},{"dropping-particle":"","family":"Hoffmann","given":"M","non-dropping-particle":"","parse-names":false,"suffix":""}],"container-title":"Swiss Med Wkly","edition":"2020/04/26","id":"ITEM-1","issued":{"date-parts":[["2020"]]},"language":"eng","note":"1424-3997\nCanova, Vera\nLederer Schläpfer, Heidi\nPiso, Rein Jan\nDroll, Armin\nFenner, Lukas\nHoffmann, Tobias\nHoffmann, Matthias\nCase Reports\nJournal Article\nSwitzerland\nSwiss Med Wkly. 2020 Apr 25;150:w20257. doi: 10.4414/smw.2020.20257. eCollection 2020 Apr 20.","page":"w20257","title":"Transmission risk of SARS-CoV-2 to healthcare workers -observational results of a primary care hospital contact tracing","type":"article-journal","volume":"150"},"uris":["http://www.mendeley.com/documents/?uuid=6c292026-dd1e-469f-827c-77a3198bdc80"]}],"mendeley":{"formattedCitation":"[68]","plainTextFormattedCitation":"[68]","previouslyFormattedCitation":"[70]"},"properties":{"noteIndex":0},"schema":"https://github.com/citation-style-language/schema/raw/master/csl-citation.json"}</w:instrText>
            </w:r>
            <w:r>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[68]</w:t>
            </w:r>
            <w:r>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single" w:sz="8" w:space="0" w:color="auto"/>
              <w:right w:val="nil"/>
            </w:tcBorders>
            <w:shd w:val="clear" w:color="000000" w:fill="FFFFFF"/>
            <w:vAlign w:val="center"/>
          </w:tcPr>
          <w:p w14:paraId="57E07E4B" w14:textId="37BC8CA5" w:rsidR="00150632" w:rsidRPr="00F02A6E" w:rsidRDefault="00150632" w:rsidP="00150632">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Solothurn </w:t>
            </w:r>
          </w:p>
        </w:tc>
        <w:tc>
          <w:tcPr>
            <w:tcW w:w="1070" w:type="dxa"/>
            <w:tcBorders>
              <w:top w:val="single" w:sz="8" w:space="0" w:color="auto"/>
              <w:left w:val="nil"/>
              <w:bottom w:val="single" w:sz="8" w:space="0" w:color="auto"/>
              <w:right w:val="nil"/>
            </w:tcBorders>
            <w:shd w:val="clear" w:color="000000" w:fill="FFFFFF"/>
            <w:vAlign w:val="center"/>
          </w:tcPr>
          <w:p w14:paraId="5A59DBE3" w14:textId="576C795F" w:rsidR="00150632" w:rsidRPr="00F02A6E" w:rsidRDefault="00150632" w:rsidP="00150632">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Switzerland</w:t>
            </w:r>
          </w:p>
        </w:tc>
        <w:tc>
          <w:tcPr>
            <w:tcW w:w="2330" w:type="dxa"/>
            <w:tcBorders>
              <w:top w:val="single" w:sz="8" w:space="0" w:color="auto"/>
              <w:left w:val="nil"/>
              <w:bottom w:val="nil"/>
              <w:right w:val="nil"/>
            </w:tcBorders>
            <w:shd w:val="clear" w:color="000000" w:fill="FFFFFF"/>
            <w:vAlign w:val="center"/>
          </w:tcPr>
          <w:p w14:paraId="445568BC" w14:textId="77790CC5" w:rsidR="00150632" w:rsidRPr="00F02A6E" w:rsidRDefault="00150632" w:rsidP="00150632">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000000" w:fill="FFFFFF"/>
            <w:vAlign w:val="center"/>
          </w:tcPr>
          <w:p w14:paraId="1B9FC2E6" w14:textId="79EBEAE8" w:rsidR="00150632" w:rsidRPr="00F02A6E" w:rsidRDefault="00150632" w:rsidP="00150632">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HCWs exposed to </w:t>
            </w:r>
            <w:proofErr w:type="spellStart"/>
            <w:proofErr w:type="gramStart"/>
            <w:r w:rsidRPr="00F02A6E">
              <w:rPr>
                <w:rFonts w:ascii="Calibri" w:eastAsia="Times New Roman" w:hAnsi="Calibri" w:cs="Calibri"/>
                <w:color w:val="000000"/>
                <w:sz w:val="18"/>
                <w:szCs w:val="18"/>
                <w:lang w:eastAsia="en-GB"/>
              </w:rPr>
              <w:t>a</w:t>
            </w:r>
            <w:proofErr w:type="spellEnd"/>
            <w:proofErr w:type="gramEnd"/>
            <w:r w:rsidRPr="00F02A6E">
              <w:rPr>
                <w:rFonts w:ascii="Calibri" w:eastAsia="Times New Roman" w:hAnsi="Calibri" w:cs="Calibri"/>
                <w:color w:val="000000"/>
                <w:sz w:val="18"/>
                <w:szCs w:val="18"/>
                <w:lang w:eastAsia="en-GB"/>
              </w:rPr>
              <w:t xml:space="preserve"> index case patient without appropriate PPE</w:t>
            </w:r>
          </w:p>
        </w:tc>
        <w:tc>
          <w:tcPr>
            <w:tcW w:w="1276" w:type="dxa"/>
            <w:tcBorders>
              <w:top w:val="nil"/>
              <w:left w:val="nil"/>
              <w:bottom w:val="single" w:sz="8" w:space="0" w:color="auto"/>
              <w:right w:val="nil"/>
            </w:tcBorders>
            <w:shd w:val="clear" w:color="000000" w:fill="FFFFFF"/>
            <w:vAlign w:val="center"/>
          </w:tcPr>
          <w:p w14:paraId="5B04B9C9" w14:textId="6A9FC488" w:rsidR="00150632" w:rsidRPr="00F02A6E" w:rsidRDefault="00150632" w:rsidP="00150632">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tcPr>
          <w:p w14:paraId="5F5831C1" w14:textId="0E439829" w:rsidR="00150632" w:rsidRPr="00F02A6E" w:rsidRDefault="00150632" w:rsidP="00150632">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tcPr>
          <w:p w14:paraId="55799BDE" w14:textId="52310EF2" w:rsidR="00150632" w:rsidRPr="00F02A6E" w:rsidRDefault="00150632" w:rsidP="00150632">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noWrap/>
            <w:vAlign w:val="center"/>
          </w:tcPr>
          <w:p w14:paraId="355D7CEC" w14:textId="3F1740A4" w:rsidR="00150632" w:rsidRPr="00F02A6E" w:rsidRDefault="00150632" w:rsidP="00150632">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21</w:t>
            </w:r>
          </w:p>
        </w:tc>
        <w:tc>
          <w:tcPr>
            <w:tcW w:w="992" w:type="dxa"/>
            <w:tcBorders>
              <w:top w:val="nil"/>
              <w:left w:val="nil"/>
              <w:bottom w:val="single" w:sz="8" w:space="0" w:color="auto"/>
              <w:right w:val="nil"/>
            </w:tcBorders>
            <w:shd w:val="clear" w:color="000000" w:fill="FFFFFF"/>
            <w:noWrap/>
            <w:vAlign w:val="center"/>
          </w:tcPr>
          <w:p w14:paraId="5E8E4B70" w14:textId="7A17AE8A" w:rsidR="00150632" w:rsidRPr="00F02A6E" w:rsidRDefault="00150632" w:rsidP="00150632">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21</w:t>
            </w:r>
          </w:p>
        </w:tc>
        <w:tc>
          <w:tcPr>
            <w:tcW w:w="996" w:type="dxa"/>
            <w:tcBorders>
              <w:top w:val="nil"/>
              <w:left w:val="nil"/>
              <w:bottom w:val="single" w:sz="8" w:space="0" w:color="auto"/>
              <w:right w:val="nil"/>
            </w:tcBorders>
            <w:shd w:val="clear" w:color="000000" w:fill="FFFFFF"/>
            <w:noWrap/>
            <w:vAlign w:val="center"/>
          </w:tcPr>
          <w:p w14:paraId="13F1027F" w14:textId="798FD19A" w:rsidR="00150632" w:rsidRPr="00F02A6E" w:rsidRDefault="00150632" w:rsidP="00150632">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4E7F1D" w:rsidRPr="00F6420B" w14:paraId="0567350C" w14:textId="77777777" w:rsidTr="00CB478C">
        <w:trPr>
          <w:trHeight w:val="433"/>
        </w:trPr>
        <w:tc>
          <w:tcPr>
            <w:tcW w:w="993" w:type="dxa"/>
            <w:tcBorders>
              <w:top w:val="single" w:sz="8" w:space="0" w:color="auto"/>
              <w:left w:val="nil"/>
              <w:bottom w:val="single" w:sz="8" w:space="0" w:color="auto"/>
              <w:right w:val="nil"/>
            </w:tcBorders>
          </w:tcPr>
          <w:p w14:paraId="4ECBEE98" w14:textId="59E1D744" w:rsidR="00F02A6E" w:rsidRPr="00F02A6E" w:rsidRDefault="00ED69B5" w:rsidP="00F40BBE">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44</w:t>
            </w:r>
          </w:p>
        </w:tc>
        <w:tc>
          <w:tcPr>
            <w:tcW w:w="1139" w:type="dxa"/>
            <w:tcBorders>
              <w:top w:val="single" w:sz="8" w:space="0" w:color="auto"/>
              <w:left w:val="nil"/>
              <w:bottom w:val="single" w:sz="8" w:space="0" w:color="auto"/>
              <w:right w:val="nil"/>
            </w:tcBorders>
            <w:shd w:val="clear" w:color="auto" w:fill="auto"/>
            <w:hideMark/>
          </w:tcPr>
          <w:p w14:paraId="216AA966" w14:textId="19BBFCA1" w:rsidR="00F02A6E" w:rsidRPr="00F02A6E" w:rsidRDefault="00F02A6E" w:rsidP="00F40BB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Chen et al</w:t>
            </w:r>
            <w:r w:rsidR="00F40BBE">
              <w:rPr>
                <w:rFonts w:ascii="Calibri" w:eastAsia="Times New Roman" w:hAnsi="Calibri" w:cs="Calibri"/>
                <w:color w:val="000000"/>
                <w:sz w:val="18"/>
                <w:szCs w:val="18"/>
                <w:lang w:eastAsia="en-GB"/>
              </w:rPr>
              <w:t xml:space="preserve"> </w:t>
            </w:r>
            <w:r w:rsidR="00F40BBE">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{"citationItems":[{"id":"ITEM-1","itemData":{"DOI":"10.1016/j.jinf.2020.05.067","ISBN":"1532-2742\r0163-4453","PMID":"32504745","abstract":"The seroprevalence of severe acute respiratory syndrome coronavirus 2 (SARS-CoV-2) was examined among 105 healthcare workers (HCWs) exposed to four patients who were laboratory confirmed with coronavirus disease 2019 (COVID-19), the disease caused by SARS-CoV-2 infection. These HCWs were immediately under quarantine for 14 days as soon as they were identified as close contacts. The nasopharyngeal swab samples were collected on the first and 14(th) day of the quarantine, while the serum samples were obtained on the 14(th) day of the quarantine. With the assay of enzyme immunoassay (EIA) and microneutralization assay, 17.14% (18/105) of HCWs were seropositive, while their swab samples were found to be SARS-CoV-2 RNA negative. Risk analysis revealed that wearing face mask could reduce the infection risk (odds ratio [OR], 0.127, 95% confidence interval [CI] 0.017, 0.968), while when exposed to COVID-19 patients, doctors might have higher risk of seroconversion (OR, 346.837, 95% CI 8.924, 13479.434), compared with HCWs exposed to colleagues as well as nurses and general service assistants who exposed to patients. Our study revealed that the serological testing is useful for the identification of asymptomatic or subclinical infection of SARS-CoV-2 among close contacts with COVID-19 patients.","author":[{"dropping-particle":"","family":"Chen","given":"Yuxin","non-dropping-particle":"","parse-names":false,"suffix":""},{"dropping-particle":"","family":"Tong","given":"Xin","non-dropping-particle":"","parse-names":false,"suffix":""},{"dropping-particle":"","family":"Wang","given":"Jian","non-dropping-particle":"","parse-names":false,"suffix":""},{"dropping-particle":"","family":"Huang","given":"Weijin","non-dropping-particle":"","parse-names":false,"suffix":""},{"dropping-particle":"","family":"Yin","given":"Shengxia","non-dropping-particle":"","parse-names":false,"suffix":""},{"dropping-particle":"","family":"Huang","given":"Rui","non-dropping-particle":"","parse-names":false,"suffix":""},{"dropping-particle":"","family":"Yang","given":"Hailong","non-dropping-particle":"","parse-names":false,"suffix":""},{"dropping-particle":"","family":"Chen","given":"Yong","non-dropping-particle":"","parse-names":false,"suffix":""},{"dropping-particle":"","family":"Huang","given":"Aijun","non-dropping-particle":"","parse-names":false,"suffix":""},{"dropping-particle":"","family":"Liu","given":"Yong","non-dropping-particle":"","parse-names":false,"suffix":""},{"dropping-particle":"","family":"Chen","given":"Yan","non-dropping-particle":"","parse-names":false,"suffix":""},{"dropping-particle":"","family":"Yuan","given":"Ling","non-dropping-particle":"","parse-names":false,"suffix":""},{"dropping-particle":"","family":"Yan","given":"Xiaomin","non-dropping-particle":"","parse-names":false,"suffix":""},{"dropping-particle":"","family":"Shen","given":"Han","non-dropping-particle":"","parse-names":false,"suffix":""},{"dropping-particle":"","family":"Wu","given":"Chao","non-dropping-particle":"","parse-names":false,"suffix":""}],"container-title":"The Journal of infection","edition":"2020/06/04","id":"ITEM-1","issue":"3","issued":{"date-parts":[["2020"]]},"language":"eng","note":"32504745[pmid]\nPMC7270786[pmcid]\nS0163-4453(20)30344-3[PII]","page":"420-426","publisher":"The British Infection Association. Published by Elsevier Ltd.","title":"High SARS-CoV-2 antibody prevalence among healthcare workers exposed to COVID-19 patients","type":"article-journal","volume":"81"},"uris":["http://www.mendeley.com/documents/?uuid=06e787c2-47e7-495a-90ab-5dccbd5fadd3"]}],"mendeley":{"formattedCitation":"[69]","plainTextFormattedCitation":"[69]","previouslyFormattedCitation":"[71]"},"properties":{"noteIndex":0},"schema":"https://github.com/citation-style-language/schema/raw/master/csl-citation.json"}</w:instrText>
            </w:r>
            <w:r w:rsidR="00F40BBE">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[69]</w:t>
            </w:r>
            <w:r w:rsidR="00F40BBE">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single" w:sz="8" w:space="0" w:color="auto"/>
              <w:right w:val="nil"/>
            </w:tcBorders>
            <w:shd w:val="clear" w:color="000000" w:fill="FFFFFF"/>
            <w:hideMark/>
          </w:tcPr>
          <w:p w14:paraId="13F165CE" w14:textId="77777777" w:rsidR="00F02A6E" w:rsidRPr="00F02A6E" w:rsidRDefault="00F02A6E" w:rsidP="00F40BB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Nanjing</w:t>
            </w:r>
          </w:p>
        </w:tc>
        <w:tc>
          <w:tcPr>
            <w:tcW w:w="1070" w:type="dxa"/>
            <w:tcBorders>
              <w:top w:val="single" w:sz="8" w:space="0" w:color="auto"/>
              <w:left w:val="nil"/>
              <w:bottom w:val="single" w:sz="8" w:space="0" w:color="auto"/>
              <w:right w:val="nil"/>
            </w:tcBorders>
            <w:shd w:val="clear" w:color="000000" w:fill="FFFFFF"/>
            <w:hideMark/>
          </w:tcPr>
          <w:p w14:paraId="2EDB48B5" w14:textId="77777777" w:rsidR="00F02A6E" w:rsidRPr="00F02A6E" w:rsidRDefault="00F02A6E" w:rsidP="00F40BB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China</w:t>
            </w:r>
          </w:p>
        </w:tc>
        <w:tc>
          <w:tcPr>
            <w:tcW w:w="2330" w:type="dxa"/>
            <w:tcBorders>
              <w:top w:val="single" w:sz="8" w:space="0" w:color="auto"/>
              <w:left w:val="nil"/>
              <w:bottom w:val="nil"/>
              <w:right w:val="nil"/>
            </w:tcBorders>
            <w:shd w:val="clear" w:color="000000" w:fill="FFFFFF"/>
            <w:vAlign w:val="center"/>
            <w:hideMark/>
          </w:tcPr>
          <w:p w14:paraId="2D811C6D"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000000" w:fill="FFFFFF"/>
            <w:vAlign w:val="center"/>
            <w:hideMark/>
          </w:tcPr>
          <w:p w14:paraId="4D2C3ED0"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HCWs exposed to a case patient </w:t>
            </w:r>
          </w:p>
        </w:tc>
        <w:tc>
          <w:tcPr>
            <w:tcW w:w="1276" w:type="dxa"/>
            <w:tcBorders>
              <w:top w:val="nil"/>
              <w:left w:val="nil"/>
              <w:bottom w:val="single" w:sz="8" w:space="0" w:color="auto"/>
              <w:right w:val="nil"/>
            </w:tcBorders>
            <w:shd w:val="clear" w:color="000000" w:fill="FFFFFF"/>
            <w:vAlign w:val="center"/>
            <w:hideMark/>
          </w:tcPr>
          <w:p w14:paraId="35729AC3"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08A80595"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30EAD75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4</w:t>
            </w:r>
          </w:p>
        </w:tc>
        <w:tc>
          <w:tcPr>
            <w:tcW w:w="976" w:type="dxa"/>
            <w:tcBorders>
              <w:top w:val="nil"/>
              <w:left w:val="nil"/>
              <w:bottom w:val="single" w:sz="8" w:space="0" w:color="auto"/>
              <w:right w:val="nil"/>
            </w:tcBorders>
            <w:shd w:val="clear" w:color="000000" w:fill="FFFFFF"/>
            <w:noWrap/>
            <w:vAlign w:val="center"/>
            <w:hideMark/>
          </w:tcPr>
          <w:p w14:paraId="3C53A62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105</w:t>
            </w:r>
          </w:p>
        </w:tc>
        <w:tc>
          <w:tcPr>
            <w:tcW w:w="992" w:type="dxa"/>
            <w:tcBorders>
              <w:top w:val="nil"/>
              <w:left w:val="nil"/>
              <w:bottom w:val="single" w:sz="8" w:space="0" w:color="auto"/>
              <w:right w:val="nil"/>
            </w:tcBorders>
            <w:shd w:val="clear" w:color="000000" w:fill="FFFFFF"/>
            <w:noWrap/>
            <w:vAlign w:val="center"/>
            <w:hideMark/>
          </w:tcPr>
          <w:p w14:paraId="701B056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105</w:t>
            </w:r>
          </w:p>
        </w:tc>
        <w:tc>
          <w:tcPr>
            <w:tcW w:w="996" w:type="dxa"/>
            <w:tcBorders>
              <w:top w:val="nil"/>
              <w:left w:val="nil"/>
              <w:bottom w:val="single" w:sz="8" w:space="0" w:color="auto"/>
              <w:right w:val="nil"/>
            </w:tcBorders>
            <w:shd w:val="clear" w:color="000000" w:fill="FFFFFF"/>
            <w:noWrap/>
            <w:vAlign w:val="center"/>
            <w:hideMark/>
          </w:tcPr>
          <w:p w14:paraId="57AC3B2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18</w:t>
            </w:r>
          </w:p>
        </w:tc>
      </w:tr>
      <w:tr w:rsidR="000F13C3" w:rsidRPr="00F6420B" w14:paraId="3063B059" w14:textId="77777777" w:rsidTr="00CB478C">
        <w:trPr>
          <w:trHeight w:val="327"/>
        </w:trPr>
        <w:tc>
          <w:tcPr>
            <w:tcW w:w="993" w:type="dxa"/>
            <w:tcBorders>
              <w:top w:val="single" w:sz="8" w:space="0" w:color="auto"/>
              <w:left w:val="nil"/>
              <w:bottom w:val="nil"/>
              <w:right w:val="nil"/>
            </w:tcBorders>
            <w:vAlign w:val="center"/>
          </w:tcPr>
          <w:p w14:paraId="25E8A7DA" w14:textId="221D0C8D" w:rsidR="00F02A6E" w:rsidRPr="00F02A6E" w:rsidRDefault="00ED69B5" w:rsidP="00F02A6E">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39</w:t>
            </w:r>
          </w:p>
        </w:tc>
        <w:tc>
          <w:tcPr>
            <w:tcW w:w="1139" w:type="dxa"/>
            <w:tcBorders>
              <w:top w:val="single" w:sz="8" w:space="0" w:color="auto"/>
              <w:left w:val="nil"/>
              <w:bottom w:val="nil"/>
              <w:right w:val="nil"/>
            </w:tcBorders>
            <w:shd w:val="clear" w:color="auto" w:fill="auto"/>
            <w:vAlign w:val="center"/>
            <w:hideMark/>
          </w:tcPr>
          <w:p w14:paraId="636ABEF6" w14:textId="54E1BB7A"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Chen et al </w:t>
            </w:r>
            <w:r w:rsidR="00F40BBE">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10.3760/cma.j.cn112338-20200304-00251","author":[{"dropping-particle":"","family":"Chen","given":"Yi","non-dropping-particle":"","parse-names":false,"suffix":""},{"dropping-particle":"","family":"Wang","given":"Aihong","non-dropping-particle":"","parse-names":false,"suffix":""},{"dropping-particle":"","family":"Yi","given":"Bo","non-dropping-particle":"","parse-names":false,"suffix":""},{"dropping-particle":"","family":"Ding","given":"Keqin","non-dropping-particle":"","parse-names":false,"suffix":""},{"dropping-particle":"","family":"Wang","given":"Haibo","non-dropping-particle":"","parse-names":false,"suffix":""},{"dropping-particle":"","family":"Wang","given":"Jianmei","non-dropping-particle":"","parse-names":false,"suffix":""},{"dropping-particle":"","family":"Shi","given":"Hongbo","non-dropping-particle":"","parse-names":false,"suffix":""},{"dropping-particle":"","family":"Wang","given":"Sijia","non-dropping-particle":"","parse-names":false,"suffix":""},{"dropping-particle":"","family":"Xu","given":"Guozhang","non-dropping-particle":"","parse-names":false,"suffix":""}],"container-title":"Chinese Journal of Epidemiology","id":"ITEM-1","issued":{"date-parts":[["2020"]]},"title":"Epidemiological analysis of infection among close contacts of novel coronavirus pneumonia in Ningbo","type":"article-journal","volume":"41"},"uris":["http://www.mendeley.com/documents/?uuid=978fb15b-8773-4e7b-a513-1fd6611718ea"]}],"mendeley":{"formattedCitation":"[28]","plainTextFormattedCitation":"[28]","previouslyFormattedCitation":"[30]"},"properties":{"noteIndex":0},"schema":"https://github.com/citation-style-language/schema/raw/master/csl-citation.json"}</w:instrText>
            </w:r>
            <w:r w:rsidR="00F40BBE">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[28]</w:t>
            </w:r>
            <w:r w:rsidR="00F40BBE">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nil"/>
              <w:right w:val="nil"/>
            </w:tcBorders>
            <w:shd w:val="clear" w:color="000000" w:fill="FFFFFF"/>
            <w:vAlign w:val="center"/>
            <w:hideMark/>
          </w:tcPr>
          <w:p w14:paraId="112CC6A6"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Ningbo</w:t>
            </w:r>
          </w:p>
        </w:tc>
        <w:tc>
          <w:tcPr>
            <w:tcW w:w="1070" w:type="dxa"/>
            <w:tcBorders>
              <w:top w:val="single" w:sz="8" w:space="0" w:color="auto"/>
              <w:left w:val="nil"/>
              <w:bottom w:val="nil"/>
              <w:right w:val="nil"/>
            </w:tcBorders>
            <w:shd w:val="clear" w:color="000000" w:fill="FFFFFF"/>
            <w:vAlign w:val="center"/>
            <w:hideMark/>
          </w:tcPr>
          <w:p w14:paraId="7DCD9BA1"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China</w:t>
            </w:r>
          </w:p>
        </w:tc>
        <w:tc>
          <w:tcPr>
            <w:tcW w:w="2330" w:type="dxa"/>
            <w:tcBorders>
              <w:top w:val="single" w:sz="8" w:space="0" w:color="auto"/>
              <w:left w:val="nil"/>
              <w:bottom w:val="nil"/>
              <w:right w:val="nil"/>
            </w:tcBorders>
            <w:shd w:val="clear" w:color="000000" w:fill="FFFFFF"/>
            <w:vAlign w:val="center"/>
            <w:hideMark/>
          </w:tcPr>
          <w:p w14:paraId="53D85AB6"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Surveillance and contact tracing</w:t>
            </w:r>
          </w:p>
        </w:tc>
        <w:tc>
          <w:tcPr>
            <w:tcW w:w="2975" w:type="dxa"/>
            <w:tcBorders>
              <w:top w:val="nil"/>
              <w:left w:val="nil"/>
              <w:bottom w:val="single" w:sz="8" w:space="0" w:color="auto"/>
              <w:right w:val="nil"/>
            </w:tcBorders>
            <w:shd w:val="clear" w:color="000000" w:fill="FFFFFF"/>
            <w:vAlign w:val="center"/>
            <w:hideMark/>
          </w:tcPr>
          <w:p w14:paraId="2E1CCF43"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providing care to a case</w:t>
            </w:r>
          </w:p>
        </w:tc>
        <w:tc>
          <w:tcPr>
            <w:tcW w:w="1276" w:type="dxa"/>
            <w:tcBorders>
              <w:top w:val="nil"/>
              <w:left w:val="nil"/>
              <w:bottom w:val="single" w:sz="8" w:space="0" w:color="auto"/>
              <w:right w:val="nil"/>
            </w:tcBorders>
            <w:shd w:val="clear" w:color="000000" w:fill="FFFFFF"/>
            <w:vAlign w:val="center"/>
            <w:hideMark/>
          </w:tcPr>
          <w:p w14:paraId="2247FA55"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3E5B632C"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52F87616"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187</w:t>
            </w:r>
          </w:p>
        </w:tc>
        <w:tc>
          <w:tcPr>
            <w:tcW w:w="976" w:type="dxa"/>
            <w:tcBorders>
              <w:top w:val="nil"/>
              <w:left w:val="nil"/>
              <w:bottom w:val="single" w:sz="8" w:space="0" w:color="auto"/>
              <w:right w:val="nil"/>
            </w:tcBorders>
            <w:shd w:val="clear" w:color="000000" w:fill="FFFFFF"/>
            <w:vAlign w:val="center"/>
            <w:hideMark/>
          </w:tcPr>
          <w:p w14:paraId="20D70170"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72</w:t>
            </w:r>
          </w:p>
        </w:tc>
        <w:tc>
          <w:tcPr>
            <w:tcW w:w="992" w:type="dxa"/>
            <w:tcBorders>
              <w:top w:val="nil"/>
              <w:left w:val="nil"/>
              <w:bottom w:val="single" w:sz="8" w:space="0" w:color="auto"/>
              <w:right w:val="nil"/>
            </w:tcBorders>
            <w:shd w:val="clear" w:color="000000" w:fill="FFFFFF"/>
            <w:vAlign w:val="center"/>
            <w:hideMark/>
          </w:tcPr>
          <w:p w14:paraId="735ED830"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72</w:t>
            </w:r>
          </w:p>
        </w:tc>
        <w:tc>
          <w:tcPr>
            <w:tcW w:w="996" w:type="dxa"/>
            <w:tcBorders>
              <w:top w:val="nil"/>
              <w:left w:val="nil"/>
              <w:bottom w:val="single" w:sz="8" w:space="0" w:color="auto"/>
              <w:right w:val="nil"/>
            </w:tcBorders>
            <w:shd w:val="clear" w:color="000000" w:fill="FFFFFF"/>
            <w:vAlign w:val="center"/>
            <w:hideMark/>
          </w:tcPr>
          <w:p w14:paraId="1898939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38E2CC7B" w14:textId="77777777" w:rsidTr="00CB478C">
        <w:trPr>
          <w:trHeight w:val="405"/>
        </w:trPr>
        <w:tc>
          <w:tcPr>
            <w:tcW w:w="993" w:type="dxa"/>
            <w:tcBorders>
              <w:top w:val="nil"/>
              <w:left w:val="nil"/>
              <w:bottom w:val="single" w:sz="8" w:space="0" w:color="auto"/>
              <w:right w:val="nil"/>
            </w:tcBorders>
            <w:vAlign w:val="center"/>
          </w:tcPr>
          <w:p w14:paraId="68BF03F0"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7B7116A7" w14:textId="3A54F81B"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129" w:type="dxa"/>
            <w:tcBorders>
              <w:top w:val="nil"/>
              <w:left w:val="nil"/>
              <w:bottom w:val="single" w:sz="8" w:space="0" w:color="auto"/>
              <w:right w:val="nil"/>
            </w:tcBorders>
            <w:shd w:val="clear" w:color="000000" w:fill="FFFFFF"/>
            <w:vAlign w:val="center"/>
            <w:hideMark/>
          </w:tcPr>
          <w:p w14:paraId="3C7EFA15"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070" w:type="dxa"/>
            <w:tcBorders>
              <w:top w:val="nil"/>
              <w:left w:val="nil"/>
              <w:bottom w:val="single" w:sz="8" w:space="0" w:color="auto"/>
              <w:right w:val="nil"/>
            </w:tcBorders>
            <w:shd w:val="clear" w:color="000000" w:fill="FFFFFF"/>
            <w:vAlign w:val="center"/>
            <w:hideMark/>
          </w:tcPr>
          <w:p w14:paraId="6E4CC361"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330" w:type="dxa"/>
            <w:tcBorders>
              <w:top w:val="nil"/>
              <w:left w:val="nil"/>
              <w:bottom w:val="single" w:sz="8" w:space="0" w:color="auto"/>
              <w:right w:val="nil"/>
            </w:tcBorders>
            <w:shd w:val="clear" w:color="000000" w:fill="FFFFFF"/>
            <w:vAlign w:val="center"/>
            <w:hideMark/>
          </w:tcPr>
          <w:p w14:paraId="11F05295"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975" w:type="dxa"/>
            <w:tcBorders>
              <w:top w:val="nil"/>
              <w:left w:val="nil"/>
              <w:bottom w:val="single" w:sz="8" w:space="0" w:color="auto"/>
              <w:right w:val="nil"/>
            </w:tcBorders>
            <w:shd w:val="clear" w:color="000000" w:fill="FFFFFF"/>
            <w:vAlign w:val="center"/>
            <w:hideMark/>
          </w:tcPr>
          <w:p w14:paraId="4B9CD8CC"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Patients sharing the same ward as a case</w:t>
            </w:r>
          </w:p>
        </w:tc>
        <w:tc>
          <w:tcPr>
            <w:tcW w:w="1276" w:type="dxa"/>
            <w:tcBorders>
              <w:top w:val="nil"/>
              <w:left w:val="nil"/>
              <w:bottom w:val="single" w:sz="8" w:space="0" w:color="auto"/>
              <w:right w:val="nil"/>
            </w:tcBorders>
            <w:shd w:val="clear" w:color="000000" w:fill="FFFFFF"/>
            <w:vAlign w:val="center"/>
            <w:hideMark/>
          </w:tcPr>
          <w:p w14:paraId="5B35EC90"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3EC14414"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175D7F1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187</w:t>
            </w:r>
          </w:p>
        </w:tc>
        <w:tc>
          <w:tcPr>
            <w:tcW w:w="976" w:type="dxa"/>
            <w:tcBorders>
              <w:top w:val="nil"/>
              <w:left w:val="nil"/>
              <w:bottom w:val="single" w:sz="8" w:space="0" w:color="auto"/>
              <w:right w:val="nil"/>
            </w:tcBorders>
            <w:shd w:val="clear" w:color="000000" w:fill="FFFFFF"/>
            <w:vAlign w:val="center"/>
            <w:hideMark/>
          </w:tcPr>
          <w:p w14:paraId="78E18EA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225</w:t>
            </w:r>
          </w:p>
        </w:tc>
        <w:tc>
          <w:tcPr>
            <w:tcW w:w="992" w:type="dxa"/>
            <w:tcBorders>
              <w:top w:val="nil"/>
              <w:left w:val="nil"/>
              <w:bottom w:val="single" w:sz="8" w:space="0" w:color="auto"/>
              <w:right w:val="nil"/>
            </w:tcBorders>
            <w:shd w:val="clear" w:color="000000" w:fill="FFFFFF"/>
            <w:vAlign w:val="center"/>
            <w:hideMark/>
          </w:tcPr>
          <w:p w14:paraId="002AEC86"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225</w:t>
            </w:r>
          </w:p>
        </w:tc>
        <w:tc>
          <w:tcPr>
            <w:tcW w:w="996" w:type="dxa"/>
            <w:tcBorders>
              <w:top w:val="nil"/>
              <w:left w:val="nil"/>
              <w:bottom w:val="single" w:sz="8" w:space="0" w:color="auto"/>
              <w:right w:val="nil"/>
            </w:tcBorders>
            <w:shd w:val="clear" w:color="000000" w:fill="FFFFFF"/>
            <w:vAlign w:val="center"/>
            <w:hideMark/>
          </w:tcPr>
          <w:p w14:paraId="09C07F5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4</w:t>
            </w:r>
          </w:p>
        </w:tc>
      </w:tr>
      <w:tr w:rsidR="000F13C3" w:rsidRPr="00F6420B" w14:paraId="0A8239E3" w14:textId="77777777" w:rsidTr="00CB478C">
        <w:trPr>
          <w:trHeight w:val="1008"/>
        </w:trPr>
        <w:tc>
          <w:tcPr>
            <w:tcW w:w="993" w:type="dxa"/>
            <w:tcBorders>
              <w:top w:val="single" w:sz="8" w:space="0" w:color="auto"/>
              <w:left w:val="nil"/>
              <w:bottom w:val="single" w:sz="8" w:space="0" w:color="auto"/>
              <w:right w:val="nil"/>
            </w:tcBorders>
          </w:tcPr>
          <w:p w14:paraId="40D5EF38" w14:textId="27B92437" w:rsidR="00F02A6E" w:rsidRPr="00F02A6E" w:rsidRDefault="00ED69B5" w:rsidP="00F40BBE">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33</w:t>
            </w:r>
          </w:p>
        </w:tc>
        <w:tc>
          <w:tcPr>
            <w:tcW w:w="1139" w:type="dxa"/>
            <w:tcBorders>
              <w:top w:val="single" w:sz="8" w:space="0" w:color="auto"/>
              <w:left w:val="nil"/>
              <w:bottom w:val="single" w:sz="8" w:space="0" w:color="auto"/>
              <w:right w:val="nil"/>
            </w:tcBorders>
            <w:shd w:val="clear" w:color="auto" w:fill="auto"/>
            <w:hideMark/>
          </w:tcPr>
          <w:p w14:paraId="6FCB6DA7" w14:textId="3BB7B203" w:rsidR="00F02A6E" w:rsidRPr="00F02A6E" w:rsidRDefault="00F02A6E" w:rsidP="00F02A6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Cheng et al</w:t>
            </w:r>
            <w:r w:rsidR="00F40BBE">
              <w:rPr>
                <w:rFonts w:ascii="Calibri" w:eastAsia="Times New Roman" w:hAnsi="Calibri" w:cs="Calibri"/>
                <w:color w:val="000000"/>
                <w:sz w:val="18"/>
                <w:szCs w:val="18"/>
                <w:lang w:eastAsia="en-GB"/>
              </w:rPr>
              <w:t xml:space="preserve"> </w:t>
            </w:r>
            <w:r w:rsidR="00F40BBE">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{"citationItems":[{"id":"ITEM-1","itemData":{"DOI":"10.1001/jamainternmed.2020.2020","ISBN":"2168-6106","abstract":"The dynamics of coronavirus disease 2019 (COVID-19) transmissibility are yet to be fully understood. Better understanding of the transmission dynamics is important for the development and evaluation of effective control policies.To delineate the transmission dynamics of COVID-19 and evaluate the transmission risk at different exposure window periods before and after symptom onset.This prospective case-ascertained study in Taiwan included laboratory-confirmed cases of COVID-19 and their contacts. The study period was from January 15 to March 18, 2020. All close contacts were quarantined at home for 14 days after their last exposure to the index case. During the quarantine period, any relevant symptoms (fever, cough, or other respiratory symptoms) of contacts triggered a COVID-19 test. The final follow-up date was April 2, 2020.Secondary clinical attack rate (considering symptomatic cases only) for different exposure time windows of the index cases and for different exposure settings (such as household, family, and health care).We enrolled 100 confirmed patients, with a median age of 44 years (range, 11-88 years), including 56 men and 44 women. Among their 2761 close contacts, there were 22 paired index-secondary cases. The overall secondary clinical attack rate was 0.7% (95% CI, 0.4%-1.0%). The attack rate was higher among the 1818 contacts whose exposure to index cases started within 5 days of symptom onset (1.0% [95% CI, 0.6%-1.6%]) compared with those who were exposed later (0 cases from 852 contacts; 95% CI, 0%-0.4%). The 299 contacts with exclusive presymptomatic exposures were also at risk (attack rate, 0.7% [95% CI, 0.2%-2.4%]). The attack rate was higher among household (4.6% [95% CI, 2.3%-9.3%]) and nonhousehold (5.3% [95% CI, 2.1%-12.8%]) family contacts than that in health care or other settings. The attack rates were higher among those aged 40 to 59 years (1.1% [95% CI, 0.6%-2.1%]) and those aged 60 years and older (0.9% [95% CI, 0.3%-2.6%]).In this study, high transmissibility of COVID-19 before and immediately after symptom onset suggests that finding and isolating symptomatic patients alone may not suffice to contain the epidemic, and more generalized measures may be required, such as social distancing.","author":[{"dropping-particle":"","family":"Cheng","given":"Hao-Yuan","non-dropping-particle":"","parse-names":false,"suffix":""},{"dropping-particle":"","family":"Jian","given":"Shu-Wan","non-dropping-particle":"","parse-names":false,"suffix":""},{"dropping-particle":"","family":"Liu","given":"Ding-Ping","non-dropping-particle":"","parse-names":false,"suffix":""},{"dropping-particle":"","family":"Ng","given":"Ta-Chou","non-dropping-particle":"","parse-names":false,"suffix":""},{"dropping-particle":"","family":"Huang","given":"Wan-Ting","non-dropping-particle":"","parse-names":false,"suffix":""},{"dropping-particle":"","family":"Lin","given":"Hsien-Ho","non-dropping-particle":"","parse-names":false,"suffix":""},{"dropping-particle":"","family":"Team","given":"for the Taiwan COVID-19 Outbreak Investigation","non-dropping-particle":"","parse-names":false,"suffix":""}],"container-title":"JAMA Internal Medicine","id":"ITEM-1","issued":{"date-parts":[["2020"]]},"title":"Contact Tracing Assessment of COVID-19 Transmission Dynamics in Taiwan and Risk at Different Exposure Periods Before and After Symptom Onset","type":"article-journal"},"uris":["http://www.mendeley.com/documents/?uuid=6284de53-4a95-43df-904f-87721ab687d2"]}],"mendeley":{"formattedCitation":"[29]","plainTextFormattedCitation":"[29]","previouslyFormattedCitation":"[31]"},"properties":{"noteIndex":0},"schema":"https://github.com/citation-style-language/schema/raw/master/csl-citation.json"}</w:instrText>
            </w:r>
            <w:r w:rsidR="00F40BBE">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[29]</w:t>
            </w:r>
            <w:r w:rsidR="00F40BBE">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single" w:sz="8" w:space="0" w:color="auto"/>
              <w:right w:val="nil"/>
            </w:tcBorders>
            <w:shd w:val="clear" w:color="000000" w:fill="FFFFFF"/>
            <w:hideMark/>
          </w:tcPr>
          <w:p w14:paraId="6A3A8E8F" w14:textId="77777777" w:rsidR="00F02A6E" w:rsidRPr="00F02A6E" w:rsidRDefault="00F02A6E" w:rsidP="00F02A6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Not specified</w:t>
            </w:r>
          </w:p>
        </w:tc>
        <w:tc>
          <w:tcPr>
            <w:tcW w:w="1070" w:type="dxa"/>
            <w:tcBorders>
              <w:top w:val="single" w:sz="8" w:space="0" w:color="auto"/>
              <w:left w:val="nil"/>
              <w:bottom w:val="single" w:sz="8" w:space="0" w:color="auto"/>
              <w:right w:val="nil"/>
            </w:tcBorders>
            <w:shd w:val="clear" w:color="000000" w:fill="FFFFFF"/>
            <w:hideMark/>
          </w:tcPr>
          <w:p w14:paraId="637BFD8E" w14:textId="77777777" w:rsidR="00F02A6E" w:rsidRPr="00F02A6E" w:rsidRDefault="00F02A6E" w:rsidP="00F02A6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Taiwan</w:t>
            </w:r>
          </w:p>
        </w:tc>
        <w:tc>
          <w:tcPr>
            <w:tcW w:w="2330" w:type="dxa"/>
            <w:tcBorders>
              <w:top w:val="single" w:sz="8" w:space="0" w:color="auto"/>
              <w:left w:val="nil"/>
              <w:bottom w:val="single" w:sz="8" w:space="0" w:color="auto"/>
              <w:right w:val="nil"/>
            </w:tcBorders>
            <w:shd w:val="clear" w:color="000000" w:fill="FFFFFF"/>
            <w:hideMark/>
          </w:tcPr>
          <w:p w14:paraId="26BB2939" w14:textId="77777777" w:rsidR="00F02A6E" w:rsidRPr="00F02A6E" w:rsidRDefault="00F02A6E" w:rsidP="00F02A6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Surveillance and contact tracing</w:t>
            </w:r>
          </w:p>
        </w:tc>
        <w:tc>
          <w:tcPr>
            <w:tcW w:w="2975" w:type="dxa"/>
            <w:tcBorders>
              <w:top w:val="single" w:sz="8" w:space="0" w:color="auto"/>
              <w:left w:val="nil"/>
              <w:bottom w:val="single" w:sz="8" w:space="0" w:color="auto"/>
              <w:right w:val="nil"/>
            </w:tcBorders>
            <w:shd w:val="clear" w:color="000000" w:fill="FFFFFF"/>
            <w:vAlign w:val="center"/>
            <w:hideMark/>
          </w:tcPr>
          <w:p w14:paraId="7529341D"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Medical staff, hospital workers and other patients contacting an index case within 2m without appropriate PPE (N95)</w:t>
            </w:r>
          </w:p>
        </w:tc>
        <w:tc>
          <w:tcPr>
            <w:tcW w:w="1276" w:type="dxa"/>
            <w:tcBorders>
              <w:top w:val="single" w:sz="8" w:space="0" w:color="auto"/>
              <w:left w:val="nil"/>
              <w:bottom w:val="single" w:sz="8" w:space="0" w:color="auto"/>
              <w:right w:val="nil"/>
            </w:tcBorders>
            <w:shd w:val="clear" w:color="000000" w:fill="FFFFFF"/>
            <w:vAlign w:val="center"/>
            <w:hideMark/>
          </w:tcPr>
          <w:p w14:paraId="48C13685"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single" w:sz="8" w:space="0" w:color="auto"/>
              <w:left w:val="nil"/>
              <w:bottom w:val="single" w:sz="8" w:space="0" w:color="auto"/>
              <w:right w:val="nil"/>
            </w:tcBorders>
            <w:shd w:val="clear" w:color="000000" w:fill="FFFFFF"/>
            <w:vAlign w:val="center"/>
            <w:hideMark/>
          </w:tcPr>
          <w:p w14:paraId="37555B11"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vAlign w:val="center"/>
            <w:hideMark/>
          </w:tcPr>
          <w:p w14:paraId="60937157"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100</w:t>
            </w:r>
          </w:p>
        </w:tc>
        <w:tc>
          <w:tcPr>
            <w:tcW w:w="976" w:type="dxa"/>
            <w:tcBorders>
              <w:top w:val="single" w:sz="8" w:space="0" w:color="auto"/>
              <w:left w:val="nil"/>
              <w:bottom w:val="single" w:sz="8" w:space="0" w:color="auto"/>
              <w:right w:val="nil"/>
            </w:tcBorders>
            <w:shd w:val="clear" w:color="000000" w:fill="FFFFFF"/>
            <w:vAlign w:val="center"/>
            <w:hideMark/>
          </w:tcPr>
          <w:p w14:paraId="13701277"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698</w:t>
            </w:r>
          </w:p>
        </w:tc>
        <w:tc>
          <w:tcPr>
            <w:tcW w:w="992" w:type="dxa"/>
            <w:tcBorders>
              <w:top w:val="single" w:sz="8" w:space="0" w:color="auto"/>
              <w:left w:val="nil"/>
              <w:bottom w:val="single" w:sz="8" w:space="0" w:color="auto"/>
              <w:right w:val="nil"/>
            </w:tcBorders>
            <w:shd w:val="clear" w:color="000000" w:fill="FFFFFF"/>
            <w:vAlign w:val="center"/>
            <w:hideMark/>
          </w:tcPr>
          <w:p w14:paraId="4D811C5F"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698</w:t>
            </w:r>
          </w:p>
        </w:tc>
        <w:tc>
          <w:tcPr>
            <w:tcW w:w="996" w:type="dxa"/>
            <w:tcBorders>
              <w:top w:val="single" w:sz="8" w:space="0" w:color="auto"/>
              <w:left w:val="nil"/>
              <w:bottom w:val="single" w:sz="8" w:space="0" w:color="auto"/>
              <w:right w:val="nil"/>
            </w:tcBorders>
            <w:shd w:val="clear" w:color="000000" w:fill="FFFFFF"/>
            <w:vAlign w:val="center"/>
            <w:hideMark/>
          </w:tcPr>
          <w:p w14:paraId="6D2A4AB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w:t>
            </w:r>
          </w:p>
        </w:tc>
      </w:tr>
      <w:tr w:rsidR="000F13C3" w:rsidRPr="00F6420B" w14:paraId="42EAD70D" w14:textId="77777777" w:rsidTr="00CB478C">
        <w:trPr>
          <w:trHeight w:val="954"/>
        </w:trPr>
        <w:tc>
          <w:tcPr>
            <w:tcW w:w="993" w:type="dxa"/>
            <w:tcBorders>
              <w:top w:val="single" w:sz="8" w:space="0" w:color="auto"/>
              <w:left w:val="nil"/>
              <w:bottom w:val="nil"/>
              <w:right w:val="nil"/>
            </w:tcBorders>
            <w:vAlign w:val="center"/>
          </w:tcPr>
          <w:p w14:paraId="2E400720"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nil"/>
              <w:right w:val="nil"/>
            </w:tcBorders>
            <w:shd w:val="clear" w:color="auto" w:fill="auto"/>
            <w:hideMark/>
          </w:tcPr>
          <w:p w14:paraId="40F36B71" w14:textId="37739A5C" w:rsidR="00F02A6E" w:rsidRPr="00F02A6E" w:rsidRDefault="00F02A6E" w:rsidP="00F02A6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Chu et al </w:t>
            </w:r>
            <w:r w:rsidR="00F40BBE">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{"citationItems":[{"id":"ITEM-1","itemData":{"DOI":"10.3201/eid2608.201423","ISBN":"1080-6059","abstract":"We describe the contact investigation for an early confirmed case of coronavirus disease (COVID-19), caused by severe acute respiratory syndrome coronavirus 2 (SARS-CoV-2), in the United States. Contacts of the case-patient were identified, actively monitored for symptoms, interviewed for a detailed exposure history, and tested for SARS-CoV-2 infection by real-time reverse transcription PCR (rRT-PCR) and ELISA. Fifty contacts were identified and 38 (76%) were interviewed, of whom 11 (29%) reported unprotected face-to-face interaction with the case-patient. Thirty-seven (74%) had respiratory specimens tested by rRT-PCR, and all tested negative. Twenty-three (46%) had ELISA performed on serum samples collected ≈6 weeks after exposure, and none had detectable antibodies to SARS-CoV-2. Among contacts who were tested, no secondary transmission was identified in this investigation, despite unprotected close interactions with the infectious case-patient.","author":[{"dropping-particle":"","family":"Chu","given":"Victoria","non-dropping-particle":"","parse-names":false,"suffix":""},{"dropping-particle":"","family":"Freeman-Ponder","given":"Brandi","non-dropping-particle":"","parse-names":false,"suffix":""},{"dropping-particle":"","family":"Lindquist","given":"Scott","non-dropping-particle":"","parse-names":false,"suffix":""},{"dropping-particle":"","family":"Spitters","given":"Christopher","non-dropping-particle":"","parse-names":false,"suffix":""},{"dropping-particle":"","family":"Kawakami","given":"Vance","non-dropping-particle":"","parse-names":false,"suffix":""},{"dropping-particle":"","family":"Dyal","given":"Jonathan","non-dropping-particle":"","parse-names":false,"suffix":""},{"dropping-particle":"","family":"Clark","given":"Shauna","non-dropping-particle":"","parse-names":false,"suffix":""},{"dropping-particle":"","family":"Bruce","given":"Hollianne","non-dropping-particle":"","parse-names":false,"suffix":""},{"dropping-particle":"","family":"Duchin","given":"Jeffrey","non-dropping-particle":"","parse-names":false,"suffix":""},{"dropping-particle":"","family":"DeBolt","given":"Chas","non-dropping-particle":"","parse-names":false,"suffix":""},{"dropping-particle":"","family":"Podczervinski","given":"Sara","non-dropping-particle":"","parse-names":false,"suffix":""},{"dropping-particle":"","family":"D’Angeli","given":"Marisa","non-dropping-particle":"","parse-names":false,"suffix":""},{"dropping-particle":"","family":"Pettrone","given":"Kristen","non-dropping-particle":"","parse-names":false,"suffix":""},{"dropping-particle":"","family":"Zacks","given":"Rachael","non-dropping-particle":"","parse-names":false,"suffix":""},{"dropping-particle":"","family":"Vahey","given":"Grace","non-dropping-particle":"","parse-names":false,"suffix":""},{"dropping-particle":"","family":"Holshue","given":"Michelle","non-dropping-particle":"","parse-names":false,"suffix":""},{"dropping-particle":"","family":"Lang","given":"Misty","non-dropping-particle":"","parse-names":false,"suffix":""},{"dropping-particle":"","family":"Burke","given":"Rachel","non-dropping-particle":"","parse-names":false,"suffix":""},{"dropping-particle":"","family":"Rolfes","given":"Melissa","non-dropping-particle":"","parse-names":false,"suffix":""},{"dropping-particle":"","family":"Marlow","given":"Mariel","non-dropping-particle":"","parse-names":false,"suffix":""},{"dropping-particle":"","family":"Midgley","given":"Claire","non-dropping-particle":"","parse-names":false,"suffix":""},{"dropping-particle":"","family":"Lu","given":"Xiaoyan","non-dropping-particle":"","parse-names":false,"suffix":""},{"dropping-particle":"","family":"Lindstrom","given":"Stephen","non-dropping-particle":"","parse-names":false,"suffix":""},{"dropping-particle":"","family":"Hall","given":"Aron","non-dropping-particle":"","parse-names":false,"suffix":""},{"dropping-particle":"","family":"Fry","given":"Alicia","non-dropping-particle":"","parse-names":false,"suffix":""},{"dropping-particle":"","family":"Thornburg","given":"Natalie","non-dropping-particle":"","parse-names":false,"suffix":""},{"dropping-particle":"","family":"Gerber","given":"Susan","non-dropping-particle":"","parse-names":false,"suffix":""},{"dropping-particle":"","family":"Pillai","given":"Satish","non-dropping-particle":"","parse-names":false,"suffix":""},{"dropping-particle":"","family":"Biggs","given":"Holly","non-dropping-particle":"","parse-names":false,"suffix":""}],"container-title":"Emerging Infectious Disease journal","id":"ITEM-1","issue":"8","issued":{"date-parts":[["2020"]]},"page":"1671","title":"Investigation and Serologic Follow-Up of Contacts of an Early Confirmed Case-Patient with COVID-19, Washington, USA","type":"article-journal","volume":"26"},"uris":["http://www.mendeley.com/documents/?uuid=4cd4758d-0179-4f77-83f2-09d19236caff"]}],"mendeley":{"formattedCitation":"[64]","plainTextFormattedCitation":"[64]","previouslyFormattedCitation":"[66]"},"properties":{"noteIndex":0},"schema":"https://github.com/citation-style-language/schema/raw/master/csl-citation.json"}</w:instrText>
            </w:r>
            <w:r w:rsidR="00F40BBE">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[64]</w:t>
            </w:r>
            <w:r w:rsidR="00F40BBE">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nil"/>
              <w:right w:val="nil"/>
            </w:tcBorders>
            <w:shd w:val="clear" w:color="000000" w:fill="FFFFFF"/>
            <w:noWrap/>
            <w:hideMark/>
          </w:tcPr>
          <w:p w14:paraId="556DADCF" w14:textId="77777777" w:rsidR="00F02A6E" w:rsidRPr="00F02A6E" w:rsidRDefault="00F02A6E" w:rsidP="00F02A6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Washington</w:t>
            </w:r>
          </w:p>
        </w:tc>
        <w:tc>
          <w:tcPr>
            <w:tcW w:w="1070" w:type="dxa"/>
            <w:tcBorders>
              <w:top w:val="single" w:sz="8" w:space="0" w:color="auto"/>
              <w:left w:val="nil"/>
              <w:bottom w:val="nil"/>
              <w:right w:val="nil"/>
            </w:tcBorders>
            <w:shd w:val="clear" w:color="000000" w:fill="FFFFFF"/>
            <w:noWrap/>
            <w:hideMark/>
          </w:tcPr>
          <w:p w14:paraId="6BB1BD48" w14:textId="77777777" w:rsidR="00F02A6E" w:rsidRPr="00F02A6E" w:rsidRDefault="00F02A6E" w:rsidP="00F02A6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USA</w:t>
            </w:r>
          </w:p>
        </w:tc>
        <w:tc>
          <w:tcPr>
            <w:tcW w:w="2330" w:type="dxa"/>
            <w:tcBorders>
              <w:top w:val="single" w:sz="8" w:space="0" w:color="auto"/>
              <w:left w:val="nil"/>
              <w:bottom w:val="nil"/>
              <w:right w:val="nil"/>
            </w:tcBorders>
            <w:shd w:val="clear" w:color="000000" w:fill="FFFFFF"/>
            <w:hideMark/>
          </w:tcPr>
          <w:p w14:paraId="1CB76041" w14:textId="77777777" w:rsidR="00F02A6E" w:rsidRPr="00F02A6E" w:rsidRDefault="00F02A6E" w:rsidP="00F02A6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Contact investigation</w:t>
            </w:r>
          </w:p>
        </w:tc>
        <w:tc>
          <w:tcPr>
            <w:tcW w:w="2975" w:type="dxa"/>
            <w:tcBorders>
              <w:top w:val="single" w:sz="8" w:space="0" w:color="auto"/>
              <w:left w:val="nil"/>
              <w:bottom w:val="single" w:sz="8" w:space="0" w:color="auto"/>
              <w:right w:val="nil"/>
            </w:tcBorders>
            <w:shd w:val="clear" w:color="000000" w:fill="FFFFFF"/>
            <w:vAlign w:val="center"/>
            <w:hideMark/>
          </w:tcPr>
          <w:p w14:paraId="41F46312"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Healthcare personnel having a face-to-face interaction with an index case or contact with a case patient's secretions without appropriate PPE</w:t>
            </w:r>
          </w:p>
        </w:tc>
        <w:tc>
          <w:tcPr>
            <w:tcW w:w="1276" w:type="dxa"/>
            <w:tcBorders>
              <w:top w:val="single" w:sz="8" w:space="0" w:color="auto"/>
              <w:left w:val="nil"/>
              <w:bottom w:val="single" w:sz="8" w:space="0" w:color="auto"/>
              <w:right w:val="nil"/>
            </w:tcBorders>
            <w:shd w:val="clear" w:color="000000" w:fill="FFFFFF"/>
            <w:vAlign w:val="center"/>
            <w:hideMark/>
          </w:tcPr>
          <w:p w14:paraId="578991FD"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 and subset</w:t>
            </w:r>
          </w:p>
        </w:tc>
        <w:tc>
          <w:tcPr>
            <w:tcW w:w="1134" w:type="dxa"/>
            <w:tcBorders>
              <w:top w:val="single" w:sz="8" w:space="0" w:color="auto"/>
              <w:left w:val="nil"/>
              <w:bottom w:val="single" w:sz="8" w:space="0" w:color="auto"/>
              <w:right w:val="nil"/>
            </w:tcBorders>
            <w:shd w:val="clear" w:color="000000" w:fill="FFFFFF"/>
            <w:vAlign w:val="center"/>
            <w:hideMark/>
          </w:tcPr>
          <w:p w14:paraId="53B278B1"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vAlign w:val="center"/>
            <w:hideMark/>
          </w:tcPr>
          <w:p w14:paraId="00CCF9B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single" w:sz="8" w:space="0" w:color="auto"/>
              <w:left w:val="nil"/>
              <w:bottom w:val="single" w:sz="8" w:space="0" w:color="auto"/>
              <w:right w:val="nil"/>
            </w:tcBorders>
            <w:shd w:val="clear" w:color="000000" w:fill="FFFFFF"/>
            <w:vAlign w:val="center"/>
            <w:hideMark/>
          </w:tcPr>
          <w:p w14:paraId="5294AC0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8</w:t>
            </w:r>
          </w:p>
        </w:tc>
        <w:tc>
          <w:tcPr>
            <w:tcW w:w="992" w:type="dxa"/>
            <w:tcBorders>
              <w:top w:val="single" w:sz="8" w:space="0" w:color="auto"/>
              <w:left w:val="nil"/>
              <w:bottom w:val="single" w:sz="8" w:space="0" w:color="auto"/>
              <w:right w:val="nil"/>
            </w:tcBorders>
            <w:shd w:val="clear" w:color="000000" w:fill="FFFFFF"/>
            <w:vAlign w:val="center"/>
            <w:hideMark/>
          </w:tcPr>
          <w:p w14:paraId="2C98A4D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proofErr w:type="gramStart"/>
            <w:r w:rsidRPr="00F02A6E">
              <w:rPr>
                <w:rFonts w:ascii="Calibri" w:eastAsia="Times New Roman" w:hAnsi="Calibri" w:cs="Calibri"/>
                <w:color w:val="000000"/>
                <w:sz w:val="18"/>
                <w:szCs w:val="18"/>
                <w:lang w:eastAsia="en-GB"/>
              </w:rPr>
              <w:t>not-specified</w:t>
            </w:r>
            <w:proofErr w:type="gramEnd"/>
          </w:p>
        </w:tc>
        <w:tc>
          <w:tcPr>
            <w:tcW w:w="996" w:type="dxa"/>
            <w:tcBorders>
              <w:top w:val="single" w:sz="8" w:space="0" w:color="auto"/>
              <w:left w:val="nil"/>
              <w:bottom w:val="single" w:sz="8" w:space="0" w:color="auto"/>
              <w:right w:val="nil"/>
            </w:tcBorders>
            <w:shd w:val="clear" w:color="000000" w:fill="FFFFFF"/>
            <w:vAlign w:val="center"/>
            <w:hideMark/>
          </w:tcPr>
          <w:p w14:paraId="76F8D406"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34544EE8" w14:textId="77777777" w:rsidTr="00CB478C">
        <w:trPr>
          <w:trHeight w:val="122"/>
        </w:trPr>
        <w:tc>
          <w:tcPr>
            <w:tcW w:w="993" w:type="dxa"/>
            <w:tcBorders>
              <w:top w:val="nil"/>
              <w:left w:val="nil"/>
              <w:bottom w:val="single" w:sz="8" w:space="0" w:color="auto"/>
              <w:right w:val="nil"/>
            </w:tcBorders>
            <w:vAlign w:val="center"/>
          </w:tcPr>
          <w:p w14:paraId="6D82B608"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4648E4B7" w14:textId="5DFA7C62"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129" w:type="dxa"/>
            <w:tcBorders>
              <w:top w:val="nil"/>
              <w:left w:val="nil"/>
              <w:bottom w:val="single" w:sz="8" w:space="0" w:color="auto"/>
              <w:right w:val="nil"/>
            </w:tcBorders>
            <w:shd w:val="clear" w:color="000000" w:fill="FFFFFF"/>
            <w:noWrap/>
            <w:vAlign w:val="center"/>
            <w:hideMark/>
          </w:tcPr>
          <w:p w14:paraId="757B15E5"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070" w:type="dxa"/>
            <w:tcBorders>
              <w:top w:val="nil"/>
              <w:left w:val="nil"/>
              <w:bottom w:val="single" w:sz="8" w:space="0" w:color="auto"/>
              <w:right w:val="nil"/>
            </w:tcBorders>
            <w:shd w:val="clear" w:color="000000" w:fill="FFFFFF"/>
            <w:noWrap/>
            <w:vAlign w:val="center"/>
            <w:hideMark/>
          </w:tcPr>
          <w:p w14:paraId="0E03F518"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330" w:type="dxa"/>
            <w:tcBorders>
              <w:top w:val="nil"/>
              <w:left w:val="nil"/>
              <w:bottom w:val="single" w:sz="8" w:space="0" w:color="auto"/>
              <w:right w:val="nil"/>
            </w:tcBorders>
            <w:shd w:val="clear" w:color="000000" w:fill="FFFFFF"/>
            <w:vAlign w:val="center"/>
            <w:hideMark/>
          </w:tcPr>
          <w:p w14:paraId="48DE59C8"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975" w:type="dxa"/>
            <w:tcBorders>
              <w:top w:val="nil"/>
              <w:left w:val="nil"/>
              <w:bottom w:val="single" w:sz="8" w:space="0" w:color="auto"/>
              <w:right w:val="nil"/>
            </w:tcBorders>
            <w:shd w:val="clear" w:color="000000" w:fill="FFFFFF"/>
            <w:vAlign w:val="center"/>
            <w:hideMark/>
          </w:tcPr>
          <w:p w14:paraId="1527331D"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Sharing a healthcare waiting room or area during the same time and up </w:t>
            </w:r>
            <w:r w:rsidRPr="00F02A6E">
              <w:rPr>
                <w:rFonts w:ascii="Calibri" w:eastAsia="Times New Roman" w:hAnsi="Calibri" w:cs="Calibri"/>
                <w:color w:val="000000"/>
                <w:sz w:val="18"/>
                <w:szCs w:val="18"/>
                <w:lang w:eastAsia="en-GB"/>
              </w:rPr>
              <w:lastRenderedPageBreak/>
              <w:t>to 2 hours after the case-patient was present</w:t>
            </w:r>
          </w:p>
        </w:tc>
        <w:tc>
          <w:tcPr>
            <w:tcW w:w="1276" w:type="dxa"/>
            <w:tcBorders>
              <w:top w:val="nil"/>
              <w:left w:val="nil"/>
              <w:bottom w:val="single" w:sz="8" w:space="0" w:color="auto"/>
              <w:right w:val="nil"/>
            </w:tcBorders>
            <w:shd w:val="clear" w:color="000000" w:fill="FFFFFF"/>
            <w:vAlign w:val="center"/>
            <w:hideMark/>
          </w:tcPr>
          <w:p w14:paraId="1BE090C4"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lastRenderedPageBreak/>
              <w:t>symptomatic and subset</w:t>
            </w:r>
          </w:p>
        </w:tc>
        <w:tc>
          <w:tcPr>
            <w:tcW w:w="1134" w:type="dxa"/>
            <w:tcBorders>
              <w:top w:val="nil"/>
              <w:left w:val="nil"/>
              <w:bottom w:val="single" w:sz="8" w:space="0" w:color="auto"/>
              <w:right w:val="nil"/>
            </w:tcBorders>
            <w:shd w:val="clear" w:color="000000" w:fill="FFFFFF"/>
            <w:vAlign w:val="center"/>
            <w:hideMark/>
          </w:tcPr>
          <w:p w14:paraId="111E6FA5"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57ADC882"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vAlign w:val="center"/>
            <w:hideMark/>
          </w:tcPr>
          <w:p w14:paraId="40F20C93"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31</w:t>
            </w:r>
          </w:p>
        </w:tc>
        <w:tc>
          <w:tcPr>
            <w:tcW w:w="992" w:type="dxa"/>
            <w:tcBorders>
              <w:top w:val="nil"/>
              <w:left w:val="nil"/>
              <w:bottom w:val="single" w:sz="8" w:space="0" w:color="auto"/>
              <w:right w:val="nil"/>
            </w:tcBorders>
            <w:shd w:val="clear" w:color="000000" w:fill="FFFFFF"/>
            <w:vAlign w:val="center"/>
            <w:hideMark/>
          </w:tcPr>
          <w:p w14:paraId="20D94C14"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proofErr w:type="gramStart"/>
            <w:r w:rsidRPr="00F02A6E">
              <w:rPr>
                <w:rFonts w:ascii="Calibri" w:eastAsia="Times New Roman" w:hAnsi="Calibri" w:cs="Calibri"/>
                <w:color w:val="000000"/>
                <w:sz w:val="18"/>
                <w:szCs w:val="18"/>
                <w:lang w:eastAsia="en-GB"/>
              </w:rPr>
              <w:t>not-specified</w:t>
            </w:r>
            <w:proofErr w:type="gramEnd"/>
          </w:p>
        </w:tc>
        <w:tc>
          <w:tcPr>
            <w:tcW w:w="996" w:type="dxa"/>
            <w:tcBorders>
              <w:top w:val="nil"/>
              <w:left w:val="nil"/>
              <w:bottom w:val="single" w:sz="8" w:space="0" w:color="auto"/>
              <w:right w:val="nil"/>
            </w:tcBorders>
            <w:shd w:val="clear" w:color="000000" w:fill="FFFFFF"/>
            <w:vAlign w:val="center"/>
            <w:hideMark/>
          </w:tcPr>
          <w:p w14:paraId="4B486B97"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409734B5" w14:textId="77777777" w:rsidTr="00CB478C">
        <w:trPr>
          <w:trHeight w:val="1114"/>
        </w:trPr>
        <w:tc>
          <w:tcPr>
            <w:tcW w:w="993" w:type="dxa"/>
            <w:tcBorders>
              <w:top w:val="single" w:sz="8" w:space="0" w:color="auto"/>
              <w:left w:val="nil"/>
              <w:bottom w:val="single" w:sz="8" w:space="0" w:color="auto"/>
              <w:right w:val="nil"/>
            </w:tcBorders>
            <w:vAlign w:val="center"/>
          </w:tcPr>
          <w:p w14:paraId="4245265B"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single" w:sz="8" w:space="0" w:color="auto"/>
              <w:right w:val="nil"/>
            </w:tcBorders>
            <w:shd w:val="clear" w:color="auto" w:fill="auto"/>
          </w:tcPr>
          <w:p w14:paraId="3B5FC197" w14:textId="08AEA4ED" w:rsidR="00F02A6E" w:rsidRPr="00F02A6E" w:rsidRDefault="00F02A6E" w:rsidP="00F40BB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Draper et al </w:t>
            </w:r>
            <w:r w:rsidR="00F40BBE">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{"citationItems":[{"id":"ITEM-1","itemData":{"DOI":"10.33321/cdi.2020.44.53","ISSN":"22096051","PMID":"32615916","abstract":"The Northern Territory (NT) Centre for Disease Control (CDC) undertook contact tracing of all notified cases of coronavirus disease 2019 (COVID-19) within the Territory. There were 28 cases of COVID-19 notified in the NT between 1 March and 30 April 2020. In total 527 people were identified as close contacts over the same period; 493 were successfully contacted; 445 were located in the NT and were subsequently quarantined and monitored for disease symptoms daily for 14 days after contact with a confirmed COVID-19 case. Of these 445 close contacts, 4 tested positive for COVID-19 after developing symptoms; 2/46 contacts who were cruise ship passengers (4.3%, 95% CI 0.5-14.8%) and 2/51 household contacts (3.9%, 95% CI 0.5-13.5%). None of the 326 aircraft passengers or 4 healthcare workers who were being monitored in the NT as close contacts became cases.","author":[{"dropping-particle":"","family":"Draper","given":"Anthony Dk","non-dropping-particle":"","parse-names":false,"suffix":""},{"dropping-particle":"","family":"Dempsey","given":"Karen E.","non-dropping-particle":"","parse-names":false,"suffix":""},{"dropping-particle":"","family":"Boyd","given":"Rowena H.","non-dropping-particle":"","parse-names":false,"suffix":""},{"dropping-particle":"","family":"Childs","given":"Emma M.","non-dropping-particle":"","parse-names":false,"suffix":""},{"dropping-particle":"","family":"Black","given":"Hayley M.","non-dropping-particle":"","parse-names":false,"suffix":""},{"dropping-particle":"","family":"Francis","given":"Laura A.","non-dropping-particle":"","parse-names":false,"suffix":""},{"dropping-particle":"","family":"Markey","given":"Peter G.","non-dropping-particle":"","parse-names":false,"suffix":""},{"dropping-particle":"","family":"Krause","given":"Vicki L.","non-dropping-particle":"","parse-names":false,"suffix":""}],"container-title":"Communicable diseases intelligence (2018)","id":"ITEM-1","issued":{"date-parts":[["2020","7","2"]]},"publisher":"NLM (Medline)","title":"The first 2 months of COVID-19 contact tracing in the Northern Territory of Australia, March-April 2020","type":"article-journal","volume":"44"},"uris":["http://www.mendeley.com/documents/?uuid=c132361d-0779-3507-8e95-3025717d99c8"]}],"mendeley":{"formattedCitation":"[33]","plainTextFormattedCitation":"[33]","previouslyFormattedCitation":"[35]"},"properties":{"noteIndex":0},"schema":"https://github.com/citation-style-language/schema/raw/master/csl-citation.json"}</w:instrText>
            </w:r>
            <w:r w:rsidR="00F40BBE">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[33]</w:t>
            </w:r>
            <w:r w:rsidR="00F40BBE">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single" w:sz="8" w:space="0" w:color="auto"/>
              <w:right w:val="nil"/>
            </w:tcBorders>
            <w:shd w:val="clear" w:color="000000" w:fill="FFFFFF"/>
            <w:noWrap/>
          </w:tcPr>
          <w:p w14:paraId="6392A04F" w14:textId="3481C96D" w:rsidR="00F02A6E" w:rsidRPr="00F02A6E" w:rsidRDefault="00F02A6E" w:rsidP="00F40BB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Northern Territory</w:t>
            </w:r>
          </w:p>
        </w:tc>
        <w:tc>
          <w:tcPr>
            <w:tcW w:w="1070" w:type="dxa"/>
            <w:tcBorders>
              <w:top w:val="single" w:sz="8" w:space="0" w:color="auto"/>
              <w:left w:val="nil"/>
              <w:bottom w:val="single" w:sz="8" w:space="0" w:color="auto"/>
              <w:right w:val="nil"/>
            </w:tcBorders>
            <w:shd w:val="clear" w:color="000000" w:fill="FFFFFF"/>
            <w:noWrap/>
          </w:tcPr>
          <w:p w14:paraId="0B1CEA78" w14:textId="4BEC325B" w:rsidR="00F02A6E" w:rsidRPr="00F02A6E" w:rsidRDefault="00F02A6E" w:rsidP="00F40BB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Australia</w:t>
            </w:r>
          </w:p>
        </w:tc>
        <w:tc>
          <w:tcPr>
            <w:tcW w:w="2330" w:type="dxa"/>
            <w:tcBorders>
              <w:top w:val="single" w:sz="8" w:space="0" w:color="auto"/>
              <w:left w:val="nil"/>
              <w:bottom w:val="single" w:sz="8" w:space="0" w:color="auto"/>
              <w:right w:val="nil"/>
            </w:tcBorders>
            <w:shd w:val="clear" w:color="000000" w:fill="FFFFFF"/>
          </w:tcPr>
          <w:p w14:paraId="6F5BA30E" w14:textId="0D1CB7FE" w:rsidR="00F02A6E" w:rsidRPr="00F02A6E" w:rsidRDefault="00F02A6E" w:rsidP="00F40BB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Surveillance and contact tracing </w:t>
            </w:r>
          </w:p>
        </w:tc>
        <w:tc>
          <w:tcPr>
            <w:tcW w:w="2975" w:type="dxa"/>
            <w:tcBorders>
              <w:top w:val="single" w:sz="8" w:space="0" w:color="auto"/>
              <w:left w:val="nil"/>
              <w:bottom w:val="single" w:sz="8" w:space="0" w:color="auto"/>
              <w:right w:val="nil"/>
            </w:tcBorders>
            <w:shd w:val="clear" w:color="000000" w:fill="FFFFFF"/>
            <w:vAlign w:val="center"/>
          </w:tcPr>
          <w:p w14:paraId="298B4966" w14:textId="20DD6965"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sz w:val="18"/>
                <w:szCs w:val="18"/>
              </w:rPr>
              <w:t>HCW with face-to-face contact with a confirmed COVID-19 case for more than 15 minutes cumulatively or continuously (without appropriate use of personal protective equipment)</w:t>
            </w:r>
          </w:p>
        </w:tc>
        <w:tc>
          <w:tcPr>
            <w:tcW w:w="1276" w:type="dxa"/>
            <w:tcBorders>
              <w:top w:val="single" w:sz="8" w:space="0" w:color="auto"/>
              <w:left w:val="nil"/>
              <w:bottom w:val="single" w:sz="8" w:space="0" w:color="auto"/>
              <w:right w:val="nil"/>
            </w:tcBorders>
            <w:shd w:val="clear" w:color="000000" w:fill="FFFFFF"/>
            <w:vAlign w:val="center"/>
          </w:tcPr>
          <w:p w14:paraId="5F8B8487" w14:textId="41CB4F16"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w:t>
            </w:r>
          </w:p>
        </w:tc>
        <w:tc>
          <w:tcPr>
            <w:tcW w:w="1134" w:type="dxa"/>
            <w:tcBorders>
              <w:top w:val="single" w:sz="8" w:space="0" w:color="auto"/>
              <w:left w:val="nil"/>
              <w:bottom w:val="single" w:sz="8" w:space="0" w:color="auto"/>
              <w:right w:val="nil"/>
            </w:tcBorders>
            <w:shd w:val="clear" w:color="000000" w:fill="FFFFFF"/>
            <w:vAlign w:val="center"/>
          </w:tcPr>
          <w:p w14:paraId="06680AE9" w14:textId="3F34097A"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RT_PCR</w:t>
            </w:r>
          </w:p>
        </w:tc>
        <w:tc>
          <w:tcPr>
            <w:tcW w:w="869" w:type="dxa"/>
            <w:tcBorders>
              <w:top w:val="single" w:sz="8" w:space="0" w:color="auto"/>
              <w:left w:val="nil"/>
              <w:bottom w:val="single" w:sz="8" w:space="0" w:color="auto"/>
              <w:right w:val="nil"/>
            </w:tcBorders>
            <w:shd w:val="clear" w:color="000000" w:fill="FFFFFF"/>
            <w:vAlign w:val="center"/>
          </w:tcPr>
          <w:p w14:paraId="60773448" w14:textId="551DA1EE"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28</w:t>
            </w:r>
          </w:p>
        </w:tc>
        <w:tc>
          <w:tcPr>
            <w:tcW w:w="976" w:type="dxa"/>
            <w:tcBorders>
              <w:top w:val="single" w:sz="8" w:space="0" w:color="auto"/>
              <w:left w:val="nil"/>
              <w:bottom w:val="single" w:sz="8" w:space="0" w:color="auto"/>
              <w:right w:val="nil"/>
            </w:tcBorders>
            <w:shd w:val="clear" w:color="000000" w:fill="FFFFFF"/>
            <w:vAlign w:val="center"/>
          </w:tcPr>
          <w:p w14:paraId="581D8B5E" w14:textId="553389F9"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4</w:t>
            </w:r>
          </w:p>
        </w:tc>
        <w:tc>
          <w:tcPr>
            <w:tcW w:w="992" w:type="dxa"/>
            <w:tcBorders>
              <w:top w:val="single" w:sz="8" w:space="0" w:color="auto"/>
              <w:left w:val="nil"/>
              <w:bottom w:val="single" w:sz="8" w:space="0" w:color="auto"/>
              <w:right w:val="nil"/>
            </w:tcBorders>
            <w:shd w:val="clear" w:color="000000" w:fill="FFFFFF"/>
            <w:vAlign w:val="center"/>
          </w:tcPr>
          <w:p w14:paraId="00786D7E" w14:textId="1DE35006" w:rsidR="00F02A6E" w:rsidRPr="00F02A6E" w:rsidRDefault="00F02A6E" w:rsidP="00B802CE">
            <w:pPr>
              <w:spacing w:after="0" w:line="240" w:lineRule="auto"/>
              <w:jc w:val="right"/>
              <w:rPr>
                <w:rFonts w:ascii="Calibri" w:eastAsia="Times New Roman" w:hAnsi="Calibri" w:cs="Calibri"/>
                <w:color w:val="000000"/>
                <w:sz w:val="18"/>
                <w:szCs w:val="18"/>
                <w:lang w:eastAsia="en-GB"/>
              </w:rPr>
            </w:pPr>
            <w:proofErr w:type="gramStart"/>
            <w:r w:rsidRPr="00F02A6E">
              <w:rPr>
                <w:rFonts w:ascii="Calibri" w:eastAsia="Times New Roman" w:hAnsi="Calibri" w:cs="Calibri"/>
                <w:color w:val="000000"/>
                <w:sz w:val="18"/>
                <w:szCs w:val="18"/>
                <w:lang w:eastAsia="en-GB"/>
              </w:rPr>
              <w:t>not-specified</w:t>
            </w:r>
            <w:proofErr w:type="gramEnd"/>
          </w:p>
        </w:tc>
        <w:tc>
          <w:tcPr>
            <w:tcW w:w="996" w:type="dxa"/>
            <w:tcBorders>
              <w:top w:val="single" w:sz="8" w:space="0" w:color="auto"/>
              <w:left w:val="nil"/>
              <w:bottom w:val="single" w:sz="8" w:space="0" w:color="auto"/>
              <w:right w:val="nil"/>
            </w:tcBorders>
            <w:shd w:val="clear" w:color="000000" w:fill="FFFFFF"/>
            <w:vAlign w:val="center"/>
          </w:tcPr>
          <w:p w14:paraId="270D342C" w14:textId="2A4CF813"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06C32FDF" w14:textId="77777777" w:rsidTr="00CB478C">
        <w:trPr>
          <w:trHeight w:val="327"/>
        </w:trPr>
        <w:tc>
          <w:tcPr>
            <w:tcW w:w="993" w:type="dxa"/>
            <w:tcBorders>
              <w:top w:val="single" w:sz="8" w:space="0" w:color="auto"/>
              <w:left w:val="nil"/>
              <w:bottom w:val="nil"/>
              <w:right w:val="nil"/>
            </w:tcBorders>
            <w:vAlign w:val="center"/>
          </w:tcPr>
          <w:p w14:paraId="7F7D3291"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nil"/>
              <w:right w:val="nil"/>
            </w:tcBorders>
            <w:shd w:val="clear" w:color="auto" w:fill="auto"/>
            <w:vAlign w:val="center"/>
            <w:hideMark/>
          </w:tcPr>
          <w:p w14:paraId="2163E5F6" w14:textId="15632B88" w:rsidR="00F02A6E" w:rsidRPr="00F02A6E" w:rsidRDefault="00F02A6E" w:rsidP="00150632">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Gao et al </w:t>
            </w:r>
            <w:r w:rsidR="008B493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{"citationItems":[{"id":"ITEM-1","itemData":{"DOI":"10.1016/j.rmed.2020.106026","ISBN":"1532-3064\r0954-6111","PMID":"32513410","abstract":"BACKGROUND: An ongoing outbreak of coronavirus disease 2019 (COVID-19) has spread around the world. It is debatable whether asymptomatic COVID-19 virus carriers are contagious. We report here a case of the asymptomatic patient and present clinical characteristics of 455 contacts, which aims to study the infectivity of asymptomatic carriers. MATERIAL AND METHODS: 455 contacts who were exposed to the asymptomatic COVID-19 virus carrier became the subjects of our research. They were divided into three groups: 35 patients, 196 family members and 224 hospital staffs. We extracted their epidemiological information, clinical records, auxiliary examination results and therapeutic schedules. RESULTS: The median contact time for patients was four days and that for family members was five days. Cardiovascular disease accounted for 25% among original diseases of patients. Apart from hospital staffs, both patients and family members were isolated medically. During the quarantine, seven patients plus one family member appeared new respiratory symptoms, where fever was the most common one. The blood counts in most contacts were within a normal range. All CT images showed no sign of COVID-19 infection. No severe acute respiratory syndrome coronavirus 2 (SARS-CoV-2) infections was detected in 455 contacts by nucleic acid test. CONCLUSION: In summary, all the 455 contacts were excluded from SARS-CoV-2 infection and we conclude that the infectivity of some asymptomatic SARS-CoV-2 carriers might be weak.","author":[{"dropping-particle":"","family":"Gao","given":"Ming","non-dropping-particle":"","parse-names":false,"suffix":""},{"dropping-particle":"","family":"Yang","given":"Lihui","non-dropping-particle":"","parse-names":false,"suffix":""},{"dropping-particle":"","family":"Chen","given":"Xuefu","non-dropping-particle":"","parse-names":false,"suffix":""},{"dropping-particle":"","family":"Deng","given":"Yiyu","non-dropping-particle":"","parse-names":false,"suffix":""},{"dropping-particle":"","family":"Yang","given":"Shifang","non-dropping-particle":"","parse-names":false,"suffix":""},{"dropping-particle":"","family":"Xu","given":"Hanyi","non-dropping-particle":"","parse-names":false,"suffix":""},{"dropping-particle":"","family":"Chen","given":"Zixing","non-dropping-particle":"","parse-names":false,"suffix":""},{"dropping-particle":"","family":"Gao","given":"Xinglin","non-dropping-particle":"","parse-names":false,"suffix":""}],"container-title":"Respiratory medicine","edition":"2020/05/13","id":"ITEM-1","issued":{"date-parts":[["2020"]]},"language":"eng","note":"32513410[pmid]\nPMC7219423[pmcid]\nS0954-6111(20)30166-9[PII]","page":"106026","publisher":"Elsevier Ltd.","title":"A study on infectivity of asymptomatic SARS-CoV-2 carriers","type":"article-journal","volume":"169"},"uris":["http://www.mendeley.com/documents/?uuid=7ee5cfd8-56e8-431e-ae52-6fede0bc6c6c"]}],"mendeley":{"formattedCitation":"[70]","plainTextFormattedCitation":"[70]","previouslyFormattedCitation":"[72]"},"properties":{"noteIndex":0},"schema":"https://github.com/citation-style-language/schema/raw/master/csl-citation.json"}</w:instrText>
            </w:r>
            <w:r w:rsidR="008B493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[70]</w:t>
            </w:r>
            <w:r w:rsidR="008B4937">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nil"/>
              <w:right w:val="nil"/>
            </w:tcBorders>
            <w:shd w:val="clear" w:color="000000" w:fill="FFFFFF"/>
            <w:noWrap/>
            <w:vAlign w:val="center"/>
            <w:hideMark/>
          </w:tcPr>
          <w:p w14:paraId="1079D361"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proofErr w:type="spellStart"/>
            <w:r w:rsidRPr="00F02A6E">
              <w:rPr>
                <w:rFonts w:ascii="Calibri" w:eastAsia="Times New Roman" w:hAnsi="Calibri" w:cs="Calibri"/>
                <w:color w:val="000000"/>
                <w:sz w:val="18"/>
                <w:szCs w:val="18"/>
                <w:lang w:eastAsia="en-GB"/>
              </w:rPr>
              <w:t>Guandong</w:t>
            </w:r>
            <w:proofErr w:type="spellEnd"/>
          </w:p>
        </w:tc>
        <w:tc>
          <w:tcPr>
            <w:tcW w:w="1070" w:type="dxa"/>
            <w:tcBorders>
              <w:top w:val="single" w:sz="8" w:space="0" w:color="auto"/>
              <w:left w:val="nil"/>
              <w:bottom w:val="nil"/>
              <w:right w:val="nil"/>
            </w:tcBorders>
            <w:shd w:val="clear" w:color="000000" w:fill="FFFFFF"/>
            <w:noWrap/>
            <w:vAlign w:val="center"/>
            <w:hideMark/>
          </w:tcPr>
          <w:p w14:paraId="2CAEEEE1"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China</w:t>
            </w:r>
          </w:p>
        </w:tc>
        <w:tc>
          <w:tcPr>
            <w:tcW w:w="2330" w:type="dxa"/>
            <w:tcBorders>
              <w:top w:val="single" w:sz="8" w:space="0" w:color="auto"/>
              <w:left w:val="nil"/>
              <w:bottom w:val="nil"/>
              <w:right w:val="nil"/>
            </w:tcBorders>
            <w:shd w:val="clear" w:color="000000" w:fill="FFFFFF"/>
            <w:vAlign w:val="center"/>
            <w:hideMark/>
          </w:tcPr>
          <w:p w14:paraId="4E0F01E2"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Contact investigation</w:t>
            </w:r>
          </w:p>
        </w:tc>
        <w:tc>
          <w:tcPr>
            <w:tcW w:w="2975" w:type="dxa"/>
            <w:tcBorders>
              <w:top w:val="nil"/>
              <w:left w:val="nil"/>
              <w:bottom w:val="single" w:sz="8" w:space="0" w:color="auto"/>
              <w:right w:val="nil"/>
            </w:tcBorders>
            <w:shd w:val="clear" w:color="000000" w:fill="FFFFFF"/>
            <w:vAlign w:val="center"/>
            <w:hideMark/>
          </w:tcPr>
          <w:p w14:paraId="30C8144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Patients exposed to the case</w:t>
            </w:r>
          </w:p>
        </w:tc>
        <w:tc>
          <w:tcPr>
            <w:tcW w:w="1276" w:type="dxa"/>
            <w:tcBorders>
              <w:top w:val="nil"/>
              <w:left w:val="nil"/>
              <w:bottom w:val="single" w:sz="8" w:space="0" w:color="auto"/>
              <w:right w:val="nil"/>
            </w:tcBorders>
            <w:shd w:val="clear" w:color="000000" w:fill="FFFFFF"/>
            <w:vAlign w:val="center"/>
            <w:hideMark/>
          </w:tcPr>
          <w:p w14:paraId="06BE5464"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4EB83214"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0B661A7C"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vAlign w:val="center"/>
            <w:hideMark/>
          </w:tcPr>
          <w:p w14:paraId="6712CC21"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35</w:t>
            </w:r>
          </w:p>
        </w:tc>
        <w:tc>
          <w:tcPr>
            <w:tcW w:w="992" w:type="dxa"/>
            <w:tcBorders>
              <w:top w:val="nil"/>
              <w:left w:val="nil"/>
              <w:bottom w:val="single" w:sz="8" w:space="0" w:color="auto"/>
              <w:right w:val="nil"/>
            </w:tcBorders>
            <w:shd w:val="clear" w:color="000000" w:fill="FFFFFF"/>
            <w:vAlign w:val="center"/>
            <w:hideMark/>
          </w:tcPr>
          <w:p w14:paraId="572DF9F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35</w:t>
            </w:r>
          </w:p>
        </w:tc>
        <w:tc>
          <w:tcPr>
            <w:tcW w:w="996" w:type="dxa"/>
            <w:tcBorders>
              <w:top w:val="nil"/>
              <w:left w:val="nil"/>
              <w:bottom w:val="single" w:sz="8" w:space="0" w:color="auto"/>
              <w:right w:val="nil"/>
            </w:tcBorders>
            <w:shd w:val="clear" w:color="000000" w:fill="FFFFFF"/>
            <w:vAlign w:val="center"/>
            <w:hideMark/>
          </w:tcPr>
          <w:p w14:paraId="19DB226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2BD1B70D" w14:textId="77777777" w:rsidTr="00CB478C">
        <w:trPr>
          <w:trHeight w:val="404"/>
        </w:trPr>
        <w:tc>
          <w:tcPr>
            <w:tcW w:w="993" w:type="dxa"/>
            <w:tcBorders>
              <w:top w:val="nil"/>
              <w:left w:val="nil"/>
              <w:bottom w:val="single" w:sz="8" w:space="0" w:color="auto"/>
              <w:right w:val="nil"/>
            </w:tcBorders>
            <w:vAlign w:val="center"/>
          </w:tcPr>
          <w:p w14:paraId="5C100B61"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091033D0" w14:textId="40AA3069" w:rsidR="00F02A6E" w:rsidRPr="00F02A6E" w:rsidRDefault="00F02A6E" w:rsidP="00B802CE">
            <w:pPr>
              <w:spacing w:after="0" w:line="240" w:lineRule="auto"/>
              <w:jc w:val="right"/>
              <w:rPr>
                <w:rFonts w:ascii="Calibri" w:eastAsia="Times New Roman" w:hAnsi="Calibri" w:cs="Calibri"/>
                <w:color w:val="000000"/>
                <w:sz w:val="18"/>
                <w:szCs w:val="18"/>
                <w:lang w:eastAsia="en-GB"/>
              </w:rPr>
            </w:pPr>
          </w:p>
        </w:tc>
        <w:tc>
          <w:tcPr>
            <w:tcW w:w="1129" w:type="dxa"/>
            <w:tcBorders>
              <w:top w:val="nil"/>
              <w:left w:val="nil"/>
              <w:bottom w:val="single" w:sz="8" w:space="0" w:color="auto"/>
              <w:right w:val="nil"/>
            </w:tcBorders>
            <w:shd w:val="clear" w:color="000000" w:fill="FFFFFF"/>
            <w:vAlign w:val="center"/>
            <w:hideMark/>
          </w:tcPr>
          <w:p w14:paraId="4DA07613"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070" w:type="dxa"/>
            <w:tcBorders>
              <w:top w:val="nil"/>
              <w:left w:val="nil"/>
              <w:bottom w:val="single" w:sz="8" w:space="0" w:color="auto"/>
              <w:right w:val="nil"/>
            </w:tcBorders>
            <w:shd w:val="clear" w:color="000000" w:fill="FFFFFF"/>
            <w:vAlign w:val="center"/>
            <w:hideMark/>
          </w:tcPr>
          <w:p w14:paraId="1FDE83A2"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330" w:type="dxa"/>
            <w:tcBorders>
              <w:top w:val="nil"/>
              <w:left w:val="nil"/>
              <w:bottom w:val="single" w:sz="8" w:space="0" w:color="auto"/>
              <w:right w:val="nil"/>
            </w:tcBorders>
            <w:shd w:val="clear" w:color="000000" w:fill="FFFFFF"/>
            <w:vAlign w:val="center"/>
            <w:hideMark/>
          </w:tcPr>
          <w:p w14:paraId="366C915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975" w:type="dxa"/>
            <w:tcBorders>
              <w:top w:val="nil"/>
              <w:left w:val="nil"/>
              <w:bottom w:val="single" w:sz="8" w:space="0" w:color="auto"/>
              <w:right w:val="nil"/>
            </w:tcBorders>
            <w:shd w:val="clear" w:color="000000" w:fill="FFFFFF"/>
            <w:vAlign w:val="center"/>
            <w:hideMark/>
          </w:tcPr>
          <w:p w14:paraId="7E10152F"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Healthcare personnel exposed to the case</w:t>
            </w:r>
          </w:p>
        </w:tc>
        <w:tc>
          <w:tcPr>
            <w:tcW w:w="1276" w:type="dxa"/>
            <w:tcBorders>
              <w:top w:val="nil"/>
              <w:left w:val="nil"/>
              <w:bottom w:val="single" w:sz="8" w:space="0" w:color="auto"/>
              <w:right w:val="nil"/>
            </w:tcBorders>
            <w:shd w:val="clear" w:color="000000" w:fill="FFFFFF"/>
            <w:vAlign w:val="center"/>
            <w:hideMark/>
          </w:tcPr>
          <w:p w14:paraId="4A09ABD4"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7011B250"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71F2A02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vAlign w:val="center"/>
            <w:hideMark/>
          </w:tcPr>
          <w:p w14:paraId="03F699AA"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224</w:t>
            </w:r>
          </w:p>
        </w:tc>
        <w:tc>
          <w:tcPr>
            <w:tcW w:w="992" w:type="dxa"/>
            <w:tcBorders>
              <w:top w:val="nil"/>
              <w:left w:val="nil"/>
              <w:bottom w:val="single" w:sz="8" w:space="0" w:color="auto"/>
              <w:right w:val="nil"/>
            </w:tcBorders>
            <w:shd w:val="clear" w:color="000000" w:fill="FFFFFF"/>
            <w:vAlign w:val="center"/>
            <w:hideMark/>
          </w:tcPr>
          <w:p w14:paraId="2671C9BA"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224</w:t>
            </w:r>
          </w:p>
        </w:tc>
        <w:tc>
          <w:tcPr>
            <w:tcW w:w="996" w:type="dxa"/>
            <w:tcBorders>
              <w:top w:val="nil"/>
              <w:left w:val="nil"/>
              <w:bottom w:val="single" w:sz="8" w:space="0" w:color="auto"/>
              <w:right w:val="nil"/>
            </w:tcBorders>
            <w:shd w:val="clear" w:color="000000" w:fill="FFFFFF"/>
            <w:vAlign w:val="center"/>
            <w:hideMark/>
          </w:tcPr>
          <w:p w14:paraId="7654BC8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593D6462" w14:textId="77777777" w:rsidTr="00CB478C">
        <w:trPr>
          <w:trHeight w:val="738"/>
        </w:trPr>
        <w:tc>
          <w:tcPr>
            <w:tcW w:w="993" w:type="dxa"/>
            <w:tcBorders>
              <w:top w:val="single" w:sz="8" w:space="0" w:color="auto"/>
              <w:left w:val="nil"/>
              <w:bottom w:val="single" w:sz="8" w:space="0" w:color="auto"/>
              <w:right w:val="nil"/>
            </w:tcBorders>
            <w:vAlign w:val="center"/>
          </w:tcPr>
          <w:p w14:paraId="769107DE"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single" w:sz="8" w:space="0" w:color="auto"/>
              <w:right w:val="nil"/>
            </w:tcBorders>
            <w:shd w:val="clear" w:color="auto" w:fill="auto"/>
            <w:noWrap/>
            <w:vAlign w:val="center"/>
            <w:hideMark/>
          </w:tcPr>
          <w:p w14:paraId="27683B20" w14:textId="694A63A7" w:rsidR="00F02A6E" w:rsidRPr="00F02A6E" w:rsidRDefault="00F02A6E" w:rsidP="00B802CE">
            <w:pPr>
              <w:spacing w:after="0" w:line="240" w:lineRule="auto"/>
              <w:rPr>
                <w:rFonts w:ascii="Calibri" w:eastAsia="Times New Roman" w:hAnsi="Calibri" w:cs="Calibri"/>
                <w:color w:val="000000"/>
                <w:sz w:val="18"/>
                <w:szCs w:val="18"/>
                <w:lang w:eastAsia="en-GB"/>
              </w:rPr>
            </w:pPr>
            <w:proofErr w:type="spellStart"/>
            <w:r w:rsidRPr="00F02A6E">
              <w:rPr>
                <w:rFonts w:ascii="Calibri" w:eastAsia="Times New Roman" w:hAnsi="Calibri" w:cs="Calibri"/>
                <w:color w:val="000000"/>
                <w:sz w:val="18"/>
                <w:szCs w:val="18"/>
                <w:lang w:eastAsia="en-GB"/>
              </w:rPr>
              <w:t>Ghinai</w:t>
            </w:r>
            <w:proofErr w:type="spellEnd"/>
            <w:r w:rsidRPr="00F02A6E">
              <w:rPr>
                <w:rFonts w:ascii="Calibri" w:eastAsia="Times New Roman" w:hAnsi="Calibri" w:cs="Calibri"/>
                <w:color w:val="000000"/>
                <w:sz w:val="18"/>
                <w:szCs w:val="18"/>
                <w:lang w:eastAsia="en-GB"/>
              </w:rPr>
              <w:t xml:space="preserve"> et al </w:t>
            </w:r>
            <w:r w:rsidR="008B493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s0140-6736(20)30607-3","ISBN":"0140-6736","PMID":"32178768","author":[{"dropping-particle":"","family":"Ghinai","given":"Isaac","non-dropping-particle":"","parse-names":false,"suffix":""},{"dropping-particle":"","family":"McPherson","given":"Tristan D","non-dropping-particle":"","parse-names":false,"suffix":""},{"dropping-particle":"","family":"Hunter","given":"Jennifer C","non-dropping-particle":"","parse-names":false,"suffix":""},{"dropping-particle":"","family":"Kirking","given":"Hannah L","non-dropping-particle":"","parse-names":false,"suffix":""},{"dropping-particle":"","family":"Christiansen","given":"Demian","non-dropping-particle":"","parse-names":false,"suffix":""},{"dropping-particle":"","family":"Joshi","given":"Kiran","non-dropping-particle":"","parse-names":false,"suffix":""},{"dropping-particle":"","family":"Rubin","given":"Rachel","non-dropping-particle":"","parse-names":false,"suffix":""},{"dropping-particle":"","family":"Morales-Estrada","given":"Shirley","non-dropping-particle":"","parse-names":false,"suffix":""},{"dropping-particle":"","family":"Black","given":"Stephanie R","non-dropping-particle":"","parse-names":false,"suffix":""},{"dropping-particle":"","family":"Pacilli","given":"Massimo","non-dropping-particle":"","parse-names":false,"suffix":""},{"dropping-particle":"","family":"Fricchione","given":"Marielle J","non-dropping-particle":"","parse-names":false,"suffix":""},{"dropping-particle":"","family":"Chugh","given":"Rashmi K","non-dropping-particle":"","parse-names":false,"suffix":""},{"dropping-particle":"","family":"Walblay","given":"Kelly A","non-dropping-particle":"","parse-names":false,"suffix":""},{"dropping-particle":"","family":"Ahmed","given":"N Seema","non-dropping-particle":"","parse-names":false,"suffix":""},{"dropping-particle":"","family":"Stoecker","given":"William C","non-dropping-particle":"","parse-names":false,"suffix":""},{"dropping-particle":"","family":"Hasan","given":"Nausheen F","non-dropping-particle":"","parse-names":false,"suffix":""},{"dropping-particle":"","family":"Burdsall","given":"Deborah P","non-dropping-particle":"","parse-names":false,"suffix":""},{"dropping-particle":"","family":"Reese","given":"Heather E","non-dropping-particle":"","parse-names":false,"suffix":""},{"dropping-particle":"","family":"Wallace","given":"Megan","non-dropping-particle":"","parse-names":false,"suffix":""},{"dropping-particle":"","family":"Wang","given":"Chen","non-dropping-particle":"","parse-names":false,"suffix":""},{"dropping-particle":"","family":"Moeller","given":"Darcie","non-dropping-particle":"","parse-names":false,"suffix":""},{"dropping-particle":"","family":"Korpics","given":"Jacqueline","non-dropping-particle":"","parse-names":false,"suffix":""},{"dropping-particle":"","family":"Novosad","given":"Shannon A","non-dropping-particle":"","parse-names":false,"suffix":""},{"dropping-particle":"","family":"Benowitz","given":"Isaac","non-dropping-particle":"","parse-names":false,"suffix":""},{"dropping-particle":"","family":"Jacobs","given":"Max W","non-dropping-particle":"","parse-names":false,"suffix":""},{"dropping-particle":"","family":"Dasari","given":"Vishal S","non-dropping-particle":"","parse-names":false,"suffix":""},{"dropping-particle":"","family":"Patel","given":"Megan T","non-dropping-particle":"","parse-names":false,"suffix":""},{"dropping-particle":"","family":"Kauerauf","given":"Judy","non-dropping-particle":"","parse-names":false,"suffix":""},{"dropping-particle":"","family":"Charles","given":"E Matt","non-dropping-particle":"","parse-names":false,"suffix":""},{"dropping-particle":"","family":"Ezike","given":"Ngozi O","non-dropping-particle":"","parse-names":false,"suffix":""},{"dropping-particle":"","family":"Chu","given":"Victoria","non-dropping-particle":"","parse-names":false,"suffix":""},{"dropping-particle":"","family":"Midgley","given":"Claire M","non-dropping-particle":"","parse-names":false,"suffix":""},{"dropping-particle":"","family":"Rolfes","given":"Melissa A","non-dropping-particle":"","parse-names":false,"suffix":""},{"dropping-particle":"","family":"Gerber","given":"Susan I","non-dropping-particle":"","parse-names":false,"suffix":""},{"dropping-particle":"","family":"Lu","given":"Xiaoyan","non-dropping-particle":"","parse-names":false,"suffix":""},{"dropping-particle":"","family":"Lindstrom","given":"Stephen","non-dropping-particle":"","parse-names":false,"suffix":""},{"dropping-particle":"","family":"Verani","given":"Jennifer R","non-dropping-particle":"","parse-names":false,"suffix":""},{"dropping-particle":"","family":"Layden","given":"Jennifer E","non-dropping-particle":"","parse-names":false,"suffix":""},{"dropping-particle":"","family":"Illinois","given":"Covid-Investigation Team","non-dropping-particle":"","parse-names":false,"suffix":""}],"container-title":"Lancet (London, England)","id":"ITEM-1","issue":"10230","issued":{"date-parts":[["2020"]]},"language":"eng","page":"1137-1144","title":"First known person-to-person transmission of severe acute respiratory syndrome coronavirus 2 (SARS-CoV-2) in the USA","type":"article-journal","volume":"395"},"uris":["http://www.mendeley.com/documents/?uuid=2a124e0a-d956-450f-8218-0c35d6f8d5e0"]}],"mendeley":{"formattedCitation":"[71]","plainTextFormattedCitation":"[71]","previouslyFormattedCitation":"[73]"},"properties":{"noteIndex":0},"schema":"https://github.com/citation-style-language/schema/raw/master/csl-citation.json"}</w:instrText>
            </w:r>
            <w:r w:rsidR="008B493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[71]</w:t>
            </w:r>
            <w:r w:rsidR="008B4937">
              <w:rPr>
                <w:rFonts w:ascii="Calibri" w:eastAsia="Times New Roman" w:hAnsi="Calibri" w:cs="Calibri"/>
                <w:color w:val="000000"/>
                <w:sz w:val="18"/>
                <w:szCs w:val="18"/>
                <w:lang w:eastAsia="en-GB"/>
              </w:rPr>
              <w:fldChar w:fldCharType="end"/>
            </w:r>
          </w:p>
        </w:tc>
        <w:tc>
          <w:tcPr>
            <w:tcW w:w="1129" w:type="dxa"/>
            <w:tcBorders>
              <w:top w:val="nil"/>
              <w:left w:val="nil"/>
              <w:bottom w:val="single" w:sz="8" w:space="0" w:color="auto"/>
              <w:right w:val="nil"/>
            </w:tcBorders>
            <w:shd w:val="clear" w:color="000000" w:fill="FFFFFF"/>
            <w:vAlign w:val="center"/>
            <w:hideMark/>
          </w:tcPr>
          <w:p w14:paraId="64B10673"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Chicago</w:t>
            </w:r>
          </w:p>
        </w:tc>
        <w:tc>
          <w:tcPr>
            <w:tcW w:w="1070" w:type="dxa"/>
            <w:tcBorders>
              <w:top w:val="nil"/>
              <w:left w:val="nil"/>
              <w:bottom w:val="single" w:sz="8" w:space="0" w:color="auto"/>
              <w:right w:val="nil"/>
            </w:tcBorders>
            <w:shd w:val="clear" w:color="000000" w:fill="FFFFFF"/>
            <w:vAlign w:val="center"/>
            <w:hideMark/>
          </w:tcPr>
          <w:p w14:paraId="76516315"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USA</w:t>
            </w:r>
          </w:p>
        </w:tc>
        <w:tc>
          <w:tcPr>
            <w:tcW w:w="2330" w:type="dxa"/>
            <w:tcBorders>
              <w:top w:val="nil"/>
              <w:left w:val="nil"/>
              <w:bottom w:val="single" w:sz="8" w:space="0" w:color="auto"/>
              <w:right w:val="nil"/>
            </w:tcBorders>
            <w:shd w:val="clear" w:color="000000" w:fill="FFFFFF"/>
            <w:vAlign w:val="center"/>
            <w:hideMark/>
          </w:tcPr>
          <w:p w14:paraId="2B531FC1"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Contact investigation</w:t>
            </w:r>
          </w:p>
        </w:tc>
        <w:tc>
          <w:tcPr>
            <w:tcW w:w="2975" w:type="dxa"/>
            <w:tcBorders>
              <w:top w:val="nil"/>
              <w:left w:val="nil"/>
              <w:bottom w:val="single" w:sz="8" w:space="0" w:color="auto"/>
              <w:right w:val="nil"/>
            </w:tcBorders>
            <w:shd w:val="clear" w:color="000000" w:fill="FFFFFF"/>
            <w:vAlign w:val="center"/>
            <w:hideMark/>
          </w:tcPr>
          <w:p w14:paraId="2EF60429"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exposed to the patient during hospitalisation and transport to the hospital</w:t>
            </w:r>
          </w:p>
        </w:tc>
        <w:tc>
          <w:tcPr>
            <w:tcW w:w="1276" w:type="dxa"/>
            <w:tcBorders>
              <w:top w:val="nil"/>
              <w:left w:val="nil"/>
              <w:bottom w:val="single" w:sz="8" w:space="0" w:color="auto"/>
              <w:right w:val="nil"/>
            </w:tcBorders>
            <w:shd w:val="clear" w:color="000000" w:fill="FFFFFF"/>
            <w:vAlign w:val="center"/>
            <w:hideMark/>
          </w:tcPr>
          <w:p w14:paraId="2F0A5297"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 and subset</w:t>
            </w:r>
          </w:p>
        </w:tc>
        <w:tc>
          <w:tcPr>
            <w:tcW w:w="1134" w:type="dxa"/>
            <w:tcBorders>
              <w:top w:val="nil"/>
              <w:left w:val="nil"/>
              <w:bottom w:val="single" w:sz="8" w:space="0" w:color="auto"/>
              <w:right w:val="nil"/>
            </w:tcBorders>
            <w:shd w:val="clear" w:color="000000" w:fill="FFFFFF"/>
            <w:vAlign w:val="center"/>
            <w:hideMark/>
          </w:tcPr>
          <w:p w14:paraId="3A0F3F73"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7601FB63"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w:t>
            </w:r>
          </w:p>
        </w:tc>
        <w:tc>
          <w:tcPr>
            <w:tcW w:w="976" w:type="dxa"/>
            <w:tcBorders>
              <w:top w:val="nil"/>
              <w:left w:val="nil"/>
              <w:bottom w:val="single" w:sz="8" w:space="0" w:color="auto"/>
              <w:right w:val="nil"/>
            </w:tcBorders>
            <w:shd w:val="clear" w:color="000000" w:fill="FFFFFF"/>
            <w:noWrap/>
            <w:vAlign w:val="center"/>
            <w:hideMark/>
          </w:tcPr>
          <w:p w14:paraId="4515F24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195</w:t>
            </w:r>
          </w:p>
        </w:tc>
        <w:tc>
          <w:tcPr>
            <w:tcW w:w="992" w:type="dxa"/>
            <w:tcBorders>
              <w:top w:val="nil"/>
              <w:left w:val="nil"/>
              <w:bottom w:val="single" w:sz="8" w:space="0" w:color="auto"/>
              <w:right w:val="nil"/>
            </w:tcBorders>
            <w:shd w:val="clear" w:color="000000" w:fill="FFFFFF"/>
            <w:noWrap/>
            <w:vAlign w:val="center"/>
            <w:hideMark/>
          </w:tcPr>
          <w:p w14:paraId="75FCB4F4"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64</w:t>
            </w:r>
          </w:p>
        </w:tc>
        <w:tc>
          <w:tcPr>
            <w:tcW w:w="996" w:type="dxa"/>
            <w:tcBorders>
              <w:top w:val="nil"/>
              <w:left w:val="nil"/>
              <w:bottom w:val="single" w:sz="8" w:space="0" w:color="auto"/>
              <w:right w:val="nil"/>
            </w:tcBorders>
            <w:shd w:val="clear" w:color="000000" w:fill="FFFFFF"/>
            <w:noWrap/>
            <w:vAlign w:val="center"/>
            <w:hideMark/>
          </w:tcPr>
          <w:p w14:paraId="7AB6FE0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726AC6AE" w14:textId="77777777" w:rsidTr="00CB478C">
        <w:trPr>
          <w:trHeight w:val="692"/>
        </w:trPr>
        <w:tc>
          <w:tcPr>
            <w:tcW w:w="993" w:type="dxa"/>
            <w:tcBorders>
              <w:top w:val="nil"/>
              <w:left w:val="nil"/>
              <w:bottom w:val="single" w:sz="8" w:space="0" w:color="auto"/>
              <w:right w:val="nil"/>
            </w:tcBorders>
            <w:vAlign w:val="center"/>
          </w:tcPr>
          <w:p w14:paraId="02947627"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2340E2D6" w14:textId="144D4ED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Hara et al</w:t>
            </w:r>
            <w:r w:rsidR="008B4937">
              <w:rPr>
                <w:rFonts w:ascii="Calibri" w:eastAsia="Times New Roman" w:hAnsi="Calibri" w:cs="Calibri"/>
                <w:color w:val="000000"/>
                <w:sz w:val="18"/>
                <w:szCs w:val="18"/>
                <w:lang w:eastAsia="en-GB"/>
              </w:rPr>
              <w:t xml:space="preserve"> </w:t>
            </w:r>
            <w:r w:rsidR="008B493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{"citationItems":[{"id":"ITEM-1","itemData":{"DOI":"10.1002/jmv.25853","ISBN":"1096-9071\r0146-6615","PMID":"32320062","abstract":"The coronavirus disease (COVID-19) first emerged in Wuhan, China, in December 2019 and rapidly infected a large number of individuals, and disease clusters have spread worldwide. A case of presumably nosocomial COVID-19 was detected in the gastroenterological ward; however, appropriate precautions against contact and droplet prevented a subsequent infection cluster. This article is protected by copyright. All rights reserved.","author":[{"dropping-particle":"","family":"Hara","given":"Tasuku","non-dropping-particle":"","parse-names":false,"suffix":""},{"dropping-particle":"","family":"Yamamoto","given":"Chie","non-dropping-particle":"","parse-names":false,"suffix":""},{"dropping-particle":"","family":"Sawada","given":"Ryo","non-dropping-particle":"","parse-names":false,"suffix":""},{"dropping-particle":"","family":"Ohara","given":"Tomoya","non-dropping-particle":"","parse-names":false,"suffix":""},{"dropping-particle":"","family":"Oka","given":"Kohei","non-dropping-particle":"","parse-names":false,"suffix":""},{"dropping-particle":"","family":"Iwai","given":"Naoto","non-dropping-particle":"","parse-names":false,"suffix":""},{"dropping-particle":"","family":"Inada","given":"Yutaka","non-dropping-particle":"","parse-names":false,"suffix":""},{"dropping-particle":"","family":"Tsuji","given":"Toshifumi","non-dropping-particle":"","parse-names":false,"suffix":""},{"dropping-particle":"","family":"Okuda","given":"Takashi","non-dropping-particle":"","parse-names":false,"suffix":""},{"dropping-particle":"","family":"Komaki","given":"Toshiyuki","non-dropping-particle":"","parse-names":false,"suffix":""},{"dropping-particle":"","family":"Kagawa","given":"Keizo","non-dropping-particle":"","parse-names":false,"suffix":""}],"container-title":"Journal of medical virology","id":"ITEM-1","issued":{"date-parts":[["2020"]]},"language":"eng","note":"32320062[pmid]\nPMC7264652[pmcid]","page":"10.1002/jmv.25853","publisher":"John Wiley and Sons Inc.","title":"Infection risk in a gastroenterological ward during a nosocomial COVID-19 infection event","type":"article-journal"},"uris":["http://www.mendeley.com/documents/?uuid=be5848ea-f0bd-416f-a1d0-14cd5ba1f3ee"]}],"mendeley":{"formattedCitation":"[72]","plainTextFormattedCitation":"[72]","previouslyFormattedCitation":"[74]"},"properties":{"noteIndex":0},"schema":"https://github.com/citation-style-language/schema/raw/master/csl-citation.json"}</w:instrText>
            </w:r>
            <w:r w:rsidR="008B493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[72]</w:t>
            </w:r>
            <w:r w:rsidR="008B4937">
              <w:rPr>
                <w:rFonts w:ascii="Calibri" w:eastAsia="Times New Roman" w:hAnsi="Calibri" w:cs="Calibri"/>
                <w:color w:val="000000"/>
                <w:sz w:val="18"/>
                <w:szCs w:val="18"/>
                <w:lang w:eastAsia="en-GB"/>
              </w:rPr>
              <w:fldChar w:fldCharType="end"/>
            </w:r>
          </w:p>
        </w:tc>
        <w:tc>
          <w:tcPr>
            <w:tcW w:w="1129" w:type="dxa"/>
            <w:tcBorders>
              <w:top w:val="nil"/>
              <w:left w:val="nil"/>
              <w:bottom w:val="single" w:sz="8" w:space="0" w:color="auto"/>
              <w:right w:val="nil"/>
            </w:tcBorders>
            <w:shd w:val="clear" w:color="000000" w:fill="FFFFFF"/>
            <w:vAlign w:val="center"/>
            <w:hideMark/>
          </w:tcPr>
          <w:p w14:paraId="0B4B006A"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Kyoto</w:t>
            </w:r>
          </w:p>
        </w:tc>
        <w:tc>
          <w:tcPr>
            <w:tcW w:w="1070" w:type="dxa"/>
            <w:tcBorders>
              <w:top w:val="nil"/>
              <w:left w:val="nil"/>
              <w:bottom w:val="single" w:sz="8" w:space="0" w:color="auto"/>
              <w:right w:val="nil"/>
            </w:tcBorders>
            <w:shd w:val="clear" w:color="000000" w:fill="FFFFFF"/>
            <w:vAlign w:val="center"/>
            <w:hideMark/>
          </w:tcPr>
          <w:p w14:paraId="575B9FB9"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Japan</w:t>
            </w:r>
          </w:p>
        </w:tc>
        <w:tc>
          <w:tcPr>
            <w:tcW w:w="2330" w:type="dxa"/>
            <w:tcBorders>
              <w:top w:val="nil"/>
              <w:left w:val="nil"/>
              <w:bottom w:val="single" w:sz="8" w:space="0" w:color="auto"/>
              <w:right w:val="nil"/>
            </w:tcBorders>
            <w:shd w:val="clear" w:color="000000" w:fill="FFFFFF"/>
            <w:vAlign w:val="center"/>
            <w:hideMark/>
          </w:tcPr>
          <w:p w14:paraId="710B6567"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auto" w:fill="auto"/>
            <w:vAlign w:val="center"/>
            <w:hideMark/>
          </w:tcPr>
          <w:p w14:paraId="5D3E2185"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Patients who were on the ward at the time the HCW index case was working</w:t>
            </w:r>
          </w:p>
        </w:tc>
        <w:tc>
          <w:tcPr>
            <w:tcW w:w="1276" w:type="dxa"/>
            <w:tcBorders>
              <w:top w:val="nil"/>
              <w:left w:val="nil"/>
              <w:bottom w:val="single" w:sz="8" w:space="0" w:color="auto"/>
              <w:right w:val="nil"/>
            </w:tcBorders>
            <w:shd w:val="clear" w:color="000000" w:fill="FFFFFF"/>
            <w:vAlign w:val="center"/>
            <w:hideMark/>
          </w:tcPr>
          <w:p w14:paraId="3398C3F5"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06A26347"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1EC7430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noWrap/>
            <w:vAlign w:val="center"/>
            <w:hideMark/>
          </w:tcPr>
          <w:p w14:paraId="5D635223"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87</w:t>
            </w:r>
          </w:p>
        </w:tc>
        <w:tc>
          <w:tcPr>
            <w:tcW w:w="992" w:type="dxa"/>
            <w:tcBorders>
              <w:top w:val="nil"/>
              <w:left w:val="nil"/>
              <w:bottom w:val="single" w:sz="8" w:space="0" w:color="auto"/>
              <w:right w:val="nil"/>
            </w:tcBorders>
            <w:shd w:val="clear" w:color="000000" w:fill="FFFFFF"/>
            <w:noWrap/>
            <w:vAlign w:val="center"/>
            <w:hideMark/>
          </w:tcPr>
          <w:p w14:paraId="4652E673"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87</w:t>
            </w:r>
          </w:p>
        </w:tc>
        <w:tc>
          <w:tcPr>
            <w:tcW w:w="996" w:type="dxa"/>
            <w:tcBorders>
              <w:top w:val="nil"/>
              <w:left w:val="nil"/>
              <w:bottom w:val="single" w:sz="8" w:space="0" w:color="auto"/>
              <w:right w:val="nil"/>
            </w:tcBorders>
            <w:shd w:val="clear" w:color="000000" w:fill="FFFFFF"/>
            <w:noWrap/>
            <w:vAlign w:val="center"/>
            <w:hideMark/>
          </w:tcPr>
          <w:p w14:paraId="755FAC8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r>
      <w:tr w:rsidR="000F13C3" w:rsidRPr="00F6420B" w14:paraId="51719F10" w14:textId="77777777" w:rsidTr="00CB478C">
        <w:trPr>
          <w:trHeight w:val="774"/>
        </w:trPr>
        <w:tc>
          <w:tcPr>
            <w:tcW w:w="993" w:type="dxa"/>
            <w:tcBorders>
              <w:top w:val="nil"/>
              <w:left w:val="nil"/>
              <w:bottom w:val="single" w:sz="8" w:space="0" w:color="auto"/>
              <w:right w:val="nil"/>
            </w:tcBorders>
            <w:vAlign w:val="center"/>
          </w:tcPr>
          <w:p w14:paraId="73371646"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0554E2FF" w14:textId="7FF36D06" w:rsidR="00F02A6E" w:rsidRPr="00F02A6E" w:rsidRDefault="00F02A6E" w:rsidP="00B802CE">
            <w:pPr>
              <w:spacing w:after="0" w:line="240" w:lineRule="auto"/>
              <w:rPr>
                <w:rFonts w:ascii="Calibri" w:eastAsia="Times New Roman" w:hAnsi="Calibri" w:cs="Calibri"/>
                <w:color w:val="000000"/>
                <w:sz w:val="18"/>
                <w:szCs w:val="18"/>
                <w:lang w:eastAsia="en-GB"/>
              </w:rPr>
            </w:pPr>
            <w:proofErr w:type="spellStart"/>
            <w:r w:rsidRPr="00F02A6E">
              <w:rPr>
                <w:rFonts w:ascii="Calibri" w:eastAsia="Times New Roman" w:hAnsi="Calibri" w:cs="Calibri"/>
                <w:color w:val="000000"/>
                <w:sz w:val="18"/>
                <w:szCs w:val="18"/>
                <w:lang w:eastAsia="en-GB"/>
              </w:rPr>
              <w:t>Heinzerling</w:t>
            </w:r>
            <w:proofErr w:type="spellEnd"/>
            <w:r w:rsidRPr="00F02A6E">
              <w:rPr>
                <w:rFonts w:ascii="Calibri" w:eastAsia="Times New Roman" w:hAnsi="Calibri" w:cs="Calibri"/>
                <w:color w:val="000000"/>
                <w:sz w:val="18"/>
                <w:szCs w:val="18"/>
                <w:lang w:eastAsia="en-GB"/>
              </w:rPr>
              <w:t xml:space="preserve"> et al </w:t>
            </w:r>
            <w:r w:rsidR="008B493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{"citationItems":[{"id":"ITEM-1","itemData":{"DOI":"10.15585/mmwr.mm6915e5","ISBN":"0149-2195","PMID":"32298249","abstract":"On February 26, 2020, the first U.S. case of community-acquired coronavirus disease 2019 (COVID-19) was confirmed in a patient hospitalized in Solano County, California (1). The patient was initially evaluated at hospital A on February 15; at that time, COVID-19 was not suspected, as the patient denied travel or contact with symptomatic persons. During a 4-day hospitalization, the patient was managed with standard precautions and underwent multiple aerosol-generating procedures (AGPs), including nebulizer treatments, bilevel positive airway pressure (BiPAP) ventilation, endotracheal intubation, and bronchoscopy. Several days after the patient's transfer to hospital B, a real-time reverse transcription-polymerase chain reaction (real-time RT-PCR) test for SARS-CoV-2 returned positive. Among 121 hospital A health care personnel (HCP) who were exposed to the patient, 43 (35.5%) developed symptoms during the 14 days after exposure and were tested for SARS-CoV-2; three had positive test results and were among the first known cases of probable occupational transmission of SARS-CoV-2 to HCP in the United States. Little is known about specific risk factors for SARS-CoV-2 transmission in health care settings. To better characterize and compare exposures among HCP who did and did not develop COVID-19, standardized interviews were conducted with 37 hospital A HCP who were tested for SARS-CoV-2, including the three who had positive test results. Performing physical examinations and exposure to the patient during nebulizer treatments were more common among HCP with laboratory-confirmed COVID-19 than among those without COVID-19; HCP with COVID-19 also had exposures of longer duration to the patient. Because transmission-based precautions were not in use, no HCP wore personal protective equipment (PPE) recommended for COVID-19 patient care during contact with the index patient. Health care facilities should emphasize early recognition and isolation of patients with possible COVID-19 and use of recommended PPE to minimize unprotected, high-risk HCP exposures and protect the health care workforce.","author":[{"dropping-particle":"","family":"Heinzerling","given":"A","non-dropping-particle":"","parse-names":false,"suffix":""},{"dropping-particle":"","family":"Stuckey","given":"M J","non-dropping-particle":"","parse-names":false,"suffix":""},{"dropping-particle":"","family":"Scheuer","given":"T","non-dropping-particle":"","parse-names":false,"suffix":""},{"dropping-particle":"","family":"Xu","given":"K","non-dropping-particle":"","parse-names":false,"suffix":""},{"dropping-particle":"","family":"Perkins","given":"K M","non-dropping-particle":"","parse-names":false,"suffix":""},{"dropping-particle":"","family":"Resseger","given":"H","non-dropping-particle":"","parse-names":false,"suffix":""},{"dropping-particle":"","family":"Magill","given":"S","non-dropping-particle":"","parse-names":false,"suffix":""},{"dropping-particle":"","family":"Verani","given":"J R","non-dropping-particle":"","parse-names":false,"suffix":""},{"dropping-particle":"","family":"Jain","given":"S","non-dropping-particle":"","parse-names":false,"suffix":""},{"dropping-particle":"","family":"Acosta","given":"M","non-dropping-particle":"","parse-names":false,"suffix":""},{"dropping-particle":"","family":"Epson","given":"E","non-dropping-particle":"","parse-names":false,"suffix":""}],"container-title":"MMWR Morb Mortal Wkly Rep","edition":"2020/04/17","id":"ITEM-1","issue":"15","issued":{"date-parts":[["2020"]]},"language":"eng","note":"1545-861x\nHeinzerling, Amy\nStuckey, Matthew J\nScheuer, Tara\nXu, Kerui\nPerkins, Kiran M\nResseger, Heather\nMagill, Shelley\nVerani, Jennifer R\nJain, Seema\nAcosta, Meileen\nEpson, Erin\nJournal Article\nUnited States\nMMWR Morb Mortal Wkly Rep. 2020 Apr 17;69(15):472-476. doi: 10.15585/mmwr.mm6915e5.","page":"472-476","title":"Transmission of COVID-19 to Health Care Personnel During Exposures to a Hospitalized Patient - Solano County, California, February 2020","type":"article-journal","volume":"69"},"uris":["http://www.mendeley.com/documents/?uuid=fa6e00ad-e8af-46cd-8729-4f5104e8b416"]}],"mendeley":{"formattedCitation":"[73]","plainTextFormattedCitation":"[73]","previouslyFormattedCitation":"[75]"},"properties":{"noteIndex":0},"schema":"https://github.com/citation-style-language/schema/raw/master/csl-citation.json"}</w:instrText>
            </w:r>
            <w:r w:rsidR="008B493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[73]</w:t>
            </w:r>
            <w:r w:rsidR="008B4937">
              <w:rPr>
                <w:rFonts w:ascii="Calibri" w:eastAsia="Times New Roman" w:hAnsi="Calibri" w:cs="Calibri"/>
                <w:color w:val="000000"/>
                <w:sz w:val="18"/>
                <w:szCs w:val="18"/>
                <w:lang w:eastAsia="en-GB"/>
              </w:rPr>
              <w:fldChar w:fldCharType="end"/>
            </w:r>
          </w:p>
        </w:tc>
        <w:tc>
          <w:tcPr>
            <w:tcW w:w="1129" w:type="dxa"/>
            <w:tcBorders>
              <w:top w:val="nil"/>
              <w:left w:val="nil"/>
              <w:bottom w:val="single" w:sz="8" w:space="0" w:color="auto"/>
              <w:right w:val="nil"/>
            </w:tcBorders>
            <w:shd w:val="clear" w:color="000000" w:fill="FFFFFF"/>
            <w:vAlign w:val="center"/>
            <w:hideMark/>
          </w:tcPr>
          <w:p w14:paraId="249505C3"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California</w:t>
            </w:r>
          </w:p>
        </w:tc>
        <w:tc>
          <w:tcPr>
            <w:tcW w:w="1070" w:type="dxa"/>
            <w:tcBorders>
              <w:top w:val="nil"/>
              <w:left w:val="nil"/>
              <w:bottom w:val="single" w:sz="8" w:space="0" w:color="auto"/>
              <w:right w:val="nil"/>
            </w:tcBorders>
            <w:shd w:val="clear" w:color="000000" w:fill="FFFFFF"/>
            <w:vAlign w:val="center"/>
            <w:hideMark/>
          </w:tcPr>
          <w:p w14:paraId="040ADB5E"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USA</w:t>
            </w:r>
          </w:p>
        </w:tc>
        <w:tc>
          <w:tcPr>
            <w:tcW w:w="2330" w:type="dxa"/>
            <w:tcBorders>
              <w:top w:val="nil"/>
              <w:left w:val="nil"/>
              <w:bottom w:val="single" w:sz="8" w:space="0" w:color="auto"/>
              <w:right w:val="nil"/>
            </w:tcBorders>
            <w:shd w:val="clear" w:color="000000" w:fill="FFFFFF"/>
            <w:vAlign w:val="center"/>
            <w:hideMark/>
          </w:tcPr>
          <w:p w14:paraId="2F8E4A3D"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000000" w:fill="FFFFFF"/>
            <w:vAlign w:val="center"/>
            <w:hideMark/>
          </w:tcPr>
          <w:p w14:paraId="00C2DCA2"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Healthcare personnel exposed to an index patient identified through medical record review</w:t>
            </w:r>
          </w:p>
        </w:tc>
        <w:tc>
          <w:tcPr>
            <w:tcW w:w="1276" w:type="dxa"/>
            <w:tcBorders>
              <w:top w:val="nil"/>
              <w:left w:val="nil"/>
              <w:bottom w:val="single" w:sz="8" w:space="0" w:color="auto"/>
              <w:right w:val="nil"/>
            </w:tcBorders>
            <w:shd w:val="clear" w:color="auto" w:fill="auto"/>
            <w:noWrap/>
            <w:vAlign w:val="center"/>
            <w:hideMark/>
          </w:tcPr>
          <w:p w14:paraId="4E96D77E"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w:t>
            </w:r>
          </w:p>
        </w:tc>
        <w:tc>
          <w:tcPr>
            <w:tcW w:w="1134" w:type="dxa"/>
            <w:tcBorders>
              <w:top w:val="nil"/>
              <w:left w:val="nil"/>
              <w:bottom w:val="single" w:sz="8" w:space="0" w:color="auto"/>
              <w:right w:val="nil"/>
            </w:tcBorders>
            <w:shd w:val="clear" w:color="000000" w:fill="FFFFFF"/>
            <w:vAlign w:val="center"/>
            <w:hideMark/>
          </w:tcPr>
          <w:p w14:paraId="0BD5CFCC"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24918DF1"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vAlign w:val="center"/>
            <w:hideMark/>
          </w:tcPr>
          <w:p w14:paraId="7EFF1F4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121</w:t>
            </w:r>
          </w:p>
        </w:tc>
        <w:tc>
          <w:tcPr>
            <w:tcW w:w="992" w:type="dxa"/>
            <w:tcBorders>
              <w:top w:val="nil"/>
              <w:left w:val="nil"/>
              <w:bottom w:val="single" w:sz="8" w:space="0" w:color="auto"/>
              <w:right w:val="nil"/>
            </w:tcBorders>
            <w:shd w:val="clear" w:color="000000" w:fill="FFFFFF"/>
            <w:vAlign w:val="center"/>
            <w:hideMark/>
          </w:tcPr>
          <w:p w14:paraId="1C60DB7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43</w:t>
            </w:r>
          </w:p>
        </w:tc>
        <w:tc>
          <w:tcPr>
            <w:tcW w:w="996" w:type="dxa"/>
            <w:tcBorders>
              <w:top w:val="nil"/>
              <w:left w:val="nil"/>
              <w:bottom w:val="single" w:sz="8" w:space="0" w:color="auto"/>
              <w:right w:val="nil"/>
            </w:tcBorders>
            <w:shd w:val="clear" w:color="000000" w:fill="FFFFFF"/>
            <w:vAlign w:val="center"/>
            <w:hideMark/>
          </w:tcPr>
          <w:p w14:paraId="4AD1107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3</w:t>
            </w:r>
          </w:p>
        </w:tc>
      </w:tr>
      <w:tr w:rsidR="000F13C3" w:rsidRPr="00F6420B" w14:paraId="6777D4FC" w14:textId="77777777" w:rsidTr="00CB478C">
        <w:trPr>
          <w:trHeight w:val="544"/>
        </w:trPr>
        <w:tc>
          <w:tcPr>
            <w:tcW w:w="993" w:type="dxa"/>
            <w:tcBorders>
              <w:top w:val="single" w:sz="8" w:space="0" w:color="auto"/>
              <w:left w:val="nil"/>
              <w:bottom w:val="nil"/>
              <w:right w:val="nil"/>
            </w:tcBorders>
            <w:vAlign w:val="center"/>
          </w:tcPr>
          <w:p w14:paraId="07CA8C58"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nil"/>
              <w:right w:val="nil"/>
            </w:tcBorders>
            <w:shd w:val="clear" w:color="auto" w:fill="auto"/>
            <w:vAlign w:val="center"/>
            <w:hideMark/>
          </w:tcPr>
          <w:p w14:paraId="0EF00FFE" w14:textId="00F195E3"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Korea CDC </w:t>
            </w:r>
            <w:r w:rsidR="00776771">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{"citationItems":[{"id":"ITEM-1","itemData":{"DOI":"10.24171/j.phrp.2020.11.2.04","ISBN":"2210-9099 (Print)\r2210-9099","PMID":"32257773","abstract":"Between January 24(th) and March 10(th), a total of 2,370 individuals had contact with the first 30 cases of COVID-19. There were 13 individuals who contracted COVID-19 resulting in a secondary attack rate of 0.55% (95% CI 0.31-0.96). There were 119 household contacts, of which 9 individuals developed COVID-19 resulting in a secondary attack rate of 7.56% (95% CI 3.7-14.26).","author":[{"dropping-particle":"","family":"COVID-19 National Emergency Response Center  Korea Centers for Disease Control and Prevention,","given":"Epidemiology and Case Management Team","non-dropping-particle":"","parse-names":false,"suffix":""}],"container-title":"Osong Public Health Res Perspect","edition":"2020/04/08","id":"ITEM-1","issue":"2","issued":{"date-parts":[["2020"]]},"language":"eng","note":"2233-6052\nCOVID-19 National Emergency Response Center, Epidemiology and Case Management Team, Korea Centers for Disease Control and Prevention\nJournal Article\nOsong Public Health Res Perspect. 2020 Apr;11(2):81-84. doi: 10.24171/j.phrp.2020.11.2.04.","page":"81-84","title":"Coronavirus Disease-19: Summary of 2,370 Contact Investigations of the First 30 Cases in the Republic of Korea","type":"article-journal","volume":"11"},"uris":["http://www.mendeley.com/documents/?uuid=7e11d7e5-4ee6-4a74-82e9-c3a7a4ea4dba"]}],"mendeley":{"formattedCitation":"[74]","plainTextFormattedCitation":"[74]","previouslyFormattedCitation":"[76]"},"properties":{"noteIndex":0},"schema":"https://github.com/citation-style-language/schema/raw/master/csl-citation.json"}</w:instrText>
            </w:r>
            <w:r w:rsidR="00776771">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[74]</w:t>
            </w:r>
            <w:r w:rsidR="00776771">
              <w:rPr>
                <w:rFonts w:ascii="Calibri" w:eastAsia="Times New Roman" w:hAnsi="Calibri" w:cs="Calibri"/>
                <w:color w:val="000000"/>
                <w:sz w:val="18"/>
                <w:szCs w:val="18"/>
                <w:lang w:eastAsia="en-GB"/>
              </w:rPr>
              <w:fldChar w:fldCharType="end"/>
            </w:r>
          </w:p>
        </w:tc>
        <w:tc>
          <w:tcPr>
            <w:tcW w:w="1129" w:type="dxa"/>
            <w:tcBorders>
              <w:top w:val="single" w:sz="8" w:space="0" w:color="auto"/>
              <w:left w:val="nil"/>
              <w:right w:val="nil"/>
            </w:tcBorders>
            <w:shd w:val="clear" w:color="000000" w:fill="FFFFFF"/>
            <w:vAlign w:val="center"/>
            <w:hideMark/>
          </w:tcPr>
          <w:p w14:paraId="2AA23B52"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Not specified</w:t>
            </w:r>
          </w:p>
        </w:tc>
        <w:tc>
          <w:tcPr>
            <w:tcW w:w="1070" w:type="dxa"/>
            <w:tcBorders>
              <w:top w:val="single" w:sz="8" w:space="0" w:color="auto"/>
              <w:left w:val="nil"/>
              <w:right w:val="nil"/>
            </w:tcBorders>
            <w:shd w:val="clear" w:color="000000" w:fill="FFFFFF"/>
            <w:vAlign w:val="center"/>
            <w:hideMark/>
          </w:tcPr>
          <w:p w14:paraId="2CCA8D89"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South Korea </w:t>
            </w:r>
          </w:p>
        </w:tc>
        <w:tc>
          <w:tcPr>
            <w:tcW w:w="2330" w:type="dxa"/>
            <w:tcBorders>
              <w:top w:val="single" w:sz="8" w:space="0" w:color="auto"/>
              <w:left w:val="nil"/>
              <w:right w:val="nil"/>
            </w:tcBorders>
            <w:shd w:val="clear" w:color="000000" w:fill="FFFFFF"/>
            <w:vAlign w:val="center"/>
            <w:hideMark/>
          </w:tcPr>
          <w:p w14:paraId="71A484F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Surveillance and contact tracing</w:t>
            </w:r>
          </w:p>
        </w:tc>
        <w:tc>
          <w:tcPr>
            <w:tcW w:w="2975" w:type="dxa"/>
            <w:tcBorders>
              <w:top w:val="single" w:sz="8" w:space="0" w:color="auto"/>
              <w:left w:val="nil"/>
              <w:bottom w:val="single" w:sz="8" w:space="0" w:color="auto"/>
              <w:right w:val="nil"/>
            </w:tcBorders>
            <w:shd w:val="clear" w:color="000000" w:fill="FFFFFF"/>
            <w:vAlign w:val="center"/>
            <w:hideMark/>
          </w:tcPr>
          <w:p w14:paraId="4F8D69B8"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Healthcare personnel exposed to an index patient </w:t>
            </w:r>
          </w:p>
        </w:tc>
        <w:tc>
          <w:tcPr>
            <w:tcW w:w="1276" w:type="dxa"/>
            <w:tcBorders>
              <w:top w:val="single" w:sz="8" w:space="0" w:color="auto"/>
              <w:left w:val="nil"/>
              <w:bottom w:val="single" w:sz="8" w:space="0" w:color="auto"/>
              <w:right w:val="nil"/>
            </w:tcBorders>
            <w:shd w:val="clear" w:color="auto" w:fill="auto"/>
            <w:noWrap/>
            <w:vAlign w:val="center"/>
            <w:hideMark/>
          </w:tcPr>
          <w:p w14:paraId="7F1D9307"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w:t>
            </w:r>
          </w:p>
        </w:tc>
        <w:tc>
          <w:tcPr>
            <w:tcW w:w="1134" w:type="dxa"/>
            <w:tcBorders>
              <w:top w:val="single" w:sz="8" w:space="0" w:color="auto"/>
              <w:left w:val="nil"/>
              <w:bottom w:val="single" w:sz="8" w:space="0" w:color="auto"/>
              <w:right w:val="nil"/>
            </w:tcBorders>
            <w:shd w:val="clear" w:color="000000" w:fill="FFFFFF"/>
            <w:vAlign w:val="center"/>
            <w:hideMark/>
          </w:tcPr>
          <w:p w14:paraId="2C9E75EB"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vAlign w:val="center"/>
            <w:hideMark/>
          </w:tcPr>
          <w:p w14:paraId="561E944F"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30</w:t>
            </w:r>
          </w:p>
        </w:tc>
        <w:tc>
          <w:tcPr>
            <w:tcW w:w="976" w:type="dxa"/>
            <w:tcBorders>
              <w:top w:val="single" w:sz="8" w:space="0" w:color="auto"/>
              <w:left w:val="nil"/>
              <w:bottom w:val="single" w:sz="8" w:space="0" w:color="auto"/>
              <w:right w:val="nil"/>
            </w:tcBorders>
            <w:shd w:val="clear" w:color="000000" w:fill="FFFFFF"/>
            <w:noWrap/>
            <w:vAlign w:val="center"/>
            <w:hideMark/>
          </w:tcPr>
          <w:p w14:paraId="6E2C6FAA"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233</w:t>
            </w:r>
          </w:p>
        </w:tc>
        <w:tc>
          <w:tcPr>
            <w:tcW w:w="992" w:type="dxa"/>
            <w:tcBorders>
              <w:top w:val="single" w:sz="8" w:space="0" w:color="auto"/>
              <w:left w:val="nil"/>
              <w:bottom w:val="single" w:sz="8" w:space="0" w:color="auto"/>
              <w:right w:val="nil"/>
            </w:tcBorders>
            <w:shd w:val="clear" w:color="000000" w:fill="FFFFFF"/>
            <w:noWrap/>
            <w:vAlign w:val="center"/>
            <w:hideMark/>
          </w:tcPr>
          <w:p w14:paraId="39C4CC36"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unclear</w:t>
            </w:r>
          </w:p>
        </w:tc>
        <w:tc>
          <w:tcPr>
            <w:tcW w:w="996" w:type="dxa"/>
            <w:tcBorders>
              <w:top w:val="single" w:sz="8" w:space="0" w:color="auto"/>
              <w:left w:val="nil"/>
              <w:bottom w:val="single" w:sz="8" w:space="0" w:color="auto"/>
              <w:right w:val="nil"/>
            </w:tcBorders>
            <w:shd w:val="clear" w:color="000000" w:fill="FFFFFF"/>
            <w:noWrap/>
            <w:vAlign w:val="center"/>
            <w:hideMark/>
          </w:tcPr>
          <w:p w14:paraId="4DDB0C6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4058F490" w14:textId="77777777" w:rsidTr="00CB478C">
        <w:trPr>
          <w:trHeight w:val="424"/>
        </w:trPr>
        <w:tc>
          <w:tcPr>
            <w:tcW w:w="993" w:type="dxa"/>
            <w:tcBorders>
              <w:top w:val="nil"/>
              <w:left w:val="nil"/>
              <w:bottom w:val="single" w:sz="8" w:space="0" w:color="auto"/>
              <w:right w:val="nil"/>
            </w:tcBorders>
            <w:vAlign w:val="center"/>
          </w:tcPr>
          <w:p w14:paraId="0E4CF170"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7B32B444" w14:textId="5EE18F8D"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129" w:type="dxa"/>
            <w:tcBorders>
              <w:left w:val="nil"/>
              <w:bottom w:val="single" w:sz="8" w:space="0" w:color="auto"/>
              <w:right w:val="nil"/>
            </w:tcBorders>
            <w:shd w:val="clear" w:color="000000" w:fill="FFFFFF"/>
            <w:vAlign w:val="center"/>
            <w:hideMark/>
          </w:tcPr>
          <w:p w14:paraId="633A840B"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070" w:type="dxa"/>
            <w:tcBorders>
              <w:left w:val="nil"/>
              <w:bottom w:val="single" w:sz="8" w:space="0" w:color="auto"/>
              <w:right w:val="nil"/>
            </w:tcBorders>
            <w:shd w:val="clear" w:color="auto" w:fill="auto"/>
            <w:vAlign w:val="center"/>
            <w:hideMark/>
          </w:tcPr>
          <w:p w14:paraId="56E89733"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330" w:type="dxa"/>
            <w:tcBorders>
              <w:left w:val="nil"/>
              <w:bottom w:val="single" w:sz="8" w:space="0" w:color="auto"/>
              <w:right w:val="nil"/>
            </w:tcBorders>
            <w:shd w:val="clear" w:color="000000" w:fill="FFFFFF"/>
            <w:vAlign w:val="center"/>
            <w:hideMark/>
          </w:tcPr>
          <w:p w14:paraId="33FD6D60"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975" w:type="dxa"/>
            <w:tcBorders>
              <w:top w:val="nil"/>
              <w:left w:val="nil"/>
              <w:bottom w:val="single" w:sz="8" w:space="0" w:color="auto"/>
              <w:right w:val="nil"/>
            </w:tcBorders>
            <w:shd w:val="clear" w:color="000000" w:fill="FFFFFF"/>
            <w:vAlign w:val="center"/>
            <w:hideMark/>
          </w:tcPr>
          <w:p w14:paraId="1C59BA4B"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Patients exposed to an index patient </w:t>
            </w:r>
          </w:p>
        </w:tc>
        <w:tc>
          <w:tcPr>
            <w:tcW w:w="1276" w:type="dxa"/>
            <w:tcBorders>
              <w:top w:val="nil"/>
              <w:left w:val="nil"/>
              <w:bottom w:val="single" w:sz="8" w:space="0" w:color="auto"/>
              <w:right w:val="nil"/>
            </w:tcBorders>
            <w:shd w:val="clear" w:color="auto" w:fill="auto"/>
            <w:noWrap/>
            <w:vAlign w:val="center"/>
            <w:hideMark/>
          </w:tcPr>
          <w:p w14:paraId="394C8E7C"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w:t>
            </w:r>
          </w:p>
        </w:tc>
        <w:tc>
          <w:tcPr>
            <w:tcW w:w="1134" w:type="dxa"/>
            <w:tcBorders>
              <w:top w:val="nil"/>
              <w:left w:val="nil"/>
              <w:bottom w:val="single" w:sz="8" w:space="0" w:color="auto"/>
              <w:right w:val="nil"/>
            </w:tcBorders>
            <w:shd w:val="clear" w:color="000000" w:fill="FFFFFF"/>
            <w:vAlign w:val="center"/>
            <w:hideMark/>
          </w:tcPr>
          <w:p w14:paraId="49031093"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159FB5F7"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30</w:t>
            </w:r>
          </w:p>
        </w:tc>
        <w:tc>
          <w:tcPr>
            <w:tcW w:w="976" w:type="dxa"/>
            <w:tcBorders>
              <w:top w:val="nil"/>
              <w:left w:val="nil"/>
              <w:bottom w:val="single" w:sz="8" w:space="0" w:color="auto"/>
              <w:right w:val="nil"/>
            </w:tcBorders>
            <w:shd w:val="clear" w:color="000000" w:fill="FFFFFF"/>
            <w:noWrap/>
            <w:vAlign w:val="center"/>
            <w:hideMark/>
          </w:tcPr>
          <w:p w14:paraId="2B14810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169</w:t>
            </w:r>
          </w:p>
        </w:tc>
        <w:tc>
          <w:tcPr>
            <w:tcW w:w="992" w:type="dxa"/>
            <w:tcBorders>
              <w:top w:val="nil"/>
              <w:left w:val="nil"/>
              <w:bottom w:val="single" w:sz="8" w:space="0" w:color="auto"/>
              <w:right w:val="nil"/>
            </w:tcBorders>
            <w:shd w:val="clear" w:color="000000" w:fill="FFFFFF"/>
            <w:noWrap/>
            <w:vAlign w:val="center"/>
            <w:hideMark/>
          </w:tcPr>
          <w:p w14:paraId="4CA78BAA"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unclear</w:t>
            </w:r>
          </w:p>
        </w:tc>
        <w:tc>
          <w:tcPr>
            <w:tcW w:w="996" w:type="dxa"/>
            <w:tcBorders>
              <w:top w:val="nil"/>
              <w:left w:val="nil"/>
              <w:bottom w:val="single" w:sz="8" w:space="0" w:color="auto"/>
              <w:right w:val="nil"/>
            </w:tcBorders>
            <w:shd w:val="clear" w:color="000000" w:fill="FFFFFF"/>
            <w:noWrap/>
            <w:vAlign w:val="center"/>
            <w:hideMark/>
          </w:tcPr>
          <w:p w14:paraId="52A5DE96"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r>
      <w:tr w:rsidR="000F13C3" w:rsidRPr="00F6420B" w14:paraId="35658688" w14:textId="77777777" w:rsidTr="00023ABF">
        <w:trPr>
          <w:trHeight w:val="544"/>
        </w:trPr>
        <w:tc>
          <w:tcPr>
            <w:tcW w:w="993" w:type="dxa"/>
            <w:tcBorders>
              <w:top w:val="nil"/>
              <w:left w:val="nil"/>
              <w:bottom w:val="single" w:sz="8" w:space="0" w:color="auto"/>
              <w:right w:val="nil"/>
            </w:tcBorders>
            <w:vAlign w:val="center"/>
          </w:tcPr>
          <w:p w14:paraId="3530F55E"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tcPr>
          <w:p w14:paraId="45538C54" w14:textId="7F5FC96D" w:rsidR="00F02A6E" w:rsidRPr="00F02A6E" w:rsidRDefault="00F02A6E" w:rsidP="00B802CE">
            <w:pPr>
              <w:spacing w:after="0" w:line="240" w:lineRule="auto"/>
              <w:rPr>
                <w:rFonts w:ascii="Calibri" w:eastAsia="Times New Roman" w:hAnsi="Calibri" w:cs="Calibri"/>
                <w:color w:val="000000"/>
                <w:sz w:val="18"/>
                <w:szCs w:val="18"/>
                <w:lang w:eastAsia="en-GB"/>
              </w:rPr>
            </w:pPr>
            <w:proofErr w:type="spellStart"/>
            <w:r w:rsidRPr="00F02A6E">
              <w:rPr>
                <w:rFonts w:ascii="Calibri" w:eastAsia="Times New Roman" w:hAnsi="Calibri" w:cs="Calibri"/>
                <w:color w:val="000000"/>
                <w:sz w:val="18"/>
                <w:szCs w:val="18"/>
                <w:lang w:eastAsia="en-GB"/>
              </w:rPr>
              <w:t>Laxminaraya</w:t>
            </w:r>
            <w:proofErr w:type="spellEnd"/>
            <w:r w:rsidRPr="00F02A6E">
              <w:rPr>
                <w:rFonts w:ascii="Calibri" w:eastAsia="Times New Roman" w:hAnsi="Calibri" w:cs="Calibri"/>
                <w:color w:val="000000"/>
                <w:sz w:val="18"/>
                <w:szCs w:val="18"/>
                <w:lang w:eastAsia="en-GB"/>
              </w:rPr>
              <w:t xml:space="preserve"> et al </w:t>
            </w:r>
            <w:r w:rsidR="00776771">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ISSN":"0036-8075","author":[{"dropping-particle":"","family":"Laxminarayan","given":"Ramanan","non-dropping-particle":"","parse-names":false,"suffix":""},{"dropping-particle":"","family":"Wahl","given":"Brian","non-dropping-particle":"","parse-names":false,"suffix":""},{"dropping-particle":"","family":"Dudala","given":"Shankar Reddy","non-dropping-particle":"","parse-names":false,"suffix":""},{"dropping-particle":"","family":"Gopal","given":"K","non-dropping-particle":"","parse-names":false,"suffix":""},{"dropping-particle":"","family":"Mohan","given":"Chandra","non-dropping-particle":"","parse-names":false,"suffix":""},{"dropping-particle":"","family":"Neelima","given":"S","non-dropping-particle":"","parse-names":false,"suffix":""},{"dropping-particle":"","family":"Reddy","given":"K S Jawahar","non-dropping-particle":"","parse-names":false,"suffix":""},{"dropping-particle":"","family":"Radhakrishnan","given":"J","non-dropping-particle":"","parse-names":false,"suffix":""},{"dropping-particle":"","family":"Lewnard","given":"Joseph A","non-dropping-particle":"","parse-names":false,"suffix":""}],"container-title":"Science","id":"ITEM-1","issued":{"date-parts":[["2020"]]},"publisher":"American Association for the Advancement of Science","title":"Epidemiology and transmission dynamics of COVID-19 in two Indian states","type":"article-journal"},"uris":["http://www.mendeley.com/documents/?uuid=50bc64e2-786a-4312-9153-40afe2ff1157"]}],"mendeley":{"formattedCitation":"[39]","plainTextFormattedCitation":"[39]","previouslyFormattedCitation":"[41]"},"properties":{"noteIndex":0},"schema":"https://github.com/citation-style-language/schema/raw/master/csl-citation.json"}</w:instrText>
            </w:r>
            <w:r w:rsidR="00776771">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[39]</w:t>
            </w:r>
            <w:r w:rsidR="00776771">
              <w:rPr>
                <w:rFonts w:ascii="Calibri" w:eastAsia="Times New Roman" w:hAnsi="Calibri" w:cs="Calibri"/>
                <w:color w:val="000000"/>
                <w:sz w:val="18"/>
                <w:szCs w:val="18"/>
                <w:lang w:eastAsia="en-GB"/>
              </w:rPr>
              <w:fldChar w:fldCharType="end"/>
            </w:r>
          </w:p>
        </w:tc>
        <w:tc>
          <w:tcPr>
            <w:tcW w:w="1129" w:type="dxa"/>
            <w:tcBorders>
              <w:top w:val="nil"/>
              <w:left w:val="nil"/>
              <w:bottom w:val="single" w:sz="8" w:space="0" w:color="auto"/>
              <w:right w:val="nil"/>
            </w:tcBorders>
            <w:shd w:val="clear" w:color="000000" w:fill="FFFFFF"/>
            <w:vAlign w:val="center"/>
          </w:tcPr>
          <w:p w14:paraId="313B4803" w14:textId="64BB5D7F"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Tamil Nadu and Andhra Pradesh</w:t>
            </w:r>
          </w:p>
        </w:tc>
        <w:tc>
          <w:tcPr>
            <w:tcW w:w="1070" w:type="dxa"/>
            <w:tcBorders>
              <w:top w:val="nil"/>
              <w:left w:val="nil"/>
              <w:bottom w:val="single" w:sz="8" w:space="0" w:color="auto"/>
              <w:right w:val="nil"/>
            </w:tcBorders>
            <w:shd w:val="clear" w:color="000000" w:fill="FFFFFF"/>
            <w:vAlign w:val="center"/>
          </w:tcPr>
          <w:p w14:paraId="4A46583B" w14:textId="51671FB6"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India</w:t>
            </w:r>
          </w:p>
        </w:tc>
        <w:tc>
          <w:tcPr>
            <w:tcW w:w="2330" w:type="dxa"/>
            <w:tcBorders>
              <w:top w:val="nil"/>
              <w:left w:val="nil"/>
              <w:bottom w:val="single" w:sz="8" w:space="0" w:color="auto"/>
              <w:right w:val="nil"/>
            </w:tcBorders>
            <w:shd w:val="clear" w:color="000000" w:fill="FFFFFF"/>
            <w:vAlign w:val="center"/>
          </w:tcPr>
          <w:p w14:paraId="07B3B1AB" w14:textId="01AC189B"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Surveillance and contact tracing </w:t>
            </w:r>
          </w:p>
        </w:tc>
        <w:tc>
          <w:tcPr>
            <w:tcW w:w="2975" w:type="dxa"/>
            <w:tcBorders>
              <w:top w:val="nil"/>
              <w:left w:val="nil"/>
              <w:bottom w:val="single" w:sz="8" w:space="0" w:color="auto"/>
              <w:right w:val="nil"/>
            </w:tcBorders>
            <w:shd w:val="clear" w:color="000000" w:fill="FFFFFF"/>
            <w:vAlign w:val="center"/>
          </w:tcPr>
          <w:p w14:paraId="13B3A59F" w14:textId="05349E31"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Healthcare </w:t>
            </w:r>
          </w:p>
        </w:tc>
        <w:tc>
          <w:tcPr>
            <w:tcW w:w="1276" w:type="dxa"/>
            <w:tcBorders>
              <w:top w:val="nil"/>
              <w:left w:val="nil"/>
              <w:bottom w:val="single" w:sz="8" w:space="0" w:color="auto"/>
              <w:right w:val="nil"/>
            </w:tcBorders>
            <w:shd w:val="clear" w:color="000000" w:fill="FFFFFF"/>
            <w:vAlign w:val="center"/>
          </w:tcPr>
          <w:p w14:paraId="6DE57696" w14:textId="2E918E93"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subset</w:t>
            </w:r>
          </w:p>
        </w:tc>
        <w:tc>
          <w:tcPr>
            <w:tcW w:w="1134" w:type="dxa"/>
            <w:tcBorders>
              <w:top w:val="nil"/>
              <w:left w:val="nil"/>
              <w:bottom w:val="single" w:sz="8" w:space="0" w:color="auto"/>
              <w:right w:val="nil"/>
            </w:tcBorders>
            <w:shd w:val="clear" w:color="000000" w:fill="FFFFFF"/>
            <w:vAlign w:val="center"/>
          </w:tcPr>
          <w:p w14:paraId="170350AE" w14:textId="42EFFC2D"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tcPr>
          <w:p w14:paraId="753AE42C" w14:textId="7A0677FB" w:rsidR="00F02A6E" w:rsidRPr="00F02A6E" w:rsidRDefault="00F02A6E" w:rsidP="00023ABF">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11</w:t>
            </w:r>
          </w:p>
        </w:tc>
        <w:tc>
          <w:tcPr>
            <w:tcW w:w="976" w:type="dxa"/>
            <w:tcBorders>
              <w:top w:val="nil"/>
              <w:left w:val="nil"/>
              <w:bottom w:val="single" w:sz="8" w:space="0" w:color="auto"/>
              <w:right w:val="nil"/>
            </w:tcBorders>
            <w:shd w:val="clear" w:color="000000" w:fill="FFFFFF"/>
            <w:noWrap/>
            <w:vAlign w:val="center"/>
          </w:tcPr>
          <w:p w14:paraId="6F505854" w14:textId="2427CC84"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210</w:t>
            </w:r>
          </w:p>
        </w:tc>
        <w:tc>
          <w:tcPr>
            <w:tcW w:w="992" w:type="dxa"/>
            <w:tcBorders>
              <w:top w:val="nil"/>
              <w:left w:val="nil"/>
              <w:bottom w:val="single" w:sz="8" w:space="0" w:color="auto"/>
              <w:right w:val="nil"/>
            </w:tcBorders>
            <w:shd w:val="clear" w:color="000000" w:fill="FFFFFF"/>
            <w:noWrap/>
            <w:vAlign w:val="center"/>
          </w:tcPr>
          <w:p w14:paraId="78598187" w14:textId="39BA2EFC" w:rsidR="00F02A6E" w:rsidRPr="00F02A6E" w:rsidRDefault="00023ABF" w:rsidP="00B802CE">
            <w:pPr>
              <w:spacing w:after="0" w:line="240" w:lineRule="auto"/>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n</w:t>
            </w:r>
            <w:r w:rsidR="00F02A6E" w:rsidRPr="00F02A6E">
              <w:rPr>
                <w:rFonts w:ascii="Calibri" w:eastAsia="Times New Roman" w:hAnsi="Calibri" w:cs="Calibri"/>
                <w:color w:val="000000"/>
                <w:sz w:val="18"/>
                <w:szCs w:val="18"/>
                <w:lang w:eastAsia="en-GB"/>
              </w:rPr>
              <w:t>ot specified</w:t>
            </w:r>
          </w:p>
        </w:tc>
        <w:tc>
          <w:tcPr>
            <w:tcW w:w="996" w:type="dxa"/>
            <w:tcBorders>
              <w:top w:val="nil"/>
              <w:left w:val="nil"/>
              <w:bottom w:val="single" w:sz="8" w:space="0" w:color="auto"/>
              <w:right w:val="nil"/>
            </w:tcBorders>
            <w:shd w:val="clear" w:color="000000" w:fill="FFFFFF"/>
            <w:noWrap/>
            <w:vAlign w:val="center"/>
          </w:tcPr>
          <w:p w14:paraId="1CCB115B" w14:textId="6535E02D"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w:t>
            </w:r>
          </w:p>
        </w:tc>
      </w:tr>
      <w:tr w:rsidR="000F13C3" w:rsidRPr="00F6420B" w14:paraId="61DD3FAE" w14:textId="77777777" w:rsidTr="00023ABF">
        <w:trPr>
          <w:trHeight w:val="655"/>
        </w:trPr>
        <w:tc>
          <w:tcPr>
            <w:tcW w:w="993" w:type="dxa"/>
            <w:tcBorders>
              <w:top w:val="nil"/>
              <w:left w:val="nil"/>
              <w:bottom w:val="single" w:sz="8" w:space="0" w:color="auto"/>
              <w:right w:val="nil"/>
            </w:tcBorders>
            <w:vAlign w:val="center"/>
          </w:tcPr>
          <w:p w14:paraId="512E6163" w14:textId="3B4B7220" w:rsidR="00F02A6E" w:rsidRPr="00F02A6E" w:rsidRDefault="00EB7300" w:rsidP="00F02A6E">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4</w:t>
            </w:r>
            <w:r w:rsidR="00ED69B5">
              <w:rPr>
                <w:rFonts w:ascii="Calibri" w:eastAsia="Times New Roman" w:hAnsi="Calibri" w:cs="Calibri"/>
                <w:color w:val="000000"/>
                <w:sz w:val="18"/>
                <w:szCs w:val="18"/>
                <w:lang w:eastAsia="en-GB"/>
              </w:rPr>
              <w:t>5</w:t>
            </w:r>
          </w:p>
        </w:tc>
        <w:tc>
          <w:tcPr>
            <w:tcW w:w="1139" w:type="dxa"/>
            <w:tcBorders>
              <w:top w:val="nil"/>
              <w:left w:val="nil"/>
              <w:bottom w:val="single" w:sz="8" w:space="0" w:color="auto"/>
              <w:right w:val="nil"/>
            </w:tcBorders>
            <w:shd w:val="clear" w:color="auto" w:fill="auto"/>
            <w:vAlign w:val="center"/>
          </w:tcPr>
          <w:p w14:paraId="04D0DA3A" w14:textId="23A0DF94"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Liu et al</w:t>
            </w:r>
            <w:r w:rsidR="00DB37A6">
              <w:rPr>
                <w:rFonts w:ascii="Calibri" w:eastAsia="Times New Roman" w:hAnsi="Calibri" w:cs="Calibri"/>
                <w:color w:val="000000"/>
                <w:sz w:val="18"/>
                <w:szCs w:val="18"/>
                <w:lang w:eastAsia="en-GB"/>
              </w:rPr>
              <w:t xml:space="preserve"> </w:t>
            </w:r>
            <w:r w:rsidR="00DB37A6">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{"citationItems":[{"id":"ITEM-1","itemData":{"DOI":"10.1080/22221751.2020.1787799","ISSN":"null","abstract":"ABSTRACT This study aimed to estimate the attack rates, and identify the risk factors of COVID-19 infection. Based on a retrospective cohort study, we investigated 11,580 contacts of COVID-19 cases in Guangdong Province from 10 January to 15 March 2020. All contacts were tested by RT-PCR to detect their infection of SARS-COV-2. Attack rates by characteristics were calculated. Logistic regression was used to estimate the risk factors of infection for COVID-19. A total of 515 of 11,580 contacts were identified to be infected with SARS-COV-2. Compared to young adults aged 20?29 years, the infected risk was higher in children (RR: 2.59, 95%CI: 1.79?3.76), and old people aged 60?69 years (RR: 5.29, 95%CI: 3.76?7.46). Females also had higher infected risk (RR: 1.66, 95%CI: 1.39?2.00). People having close relationship with index cases encountered higher infected risk (RR for spouse: 20.68, 95%CI: 14.28?29.95; RR for non-spouse family members: 9.55, 95%CI: 6.73?13.55; RR for close relatives: 5.90, 95%CI: 4.06?8.59). Moreover, contacts exposed to index case in symptomatic period (RR: 2.15, 95%CI: 1.67?2.79), with critically severe symptoms (RR: 1.61, 95%CI: 1.00?2.57), with symptoms of dizzy (RR: 1.58, 95%CI: 1.08?2.30), myalgia (RR: 1.49, 95%CI: 1.15?1.94), and chill (RR: 1.42, 95%CI: 1.05?1.92) had higher infected risks. Children, old people, females, and family members are susceptible of COVID-19 infection, while index cases in the incubation period had lower contagiousness. Our findings will be helpful for developing targeted prevention and control strategies to combat the worldwide pandemic.","author":[{"dropping-particle":"","family":"Liu","given":"Tao","non-dropping-particle":"","parse-names":false,"suffix":""},{"dropping-particle":"","family":"Liang","given":"Wenjia","non-dropping-particle":"","parse-names":false,"suffix":""},{"dropping-particle":"","family":"Zhong","given":"Haojie","non-dropping-particle":"","parse-names":false,"suffix":""},{"dropping-particle":"","family":"He","given":"Jianfeng","non-dropping-particle":"","parse-names":false,"suffix":""},{"dropping-particle":"","family":"Chen","given":"Zihui","non-dropping-particle":"","parse-names":false,"suffix":""},{"dropping-particle":"","family":"He","given":"Guanhao","non-dropping-particle":"","parse-names":false,"suffix":""},{"dropping-particle":"","family":"Song","given":"Tie","non-dropping-particle":"","parse-names":false,"suffix":""},{"dropping-particle":"","family":"Chen","given":"Shaowei","non-dropping-particle":"","parse-names":false,"suffix":""},{"dropping-particle":"","family":"Wang","given":"Ping","non-dropping-particle":"","parse-names":false,"suffix":""},{"dropping-particle":"","family":"Li","given":"Jialing","non-dropping-particle":"","parse-names":false,"suffix":""},{"dropping-particle":"","family":"Lan","given":"Yunhua","non-dropping-particle":"","parse-names":false,"suffix":""},{"dropping-particle":"","family":"Cheng","given":"Mingji","non-dropping-particle":"","parse-names":false,"suffix":""},{"dropping-particle":"","family":"Huang","given":"Jinxu","non-dropping-particle":"","parse-names":false,"suffix":""},{"dropping-particle":"","family":"Niu","given":"Jiwei","non-dropping-particle":"","parse-names":false,"suffix":""},{"dropping-particle":"","family":"Xia","given":"Liang","non-dropping-particle":"","parse-names":false,"suffix":""},{"dropping-particle":"","family":"Xiao","given":"Jianpeng","non-dropping-particle":"","parse-names":false,"suffix":""},{"dropping-particle":"","family":"Hu","given":"Jianxiong","non-dropping-particle":"","parse-names":false,"suffix":""},{"dropping-particle":"","family":"Lin","given":"Lifeng","non-dropping-particle":"","parse-names":false,"suffix":""},{"dropping-particle":"","family":"Huang","given":"Qiong","non-dropping-particle":"","parse-names":false,"suffix":""},{"dropping-particle":"","family":"Rong","given":"Zuhua","non-dropping-particle":"","parse-names":false,"suffix":""},{"dropping-particle":"","family":"Deng","given":"Aiping","non-dropping-particle":"","parse-names":false,"suffix":""},{"dropping-particle":"","family":"Zeng","given":"Weilin","non-dropping-particle":"","parse-names":false,"suffix":""},{"dropping-particle":"","family":"Li","given":"Jiansen","non-dropping-particle":"","parse-names":false,"suffix":""},{"dropping-particle":"","family":"Li","given":"Xing","non-dropping-particle":"","parse-names":false,"suffix":""},{"dropping-particle":"","family":"Tan","given":"Xiaohua","non-dropping-particle":"","parse-names":false,"suffix":""},{"dropping-particle":"","family":"Kang","given":"Min","non-dropping-particle":"","parse-names":false,"suffix":""},{"dropping-particle":"","family":"Guo","given":"Lingchuan","non-dropping-particle":"","parse-names":false,"suffix":""},{"dropping-particle":"","family":"Zhu","given":"Zhihua","non-dropping-particle":"","parse-names":false,"suffix":""},{"dropping-particle":"","family":"Gong","given":"Dexin","non-dropping-particle":"","parse-names":false,"suffix":""},{"dropping-particle":"","family":"Chen","given":"Guimin","non-dropping-particle":"","parse-names":false,"suffix":""},{"dropping-particle":"","family":"Dong","given":"Moran","non-dropping-particle":"","parse-names":false,"suffix":""},{"dropping-particle":"","family":"Ma","given":"Wenjun","non-dropping-particle":"","parse-names":false,"suffix":""}],"container-title":"Emerging Microbes &amp; Infections","id":"ITEM-1","issue":"1","issued":{"date-parts":[["2020","1","1"]]},"note":"doi: 10.1080/22221751.2020.1787799","page":"1546-1553","publisher":"Taylor &amp; Francis","title":"Risk factors associated with COVID-19 infection: a retrospective cohort study based on contacts tracing","type":"article-journal","volume":"9"},"uris":["http://www.mendeley.com/documents/?uuid=af5b1337-2142-47fe-acea-12f5067889f7"]}],"mendeley":{"formattedCitation":"[75]","plainTextFormattedCitation":"[75]","previouslyFormattedCitation":"[77]"},"properties":{"noteIndex":0},"schema":"https://github.com/citation-style-language/schema/raw/master/csl-citation.json"}</w:instrText>
            </w:r>
            <w:r w:rsidR="00DB37A6">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[75]</w:t>
            </w:r>
            <w:r w:rsidR="00DB37A6">
              <w:rPr>
                <w:rFonts w:ascii="Calibri" w:eastAsia="Times New Roman" w:hAnsi="Calibri" w:cs="Calibri"/>
                <w:color w:val="000000"/>
                <w:sz w:val="18"/>
                <w:szCs w:val="18"/>
                <w:lang w:eastAsia="en-GB"/>
              </w:rPr>
              <w:fldChar w:fldCharType="end"/>
            </w:r>
          </w:p>
        </w:tc>
        <w:tc>
          <w:tcPr>
            <w:tcW w:w="1129" w:type="dxa"/>
            <w:tcBorders>
              <w:top w:val="nil"/>
              <w:left w:val="nil"/>
              <w:bottom w:val="single" w:sz="8" w:space="0" w:color="auto"/>
              <w:right w:val="nil"/>
            </w:tcBorders>
            <w:shd w:val="clear" w:color="000000" w:fill="FFFFFF"/>
            <w:vAlign w:val="center"/>
          </w:tcPr>
          <w:p w14:paraId="5B508F80" w14:textId="7EC5078C"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Guangdong</w:t>
            </w:r>
          </w:p>
        </w:tc>
        <w:tc>
          <w:tcPr>
            <w:tcW w:w="1070" w:type="dxa"/>
            <w:tcBorders>
              <w:top w:val="nil"/>
              <w:left w:val="nil"/>
              <w:bottom w:val="single" w:sz="8" w:space="0" w:color="auto"/>
              <w:right w:val="nil"/>
            </w:tcBorders>
            <w:shd w:val="clear" w:color="000000" w:fill="FFFFFF"/>
            <w:vAlign w:val="center"/>
          </w:tcPr>
          <w:p w14:paraId="3C9E16B0" w14:textId="201D24CF"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China</w:t>
            </w:r>
          </w:p>
        </w:tc>
        <w:tc>
          <w:tcPr>
            <w:tcW w:w="2330" w:type="dxa"/>
            <w:tcBorders>
              <w:top w:val="nil"/>
              <w:left w:val="nil"/>
              <w:bottom w:val="single" w:sz="8" w:space="0" w:color="auto"/>
              <w:right w:val="nil"/>
            </w:tcBorders>
            <w:shd w:val="clear" w:color="000000" w:fill="FFFFFF"/>
            <w:vAlign w:val="center"/>
          </w:tcPr>
          <w:p w14:paraId="17D93B13" w14:textId="1326127E"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Surveillance and contact tracing </w:t>
            </w:r>
          </w:p>
        </w:tc>
        <w:tc>
          <w:tcPr>
            <w:tcW w:w="2975" w:type="dxa"/>
            <w:tcBorders>
              <w:top w:val="nil"/>
              <w:left w:val="nil"/>
              <w:bottom w:val="single" w:sz="8" w:space="0" w:color="auto"/>
              <w:right w:val="nil"/>
            </w:tcBorders>
            <w:shd w:val="clear" w:color="000000" w:fill="FFFFFF"/>
            <w:vAlign w:val="center"/>
          </w:tcPr>
          <w:p w14:paraId="03BC1947" w14:textId="634E470D"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 exposure to SARS-CoV-2 positive patients</w:t>
            </w:r>
          </w:p>
        </w:tc>
        <w:tc>
          <w:tcPr>
            <w:tcW w:w="1276" w:type="dxa"/>
            <w:tcBorders>
              <w:top w:val="nil"/>
              <w:left w:val="nil"/>
              <w:bottom w:val="single" w:sz="8" w:space="0" w:color="auto"/>
              <w:right w:val="nil"/>
            </w:tcBorders>
            <w:shd w:val="clear" w:color="000000" w:fill="FFFFFF"/>
            <w:vAlign w:val="center"/>
          </w:tcPr>
          <w:p w14:paraId="6222764F" w14:textId="639F9D61"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tcPr>
          <w:p w14:paraId="5F219368" w14:textId="27E4E876"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tcPr>
          <w:p w14:paraId="2620ED66" w14:textId="5DE555CE" w:rsidR="00F02A6E" w:rsidRPr="00F02A6E" w:rsidRDefault="00F02A6E" w:rsidP="00023ABF">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1158</w:t>
            </w:r>
          </w:p>
        </w:tc>
        <w:tc>
          <w:tcPr>
            <w:tcW w:w="976" w:type="dxa"/>
            <w:tcBorders>
              <w:top w:val="nil"/>
              <w:left w:val="nil"/>
              <w:bottom w:val="single" w:sz="8" w:space="0" w:color="auto"/>
              <w:right w:val="nil"/>
            </w:tcBorders>
            <w:shd w:val="clear" w:color="000000" w:fill="FFFFFF"/>
            <w:noWrap/>
            <w:vAlign w:val="center"/>
          </w:tcPr>
          <w:p w14:paraId="58403C1E" w14:textId="05612FC9"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573</w:t>
            </w:r>
          </w:p>
        </w:tc>
        <w:tc>
          <w:tcPr>
            <w:tcW w:w="992" w:type="dxa"/>
            <w:tcBorders>
              <w:top w:val="nil"/>
              <w:left w:val="nil"/>
              <w:bottom w:val="single" w:sz="8" w:space="0" w:color="auto"/>
              <w:right w:val="nil"/>
            </w:tcBorders>
            <w:shd w:val="clear" w:color="000000" w:fill="FFFFFF"/>
            <w:noWrap/>
            <w:vAlign w:val="center"/>
          </w:tcPr>
          <w:p w14:paraId="334F317A" w14:textId="58FBBABF"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573</w:t>
            </w:r>
          </w:p>
        </w:tc>
        <w:tc>
          <w:tcPr>
            <w:tcW w:w="996" w:type="dxa"/>
            <w:tcBorders>
              <w:top w:val="nil"/>
              <w:left w:val="nil"/>
              <w:bottom w:val="single" w:sz="8" w:space="0" w:color="auto"/>
              <w:right w:val="nil"/>
            </w:tcBorders>
            <w:shd w:val="clear" w:color="000000" w:fill="FFFFFF"/>
            <w:noWrap/>
            <w:vAlign w:val="center"/>
          </w:tcPr>
          <w:p w14:paraId="0029E25A" w14:textId="5EC00B19"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w:t>
            </w:r>
          </w:p>
        </w:tc>
      </w:tr>
      <w:tr w:rsidR="000F13C3" w:rsidRPr="00F6420B" w14:paraId="11A6C55E" w14:textId="77777777" w:rsidTr="00023ABF">
        <w:trPr>
          <w:trHeight w:val="820"/>
        </w:trPr>
        <w:tc>
          <w:tcPr>
            <w:tcW w:w="993" w:type="dxa"/>
            <w:tcBorders>
              <w:top w:val="nil"/>
              <w:left w:val="nil"/>
              <w:bottom w:val="single" w:sz="8" w:space="0" w:color="auto"/>
              <w:right w:val="nil"/>
            </w:tcBorders>
            <w:vAlign w:val="center"/>
          </w:tcPr>
          <w:p w14:paraId="159509E5" w14:textId="2104BA8F" w:rsidR="00F02A6E" w:rsidRPr="00F02A6E" w:rsidRDefault="00EB7300" w:rsidP="00F02A6E">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4</w:t>
            </w:r>
            <w:r w:rsidR="00ED69B5">
              <w:rPr>
                <w:rFonts w:ascii="Calibri" w:eastAsia="Times New Roman" w:hAnsi="Calibri" w:cs="Calibri"/>
                <w:color w:val="000000"/>
                <w:sz w:val="18"/>
                <w:szCs w:val="18"/>
                <w:lang w:eastAsia="en-GB"/>
              </w:rPr>
              <w:t>6</w:t>
            </w:r>
          </w:p>
        </w:tc>
        <w:tc>
          <w:tcPr>
            <w:tcW w:w="1139" w:type="dxa"/>
            <w:tcBorders>
              <w:top w:val="nil"/>
              <w:left w:val="nil"/>
              <w:bottom w:val="single" w:sz="8" w:space="0" w:color="auto"/>
              <w:right w:val="nil"/>
            </w:tcBorders>
            <w:shd w:val="clear" w:color="auto" w:fill="auto"/>
            <w:vAlign w:val="center"/>
            <w:hideMark/>
          </w:tcPr>
          <w:p w14:paraId="2FAB0A83" w14:textId="76AF3749" w:rsidR="00F02A6E" w:rsidRPr="00F02A6E" w:rsidRDefault="00F02A6E" w:rsidP="00EB7300">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Lombardi et al</w:t>
            </w:r>
            <w:r w:rsidR="00EB7300">
              <w:rPr>
                <w:rFonts w:ascii="Calibri" w:eastAsia="Times New Roman" w:hAnsi="Calibri" w:cs="Calibri"/>
                <w:color w:val="000000"/>
                <w:sz w:val="18"/>
                <w:szCs w:val="18"/>
                <w:lang w:eastAsia="en-GB"/>
              </w:rPr>
              <w:t xml:space="preserve"> </w:t>
            </w:r>
            <w:r w:rsidR="00EB7300">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ISBN":"1198-743X","author":[{"dropping-particle":"","family":"Lombardi","given":"Andrea","non-dropping-particle":"","parse-names":false,"suffix":""},{"dropping-particle":"","family":"Consonni","given":"Dario","non-dropping-particle":"","parse-names":false,"suffix":""},{"dropping-particle":"","family":"Carugno","given":"Michele","non-dropping-particle":"","parse-names":false,"suffix":""},{"dropping-particle":"","family":"Bozzi","given":"Giorgio","non-dropping-particle":"","parse-names":false,"suffix":""},{"dropping-particle":"","family":"Mangioni","given":"Davide","non-dropping-particle":"","parse-names":false,"suffix":""},{"dropping-particle":"","family":"Muscatello","given":"Antonio","non-dropping-particle":"","parse-names":false,"suffix":""},{"dropping-particle":"","family":"Castelli","given":"Valeria","non-dropping-particle":"","parse-names":false,"suffix":""},{"dropping-particle":"","family":"Palomba","given":"Emanuele","non-dropping-particle":"","parse-names":false,"suffix":""},{"dropping-particle":"","family":"Cantu","given":"Anna Paola","non-dropping-particle":"","parse-names":false,"suffix":""},{"dropping-particle":"","family":"Ceriotti","given":"Ferruccio","non-dropping-particle":"","parse-names":false,"suffix":""}],"container-title":"Clinical Microbiology and Infection","id":"ITEM-1","issued":{"date-parts":[["2020"]]},"title":"Characteristics of 1,573 healthcare workers who underwent nasopharyngeal swab for SARS-CoV-2 in Milano, Lombardy, Italy","type":"article-journal"},"uris":["http://www.mendeley.com/documents/?uuid=a80c9113-60dd-481e-8dd1-c6bc357b8f6b"]}],"mendeley":{"formattedCitation":"[76]","plainTextFormattedCitation":"[76]","previouslyFormattedCitation":"[78]"},"properties":{"noteIndex":0},"schema":"https://github.com/citation-style-language/schema/raw/master/csl-citation.json"}</w:instrText>
            </w:r>
            <w:r w:rsidR="00EB7300">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[76]</w:t>
            </w:r>
            <w:r w:rsidR="00EB7300">
              <w:rPr>
                <w:rFonts w:ascii="Calibri" w:eastAsia="Times New Roman" w:hAnsi="Calibri" w:cs="Calibri"/>
                <w:color w:val="000000"/>
                <w:sz w:val="18"/>
                <w:szCs w:val="18"/>
                <w:lang w:eastAsia="en-GB"/>
              </w:rPr>
              <w:fldChar w:fldCharType="end"/>
            </w:r>
          </w:p>
        </w:tc>
        <w:tc>
          <w:tcPr>
            <w:tcW w:w="1129" w:type="dxa"/>
            <w:tcBorders>
              <w:top w:val="nil"/>
              <w:left w:val="nil"/>
              <w:bottom w:val="single" w:sz="8" w:space="0" w:color="auto"/>
              <w:right w:val="nil"/>
            </w:tcBorders>
            <w:shd w:val="clear" w:color="000000" w:fill="FFFFFF"/>
            <w:vAlign w:val="center"/>
            <w:hideMark/>
          </w:tcPr>
          <w:p w14:paraId="4FBF0108" w14:textId="77777777" w:rsidR="00F02A6E" w:rsidRPr="00F02A6E" w:rsidRDefault="00F02A6E" w:rsidP="00EB7300">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Lombardy </w:t>
            </w:r>
          </w:p>
        </w:tc>
        <w:tc>
          <w:tcPr>
            <w:tcW w:w="1070" w:type="dxa"/>
            <w:tcBorders>
              <w:top w:val="nil"/>
              <w:left w:val="nil"/>
              <w:bottom w:val="single" w:sz="8" w:space="0" w:color="auto"/>
              <w:right w:val="nil"/>
            </w:tcBorders>
            <w:shd w:val="clear" w:color="000000" w:fill="FFFFFF"/>
            <w:vAlign w:val="center"/>
            <w:hideMark/>
          </w:tcPr>
          <w:p w14:paraId="6D9767A5" w14:textId="77777777" w:rsidR="00F02A6E" w:rsidRPr="00F02A6E" w:rsidRDefault="00F02A6E" w:rsidP="00EB7300">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Italy </w:t>
            </w:r>
          </w:p>
        </w:tc>
        <w:tc>
          <w:tcPr>
            <w:tcW w:w="2330" w:type="dxa"/>
            <w:tcBorders>
              <w:top w:val="nil"/>
              <w:left w:val="nil"/>
              <w:bottom w:val="single" w:sz="8" w:space="0" w:color="auto"/>
              <w:right w:val="nil"/>
            </w:tcBorders>
            <w:shd w:val="clear" w:color="000000" w:fill="FFFFFF"/>
            <w:vAlign w:val="center"/>
            <w:hideMark/>
          </w:tcPr>
          <w:p w14:paraId="647019AE" w14:textId="77777777" w:rsidR="00F02A6E" w:rsidRPr="00F02A6E" w:rsidRDefault="00F02A6E" w:rsidP="00EB7300">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000000" w:fill="FFFFFF"/>
            <w:vAlign w:val="center"/>
            <w:hideMark/>
          </w:tcPr>
          <w:p w14:paraId="3B96020D"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who had contact with a patient or another HCW with or later diagnosed SARS-CoV-2 infection</w:t>
            </w:r>
          </w:p>
        </w:tc>
        <w:tc>
          <w:tcPr>
            <w:tcW w:w="1276" w:type="dxa"/>
            <w:tcBorders>
              <w:top w:val="nil"/>
              <w:left w:val="nil"/>
              <w:bottom w:val="single" w:sz="8" w:space="0" w:color="auto"/>
              <w:right w:val="nil"/>
            </w:tcBorders>
            <w:shd w:val="clear" w:color="000000" w:fill="FFFFFF"/>
            <w:vAlign w:val="center"/>
            <w:hideMark/>
          </w:tcPr>
          <w:p w14:paraId="04D97E66"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26D2C215"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7E6C6DDA" w14:textId="6564B83B" w:rsidR="00F02A6E" w:rsidRPr="00F02A6E" w:rsidRDefault="00F02A6E" w:rsidP="00023ABF">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not specified</w:t>
            </w:r>
            <w:r w:rsidR="00F51254">
              <w:rPr>
                <w:rFonts w:ascii="Calibri" w:eastAsia="Times New Roman" w:hAnsi="Calibri" w:cs="Calibri"/>
                <w:color w:val="000000"/>
                <w:sz w:val="18"/>
                <w:szCs w:val="18"/>
                <w:lang w:eastAsia="en-GB"/>
              </w:rPr>
              <w:t>*</w:t>
            </w:r>
            <w:r w:rsidRPr="00F02A6E">
              <w:rPr>
                <w:rFonts w:ascii="Calibri" w:eastAsia="Times New Roman" w:hAnsi="Calibri" w:cs="Calibri"/>
                <w:color w:val="000000"/>
                <w:sz w:val="18"/>
                <w:szCs w:val="18"/>
                <w:lang w:eastAsia="en-GB"/>
              </w:rPr>
              <w:t xml:space="preserve"> </w:t>
            </w:r>
          </w:p>
        </w:tc>
        <w:tc>
          <w:tcPr>
            <w:tcW w:w="976" w:type="dxa"/>
            <w:tcBorders>
              <w:top w:val="nil"/>
              <w:left w:val="nil"/>
              <w:bottom w:val="single" w:sz="8" w:space="0" w:color="auto"/>
              <w:right w:val="nil"/>
            </w:tcBorders>
            <w:shd w:val="clear" w:color="000000" w:fill="FFFFFF"/>
            <w:noWrap/>
            <w:vAlign w:val="center"/>
            <w:hideMark/>
          </w:tcPr>
          <w:p w14:paraId="20BF3650"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1,573</w:t>
            </w:r>
          </w:p>
        </w:tc>
        <w:tc>
          <w:tcPr>
            <w:tcW w:w="992" w:type="dxa"/>
            <w:tcBorders>
              <w:top w:val="nil"/>
              <w:left w:val="nil"/>
              <w:bottom w:val="single" w:sz="8" w:space="0" w:color="auto"/>
              <w:right w:val="nil"/>
            </w:tcBorders>
            <w:shd w:val="clear" w:color="000000" w:fill="FFFFFF"/>
            <w:noWrap/>
            <w:vAlign w:val="center"/>
            <w:hideMark/>
          </w:tcPr>
          <w:p w14:paraId="6293671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1,573</w:t>
            </w:r>
          </w:p>
        </w:tc>
        <w:tc>
          <w:tcPr>
            <w:tcW w:w="996" w:type="dxa"/>
            <w:tcBorders>
              <w:top w:val="nil"/>
              <w:left w:val="nil"/>
              <w:bottom w:val="single" w:sz="8" w:space="0" w:color="auto"/>
              <w:right w:val="nil"/>
            </w:tcBorders>
            <w:shd w:val="clear" w:color="000000" w:fill="FFFFFF"/>
            <w:noWrap/>
            <w:vAlign w:val="center"/>
            <w:hideMark/>
          </w:tcPr>
          <w:p w14:paraId="4BE7AB63"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139</w:t>
            </w:r>
          </w:p>
        </w:tc>
      </w:tr>
      <w:tr w:rsidR="000F13C3" w:rsidRPr="00F6420B" w14:paraId="3E4560CC" w14:textId="77777777" w:rsidTr="00CB478C">
        <w:trPr>
          <w:trHeight w:val="548"/>
        </w:trPr>
        <w:tc>
          <w:tcPr>
            <w:tcW w:w="993" w:type="dxa"/>
            <w:tcBorders>
              <w:top w:val="nil"/>
              <w:left w:val="nil"/>
              <w:bottom w:val="single" w:sz="4" w:space="0" w:color="auto"/>
              <w:right w:val="nil"/>
            </w:tcBorders>
            <w:vAlign w:val="center"/>
          </w:tcPr>
          <w:p w14:paraId="52C295CD" w14:textId="355BE548" w:rsidR="00F02A6E" w:rsidRPr="00F02A6E" w:rsidRDefault="00ED69B5" w:rsidP="00F02A6E">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30</w:t>
            </w:r>
          </w:p>
        </w:tc>
        <w:tc>
          <w:tcPr>
            <w:tcW w:w="1139" w:type="dxa"/>
            <w:tcBorders>
              <w:top w:val="nil"/>
              <w:left w:val="nil"/>
              <w:bottom w:val="single" w:sz="4" w:space="0" w:color="auto"/>
              <w:right w:val="nil"/>
            </w:tcBorders>
            <w:shd w:val="clear" w:color="auto" w:fill="auto"/>
            <w:vAlign w:val="center"/>
            <w:hideMark/>
          </w:tcPr>
          <w:p w14:paraId="45EE56CE" w14:textId="1B301DA9"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Luo et al </w:t>
            </w:r>
            <w:r w:rsidR="00EB7300">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{"citationItems":[{"id":"ITEM-1","itemData":{"DOI":"10.1101/2020.03.24.20042606","abstract":"Background Rapid spread of SARS-CoV-2 in Wuhan prompted heightened surveillance in Guangzhou and elsewhere in China. Modes of contact and risk of transmission among close contacts have not been well estimated. Methods We included 4950 closes contacts from Guangzhou, and extracted data including modes of contact, laboratory testing, clinical characteristics of confirmed cases and source cases. We used logistic regression analysis to explore the risk factors associated with infection of close contacts. Results Among 4950 closes contacts, the median age was 38.0 years, and males accounted for 50.2% (2484). During quarantine period, 129 cases (2.6%) were diagnosed, with 8 asymptomatic (6.2%), 49 mild (38.0%), and 5 (3.9%) severe to critical cases. The sensitivity of throat swab was 71.32% and 92.19% at first to second PCR test. Among different modes of contact, household contacts were the most dangerous in catching with infection of COVID-19, with an incidence of 10.2%. As the increase of age for close contacts and severity of source cases, the incidence of COVID-19 presented an increasing trend from 1.8% (0-17 years) to 4.2% (60 or over years), and from 0.33% for asymptomatic, 3.3% for mild, to 6.2% for severe and critical source cases, respectively. Manifestation of expectoration in source cases was also highly associated with an increased risk of infection in their close contacts (13.6%). Secondary cases were in general clinically milder and were less likely to have common symptoms than those of source cases. Conclusions In conclusion, the proportion of asymptomatic and mild infections account for almost half of the confirmed cases among close contacts. The household contacts were the main transmission mode, and clinically more severe cases were more likely to pass the infection to their close contacts. Generally, the secondary cases were clinically milder than those of source cases.Competing Interest StatementThe authors have declared no competing interest.Funding StatementSupported by the Project Supported by Guangdong Province Higher Vocational Colleges &amp;amp; Schools Pearl River Scholar Funded Scheme (2019), the Construction of High-level University of Guangdong (G619339521 and G618339167), and the Zhejiang University special scientific research fund for COVID-19 prevention and control (K920330111). Author DeclarationsAll relevant ethical guidelines have been followed; any necessary IRB and/or ethics committee approvals have been obtained and details …","author":[{"dropping-particle":"","family":"Luo","given":"Lei","non-dropping-particle":"","parse-names":false,"suffix":""},{"dropping-particle":"","family":"Liu","given":"Dan","non-dropping-particle":"","parse-names":false,"suffix":""},{"dropping-particle":"","family":"Liao","given":"Xin-long","non-dropping-particle":"","parse-names":false,"suffix":""},{"dropping-particle":"","family":"Wu","given":"Xian-bo","non-dropping-particle":"","parse-names":false,"suffix":""},{"dropping-particle":"","family":"Jing","given":"Qin-long","non-dropping-particle":"","parse-names":false,"suffix":""},{"dropping-particle":"","family":"Zheng","given":"Jia-zhen","non-dropping-particle":"","parse-names":false,"suffix":""},{"dropping-particle":"","family":"Liu","given":"Fang-hua","non-dropping-particle":"","parse-names":false,"suffix":""},{"dropping-particle":"","family":"Yang","given":"Shi-gui","non-dropping-particle":"","parse-names":false,"suffix":""},{"dropping-particle":"","family":"Bi","given":"Bi","non-dropping-particle":"","parse-names":false,"suffix":""},{"dropping-particle":"","family":"Li","given":"Zhi-hao","non-dropping-particle":"","parse-names":false,"suffix":""},{"dropping-particle":"","family":"Liu","given":"Jian-ping","non-dropping-particle":"","parse-names":false,"suffix":""},{"dropping-particle":"","family":"Song","given":"Wei-qi","non-dropping-particle":"","parse-names":false,"suffix":""},{"dropping-particle":"","family":"Zhu","given":"Wei","non-dropping-particle":"","parse-names":false,"suffix":""},{"dropping-particle":"","family":"Wang","given":"Zheng-he","non-dropping-particle":"","parse-names":false,"suffix":""},{"dropping-particle":"","family":"Zhang","given":"Xi-ru","non-dropping-particle":"","parse-names":false,"suffix":""},{"dropping-particle":"","family":"Chen","given":"Pei-liang","non-dropping-particle":"","parse-names":false,"suffix":""},{"dropping-particle":"","family":"Liu","given":"Hua-min","non-dropping-particle":"","parse-names":false,"suffix":""},{"dropping-particle":"","family":"Cheng","given":"Xin","non-dropping-particle":"","parse-names":false,"suffix":""},{"dropping-particle":"","family":"Cai","given":"Miao-chun","non-dropping-particle":"","parse-names":false,"suffix":""},{"dropping-particle":"","family":"Huang","given":"Qing-mei","non-dropping-particle":"","parse-names":false,"suffix":""},{"dropping-particle":"","family":"Yang","given":"Pei","non-dropping-particle":"","parse-names":false,"suffix":""},{"dropping-particle":"","family":"Yang","given":"Xin-fen","non-dropping-particle":"","parse-names":false,"suffix":""},{"dropping-particle":"","family":"Huang","given":"Zhi-gang","non-dropping-particle":"","parse-names":false,"suffix":""},{"dropping-particle":"","family":"Tang","given":"Jin-ling","non-dropping-particle":"","parse-names":false,"suffix":""},{"dropping-particle":"","family":"Ma","given":"Yu","non-dropping-particle":"","parse-names":false,"suffix":""},{"dropping-particle":"","family":"Mao","given":"Chen","non-dropping-particle":"","parse-names":false,"suffix":""}],"container-title":"medRxiv","id":"ITEM-1","issued":{"date-parts":[["2020"]]},"page":"2020.03.24.20042606","title":"Modes of contact and risk of transmission in COVID-19 among close contacts","type":"article-journal"},"uris":["http://www.mendeley.com/documents/?uuid=49eec9d5-e019-473d-9f47-a00aa14a65ec"]}],"mendeley":{"formattedCitation":"[43]","plainTextFormattedCitation":"[43]","previouslyFormattedCitation":"[45]"},"properties":{"noteIndex":0},"schema":"https://github.com/citation-style-language/schema/raw/master/csl-citation.json"}</w:instrText>
            </w:r>
            <w:r w:rsidR="00EB7300">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[43]</w:t>
            </w:r>
            <w:r w:rsidR="00EB7300">
              <w:rPr>
                <w:rFonts w:ascii="Calibri" w:eastAsia="Times New Roman" w:hAnsi="Calibri" w:cs="Calibri"/>
                <w:color w:val="000000"/>
                <w:sz w:val="18"/>
                <w:szCs w:val="18"/>
                <w:lang w:eastAsia="en-GB"/>
              </w:rPr>
              <w:fldChar w:fldCharType="end"/>
            </w:r>
          </w:p>
        </w:tc>
        <w:tc>
          <w:tcPr>
            <w:tcW w:w="1129" w:type="dxa"/>
            <w:tcBorders>
              <w:top w:val="nil"/>
              <w:left w:val="nil"/>
              <w:bottom w:val="single" w:sz="4" w:space="0" w:color="auto"/>
              <w:right w:val="nil"/>
            </w:tcBorders>
            <w:shd w:val="clear" w:color="000000" w:fill="FFFFFF"/>
            <w:vAlign w:val="center"/>
            <w:hideMark/>
          </w:tcPr>
          <w:p w14:paraId="6384E46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Guangzhou</w:t>
            </w:r>
          </w:p>
        </w:tc>
        <w:tc>
          <w:tcPr>
            <w:tcW w:w="1070" w:type="dxa"/>
            <w:tcBorders>
              <w:top w:val="nil"/>
              <w:left w:val="nil"/>
              <w:bottom w:val="single" w:sz="4" w:space="0" w:color="auto"/>
              <w:right w:val="nil"/>
            </w:tcBorders>
            <w:shd w:val="clear" w:color="000000" w:fill="FFFFFF"/>
            <w:vAlign w:val="center"/>
            <w:hideMark/>
          </w:tcPr>
          <w:p w14:paraId="7C3ABC12"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China</w:t>
            </w:r>
          </w:p>
        </w:tc>
        <w:tc>
          <w:tcPr>
            <w:tcW w:w="2330" w:type="dxa"/>
            <w:tcBorders>
              <w:top w:val="nil"/>
              <w:left w:val="nil"/>
              <w:bottom w:val="single" w:sz="4" w:space="0" w:color="auto"/>
              <w:right w:val="nil"/>
            </w:tcBorders>
            <w:shd w:val="clear" w:color="000000" w:fill="FFFFFF"/>
            <w:vAlign w:val="center"/>
            <w:hideMark/>
          </w:tcPr>
          <w:p w14:paraId="744E0662"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Surveillance and contact tracing</w:t>
            </w:r>
          </w:p>
        </w:tc>
        <w:tc>
          <w:tcPr>
            <w:tcW w:w="2975" w:type="dxa"/>
            <w:tcBorders>
              <w:top w:val="nil"/>
              <w:left w:val="nil"/>
              <w:bottom w:val="single" w:sz="4" w:space="0" w:color="auto"/>
              <w:right w:val="nil"/>
            </w:tcBorders>
            <w:shd w:val="clear" w:color="000000" w:fill="FFFFFF"/>
            <w:vAlign w:val="center"/>
            <w:hideMark/>
          </w:tcPr>
          <w:p w14:paraId="7057C39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giving direct care to index patients</w:t>
            </w:r>
          </w:p>
        </w:tc>
        <w:tc>
          <w:tcPr>
            <w:tcW w:w="1276" w:type="dxa"/>
            <w:tcBorders>
              <w:top w:val="nil"/>
              <w:left w:val="nil"/>
              <w:bottom w:val="single" w:sz="4" w:space="0" w:color="auto"/>
              <w:right w:val="nil"/>
            </w:tcBorders>
            <w:shd w:val="clear" w:color="000000" w:fill="FFFFFF"/>
            <w:vAlign w:val="center"/>
            <w:hideMark/>
          </w:tcPr>
          <w:p w14:paraId="71F6E6D8"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4" w:space="0" w:color="auto"/>
              <w:right w:val="nil"/>
            </w:tcBorders>
            <w:shd w:val="clear" w:color="000000" w:fill="FFFFFF"/>
            <w:vAlign w:val="center"/>
            <w:hideMark/>
          </w:tcPr>
          <w:p w14:paraId="2802E3D5"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4" w:space="0" w:color="auto"/>
              <w:right w:val="nil"/>
            </w:tcBorders>
            <w:shd w:val="clear" w:color="000000" w:fill="FFFFFF"/>
            <w:vAlign w:val="center"/>
            <w:hideMark/>
          </w:tcPr>
          <w:p w14:paraId="11EB237F"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347</w:t>
            </w:r>
          </w:p>
        </w:tc>
        <w:tc>
          <w:tcPr>
            <w:tcW w:w="976" w:type="dxa"/>
            <w:tcBorders>
              <w:top w:val="nil"/>
              <w:left w:val="nil"/>
              <w:bottom w:val="single" w:sz="4" w:space="0" w:color="auto"/>
              <w:right w:val="nil"/>
            </w:tcBorders>
            <w:shd w:val="clear" w:color="000000" w:fill="FFFFFF"/>
            <w:noWrap/>
            <w:vAlign w:val="center"/>
            <w:hideMark/>
          </w:tcPr>
          <w:p w14:paraId="04BD6CB2"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679</w:t>
            </w:r>
          </w:p>
        </w:tc>
        <w:tc>
          <w:tcPr>
            <w:tcW w:w="992" w:type="dxa"/>
            <w:tcBorders>
              <w:top w:val="nil"/>
              <w:left w:val="nil"/>
              <w:bottom w:val="single" w:sz="4" w:space="0" w:color="auto"/>
              <w:right w:val="nil"/>
            </w:tcBorders>
            <w:shd w:val="clear" w:color="000000" w:fill="FFFFFF"/>
            <w:noWrap/>
            <w:vAlign w:val="center"/>
            <w:hideMark/>
          </w:tcPr>
          <w:p w14:paraId="71FFACEC"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679</w:t>
            </w:r>
          </w:p>
        </w:tc>
        <w:tc>
          <w:tcPr>
            <w:tcW w:w="996" w:type="dxa"/>
            <w:tcBorders>
              <w:top w:val="nil"/>
              <w:left w:val="nil"/>
              <w:bottom w:val="single" w:sz="4" w:space="0" w:color="auto"/>
              <w:right w:val="nil"/>
            </w:tcBorders>
            <w:shd w:val="clear" w:color="000000" w:fill="FFFFFF"/>
            <w:noWrap/>
            <w:vAlign w:val="center"/>
            <w:hideMark/>
          </w:tcPr>
          <w:p w14:paraId="7899C5C7"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7</w:t>
            </w:r>
          </w:p>
        </w:tc>
      </w:tr>
      <w:tr w:rsidR="000F13C3" w:rsidRPr="00F6420B" w14:paraId="68C43D74" w14:textId="77777777" w:rsidTr="00CB478C">
        <w:trPr>
          <w:trHeight w:val="548"/>
        </w:trPr>
        <w:tc>
          <w:tcPr>
            <w:tcW w:w="993" w:type="dxa"/>
            <w:tcBorders>
              <w:top w:val="single" w:sz="4" w:space="0" w:color="auto"/>
              <w:left w:val="nil"/>
              <w:bottom w:val="single" w:sz="8" w:space="0" w:color="auto"/>
              <w:right w:val="nil"/>
            </w:tcBorders>
            <w:vAlign w:val="center"/>
          </w:tcPr>
          <w:p w14:paraId="3D951BCB"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4" w:space="0" w:color="auto"/>
              <w:left w:val="nil"/>
              <w:bottom w:val="single" w:sz="8" w:space="0" w:color="auto"/>
              <w:right w:val="nil"/>
            </w:tcBorders>
            <w:shd w:val="clear" w:color="auto" w:fill="auto"/>
            <w:vAlign w:val="center"/>
            <w:hideMark/>
          </w:tcPr>
          <w:p w14:paraId="069F558B" w14:textId="4DEF2D43"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Ng et al </w:t>
            </w:r>
            <w:r w:rsidR="0026017C">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{"citationItems":[{"id":"ITEM-1","itemData":{"DOI":"10.7326/l20-0175","ISBN":"0003-4819 (Print)\r0003-4819","PMID":"32176257","author":[{"dropping-particle":"","family":"Ng","given":"K","non-dropping-particle":"","parse-names":false,"suffix":""},{"dropping-particle":"","family":"Poon","given":"B H","non-dropping-particle":"","parse-names":false,"suffix":""},{"dropping-particle":"","family":"Kiat Puar","given":"T H","non-dropping-particle":"","parse-names":false,"suffix":""},{"dropping-particle":"","family":"Shan Quah","given":"J L","non-dropping-particle":"","parse-names":false,"suffix":""},{"dropping-particle":"","family":"Loh","given":"W J","non-dropping-particle":"","parse-names":false,"suffix":""},{"dropping-particle":"","family":"Wong","given":"Y J","non-dropping-particle":"","parse-names":false,"suffix":""},{"dropping-particle":"","family":"Tan","given":"T Y","non-dropping-particle":"","parse-names":false,"suffix":""},{"dropping-particle":"","family":"Raghuram","given":"J","non-dropping-particle":"","parse-names":false,"suffix":""}],"container-title":"Ann Intern Med","edition":"2020/03/17","id":"ITEM-1","issue":"11","issued":{"date-parts":[["2020"]]},"language":"eng","note":"1539-3704\nNg, Kangqi\nPoon, Beng Hoong\nKiat Puar, Troy Hai\nShan Quah, Jessica Li\nLoh, Wann Jia\nWong, Yu Jun\nTan, Thean Yen\nRaghuram, Jagadesan\nCase Reports\nLetter\nAnn Intern Med. 2020 Jun 2;172(11):766-767. doi: 10.7326/L20-0175. Epub 2020 Mar 16.","page":"766-767","title":"COVID-19 and the Risk to Health Care Workers: A Case Report","type":"article-journal","volume":"172"},"uris":["http://www.mendeley.com/documents/?uuid=a5ece50e-a4d4-43d3-8319-dad3ee957b32"]}],"mendeley":{"formattedCitation":"[77]","plainTextFormattedCitation":"[77]","previouslyFormattedCitation":"[79]"},"properties":{"noteIndex":0},"schema":"https://github.com/citation-style-language/schema/raw/master/csl-citation.json"}</w:instrText>
            </w:r>
            <w:r w:rsidR="0026017C">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[77]</w:t>
            </w:r>
            <w:r w:rsidR="0026017C">
              <w:rPr>
                <w:rFonts w:ascii="Calibri" w:eastAsia="Times New Roman" w:hAnsi="Calibri" w:cs="Calibri"/>
                <w:color w:val="000000"/>
                <w:sz w:val="18"/>
                <w:szCs w:val="18"/>
                <w:lang w:eastAsia="en-GB"/>
              </w:rPr>
              <w:fldChar w:fldCharType="end"/>
            </w:r>
          </w:p>
        </w:tc>
        <w:tc>
          <w:tcPr>
            <w:tcW w:w="1129" w:type="dxa"/>
            <w:tcBorders>
              <w:top w:val="single" w:sz="4" w:space="0" w:color="auto"/>
              <w:left w:val="nil"/>
              <w:bottom w:val="single" w:sz="8" w:space="0" w:color="auto"/>
              <w:right w:val="nil"/>
            </w:tcBorders>
            <w:shd w:val="clear" w:color="000000" w:fill="FFFFFF"/>
            <w:vAlign w:val="center"/>
            <w:hideMark/>
          </w:tcPr>
          <w:p w14:paraId="29A16A66"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proofErr w:type="spellStart"/>
            <w:r w:rsidRPr="00F02A6E">
              <w:rPr>
                <w:rFonts w:ascii="Calibri" w:eastAsia="Times New Roman" w:hAnsi="Calibri" w:cs="Calibri"/>
                <w:color w:val="000000"/>
                <w:sz w:val="18"/>
                <w:szCs w:val="18"/>
                <w:lang w:eastAsia="en-GB"/>
              </w:rPr>
              <w:t>Simei</w:t>
            </w:r>
            <w:proofErr w:type="spellEnd"/>
          </w:p>
        </w:tc>
        <w:tc>
          <w:tcPr>
            <w:tcW w:w="1070" w:type="dxa"/>
            <w:tcBorders>
              <w:top w:val="single" w:sz="4" w:space="0" w:color="auto"/>
              <w:left w:val="nil"/>
              <w:bottom w:val="single" w:sz="8" w:space="0" w:color="auto"/>
              <w:right w:val="nil"/>
            </w:tcBorders>
            <w:shd w:val="clear" w:color="000000" w:fill="FFFFFF"/>
            <w:vAlign w:val="center"/>
            <w:hideMark/>
          </w:tcPr>
          <w:p w14:paraId="307B87AC"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Singapore</w:t>
            </w:r>
          </w:p>
        </w:tc>
        <w:tc>
          <w:tcPr>
            <w:tcW w:w="2330" w:type="dxa"/>
            <w:tcBorders>
              <w:top w:val="single" w:sz="4" w:space="0" w:color="auto"/>
              <w:left w:val="nil"/>
              <w:bottom w:val="single" w:sz="8" w:space="0" w:color="auto"/>
              <w:right w:val="nil"/>
            </w:tcBorders>
            <w:shd w:val="clear" w:color="000000" w:fill="FFFFFF"/>
            <w:vAlign w:val="center"/>
            <w:hideMark/>
          </w:tcPr>
          <w:p w14:paraId="0E10A94E"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single" w:sz="4" w:space="0" w:color="auto"/>
              <w:left w:val="nil"/>
              <w:bottom w:val="single" w:sz="8" w:space="0" w:color="auto"/>
              <w:right w:val="nil"/>
            </w:tcBorders>
            <w:shd w:val="clear" w:color="auto" w:fill="auto"/>
            <w:vAlign w:val="center"/>
            <w:hideMark/>
          </w:tcPr>
          <w:p w14:paraId="303BC451"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having exposure to aerosol-generating procedures for &gt;10 mins within 2m from the patient</w:t>
            </w:r>
          </w:p>
        </w:tc>
        <w:tc>
          <w:tcPr>
            <w:tcW w:w="1276" w:type="dxa"/>
            <w:tcBorders>
              <w:top w:val="single" w:sz="4" w:space="0" w:color="auto"/>
              <w:left w:val="nil"/>
              <w:bottom w:val="single" w:sz="4" w:space="0" w:color="auto"/>
              <w:right w:val="nil"/>
            </w:tcBorders>
            <w:shd w:val="clear" w:color="000000" w:fill="FFFFFF"/>
            <w:vAlign w:val="center"/>
            <w:hideMark/>
          </w:tcPr>
          <w:p w14:paraId="7FE72CFE"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single" w:sz="4" w:space="0" w:color="auto"/>
              <w:left w:val="nil"/>
              <w:bottom w:val="single" w:sz="4" w:space="0" w:color="auto"/>
              <w:right w:val="nil"/>
            </w:tcBorders>
            <w:shd w:val="clear" w:color="000000" w:fill="FFFFFF"/>
            <w:vAlign w:val="center"/>
            <w:hideMark/>
          </w:tcPr>
          <w:p w14:paraId="62B5F6BF"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single" w:sz="4" w:space="0" w:color="auto"/>
              <w:left w:val="nil"/>
              <w:bottom w:val="single" w:sz="4" w:space="0" w:color="auto"/>
              <w:right w:val="nil"/>
            </w:tcBorders>
            <w:shd w:val="clear" w:color="000000" w:fill="FFFFFF"/>
            <w:vAlign w:val="center"/>
            <w:hideMark/>
          </w:tcPr>
          <w:p w14:paraId="79C7DB92"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single" w:sz="4" w:space="0" w:color="auto"/>
              <w:left w:val="nil"/>
              <w:bottom w:val="single" w:sz="4" w:space="0" w:color="auto"/>
              <w:right w:val="nil"/>
            </w:tcBorders>
            <w:shd w:val="clear" w:color="000000" w:fill="FFFFFF"/>
            <w:vAlign w:val="center"/>
            <w:hideMark/>
          </w:tcPr>
          <w:p w14:paraId="033F563F"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41</w:t>
            </w:r>
          </w:p>
        </w:tc>
        <w:tc>
          <w:tcPr>
            <w:tcW w:w="992" w:type="dxa"/>
            <w:tcBorders>
              <w:top w:val="single" w:sz="4" w:space="0" w:color="auto"/>
              <w:left w:val="nil"/>
              <w:bottom w:val="single" w:sz="4" w:space="0" w:color="auto"/>
              <w:right w:val="nil"/>
            </w:tcBorders>
            <w:shd w:val="clear" w:color="000000" w:fill="FFFFFF"/>
            <w:vAlign w:val="center"/>
            <w:hideMark/>
          </w:tcPr>
          <w:p w14:paraId="2FDC5913"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41</w:t>
            </w:r>
          </w:p>
        </w:tc>
        <w:tc>
          <w:tcPr>
            <w:tcW w:w="996" w:type="dxa"/>
            <w:tcBorders>
              <w:top w:val="single" w:sz="4" w:space="0" w:color="auto"/>
              <w:left w:val="nil"/>
              <w:bottom w:val="single" w:sz="4" w:space="0" w:color="auto"/>
              <w:right w:val="nil"/>
            </w:tcBorders>
            <w:shd w:val="clear" w:color="000000" w:fill="FFFFFF"/>
            <w:vAlign w:val="center"/>
            <w:hideMark/>
          </w:tcPr>
          <w:p w14:paraId="3351EB7F" w14:textId="36FEE45E" w:rsidR="00F02A6E" w:rsidRPr="00F02A6E" w:rsidRDefault="008E1DF1" w:rsidP="00B802CE">
            <w:pPr>
              <w:spacing w:after="0" w:line="240" w:lineRule="auto"/>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0</w:t>
            </w:r>
          </w:p>
        </w:tc>
      </w:tr>
      <w:tr w:rsidR="000F13C3" w:rsidRPr="00F6420B" w14:paraId="6D2CA543" w14:textId="77777777" w:rsidTr="00CB478C">
        <w:trPr>
          <w:trHeight w:val="515"/>
        </w:trPr>
        <w:tc>
          <w:tcPr>
            <w:tcW w:w="993" w:type="dxa"/>
            <w:tcBorders>
              <w:top w:val="single" w:sz="8" w:space="0" w:color="auto"/>
              <w:left w:val="nil"/>
              <w:bottom w:val="single" w:sz="8" w:space="0" w:color="auto"/>
              <w:right w:val="nil"/>
            </w:tcBorders>
            <w:vAlign w:val="center"/>
          </w:tcPr>
          <w:p w14:paraId="434EF30C" w14:textId="46D3E81C" w:rsidR="00F02A6E" w:rsidRPr="00F02A6E" w:rsidRDefault="00ED69B5" w:rsidP="00F02A6E">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43</w:t>
            </w:r>
          </w:p>
        </w:tc>
        <w:tc>
          <w:tcPr>
            <w:tcW w:w="1139" w:type="dxa"/>
            <w:tcBorders>
              <w:top w:val="single" w:sz="8" w:space="0" w:color="auto"/>
              <w:left w:val="nil"/>
              <w:bottom w:val="single" w:sz="8" w:space="0" w:color="auto"/>
              <w:right w:val="nil"/>
            </w:tcBorders>
            <w:shd w:val="clear" w:color="auto" w:fill="auto"/>
            <w:vAlign w:val="center"/>
            <w:hideMark/>
          </w:tcPr>
          <w:p w14:paraId="4B766E92" w14:textId="20A1A796" w:rsidR="00F02A6E" w:rsidRPr="00F02A6E" w:rsidRDefault="00F02A6E" w:rsidP="00B802CE">
            <w:pPr>
              <w:spacing w:after="0" w:line="240" w:lineRule="auto"/>
              <w:rPr>
                <w:rFonts w:ascii="Calibri" w:eastAsia="Times New Roman" w:hAnsi="Calibri" w:cs="Calibri"/>
                <w:color w:val="000000"/>
                <w:sz w:val="18"/>
                <w:szCs w:val="18"/>
                <w:lang w:eastAsia="en-GB"/>
              </w:rPr>
            </w:pPr>
            <w:proofErr w:type="spellStart"/>
            <w:r w:rsidRPr="00F02A6E">
              <w:rPr>
                <w:rFonts w:ascii="Calibri" w:eastAsia="Times New Roman" w:hAnsi="Calibri" w:cs="Calibri"/>
                <w:color w:val="000000"/>
                <w:sz w:val="18"/>
                <w:szCs w:val="18"/>
                <w:lang w:eastAsia="en-GB"/>
              </w:rPr>
              <w:t>Pini</w:t>
            </w:r>
            <w:proofErr w:type="spellEnd"/>
            <w:r w:rsidRPr="00F02A6E">
              <w:rPr>
                <w:rFonts w:ascii="Calibri" w:eastAsia="Times New Roman" w:hAnsi="Calibri" w:cs="Calibri"/>
                <w:color w:val="000000"/>
                <w:sz w:val="18"/>
                <w:szCs w:val="18"/>
                <w:lang w:eastAsia="en-GB"/>
              </w:rPr>
              <w:t xml:space="preserve"> et al</w:t>
            </w:r>
            <w:r w:rsidR="0026017C">
              <w:rPr>
                <w:rFonts w:ascii="Calibri" w:eastAsia="Times New Roman" w:hAnsi="Calibri" w:cs="Calibri"/>
                <w:color w:val="000000"/>
                <w:sz w:val="18"/>
                <w:szCs w:val="18"/>
                <w:lang w:eastAsia="en-GB"/>
              </w:rPr>
              <w:t xml:space="preserve"> </w:t>
            </w:r>
            <w:r w:rsidR="0026017C">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{"citationItems":[{"id":"ITEM-1","itemData":{"DOI":"10.1016/j.ejvs.2020.05.024","ISBN":"1532-2165\r1078-5884","PMID":"32499169","abstract":"OBJECTIVE: This study aimed to evaluate the protocol adopted during the emergency phase of the COVID-19 pandemic to maintain elective activity in a vascular surgery unit while minimising the risk of contamination to both patients and physicians, and the impact of this activity on the intensive care (IC) resources. METHODS: The activity of a vascular surgery unit was analysed from 8 March to 8 April 2020. Surgical activity was maintained only for acute or elective procedures obeying priority criteria. The preventive screening protocol consisted of nasopharyngeal swabs (NPS) for all patients and physicians with symptoms and for unprotected contact infected cases, and serological physician evaluations every 15 days. Patients treated in the acute setting were considered theoretically infected and the necessary protective devices were used. The number of patients and the possible infection of physicians were evaluated. The number and type of interventions and the need for post-operative IC during this period were compared with those in the same periods in 2018 and 2019. RESULTS: One hundred and fifty-one interventions were performed, of which 34 (23%) were acute/emergency. The total number of interventions was similar to those performed in the same periods in 2019 and 2018: 150 (33, of which 22% acute/emergency) and 117 (29, 25% acute/emergency), respectively. IC was necessary after 6% (17% in 2019 and 20% in 2018) of elective operations and 33% (11) of acute/emergency interventions. None of the patients treated electively were diagnosed with COVID-19 infection during hospitalisation. Of the 34 patients treated in acute/emergency interventions, five (15%) were diagnosed with COVID-19 infection. It was necessary to screen 14 (47%) vascular surgeons with NPS after contact with infected colleagues, but none for unprotected contact with patients; all were found to be negative on NPS and serological evaluation. CONCLUSION: A dedicated protocol allowed maintenance of regular elective vascular surgery activity during the emergency phase of the COVID-19 pandemic, with no contamination of patients or physicians and minimal need for IC resources.","author":[{"dropping-particle":"","family":"Pini","given":"Rodolfo","non-dropping-particle":"","parse-names":false,"suffix":""},{"dropping-particle":"","family":"Faggioli","given":"Gianluca","non-dropping-particle":"","parse-names":false,"suffix":""},{"dropping-particle":"","family":"Vacirca","given":"Andrea","non-dropping-particle":"","parse-names":false,"suffix":""},{"dropping-particle":"","family":"Gallitto","given":"Enrico","non-dropping-particle":"","parse-names":false,"suffix":""},{"dropping-particle":"","family":"Mascoli","given":"Chiara","non-dropping-particle":"","parse-names":false,"suffix":""},{"dropping-particle":"","family":"Attard","given":"Luciano","non-dropping-particle":"","parse-names":false,"suffix":""},{"dropping-particle":"","family":"Viale","given":"Pierluigi","non-dropping-particle":"","parse-names":false,"suffix":""},{"dropping-particle":"","family":"Gargiulo","given":"Mauro","non-dropping-particle":"","parse-names":false,"suffix":""}],"container-title":"European journal of vascular and endovascular surgery : the official journal of the European Society for Vascular Surgery","edition":"2020/05/19","id":"ITEM-1","issue":"1","issued":{"date-parts":[["2020"]]},"language":"eng","note":"32499169[pmid]\nPMC7236703[pmcid]\nS1078-5884(20)30446-9[PII]","page":"127-134","publisher":"European Society for Vascular Surgery. Published by Elsevier B.V.","title":"Is it Possible to Safely Maintain a Regular Vascular Practice During the COVID-19 Pandemic?","type":"article-journal","volume":"60"},"uris":["http://www.mendeley.com/documents/?uuid=b555b412-d630-42ff-a5ce-5bf972fbc986"]}],"mendeley":{"formattedCitation":"[78]","plainTextFormattedCitation":"[78]","previouslyFormattedCitation":"[80]"},"properties":{"noteIndex":0},"schema":"https://github.com/citation-style-language/schema/raw/master/csl-citation.json"}</w:instrText>
            </w:r>
            <w:r w:rsidR="0026017C">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[78]</w:t>
            </w:r>
            <w:r w:rsidR="0026017C">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single" w:sz="8" w:space="0" w:color="auto"/>
              <w:right w:val="nil"/>
            </w:tcBorders>
            <w:shd w:val="clear" w:color="auto" w:fill="auto"/>
            <w:vAlign w:val="center"/>
            <w:hideMark/>
          </w:tcPr>
          <w:p w14:paraId="197CB24E"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Emilia-Romagna</w:t>
            </w:r>
          </w:p>
        </w:tc>
        <w:tc>
          <w:tcPr>
            <w:tcW w:w="1070" w:type="dxa"/>
            <w:tcBorders>
              <w:top w:val="single" w:sz="8" w:space="0" w:color="auto"/>
              <w:left w:val="nil"/>
              <w:bottom w:val="single" w:sz="8" w:space="0" w:color="auto"/>
              <w:right w:val="nil"/>
            </w:tcBorders>
            <w:shd w:val="clear" w:color="auto" w:fill="auto"/>
            <w:vAlign w:val="center"/>
            <w:hideMark/>
          </w:tcPr>
          <w:p w14:paraId="5FD116F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Italy</w:t>
            </w:r>
          </w:p>
        </w:tc>
        <w:tc>
          <w:tcPr>
            <w:tcW w:w="2330" w:type="dxa"/>
            <w:tcBorders>
              <w:top w:val="single" w:sz="8" w:space="0" w:color="auto"/>
              <w:left w:val="nil"/>
              <w:bottom w:val="single" w:sz="8" w:space="0" w:color="auto"/>
              <w:right w:val="nil"/>
            </w:tcBorders>
            <w:shd w:val="clear" w:color="auto" w:fill="auto"/>
            <w:vAlign w:val="center"/>
            <w:hideMark/>
          </w:tcPr>
          <w:p w14:paraId="736A667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protocol and contact tracing</w:t>
            </w:r>
          </w:p>
        </w:tc>
        <w:tc>
          <w:tcPr>
            <w:tcW w:w="2975" w:type="dxa"/>
            <w:tcBorders>
              <w:top w:val="single" w:sz="8" w:space="0" w:color="auto"/>
              <w:left w:val="nil"/>
              <w:bottom w:val="single" w:sz="8" w:space="0" w:color="auto"/>
              <w:right w:val="nil"/>
            </w:tcBorders>
            <w:shd w:val="clear" w:color="000000" w:fill="FFFFFF"/>
            <w:vAlign w:val="center"/>
            <w:hideMark/>
          </w:tcPr>
          <w:p w14:paraId="53E96BD9"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Surgeons who had contact with infected colleagues</w:t>
            </w:r>
          </w:p>
        </w:tc>
        <w:tc>
          <w:tcPr>
            <w:tcW w:w="1276" w:type="dxa"/>
            <w:tcBorders>
              <w:top w:val="single" w:sz="4" w:space="0" w:color="auto"/>
              <w:left w:val="nil"/>
              <w:bottom w:val="single" w:sz="8" w:space="0" w:color="auto"/>
              <w:right w:val="nil"/>
            </w:tcBorders>
            <w:shd w:val="clear" w:color="000000" w:fill="FFFFFF"/>
            <w:vAlign w:val="center"/>
            <w:hideMark/>
          </w:tcPr>
          <w:p w14:paraId="3CDB397A"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single" w:sz="4" w:space="0" w:color="auto"/>
              <w:left w:val="nil"/>
              <w:bottom w:val="single" w:sz="8" w:space="0" w:color="auto"/>
              <w:right w:val="nil"/>
            </w:tcBorders>
            <w:shd w:val="clear" w:color="000000" w:fill="FFFFFF"/>
            <w:vAlign w:val="center"/>
            <w:hideMark/>
          </w:tcPr>
          <w:p w14:paraId="4138C866"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single" w:sz="4" w:space="0" w:color="auto"/>
              <w:left w:val="nil"/>
              <w:bottom w:val="single" w:sz="8" w:space="0" w:color="auto"/>
              <w:right w:val="nil"/>
            </w:tcBorders>
            <w:shd w:val="clear" w:color="000000" w:fill="FFFFFF"/>
            <w:vAlign w:val="center"/>
            <w:hideMark/>
          </w:tcPr>
          <w:p w14:paraId="3A6CCB0B"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w:t>
            </w:r>
          </w:p>
        </w:tc>
        <w:tc>
          <w:tcPr>
            <w:tcW w:w="976" w:type="dxa"/>
            <w:tcBorders>
              <w:top w:val="single" w:sz="4" w:space="0" w:color="auto"/>
              <w:left w:val="nil"/>
              <w:bottom w:val="single" w:sz="8" w:space="0" w:color="auto"/>
              <w:right w:val="nil"/>
            </w:tcBorders>
            <w:shd w:val="clear" w:color="000000" w:fill="FFFFFF"/>
            <w:vAlign w:val="center"/>
            <w:hideMark/>
          </w:tcPr>
          <w:p w14:paraId="7AB6449A"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14</w:t>
            </w:r>
          </w:p>
        </w:tc>
        <w:tc>
          <w:tcPr>
            <w:tcW w:w="992" w:type="dxa"/>
            <w:tcBorders>
              <w:top w:val="single" w:sz="4" w:space="0" w:color="auto"/>
              <w:left w:val="nil"/>
              <w:bottom w:val="single" w:sz="8" w:space="0" w:color="auto"/>
              <w:right w:val="nil"/>
            </w:tcBorders>
            <w:shd w:val="clear" w:color="000000" w:fill="FFFFFF"/>
            <w:vAlign w:val="center"/>
            <w:hideMark/>
          </w:tcPr>
          <w:p w14:paraId="3D72BF7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14</w:t>
            </w:r>
          </w:p>
        </w:tc>
        <w:tc>
          <w:tcPr>
            <w:tcW w:w="996" w:type="dxa"/>
            <w:tcBorders>
              <w:top w:val="single" w:sz="4" w:space="0" w:color="auto"/>
              <w:left w:val="nil"/>
              <w:bottom w:val="single" w:sz="8" w:space="0" w:color="auto"/>
              <w:right w:val="nil"/>
            </w:tcBorders>
            <w:shd w:val="clear" w:color="000000" w:fill="FFFFFF"/>
            <w:vAlign w:val="center"/>
            <w:hideMark/>
          </w:tcPr>
          <w:p w14:paraId="7627BA8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2254DF7D" w14:textId="77777777" w:rsidTr="00CB478C">
        <w:trPr>
          <w:trHeight w:val="551"/>
        </w:trPr>
        <w:tc>
          <w:tcPr>
            <w:tcW w:w="993" w:type="dxa"/>
            <w:tcBorders>
              <w:top w:val="single" w:sz="8" w:space="0" w:color="auto"/>
              <w:left w:val="nil"/>
              <w:bottom w:val="nil"/>
              <w:right w:val="nil"/>
            </w:tcBorders>
            <w:vAlign w:val="center"/>
          </w:tcPr>
          <w:p w14:paraId="1CF112C7"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nil"/>
              <w:right w:val="nil"/>
            </w:tcBorders>
            <w:shd w:val="clear" w:color="auto" w:fill="auto"/>
            <w:vAlign w:val="center"/>
            <w:hideMark/>
          </w:tcPr>
          <w:p w14:paraId="64CCE6DC" w14:textId="21B2647F" w:rsidR="00F02A6E" w:rsidRPr="00F02A6E" w:rsidRDefault="00F02A6E" w:rsidP="00B802CE">
            <w:pPr>
              <w:spacing w:after="0" w:line="240" w:lineRule="auto"/>
              <w:rPr>
                <w:rFonts w:ascii="Calibri" w:eastAsia="Times New Roman" w:hAnsi="Calibri" w:cs="Calibri"/>
                <w:color w:val="000000"/>
                <w:sz w:val="18"/>
                <w:szCs w:val="18"/>
                <w:lang w:eastAsia="en-GB"/>
              </w:rPr>
            </w:pPr>
            <w:proofErr w:type="spellStart"/>
            <w:r w:rsidRPr="00F02A6E">
              <w:rPr>
                <w:rFonts w:ascii="Calibri" w:eastAsia="Times New Roman" w:hAnsi="Calibri" w:cs="Calibri"/>
                <w:color w:val="000000"/>
                <w:sz w:val="18"/>
                <w:szCs w:val="18"/>
                <w:lang w:eastAsia="en-GB"/>
              </w:rPr>
              <w:t>Saban</w:t>
            </w:r>
            <w:proofErr w:type="spellEnd"/>
            <w:r w:rsidRPr="00F02A6E">
              <w:rPr>
                <w:rFonts w:ascii="Calibri" w:eastAsia="Times New Roman" w:hAnsi="Calibri" w:cs="Calibri"/>
                <w:color w:val="000000"/>
                <w:sz w:val="18"/>
                <w:szCs w:val="18"/>
                <w:lang w:eastAsia="en-GB"/>
              </w:rPr>
              <w:t xml:space="preserve"> et al</w:t>
            </w:r>
            <w:r w:rsidR="0026017C">
              <w:rPr>
                <w:rFonts w:ascii="Calibri" w:eastAsia="Times New Roman" w:hAnsi="Calibri" w:cs="Calibri"/>
                <w:color w:val="000000"/>
                <w:sz w:val="18"/>
                <w:szCs w:val="18"/>
                <w:lang w:eastAsia="en-GB"/>
              </w:rPr>
              <w:t xml:space="preserve"> </w:t>
            </w:r>
            <w:r w:rsidR="0026017C">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{"citationItems":[{"id":"ITEM-1","itemData":{"DOI":"10.1007/s00417-020-04790-w","ISBN":"1435-702X\r0721-832X","PMID":"32567041","abstract":"PURPOSE: To evaluate the risk of transmission of the severe acute respiratory syndrome coronavirus 2 (SARS-CoV-2) after exposure to a COVID-19+ physician in a retina clinic. METHODS: A retrospective observational study. Records of 142 patients and 11 staff members from a single retina clinic that were exposed to a COVID-19+ ophthalmologist were reviewed. All 153 individuals were placed in quarantine for 14 days. They were contacted after the quarantine period to inquire about symptoms consistent with COVID-19, and the results of diagnostic test for SARS-CoV-2 when performed. RESULTS: All patients (n = 142) were contacted successfully. The mean age was 72.8 ± 13.6 years; 54.2% (n = 77) were females. Twenty-three patients (16.2%) were exposed during an ophthalmic exam, 111 (78.2%) during intraocular injection, 4 (2.8%) underwent exam and injection, 3 (2.1%) underwent surgery, and one patient (0.7%) had laser photocoagulation. Half of the patients (50%; n = 71) were in contact with the COVID-19+ physician while he was symptomatic. Forty-four patients (31%) wore a mask on the day of their visit. 11.3% (n = 16) of the patients, and all involved staff had been tested for the virus and all were negative. One patient (0.7%) reported transient cough and sore throat, and the remaining 141 (99.3%) patients and 11 (100%) staff did not develop symptoms. CONCLUSIONS: Low risk for SARS-CoV-2 transmission in the ophthalmic setting was observed when universal safety measures such as social distancing, meticulous hand hygiene, enlarged breath shields, and mask wear during procedures were taken.","author":[{"dropping-particle":"","family":"Saban","given":"Ori","non-dropping-particle":"","parse-names":false,"suffix":""},{"dropping-particle":"","family":"Levy","given":"Jaime","non-dropping-particle":"","parse-names":false,"suffix":""},{"dropping-particle":"","family":"Chowers","given":"Itay","non-dropping-particle":"","parse-names":false,"suffix":""}],"container-title":"Graefe's archive for clinical and experimental ophthalmology = Albrecht von Graefes Archiv fur klinische und experimentelle Ophthalmologie","id":"ITEM-1","issued":{"date-parts":[["2020"]]},"language":"eng","note":"32567041[pmid]\nPMC7306185[pmcid]\n10.1007/s00417-020-04790-w[PII]","page":"1-4","publisher":"Springer Berlin Heidelberg","title":"Risk of SARS-CoV-2 transmission to medical staff and patients from an exposure to a COVID-19-positive ophthalmologist","type":"article-journal"},"uris":["http://www.mendeley.com/documents/?uuid=71ef4e89-a6b0-4e14-a662-fd0b5294d39f"]}],"mendeley":{"formattedCitation":"[79]","plainTextFormattedCitation":"[79]","previouslyFormattedCitation":"[81]"},"properties":{"noteIndex":0},"schema":"https://github.com/citation-style-language/schema/raw/master/csl-citation.json"}</w:instrText>
            </w:r>
            <w:r w:rsidR="0026017C">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[79]</w:t>
            </w:r>
            <w:r w:rsidR="0026017C">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nil"/>
              <w:right w:val="nil"/>
            </w:tcBorders>
            <w:shd w:val="clear" w:color="000000" w:fill="FFFFFF"/>
            <w:vAlign w:val="center"/>
            <w:hideMark/>
          </w:tcPr>
          <w:p w14:paraId="23C178F0"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Jerusalem</w:t>
            </w:r>
          </w:p>
        </w:tc>
        <w:tc>
          <w:tcPr>
            <w:tcW w:w="1070" w:type="dxa"/>
            <w:tcBorders>
              <w:top w:val="single" w:sz="8" w:space="0" w:color="auto"/>
              <w:left w:val="nil"/>
              <w:bottom w:val="nil"/>
              <w:right w:val="nil"/>
            </w:tcBorders>
            <w:shd w:val="clear" w:color="000000" w:fill="FFFFFF"/>
            <w:noWrap/>
            <w:vAlign w:val="center"/>
            <w:hideMark/>
          </w:tcPr>
          <w:p w14:paraId="5049620F"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Israel</w:t>
            </w:r>
          </w:p>
        </w:tc>
        <w:tc>
          <w:tcPr>
            <w:tcW w:w="2330" w:type="dxa"/>
            <w:tcBorders>
              <w:top w:val="single" w:sz="8" w:space="0" w:color="auto"/>
              <w:left w:val="nil"/>
              <w:bottom w:val="nil"/>
              <w:right w:val="nil"/>
            </w:tcBorders>
            <w:shd w:val="clear" w:color="000000" w:fill="FFFFFF"/>
            <w:vAlign w:val="center"/>
            <w:hideMark/>
          </w:tcPr>
          <w:p w14:paraId="2A43AF3E"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000000" w:fill="FFFFFF"/>
            <w:vAlign w:val="center"/>
            <w:hideMark/>
          </w:tcPr>
          <w:p w14:paraId="01A6B68B"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in contact with the index case for more than 15 mins within 2m</w:t>
            </w:r>
          </w:p>
        </w:tc>
        <w:tc>
          <w:tcPr>
            <w:tcW w:w="1276" w:type="dxa"/>
            <w:tcBorders>
              <w:top w:val="nil"/>
              <w:left w:val="nil"/>
              <w:bottom w:val="single" w:sz="8" w:space="0" w:color="auto"/>
              <w:right w:val="nil"/>
            </w:tcBorders>
            <w:shd w:val="clear" w:color="000000" w:fill="FFFFFF"/>
            <w:vAlign w:val="center"/>
            <w:hideMark/>
          </w:tcPr>
          <w:p w14:paraId="73B59DE0"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1976A11A"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770F11B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vAlign w:val="center"/>
            <w:hideMark/>
          </w:tcPr>
          <w:p w14:paraId="1827D7A7"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11</w:t>
            </w:r>
          </w:p>
        </w:tc>
        <w:tc>
          <w:tcPr>
            <w:tcW w:w="992" w:type="dxa"/>
            <w:tcBorders>
              <w:top w:val="nil"/>
              <w:left w:val="nil"/>
              <w:bottom w:val="single" w:sz="8" w:space="0" w:color="auto"/>
              <w:right w:val="nil"/>
            </w:tcBorders>
            <w:shd w:val="clear" w:color="000000" w:fill="FFFFFF"/>
            <w:vAlign w:val="center"/>
            <w:hideMark/>
          </w:tcPr>
          <w:p w14:paraId="4B88D571"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11</w:t>
            </w:r>
          </w:p>
        </w:tc>
        <w:tc>
          <w:tcPr>
            <w:tcW w:w="996" w:type="dxa"/>
            <w:tcBorders>
              <w:top w:val="nil"/>
              <w:left w:val="nil"/>
              <w:bottom w:val="single" w:sz="8" w:space="0" w:color="auto"/>
              <w:right w:val="nil"/>
            </w:tcBorders>
            <w:shd w:val="clear" w:color="000000" w:fill="FFFFFF"/>
            <w:vAlign w:val="center"/>
            <w:hideMark/>
          </w:tcPr>
          <w:p w14:paraId="5B713D9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5A6E35C0" w14:textId="77777777" w:rsidTr="00CB478C">
        <w:trPr>
          <w:trHeight w:val="558"/>
        </w:trPr>
        <w:tc>
          <w:tcPr>
            <w:tcW w:w="993" w:type="dxa"/>
            <w:tcBorders>
              <w:top w:val="nil"/>
              <w:left w:val="nil"/>
              <w:bottom w:val="single" w:sz="8" w:space="0" w:color="auto"/>
              <w:right w:val="nil"/>
            </w:tcBorders>
            <w:vAlign w:val="center"/>
          </w:tcPr>
          <w:p w14:paraId="579747BD"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2D0E8E23" w14:textId="56856C44" w:rsidR="00F02A6E" w:rsidRPr="00F02A6E" w:rsidRDefault="00F02A6E" w:rsidP="00B802CE">
            <w:pPr>
              <w:spacing w:after="0" w:line="240" w:lineRule="auto"/>
              <w:jc w:val="right"/>
              <w:rPr>
                <w:rFonts w:ascii="Calibri" w:eastAsia="Times New Roman" w:hAnsi="Calibri" w:cs="Calibri"/>
                <w:color w:val="000000"/>
                <w:sz w:val="18"/>
                <w:szCs w:val="18"/>
                <w:lang w:eastAsia="en-GB"/>
              </w:rPr>
            </w:pPr>
          </w:p>
        </w:tc>
        <w:tc>
          <w:tcPr>
            <w:tcW w:w="1129" w:type="dxa"/>
            <w:tcBorders>
              <w:top w:val="nil"/>
              <w:left w:val="nil"/>
              <w:bottom w:val="single" w:sz="8" w:space="0" w:color="auto"/>
              <w:right w:val="nil"/>
            </w:tcBorders>
            <w:shd w:val="clear" w:color="000000" w:fill="FFFFFF"/>
            <w:vAlign w:val="center"/>
            <w:hideMark/>
          </w:tcPr>
          <w:p w14:paraId="226F9262"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070" w:type="dxa"/>
            <w:tcBorders>
              <w:top w:val="nil"/>
              <w:left w:val="nil"/>
              <w:bottom w:val="single" w:sz="8" w:space="0" w:color="auto"/>
              <w:right w:val="nil"/>
            </w:tcBorders>
            <w:shd w:val="clear" w:color="000000" w:fill="FFFFFF"/>
            <w:noWrap/>
            <w:vAlign w:val="center"/>
            <w:hideMark/>
          </w:tcPr>
          <w:p w14:paraId="2D4F7FE3"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330" w:type="dxa"/>
            <w:tcBorders>
              <w:top w:val="nil"/>
              <w:left w:val="nil"/>
              <w:bottom w:val="single" w:sz="8" w:space="0" w:color="auto"/>
              <w:right w:val="nil"/>
            </w:tcBorders>
            <w:shd w:val="clear" w:color="000000" w:fill="FFFFFF"/>
            <w:vAlign w:val="center"/>
            <w:hideMark/>
          </w:tcPr>
          <w:p w14:paraId="5DE9E97A"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975" w:type="dxa"/>
            <w:tcBorders>
              <w:top w:val="single" w:sz="8" w:space="0" w:color="auto"/>
              <w:left w:val="nil"/>
              <w:bottom w:val="single" w:sz="8" w:space="0" w:color="auto"/>
              <w:right w:val="nil"/>
            </w:tcBorders>
            <w:shd w:val="clear" w:color="000000" w:fill="FFFFFF"/>
            <w:vAlign w:val="center"/>
            <w:hideMark/>
          </w:tcPr>
          <w:p w14:paraId="71AEC821"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Patients who were exposed to an ophthalmologist who was a positive case</w:t>
            </w:r>
          </w:p>
        </w:tc>
        <w:tc>
          <w:tcPr>
            <w:tcW w:w="1276" w:type="dxa"/>
            <w:tcBorders>
              <w:top w:val="single" w:sz="8" w:space="0" w:color="auto"/>
              <w:left w:val="nil"/>
              <w:bottom w:val="single" w:sz="8" w:space="0" w:color="auto"/>
              <w:right w:val="nil"/>
            </w:tcBorders>
            <w:shd w:val="clear" w:color="000000" w:fill="FFFFFF"/>
            <w:vAlign w:val="center"/>
            <w:hideMark/>
          </w:tcPr>
          <w:p w14:paraId="59409FE2"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subset</w:t>
            </w:r>
          </w:p>
        </w:tc>
        <w:tc>
          <w:tcPr>
            <w:tcW w:w="1134" w:type="dxa"/>
            <w:tcBorders>
              <w:top w:val="single" w:sz="8" w:space="0" w:color="auto"/>
              <w:left w:val="nil"/>
              <w:bottom w:val="single" w:sz="8" w:space="0" w:color="auto"/>
              <w:right w:val="nil"/>
            </w:tcBorders>
            <w:shd w:val="clear" w:color="000000" w:fill="FFFFFF"/>
            <w:vAlign w:val="center"/>
            <w:hideMark/>
          </w:tcPr>
          <w:p w14:paraId="1F4291B9"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vAlign w:val="center"/>
            <w:hideMark/>
          </w:tcPr>
          <w:p w14:paraId="57DD19E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single" w:sz="8" w:space="0" w:color="auto"/>
              <w:left w:val="nil"/>
              <w:bottom w:val="single" w:sz="8" w:space="0" w:color="auto"/>
              <w:right w:val="nil"/>
            </w:tcBorders>
            <w:shd w:val="clear" w:color="000000" w:fill="FFFFFF"/>
            <w:vAlign w:val="center"/>
            <w:hideMark/>
          </w:tcPr>
          <w:p w14:paraId="5837BFDB"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142</w:t>
            </w:r>
          </w:p>
        </w:tc>
        <w:tc>
          <w:tcPr>
            <w:tcW w:w="992" w:type="dxa"/>
            <w:tcBorders>
              <w:top w:val="single" w:sz="8" w:space="0" w:color="auto"/>
              <w:left w:val="nil"/>
              <w:bottom w:val="single" w:sz="8" w:space="0" w:color="auto"/>
              <w:right w:val="nil"/>
            </w:tcBorders>
            <w:shd w:val="clear" w:color="000000" w:fill="FFFFFF"/>
            <w:vAlign w:val="center"/>
            <w:hideMark/>
          </w:tcPr>
          <w:p w14:paraId="6DC827F2"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16</w:t>
            </w:r>
          </w:p>
        </w:tc>
        <w:tc>
          <w:tcPr>
            <w:tcW w:w="996" w:type="dxa"/>
            <w:tcBorders>
              <w:top w:val="single" w:sz="8" w:space="0" w:color="auto"/>
              <w:left w:val="nil"/>
              <w:bottom w:val="single" w:sz="8" w:space="0" w:color="auto"/>
              <w:right w:val="nil"/>
            </w:tcBorders>
            <w:shd w:val="clear" w:color="000000" w:fill="FFFFFF"/>
            <w:vAlign w:val="center"/>
            <w:hideMark/>
          </w:tcPr>
          <w:p w14:paraId="32B164A1"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0D26CB20" w14:textId="77777777" w:rsidTr="00CB478C">
        <w:trPr>
          <w:trHeight w:val="1222"/>
        </w:trPr>
        <w:tc>
          <w:tcPr>
            <w:tcW w:w="993" w:type="dxa"/>
            <w:tcBorders>
              <w:top w:val="single" w:sz="8" w:space="0" w:color="auto"/>
              <w:left w:val="nil"/>
              <w:bottom w:val="single" w:sz="8" w:space="0" w:color="auto"/>
              <w:right w:val="nil"/>
            </w:tcBorders>
            <w:vAlign w:val="center"/>
          </w:tcPr>
          <w:p w14:paraId="45F8F71B"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single" w:sz="8" w:space="0" w:color="auto"/>
              <w:right w:val="nil"/>
            </w:tcBorders>
            <w:shd w:val="clear" w:color="auto" w:fill="auto"/>
            <w:hideMark/>
          </w:tcPr>
          <w:p w14:paraId="5110E89B" w14:textId="5A6213BF" w:rsidR="00F02A6E" w:rsidRPr="00F02A6E" w:rsidRDefault="00F02A6E" w:rsidP="00B419EF">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Schneider</w:t>
            </w:r>
            <w:r w:rsidR="0026017C">
              <w:rPr>
                <w:rFonts w:ascii="Calibri" w:eastAsia="Times New Roman" w:hAnsi="Calibri" w:cs="Calibri"/>
                <w:color w:val="000000"/>
                <w:sz w:val="18"/>
                <w:szCs w:val="18"/>
                <w:lang w:eastAsia="en-GB"/>
              </w:rPr>
              <w:t xml:space="preserve"> </w:t>
            </w:r>
            <w:r w:rsidR="0026017C">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{"citationItems":[{"id":"ITEM-1","itemData":{"DOI":"10.1007/s00402-020-03516-1","ISBN":"1434-3916\r0936-8051","PMID":"32524227","abstract":"BACKGROUND: With the novel coronavirus-induced disease (COVID-19), there is the fear of nosocomial infections and severe acute respiratory syndrome coronavirus 2 (SARS-CoV-2) transmissions to healthcare workers (HCW). We report the case of a 64-year-old male patient who underwent explantation of a shoulder prosthesis due to a periprosthetic infection. He was tested SARS-CoV-2 positive 7 days after admission to the orthopaedic department following strict infection control measures, routinely including screening all patients for multi-drug-resistant organism (MDRO) colonization upon admission. Aim of our study is to report on the spreading potential of SARS-CoV-2 in a healthcare setting if standard contact precautions and infection control measures have been established. METHODS: All HCW with exposure to the patient from day of admission until confirmed diagnosis of COVID-19 were identified and underwent oropharyngeal swab testing for SARS-CoV-2 by real-time RT-PCR. RESULTS: Sixty-six HCW were identified: nine orthopaedic surgeons, four anaesthesiologists, 25 orthopaedic nurses, five nurse anesthetists, eight scrub nurses, five nursing students, two medical assistants and seven service employees. Fourteen HCW (21%) showed clinical symptoms compatible with a SARS-CoV-2 infection: cough (n = 4), sore throat (n = 3), nasal congestion (n = 3), dyspnea (n = 2), fever (n = 1), headache and myalgia (n = 1). SARS-CoV-2 was not detected in any of the 66 HCW. CONCLUSION: Hygienic measures and contact precautions, aimed at preventing the spread of MRDO, may have helped to prevent a SARS-CoV-2 transmission to HCW-despite high-risk exposure during intubation, surgical treatment and general care. LEVEL OF EVIDENCE: IV, case series.","author":[{"dropping-particle":"","family":"Schneider","given":"K N","non-dropping-particle":"","parse-names":false,"suffix":""},{"dropping-particle":"","family":"Correa-Martínez","given":"C L","non-dropping-particle":"","parse-names":false,"suffix":""},{"dropping-particle":"","family":"Gosheger","given":"G","non-dropping-particle":"","parse-names":false,"suffix":""},{"dropping-particle":"","family":"Rickert","given":"C","non-dropping-particle":"","parse-names":false,"suffix":""},{"dropping-particle":"","family":"Schorn","given":"D","non-dropping-particle":"","parse-names":false,"suffix":""},{"dropping-particle":"","family":"Mellmann","given":"A","non-dropping-particle":"","parse-names":false,"suffix":""},{"dropping-particle":"","family":"Schwierzeck","given":"V","non-dropping-particle":"","parse-names":false,"suffix":""},{"dropping-particle":"","family":"Kampmeier","given":"S","non-dropping-particle":"","parse-names":false,"suffix":""}],"container-title":"Archives of orthopaedic and trauma surgery","id":"ITEM-1","issued":{"date-parts":[["2020"]]},"language":"eng","note":"32524227[pmid]\nPMC7283422[pmcid]\n10.1007/s00402-020-03516-1[PII]","page":"1-7","publisher":"Springer Berlin Heidelberg","title":"Assessing the spreading potential of an undetected case of COVID-19 in orthopaedic surgery","type":"article-journal"},"uris":["http://www.mendeley.com/documents/?uuid=d5a67dac-330f-497c-bed4-75a28273fece"]}],"mendeley":{"formattedCitation":"[80]","plainTextFormattedCitation":"[80]","previouslyFormattedCitation":"[82]"},"properties":{"noteIndex":0},"schema":"https://github.com/citation-style-language/schema/raw/master/csl-citation.json"}</w:instrText>
            </w:r>
            <w:r w:rsidR="0026017C">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[80]</w:t>
            </w:r>
            <w:r w:rsidR="0026017C">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single" w:sz="8" w:space="0" w:color="auto"/>
              <w:right w:val="nil"/>
            </w:tcBorders>
            <w:shd w:val="clear" w:color="000000" w:fill="FFFFFF"/>
            <w:hideMark/>
          </w:tcPr>
          <w:p w14:paraId="10B864B1" w14:textId="77777777" w:rsidR="00F02A6E" w:rsidRPr="00F02A6E" w:rsidRDefault="00F02A6E" w:rsidP="00B419EF">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Münster</w:t>
            </w:r>
          </w:p>
        </w:tc>
        <w:tc>
          <w:tcPr>
            <w:tcW w:w="1070" w:type="dxa"/>
            <w:tcBorders>
              <w:top w:val="single" w:sz="8" w:space="0" w:color="auto"/>
              <w:left w:val="nil"/>
              <w:bottom w:val="single" w:sz="8" w:space="0" w:color="auto"/>
              <w:right w:val="nil"/>
            </w:tcBorders>
            <w:shd w:val="clear" w:color="000000" w:fill="FFFFFF"/>
            <w:hideMark/>
          </w:tcPr>
          <w:p w14:paraId="0CFBA0BD" w14:textId="77777777" w:rsidR="00F02A6E" w:rsidRPr="00F02A6E" w:rsidRDefault="00F02A6E" w:rsidP="00B419EF">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Germany</w:t>
            </w:r>
          </w:p>
        </w:tc>
        <w:tc>
          <w:tcPr>
            <w:tcW w:w="2330" w:type="dxa"/>
            <w:tcBorders>
              <w:top w:val="single" w:sz="8" w:space="0" w:color="auto"/>
              <w:left w:val="nil"/>
              <w:bottom w:val="single" w:sz="8" w:space="0" w:color="auto"/>
              <w:right w:val="nil"/>
            </w:tcBorders>
            <w:shd w:val="clear" w:color="000000" w:fill="FFFFFF"/>
            <w:hideMark/>
          </w:tcPr>
          <w:p w14:paraId="2C521C3F" w14:textId="77777777" w:rsidR="00F02A6E" w:rsidRPr="00F02A6E" w:rsidRDefault="00F02A6E" w:rsidP="00B419EF">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auto" w:fill="auto"/>
            <w:vAlign w:val="center"/>
            <w:hideMark/>
          </w:tcPr>
          <w:p w14:paraId="65126F75"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 exposed to the patient from day of admission until patient’s final diagnosis were identified using work schedules and the hospital information system</w:t>
            </w:r>
          </w:p>
        </w:tc>
        <w:tc>
          <w:tcPr>
            <w:tcW w:w="1276" w:type="dxa"/>
            <w:tcBorders>
              <w:top w:val="nil"/>
              <w:left w:val="nil"/>
              <w:bottom w:val="single" w:sz="8" w:space="0" w:color="auto"/>
              <w:right w:val="nil"/>
            </w:tcBorders>
            <w:shd w:val="clear" w:color="000000" w:fill="FFFFFF"/>
            <w:vAlign w:val="center"/>
            <w:hideMark/>
          </w:tcPr>
          <w:p w14:paraId="0F4ABBCA"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4112F785"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0FAE7991"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noWrap/>
            <w:vAlign w:val="center"/>
            <w:hideMark/>
          </w:tcPr>
          <w:p w14:paraId="337A77C2"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66</w:t>
            </w:r>
          </w:p>
        </w:tc>
        <w:tc>
          <w:tcPr>
            <w:tcW w:w="992" w:type="dxa"/>
            <w:tcBorders>
              <w:top w:val="nil"/>
              <w:left w:val="nil"/>
              <w:bottom w:val="single" w:sz="8" w:space="0" w:color="auto"/>
              <w:right w:val="nil"/>
            </w:tcBorders>
            <w:shd w:val="clear" w:color="000000" w:fill="FFFFFF"/>
            <w:noWrap/>
            <w:vAlign w:val="center"/>
            <w:hideMark/>
          </w:tcPr>
          <w:p w14:paraId="7C511D46"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66</w:t>
            </w:r>
          </w:p>
        </w:tc>
        <w:tc>
          <w:tcPr>
            <w:tcW w:w="996" w:type="dxa"/>
            <w:tcBorders>
              <w:top w:val="nil"/>
              <w:left w:val="nil"/>
              <w:bottom w:val="single" w:sz="8" w:space="0" w:color="auto"/>
              <w:right w:val="nil"/>
            </w:tcBorders>
            <w:shd w:val="clear" w:color="000000" w:fill="FFFFFF"/>
            <w:noWrap/>
            <w:vAlign w:val="center"/>
            <w:hideMark/>
          </w:tcPr>
          <w:p w14:paraId="4EDCF16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3CD9E463" w14:textId="77777777" w:rsidTr="00CB478C">
        <w:trPr>
          <w:trHeight w:val="545"/>
        </w:trPr>
        <w:tc>
          <w:tcPr>
            <w:tcW w:w="993" w:type="dxa"/>
            <w:tcBorders>
              <w:top w:val="nil"/>
              <w:left w:val="nil"/>
              <w:bottom w:val="single" w:sz="8" w:space="0" w:color="auto"/>
              <w:right w:val="nil"/>
            </w:tcBorders>
            <w:vAlign w:val="center"/>
          </w:tcPr>
          <w:p w14:paraId="2F517500"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244B4D03" w14:textId="0B081499"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Singh et al </w:t>
            </w:r>
            <w:r w:rsidR="0026017C">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{"citationItems":[{"id":"ITEM-1","itemData":{"DOI":"10.4103/ijph.IJPH_483_20","ISBN":"0019-557X (Print)\r0019-557x","PMID":"32496265","abstract":"The response to the first health worker case in India and novel strategies adopted in the context of evolving pandemic of COVID-19 is presented here. On the same day of confirmation, institutional COVID cell was established, and contact tracing was started. A total of 184 contacts were identified and quarantined. Hospital services were scaled down, and responsibilities were reassigned. In-house digital platforms were used for daily meetings, contact tracing, line listing, risk stratification, and research. Reverse transcription polymerase chain reaction-based severe acute respiratory syndrome-CoV2 testing facility was established in the institute. All high-risk contacts were given hydroxychloroquine prophylaxis. No secondary cases were found. Hospital preparedness, participatory decision-making through institutional COVID cell, optimal use of in-house digital platforms, and coordination with the state health department and national bodies, including Indian Council of Medical Research, were the supporting factors. Rapidly evolving guidelines, trepidation about the disease, logistic delays, and lack of support systems for people under quarantine were the challenges in the containment exercise.","author":[{"dropping-particle":"","family":"Singh","given":"G","non-dropping-particle":"","parse-names":false,"suffix":""},{"dropping-particle":"","family":"Srinivas","given":"G","non-dropping-particle":"","parse-names":false,"suffix":""},{"dropping-particle":"","family":"Jyothi","given":"E K","non-dropping-particle":"","parse-names":false,"suffix":""},{"dropping-particle":"","family":"Gayatri","given":"L K","non-dropping-particle":"","parse-names":false,"suffix":""},{"dropping-particle":"","family":"Gaitonde","given":"R","non-dropping-particle":"","parse-names":false,"suffix":""},{"dropping-particle":"","family":"Soman","given":"B","non-dropping-particle":"","parse-names":false,"suffix":""}],"container-title":"Indian J Public Health","edition":"2020/06/05","id":"ITEM-1","issue":"Supplement","issued":{"date-parts":[["2020"]]},"language":"eng","note":"Singh, Gurpreet\nSrinivas, G\nJyothi, E K\nGayatri, L K\nGaitonde, Rakhal\nSoman, Biju\nJournal Article\nIndia\nIndian J Public Health. 2020 Jun;64(Supplement):S240-S242. doi: 10.4103/ijph.IJPH_483_20.","page":"S240-s242","title":"Containing the first outbreak of COVID-19 in a healthcare setting in India: The sree chitra experience","type":"article-journal","volume":"64"},"uris":["http://www.mendeley.com/documents/?uuid=44482e51-18cd-417e-8001-1a16dc8f9139"]}],"mendeley":{"formattedCitation":"[81]","plainTextFormattedCitation":"[81]","previouslyFormattedCitation":"[83]"},"properties":{"noteIndex":0},"schema":"https://github.com/citation-style-language/schema/raw/master/csl-citation.json"}</w:instrText>
            </w:r>
            <w:r w:rsidR="0026017C">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[81]</w:t>
            </w:r>
            <w:r w:rsidR="0026017C">
              <w:rPr>
                <w:rFonts w:ascii="Calibri" w:eastAsia="Times New Roman" w:hAnsi="Calibri" w:cs="Calibri"/>
                <w:color w:val="000000"/>
                <w:sz w:val="18"/>
                <w:szCs w:val="18"/>
                <w:lang w:eastAsia="en-GB"/>
              </w:rPr>
              <w:fldChar w:fldCharType="end"/>
            </w:r>
          </w:p>
        </w:tc>
        <w:tc>
          <w:tcPr>
            <w:tcW w:w="1129" w:type="dxa"/>
            <w:tcBorders>
              <w:top w:val="nil"/>
              <w:left w:val="nil"/>
              <w:bottom w:val="single" w:sz="8" w:space="0" w:color="auto"/>
              <w:right w:val="nil"/>
            </w:tcBorders>
            <w:shd w:val="clear" w:color="000000" w:fill="FFFFFF"/>
            <w:vAlign w:val="center"/>
            <w:hideMark/>
          </w:tcPr>
          <w:p w14:paraId="77D64361"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Kerala</w:t>
            </w:r>
          </w:p>
        </w:tc>
        <w:tc>
          <w:tcPr>
            <w:tcW w:w="1070" w:type="dxa"/>
            <w:tcBorders>
              <w:top w:val="nil"/>
              <w:left w:val="nil"/>
              <w:bottom w:val="single" w:sz="8" w:space="0" w:color="auto"/>
              <w:right w:val="nil"/>
            </w:tcBorders>
            <w:shd w:val="clear" w:color="000000" w:fill="FFFFFF"/>
            <w:vAlign w:val="center"/>
            <w:hideMark/>
          </w:tcPr>
          <w:p w14:paraId="71E3D187"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India</w:t>
            </w:r>
          </w:p>
        </w:tc>
        <w:tc>
          <w:tcPr>
            <w:tcW w:w="2330" w:type="dxa"/>
            <w:tcBorders>
              <w:top w:val="nil"/>
              <w:left w:val="nil"/>
              <w:bottom w:val="single" w:sz="8" w:space="0" w:color="auto"/>
              <w:right w:val="nil"/>
            </w:tcBorders>
            <w:shd w:val="clear" w:color="000000" w:fill="FFFFFF"/>
            <w:vAlign w:val="center"/>
            <w:hideMark/>
          </w:tcPr>
          <w:p w14:paraId="4BEA1A75"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000000" w:fill="FFFFFF"/>
            <w:vAlign w:val="center"/>
            <w:hideMark/>
          </w:tcPr>
          <w:p w14:paraId="6F05E26D"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 hospital contacts of an HCW index case</w:t>
            </w:r>
          </w:p>
        </w:tc>
        <w:tc>
          <w:tcPr>
            <w:tcW w:w="1276" w:type="dxa"/>
            <w:tcBorders>
              <w:top w:val="nil"/>
              <w:left w:val="nil"/>
              <w:bottom w:val="single" w:sz="8" w:space="0" w:color="auto"/>
              <w:right w:val="nil"/>
            </w:tcBorders>
            <w:shd w:val="clear" w:color="000000" w:fill="FFFFFF"/>
            <w:vAlign w:val="center"/>
            <w:hideMark/>
          </w:tcPr>
          <w:p w14:paraId="4FCC6D54"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noWrap/>
            <w:vAlign w:val="center"/>
            <w:hideMark/>
          </w:tcPr>
          <w:p w14:paraId="708B018F"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noWrap/>
            <w:vAlign w:val="center"/>
            <w:hideMark/>
          </w:tcPr>
          <w:p w14:paraId="1FC7C72F"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noWrap/>
            <w:vAlign w:val="center"/>
            <w:hideMark/>
          </w:tcPr>
          <w:p w14:paraId="4E310FD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184</w:t>
            </w:r>
          </w:p>
        </w:tc>
        <w:tc>
          <w:tcPr>
            <w:tcW w:w="992" w:type="dxa"/>
            <w:tcBorders>
              <w:top w:val="nil"/>
              <w:left w:val="nil"/>
              <w:bottom w:val="single" w:sz="8" w:space="0" w:color="auto"/>
              <w:right w:val="nil"/>
            </w:tcBorders>
            <w:shd w:val="clear" w:color="000000" w:fill="FFFFFF"/>
            <w:noWrap/>
            <w:vAlign w:val="center"/>
            <w:hideMark/>
          </w:tcPr>
          <w:p w14:paraId="4B39AD0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184</w:t>
            </w:r>
          </w:p>
        </w:tc>
        <w:tc>
          <w:tcPr>
            <w:tcW w:w="996" w:type="dxa"/>
            <w:tcBorders>
              <w:top w:val="nil"/>
              <w:left w:val="nil"/>
              <w:bottom w:val="single" w:sz="8" w:space="0" w:color="auto"/>
              <w:right w:val="nil"/>
            </w:tcBorders>
            <w:shd w:val="clear" w:color="000000" w:fill="FFFFFF"/>
            <w:noWrap/>
            <w:vAlign w:val="center"/>
            <w:hideMark/>
          </w:tcPr>
          <w:p w14:paraId="7EAFE46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7E47774D" w14:textId="77777777" w:rsidTr="00CB478C">
        <w:trPr>
          <w:trHeight w:val="1207"/>
        </w:trPr>
        <w:tc>
          <w:tcPr>
            <w:tcW w:w="993" w:type="dxa"/>
            <w:tcBorders>
              <w:top w:val="nil"/>
              <w:left w:val="nil"/>
              <w:bottom w:val="nil"/>
              <w:right w:val="nil"/>
            </w:tcBorders>
          </w:tcPr>
          <w:p w14:paraId="011CBE72" w14:textId="05067870" w:rsidR="00F02A6E" w:rsidRPr="00F02A6E" w:rsidRDefault="00ED69B5" w:rsidP="00150632">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42</w:t>
            </w:r>
          </w:p>
        </w:tc>
        <w:tc>
          <w:tcPr>
            <w:tcW w:w="1139" w:type="dxa"/>
            <w:tcBorders>
              <w:top w:val="nil"/>
              <w:left w:val="nil"/>
              <w:bottom w:val="nil"/>
              <w:right w:val="nil"/>
            </w:tcBorders>
            <w:shd w:val="clear" w:color="auto" w:fill="auto"/>
            <w:hideMark/>
          </w:tcPr>
          <w:p w14:paraId="1F076ED9" w14:textId="494B72A0" w:rsidR="00F02A6E" w:rsidRPr="00F02A6E" w:rsidRDefault="00F02A6E" w:rsidP="00996D1C">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Wee et al</w:t>
            </w:r>
            <w:r w:rsidR="00960467">
              <w:rPr>
                <w:rFonts w:ascii="Calibri" w:eastAsia="Times New Roman" w:hAnsi="Calibri" w:cs="Calibri"/>
                <w:color w:val="000000"/>
                <w:sz w:val="18"/>
                <w:szCs w:val="18"/>
                <w:lang w:eastAsia="en-GB"/>
              </w:rPr>
              <w:t xml:space="preserve"> </w:t>
            </w:r>
            <w:r w:rsidR="0096046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{"citationItems":[{"id":"ITEM-1","itemData":{"DOI":"10.1017/ice.2020.207","ISBN":"1559-6834\r0899-823X","PMID":"32381147","abstract":"OBJECTIVES: Patients with COVID-19 may present with respiratory syndromes indistinguishable from those caused by common viruses. Early isolation and containment is challenging. Although screening all patients with respiratory symptoms for COVID-19 has been recommended, the practicality of such an effort has yet to be assessed. METHODS: Over a 6-week period during a SARS-CoV-2 outbreak, our institution introduced a \"respiratory surveillance ward\" (RSW) to segregate all patients with respiratory symptoms in designated areas, where appropriate personal protective equipment (PPE) could be utilized until SARS-CoV-2 testing was done. Patients could be transferred when SARS-CoV-2 tests were negative on 2 consecutive occasions, 24 hours apart. RESULTS: Over the study period, 1,178 patients were admitted to the RSWs. The mean length-of-stay (LOS) was 1.89 days (SD, 1.23). Among confirmed cases of pneumonia admitted to the RSW, 5 of 310 patients (1.61%) tested positive for SARS-CoV-2. This finding was comparable to the pickup rate from our isolation ward. In total, 126 HCWs were potentially exposed to these cases; however, only 3 (2.38%) required quarantine because most used appropriate PPE. In addition, 13 inpatients overlapped with the index cases during their stay in the RSW; of these 13 exposed inpatients, 1 patient subsequently developed COVID-19 after exposure. No patient-HCW transmission was detected despite intensive surveillance. CONCLUSIONS: Our institution successfully utilized the strategy of an RSW over a 6-week period to contain a cluster of COVID-19 cases and to prevent patient-HCW transmission. However, this method was resource-intensive in terms of testing and bed capacity.","author":[{"dropping-particle":"","family":"Wee","given":"Liang En","non-dropping-particle":"","parse-names":false,"suffix":""},{"dropping-particle":"","family":"Hsieh","given":"Jenny Yi Chen","non-dropping-particle":"","parse-names":false,"suffix":""},{"dropping-particle":"","family":"Phua","given":"Ghee Chee","non-dropping-particle":"","parse-names":false,"suffix":""},{"dropping-particle":"","family":"Tan","given":"Yuyang","non-dropping-particle":"","parse-names":false,"suffix":""},{"dropping-particle":"","family":"Conceicao","given":"Edwin Philip","non-dropping-particle":"","parse-names":false,"suffix":""},{"dropping-particle":"","family":"Wijaya","given":"Limin","non-dropping-particle":"","parse-names":false,"suffix":""},{"dropping-particle":"","family":"Tan","given":"Thuan Tong","non-dropping-particle":"","parse-names":false,"suffix":""},{"dropping-particle":"","family":"Tan","given":"Ban Hock","non-dropping-particle":"","parse-names":false,"suffix":""}],"container-title":"Infection control and hospital epidemiology","id":"ITEM-1","issued":{"date-parts":[["2020"]]},"language":"eng","note":"32381147[pmid]\nPMC7248590[pmcid]\nS0899823X2000207X[PII]","page":"1-6","publisher":"Cambridge University Press","title":"Respiratory surveillance wards as a strategy to reduce nosocomial transmission of COVID-19 through early detection: The experience of a tertiary-care hospital in Singapore","type":"article-journal"},"uris":["http://www.mendeley.com/documents/?uuid=b61be9f4-bd82-49bf-b3bc-74596718fbc8"]}],"mendeley":{"formattedCitation":"[82]","plainTextFormattedCitation":"[82]","previouslyFormattedCitation":"[84]"},"properties":{"noteIndex":0},"schema":"https://github.com/citation-style-language/schema/raw/master/csl-citation.json"}</w:instrText>
            </w:r>
            <w:r w:rsidR="0096046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[82]</w:t>
            </w:r>
            <w:r w:rsidR="00960467">
              <w:rPr>
                <w:rFonts w:ascii="Calibri" w:eastAsia="Times New Roman" w:hAnsi="Calibri" w:cs="Calibri"/>
                <w:color w:val="000000"/>
                <w:sz w:val="18"/>
                <w:szCs w:val="18"/>
                <w:lang w:eastAsia="en-GB"/>
              </w:rPr>
              <w:fldChar w:fldCharType="end"/>
            </w:r>
          </w:p>
        </w:tc>
        <w:tc>
          <w:tcPr>
            <w:tcW w:w="1129" w:type="dxa"/>
            <w:tcBorders>
              <w:top w:val="nil"/>
              <w:left w:val="nil"/>
              <w:bottom w:val="nil"/>
              <w:right w:val="nil"/>
            </w:tcBorders>
            <w:shd w:val="clear" w:color="000000" w:fill="FFFFFF"/>
            <w:hideMark/>
          </w:tcPr>
          <w:p w14:paraId="7B3449F4" w14:textId="77777777" w:rsidR="00F02A6E" w:rsidRPr="00F02A6E" w:rsidRDefault="00F02A6E" w:rsidP="00996D1C">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‎Bukit Merah‎</w:t>
            </w:r>
          </w:p>
        </w:tc>
        <w:tc>
          <w:tcPr>
            <w:tcW w:w="1070" w:type="dxa"/>
            <w:tcBorders>
              <w:top w:val="nil"/>
              <w:left w:val="nil"/>
              <w:bottom w:val="nil"/>
              <w:right w:val="nil"/>
            </w:tcBorders>
            <w:shd w:val="clear" w:color="auto" w:fill="auto"/>
            <w:hideMark/>
          </w:tcPr>
          <w:p w14:paraId="20060EA7" w14:textId="77777777" w:rsidR="00F02A6E" w:rsidRPr="00F02A6E" w:rsidRDefault="00F02A6E" w:rsidP="00996D1C">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Singapore</w:t>
            </w:r>
          </w:p>
        </w:tc>
        <w:tc>
          <w:tcPr>
            <w:tcW w:w="2330" w:type="dxa"/>
            <w:tcBorders>
              <w:top w:val="nil"/>
              <w:left w:val="nil"/>
              <w:bottom w:val="nil"/>
              <w:right w:val="nil"/>
            </w:tcBorders>
            <w:shd w:val="clear" w:color="000000" w:fill="FFFFFF"/>
            <w:hideMark/>
          </w:tcPr>
          <w:p w14:paraId="236CDDA2" w14:textId="6FA35AB3" w:rsidR="00F02A6E" w:rsidRPr="00F02A6E" w:rsidRDefault="00961514" w:rsidP="00996D1C">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auto" w:fill="auto"/>
            <w:vAlign w:val="center"/>
            <w:hideMark/>
          </w:tcPr>
          <w:p w14:paraId="227F55D6"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who had contact within two metres of the index case patient for a cumulative time of ≥15 minutes, or who had performed AGPs without appropriate PPE</w:t>
            </w:r>
          </w:p>
        </w:tc>
        <w:tc>
          <w:tcPr>
            <w:tcW w:w="1276" w:type="dxa"/>
            <w:tcBorders>
              <w:top w:val="nil"/>
              <w:left w:val="nil"/>
              <w:bottom w:val="single" w:sz="8" w:space="0" w:color="auto"/>
              <w:right w:val="nil"/>
            </w:tcBorders>
            <w:shd w:val="clear" w:color="000000" w:fill="FFFFFF"/>
            <w:vAlign w:val="center"/>
            <w:hideMark/>
          </w:tcPr>
          <w:p w14:paraId="0A0CBF3F"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w:t>
            </w:r>
          </w:p>
        </w:tc>
        <w:tc>
          <w:tcPr>
            <w:tcW w:w="1134" w:type="dxa"/>
            <w:tcBorders>
              <w:top w:val="nil"/>
              <w:left w:val="nil"/>
              <w:bottom w:val="single" w:sz="8" w:space="0" w:color="auto"/>
              <w:right w:val="nil"/>
            </w:tcBorders>
            <w:shd w:val="clear" w:color="000000" w:fill="FFFFFF"/>
            <w:vAlign w:val="center"/>
            <w:hideMark/>
          </w:tcPr>
          <w:p w14:paraId="261198D3"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0C208E54"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5</w:t>
            </w:r>
          </w:p>
        </w:tc>
        <w:tc>
          <w:tcPr>
            <w:tcW w:w="976" w:type="dxa"/>
            <w:tcBorders>
              <w:top w:val="nil"/>
              <w:left w:val="nil"/>
              <w:bottom w:val="single" w:sz="8" w:space="0" w:color="auto"/>
              <w:right w:val="nil"/>
            </w:tcBorders>
            <w:shd w:val="clear" w:color="000000" w:fill="FFFFFF"/>
            <w:vAlign w:val="center"/>
            <w:hideMark/>
          </w:tcPr>
          <w:p w14:paraId="5800DE6B"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126</w:t>
            </w:r>
          </w:p>
        </w:tc>
        <w:tc>
          <w:tcPr>
            <w:tcW w:w="992" w:type="dxa"/>
            <w:tcBorders>
              <w:top w:val="nil"/>
              <w:left w:val="nil"/>
              <w:bottom w:val="single" w:sz="8" w:space="0" w:color="auto"/>
              <w:right w:val="nil"/>
            </w:tcBorders>
            <w:shd w:val="clear" w:color="000000" w:fill="FFFFFF"/>
            <w:vAlign w:val="center"/>
            <w:hideMark/>
          </w:tcPr>
          <w:p w14:paraId="346187AA" w14:textId="544C15DB" w:rsidR="00F02A6E" w:rsidRPr="00F02A6E" w:rsidRDefault="00796B97"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7</w:t>
            </w:r>
            <w:r>
              <w:rPr>
                <w:rFonts w:ascii="Calibri" w:eastAsia="Times New Roman" w:hAnsi="Calibri" w:cs="Calibri"/>
                <w:color w:val="000000"/>
                <w:sz w:val="18"/>
                <w:szCs w:val="18"/>
                <w:lang w:eastAsia="en-GB"/>
              </w:rPr>
              <w:t>3</w:t>
            </w:r>
          </w:p>
        </w:tc>
        <w:tc>
          <w:tcPr>
            <w:tcW w:w="996" w:type="dxa"/>
            <w:tcBorders>
              <w:top w:val="nil"/>
              <w:left w:val="nil"/>
              <w:bottom w:val="single" w:sz="8" w:space="0" w:color="auto"/>
              <w:right w:val="nil"/>
            </w:tcBorders>
            <w:shd w:val="clear" w:color="000000" w:fill="FFFFFF"/>
            <w:vAlign w:val="center"/>
            <w:hideMark/>
          </w:tcPr>
          <w:p w14:paraId="1C9E419A"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36B48238" w14:textId="77777777" w:rsidTr="00CB478C">
        <w:trPr>
          <w:trHeight w:val="610"/>
        </w:trPr>
        <w:tc>
          <w:tcPr>
            <w:tcW w:w="993" w:type="dxa"/>
            <w:tcBorders>
              <w:top w:val="nil"/>
              <w:left w:val="nil"/>
              <w:bottom w:val="single" w:sz="8" w:space="0" w:color="auto"/>
              <w:right w:val="nil"/>
            </w:tcBorders>
            <w:vAlign w:val="center"/>
          </w:tcPr>
          <w:p w14:paraId="60165EC8"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16B8B452" w14:textId="2580FA7D" w:rsidR="00F02A6E" w:rsidRPr="00F02A6E" w:rsidRDefault="00F02A6E" w:rsidP="00B802CE">
            <w:pPr>
              <w:spacing w:after="0" w:line="240" w:lineRule="auto"/>
              <w:jc w:val="right"/>
              <w:rPr>
                <w:rFonts w:ascii="Calibri" w:eastAsia="Times New Roman" w:hAnsi="Calibri" w:cs="Calibri"/>
                <w:color w:val="000000"/>
                <w:sz w:val="18"/>
                <w:szCs w:val="18"/>
                <w:lang w:eastAsia="en-GB"/>
              </w:rPr>
            </w:pPr>
          </w:p>
        </w:tc>
        <w:tc>
          <w:tcPr>
            <w:tcW w:w="1129" w:type="dxa"/>
            <w:tcBorders>
              <w:top w:val="nil"/>
              <w:left w:val="nil"/>
              <w:bottom w:val="single" w:sz="8" w:space="0" w:color="auto"/>
              <w:right w:val="nil"/>
            </w:tcBorders>
            <w:shd w:val="clear" w:color="000000" w:fill="FFFFFF"/>
            <w:vAlign w:val="center"/>
            <w:hideMark/>
          </w:tcPr>
          <w:p w14:paraId="46EA5E4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070" w:type="dxa"/>
            <w:tcBorders>
              <w:top w:val="nil"/>
              <w:left w:val="nil"/>
              <w:bottom w:val="single" w:sz="8" w:space="0" w:color="auto"/>
              <w:right w:val="nil"/>
            </w:tcBorders>
            <w:shd w:val="clear" w:color="auto" w:fill="auto"/>
            <w:vAlign w:val="center"/>
            <w:hideMark/>
          </w:tcPr>
          <w:p w14:paraId="282F448D"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p>
        </w:tc>
        <w:tc>
          <w:tcPr>
            <w:tcW w:w="2330" w:type="dxa"/>
            <w:tcBorders>
              <w:top w:val="nil"/>
              <w:left w:val="nil"/>
              <w:bottom w:val="single" w:sz="8" w:space="0" w:color="auto"/>
              <w:right w:val="nil"/>
            </w:tcBorders>
            <w:shd w:val="clear" w:color="000000" w:fill="FFFFFF"/>
            <w:vAlign w:val="center"/>
            <w:hideMark/>
          </w:tcPr>
          <w:p w14:paraId="386593A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975" w:type="dxa"/>
            <w:tcBorders>
              <w:top w:val="nil"/>
              <w:left w:val="nil"/>
              <w:bottom w:val="single" w:sz="8" w:space="0" w:color="auto"/>
              <w:right w:val="nil"/>
            </w:tcBorders>
            <w:shd w:val="clear" w:color="000000" w:fill="FFFFFF"/>
            <w:vAlign w:val="center"/>
            <w:hideMark/>
          </w:tcPr>
          <w:p w14:paraId="2BDDB9D2"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Patients sharing the same cubicle as a confirmed patient index case</w:t>
            </w:r>
          </w:p>
        </w:tc>
        <w:tc>
          <w:tcPr>
            <w:tcW w:w="1276" w:type="dxa"/>
            <w:tcBorders>
              <w:top w:val="nil"/>
              <w:left w:val="nil"/>
              <w:bottom w:val="single" w:sz="8" w:space="0" w:color="auto"/>
              <w:right w:val="nil"/>
            </w:tcBorders>
            <w:shd w:val="clear" w:color="000000" w:fill="FFFFFF"/>
            <w:vAlign w:val="center"/>
            <w:hideMark/>
          </w:tcPr>
          <w:p w14:paraId="742E6C73"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34037CB4"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04D3C1D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5</w:t>
            </w:r>
          </w:p>
        </w:tc>
        <w:tc>
          <w:tcPr>
            <w:tcW w:w="976" w:type="dxa"/>
            <w:tcBorders>
              <w:top w:val="nil"/>
              <w:left w:val="nil"/>
              <w:bottom w:val="single" w:sz="8" w:space="0" w:color="auto"/>
              <w:right w:val="nil"/>
            </w:tcBorders>
            <w:shd w:val="clear" w:color="000000" w:fill="FFFFFF"/>
            <w:vAlign w:val="center"/>
            <w:hideMark/>
          </w:tcPr>
          <w:p w14:paraId="4AC0DEC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13</w:t>
            </w:r>
          </w:p>
        </w:tc>
        <w:tc>
          <w:tcPr>
            <w:tcW w:w="992" w:type="dxa"/>
            <w:tcBorders>
              <w:top w:val="nil"/>
              <w:left w:val="nil"/>
              <w:bottom w:val="single" w:sz="8" w:space="0" w:color="auto"/>
              <w:right w:val="nil"/>
            </w:tcBorders>
            <w:shd w:val="clear" w:color="000000" w:fill="FFFFFF"/>
            <w:vAlign w:val="center"/>
            <w:hideMark/>
          </w:tcPr>
          <w:p w14:paraId="64303C0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13</w:t>
            </w:r>
          </w:p>
        </w:tc>
        <w:tc>
          <w:tcPr>
            <w:tcW w:w="996" w:type="dxa"/>
            <w:tcBorders>
              <w:top w:val="nil"/>
              <w:left w:val="nil"/>
              <w:bottom w:val="single" w:sz="8" w:space="0" w:color="auto"/>
              <w:right w:val="nil"/>
            </w:tcBorders>
            <w:shd w:val="clear" w:color="000000" w:fill="FFFFFF"/>
            <w:vAlign w:val="center"/>
            <w:hideMark/>
          </w:tcPr>
          <w:p w14:paraId="297CE04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r>
      <w:tr w:rsidR="000F13C3" w:rsidRPr="00F6420B" w14:paraId="3BD7787F" w14:textId="77777777" w:rsidTr="00CB478C">
        <w:trPr>
          <w:trHeight w:val="1269"/>
        </w:trPr>
        <w:tc>
          <w:tcPr>
            <w:tcW w:w="993" w:type="dxa"/>
            <w:tcBorders>
              <w:top w:val="single" w:sz="8" w:space="0" w:color="auto"/>
              <w:left w:val="nil"/>
              <w:bottom w:val="nil"/>
              <w:right w:val="nil"/>
            </w:tcBorders>
          </w:tcPr>
          <w:p w14:paraId="312A4954" w14:textId="77777777" w:rsidR="00F02A6E" w:rsidRPr="00F02A6E" w:rsidRDefault="00F02A6E" w:rsidP="00960467">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nil"/>
              <w:right w:val="nil"/>
            </w:tcBorders>
            <w:shd w:val="clear" w:color="auto" w:fill="auto"/>
            <w:hideMark/>
          </w:tcPr>
          <w:p w14:paraId="45F47F4D" w14:textId="0D8A55C1" w:rsidR="00F02A6E" w:rsidRPr="00F02A6E" w:rsidRDefault="00F02A6E" w:rsidP="00996D1C">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Wee et al</w:t>
            </w:r>
            <w:r w:rsidR="00924141">
              <w:rPr>
                <w:rFonts w:ascii="Calibri" w:eastAsia="Times New Roman" w:hAnsi="Calibri" w:cs="Calibri"/>
                <w:color w:val="000000"/>
                <w:sz w:val="18"/>
                <w:szCs w:val="18"/>
                <w:lang w:eastAsia="en-GB"/>
              </w:rPr>
              <w:t xml:space="preserve"> </w:t>
            </w:r>
            <w:r w:rsidR="00924141">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{"citationItems":[{"id":"ITEM-1","itemData":{"DOI":"10.1016/j.ajic.2020.06.188","ISBN":"1527-3296\r0196-6553","PMID":"32599101","abstract":"BACKGROUND: During an ongoing outbreak of COVID-19, unsuspected cases may be housed outside of dedicated isolation wards. AIM: At a Singaporean tertiary hospital, individuals with clinical syndromes compatible with COVID-19 but no epidemiologic risk were placed in cohorted general wards for COVID-19 testing. To mitigate risk, an infection control bundle was implemented comprising infrastructural enhancements, improved personal protective equipment, and social distancing. We assessed the impact on environmental contamination and transmission. METHODS: Upon detection of a case of COVID-19 in the dedicated general ward, patients and health care workers (HCWs) contacts were identified. All patient and staff close-contacts were placed on 14-day phone surveillance and followed up for 28 days; symptomatic contacts were tested. Environmental samples were also obtained. FINDINGS: Over a 3-month period, 28 unsuspected cases of COVID-19 were contained in the dedicated general ward. In 5 of the 28 cases, sampling of the patient's environment yielded SARS-CoV-2; index cases who required supplemental oxygen had higher odds of environmental contamination (P = .01). A total of 253 staff close-contacts and 45 patient close-contacts were identified; only 3 HCWs (1.2%, 3/253) required quarantine. On 28-day follow-up, no patient-to-HCW transmission was documented; only 1 symptomatic patient close-contact tested positive. CONCLUSIONS: Our institution successfully implemented an intervention bundle to mitigate COVID-19 transmission in a multibedded cohorted general ward setting.","author":[{"dropping-particle":"","family":"Wee","given":"Liang En Ian","non-dropping-particle":"","parse-names":false,"suffix":""},{"dropping-particle":"","family":"Sim","given":"Xiang Ying Jean","non-dropping-particle":"","parse-names":false,"suffix":""},{"dropping-particle":"","family":"Conceicao","given":"Edwin Philip","non-dropping-particle":"","parse-names":false,"suffix":""},{"dropping-particle":"","family":"Aung","given":"May Kyawt","non-dropping-particle":"","parse-names":false,"suffix":""},{"dropping-particle":"","family":"Tan","given":"Kwee Yuen","non-dropping-particle":"","parse-names":false,"suffix":""},{"dropping-particle":"","family":"Ko","given":"Kwan Ki Karrie","non-dropping-particle":"","parse-names":false,"suffix":""},{"dropping-particle":"","family":"Wong","given":"Hei Man","non-dropping-particle":"","parse-names":false,"suffix":""},{"dropping-particle":"","family":"Wijaya","given":"Limin","non-dropping-particle":"","parse-names":false,"suffix":""},{"dropping-particle":"","family":"Tan","given":"Ban Hock","non-dropping-particle":"","parse-names":false,"suffix":""},{"dropping-particle":"","family":"Venkatachalam","given":"Indumathi","non-dropping-particle":"","parse-names":false,"suffix":""},{"dropping-particle":"","family":"Ling","given":"Moi Lin","non-dropping-particle":"","parse-names":false,"suffix":""}],"container-title":"American journal of infection control","id":"ITEM-1","issued":{"date-parts":[["2020"]]},"language":"eng","note":"32599101[pmid]\nPMC7319619[pmcid]\nS0196-6553(20)30569-1[PII]","page":"S0196-6553(20)30569-1","publisher":"Association for Professionals in Infection Control and Epidemiology, Inc. Published by Elsevier Inc.","title":"Containing COVID-19 outside the isolation ward: The impact of an infection control bundle on environmental contamination and transmission in a cohorted general ward","type":"article-journal"},"uris":["http://www.mendeley.com/documents/?uuid=1e435184-a0ac-4cc9-afd9-7fba3a8c5d60"]}],"mendeley":{"formattedCitation":"[83]","plainTextFormattedCitation":"[83]","previouslyFormattedCitation":"[85]"},"properties":{"noteIndex":0},"schema":"https://github.com/citation-style-language/schema/raw/master/csl-citation.json"}</w:instrText>
            </w:r>
            <w:r w:rsidR="00924141">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[83]</w:t>
            </w:r>
            <w:r w:rsidR="00924141">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nil"/>
              <w:right w:val="nil"/>
            </w:tcBorders>
            <w:shd w:val="clear" w:color="000000" w:fill="FFFFFF"/>
            <w:hideMark/>
          </w:tcPr>
          <w:p w14:paraId="4FC48876" w14:textId="05EF5F95" w:rsidR="00F02A6E" w:rsidRPr="00F02A6E" w:rsidRDefault="008A54F3" w:rsidP="00996D1C">
            <w:pPr>
              <w:spacing w:after="0" w:line="240" w:lineRule="auto"/>
              <w:rPr>
                <w:rFonts w:ascii="Calibri" w:eastAsia="Times New Roman" w:hAnsi="Calibri" w:cs="Calibri"/>
                <w:color w:val="000000"/>
                <w:sz w:val="18"/>
                <w:szCs w:val="18"/>
                <w:lang w:eastAsia="en-GB"/>
              </w:rPr>
            </w:pPr>
            <w:r w:rsidRPr="008A54F3">
              <w:rPr>
                <w:rFonts w:ascii="Calibri" w:eastAsia="Times New Roman" w:hAnsi="Calibri" w:cs="Calibri"/>
                <w:color w:val="000000"/>
                <w:sz w:val="18"/>
                <w:szCs w:val="18"/>
                <w:lang w:eastAsia="en-GB"/>
              </w:rPr>
              <w:t>Bukit Merah</w:t>
            </w:r>
          </w:p>
        </w:tc>
        <w:tc>
          <w:tcPr>
            <w:tcW w:w="1070" w:type="dxa"/>
            <w:tcBorders>
              <w:top w:val="single" w:sz="8" w:space="0" w:color="auto"/>
              <w:left w:val="nil"/>
              <w:bottom w:val="nil"/>
              <w:right w:val="nil"/>
            </w:tcBorders>
            <w:shd w:val="clear" w:color="000000" w:fill="FFFFFF"/>
            <w:hideMark/>
          </w:tcPr>
          <w:p w14:paraId="41B3E864" w14:textId="77777777" w:rsidR="00F02A6E" w:rsidRPr="00F02A6E" w:rsidRDefault="00F02A6E" w:rsidP="00996D1C">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Singapore</w:t>
            </w:r>
          </w:p>
        </w:tc>
        <w:tc>
          <w:tcPr>
            <w:tcW w:w="2330" w:type="dxa"/>
            <w:tcBorders>
              <w:top w:val="single" w:sz="8" w:space="0" w:color="auto"/>
              <w:left w:val="nil"/>
              <w:bottom w:val="nil"/>
              <w:right w:val="nil"/>
            </w:tcBorders>
            <w:shd w:val="clear" w:color="000000" w:fill="FFFFFF"/>
            <w:hideMark/>
          </w:tcPr>
          <w:p w14:paraId="2DE70FC8" w14:textId="77777777" w:rsidR="00F02A6E" w:rsidRPr="00F02A6E" w:rsidRDefault="00F02A6E" w:rsidP="00996D1C">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auto" w:fill="auto"/>
            <w:vAlign w:val="center"/>
            <w:hideMark/>
          </w:tcPr>
          <w:p w14:paraId="14554220"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who had contact within two metres of the index case for a cumulative time of ≥15 minutes, or who had performed AGPs without appropriate PPE</w:t>
            </w:r>
          </w:p>
        </w:tc>
        <w:tc>
          <w:tcPr>
            <w:tcW w:w="1276" w:type="dxa"/>
            <w:tcBorders>
              <w:top w:val="nil"/>
              <w:left w:val="nil"/>
              <w:bottom w:val="single" w:sz="8" w:space="0" w:color="auto"/>
              <w:right w:val="nil"/>
            </w:tcBorders>
            <w:shd w:val="clear" w:color="000000" w:fill="FFFFFF"/>
            <w:vAlign w:val="center"/>
            <w:hideMark/>
          </w:tcPr>
          <w:p w14:paraId="25D690A1"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w:t>
            </w:r>
          </w:p>
        </w:tc>
        <w:tc>
          <w:tcPr>
            <w:tcW w:w="1134" w:type="dxa"/>
            <w:tcBorders>
              <w:top w:val="nil"/>
              <w:left w:val="nil"/>
              <w:bottom w:val="single" w:sz="8" w:space="0" w:color="auto"/>
              <w:right w:val="nil"/>
            </w:tcBorders>
            <w:shd w:val="clear" w:color="000000" w:fill="FFFFFF"/>
            <w:vAlign w:val="center"/>
            <w:hideMark/>
          </w:tcPr>
          <w:p w14:paraId="33774383"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0165B5F6"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28</w:t>
            </w:r>
          </w:p>
        </w:tc>
        <w:tc>
          <w:tcPr>
            <w:tcW w:w="976" w:type="dxa"/>
            <w:tcBorders>
              <w:top w:val="nil"/>
              <w:left w:val="nil"/>
              <w:bottom w:val="single" w:sz="8" w:space="0" w:color="auto"/>
              <w:right w:val="nil"/>
            </w:tcBorders>
            <w:shd w:val="clear" w:color="000000" w:fill="FFFFFF"/>
            <w:vAlign w:val="center"/>
            <w:hideMark/>
          </w:tcPr>
          <w:p w14:paraId="360248C7"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253</w:t>
            </w:r>
          </w:p>
        </w:tc>
        <w:tc>
          <w:tcPr>
            <w:tcW w:w="992" w:type="dxa"/>
            <w:tcBorders>
              <w:top w:val="nil"/>
              <w:left w:val="nil"/>
              <w:bottom w:val="single" w:sz="8" w:space="0" w:color="auto"/>
              <w:right w:val="nil"/>
            </w:tcBorders>
            <w:shd w:val="clear" w:color="000000" w:fill="FFFFFF"/>
            <w:vAlign w:val="center"/>
            <w:hideMark/>
          </w:tcPr>
          <w:p w14:paraId="10AECCCB"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132</w:t>
            </w:r>
          </w:p>
        </w:tc>
        <w:tc>
          <w:tcPr>
            <w:tcW w:w="996" w:type="dxa"/>
            <w:tcBorders>
              <w:top w:val="nil"/>
              <w:left w:val="nil"/>
              <w:bottom w:val="single" w:sz="8" w:space="0" w:color="auto"/>
              <w:right w:val="nil"/>
            </w:tcBorders>
            <w:shd w:val="clear" w:color="000000" w:fill="FFFFFF"/>
            <w:vAlign w:val="center"/>
            <w:hideMark/>
          </w:tcPr>
          <w:p w14:paraId="1CF3462A"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44833642" w14:textId="77777777" w:rsidTr="00CB478C">
        <w:trPr>
          <w:trHeight w:val="406"/>
        </w:trPr>
        <w:tc>
          <w:tcPr>
            <w:tcW w:w="993" w:type="dxa"/>
            <w:tcBorders>
              <w:top w:val="nil"/>
              <w:left w:val="nil"/>
              <w:bottom w:val="single" w:sz="8" w:space="0" w:color="auto"/>
              <w:right w:val="nil"/>
            </w:tcBorders>
            <w:vAlign w:val="center"/>
          </w:tcPr>
          <w:p w14:paraId="2E1F1BE4"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nil"/>
              <w:left w:val="nil"/>
              <w:bottom w:val="single" w:sz="8" w:space="0" w:color="auto"/>
              <w:right w:val="nil"/>
            </w:tcBorders>
            <w:shd w:val="clear" w:color="auto" w:fill="auto"/>
            <w:vAlign w:val="center"/>
            <w:hideMark/>
          </w:tcPr>
          <w:p w14:paraId="543685AA" w14:textId="6704618C" w:rsidR="00F02A6E" w:rsidRPr="00F02A6E" w:rsidRDefault="00F02A6E" w:rsidP="00B802CE">
            <w:pPr>
              <w:spacing w:after="0" w:line="240" w:lineRule="auto"/>
              <w:jc w:val="right"/>
              <w:rPr>
                <w:rFonts w:ascii="Calibri" w:eastAsia="Times New Roman" w:hAnsi="Calibri" w:cs="Calibri"/>
                <w:color w:val="000000"/>
                <w:sz w:val="18"/>
                <w:szCs w:val="18"/>
                <w:lang w:eastAsia="en-GB"/>
              </w:rPr>
            </w:pPr>
          </w:p>
        </w:tc>
        <w:tc>
          <w:tcPr>
            <w:tcW w:w="1129" w:type="dxa"/>
            <w:tcBorders>
              <w:top w:val="nil"/>
              <w:left w:val="nil"/>
              <w:bottom w:val="single" w:sz="8" w:space="0" w:color="auto"/>
              <w:right w:val="nil"/>
            </w:tcBorders>
            <w:shd w:val="clear" w:color="000000" w:fill="FFFFFF"/>
            <w:vAlign w:val="center"/>
            <w:hideMark/>
          </w:tcPr>
          <w:p w14:paraId="4AB2A951"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070" w:type="dxa"/>
            <w:tcBorders>
              <w:top w:val="nil"/>
              <w:left w:val="nil"/>
              <w:bottom w:val="single" w:sz="8" w:space="0" w:color="auto"/>
              <w:right w:val="nil"/>
            </w:tcBorders>
            <w:shd w:val="clear" w:color="000000" w:fill="FFFFFF"/>
            <w:vAlign w:val="center"/>
            <w:hideMark/>
          </w:tcPr>
          <w:p w14:paraId="43166B1B"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330" w:type="dxa"/>
            <w:tcBorders>
              <w:top w:val="nil"/>
              <w:left w:val="nil"/>
              <w:bottom w:val="single" w:sz="8" w:space="0" w:color="auto"/>
              <w:right w:val="nil"/>
            </w:tcBorders>
            <w:shd w:val="clear" w:color="000000" w:fill="FFFFFF"/>
            <w:vAlign w:val="center"/>
            <w:hideMark/>
          </w:tcPr>
          <w:p w14:paraId="4E17CD1D"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975" w:type="dxa"/>
            <w:tcBorders>
              <w:top w:val="single" w:sz="8" w:space="0" w:color="auto"/>
              <w:left w:val="nil"/>
              <w:bottom w:val="single" w:sz="8" w:space="0" w:color="auto"/>
              <w:right w:val="nil"/>
            </w:tcBorders>
            <w:shd w:val="clear" w:color="000000" w:fill="FFFFFF"/>
            <w:vAlign w:val="center"/>
            <w:hideMark/>
          </w:tcPr>
          <w:p w14:paraId="0224B75E"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Patients sharing the same cubicle as a confirmed case</w:t>
            </w:r>
          </w:p>
        </w:tc>
        <w:tc>
          <w:tcPr>
            <w:tcW w:w="1276" w:type="dxa"/>
            <w:tcBorders>
              <w:top w:val="single" w:sz="8" w:space="0" w:color="auto"/>
              <w:left w:val="nil"/>
              <w:bottom w:val="single" w:sz="8" w:space="0" w:color="auto"/>
              <w:right w:val="nil"/>
            </w:tcBorders>
            <w:shd w:val="clear" w:color="000000" w:fill="FFFFFF"/>
            <w:vAlign w:val="center"/>
            <w:hideMark/>
          </w:tcPr>
          <w:p w14:paraId="559B3EDB"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w:t>
            </w:r>
          </w:p>
        </w:tc>
        <w:tc>
          <w:tcPr>
            <w:tcW w:w="1134" w:type="dxa"/>
            <w:tcBorders>
              <w:top w:val="single" w:sz="8" w:space="0" w:color="auto"/>
              <w:left w:val="nil"/>
              <w:bottom w:val="single" w:sz="8" w:space="0" w:color="auto"/>
              <w:right w:val="nil"/>
            </w:tcBorders>
            <w:shd w:val="clear" w:color="000000" w:fill="FFFFFF"/>
            <w:vAlign w:val="center"/>
            <w:hideMark/>
          </w:tcPr>
          <w:p w14:paraId="3FC729C2"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vAlign w:val="center"/>
            <w:hideMark/>
          </w:tcPr>
          <w:p w14:paraId="5699CBEB"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28</w:t>
            </w:r>
          </w:p>
        </w:tc>
        <w:tc>
          <w:tcPr>
            <w:tcW w:w="976" w:type="dxa"/>
            <w:tcBorders>
              <w:top w:val="single" w:sz="8" w:space="0" w:color="auto"/>
              <w:left w:val="nil"/>
              <w:bottom w:val="single" w:sz="8" w:space="0" w:color="auto"/>
              <w:right w:val="nil"/>
            </w:tcBorders>
            <w:shd w:val="clear" w:color="000000" w:fill="FFFFFF"/>
            <w:vAlign w:val="center"/>
            <w:hideMark/>
          </w:tcPr>
          <w:p w14:paraId="6530EB6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45</w:t>
            </w:r>
          </w:p>
        </w:tc>
        <w:tc>
          <w:tcPr>
            <w:tcW w:w="992" w:type="dxa"/>
            <w:tcBorders>
              <w:top w:val="single" w:sz="8" w:space="0" w:color="auto"/>
              <w:left w:val="nil"/>
              <w:bottom w:val="single" w:sz="8" w:space="0" w:color="auto"/>
              <w:right w:val="nil"/>
            </w:tcBorders>
            <w:shd w:val="clear" w:color="000000" w:fill="FFFFFF"/>
            <w:vAlign w:val="center"/>
            <w:hideMark/>
          </w:tcPr>
          <w:p w14:paraId="20C3EA5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24</w:t>
            </w:r>
          </w:p>
        </w:tc>
        <w:tc>
          <w:tcPr>
            <w:tcW w:w="996" w:type="dxa"/>
            <w:tcBorders>
              <w:top w:val="single" w:sz="8" w:space="0" w:color="auto"/>
              <w:left w:val="nil"/>
              <w:bottom w:val="single" w:sz="8" w:space="0" w:color="auto"/>
              <w:right w:val="nil"/>
            </w:tcBorders>
            <w:shd w:val="clear" w:color="000000" w:fill="FFFFFF"/>
            <w:vAlign w:val="center"/>
            <w:hideMark/>
          </w:tcPr>
          <w:p w14:paraId="17020B96"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r>
      <w:tr w:rsidR="000F13C3" w:rsidRPr="00F6420B" w14:paraId="2126035F" w14:textId="77777777" w:rsidTr="00CB478C">
        <w:trPr>
          <w:trHeight w:val="1256"/>
        </w:trPr>
        <w:tc>
          <w:tcPr>
            <w:tcW w:w="993" w:type="dxa"/>
            <w:tcBorders>
              <w:top w:val="single" w:sz="8" w:space="0" w:color="auto"/>
              <w:left w:val="nil"/>
              <w:bottom w:val="single" w:sz="8" w:space="0" w:color="auto"/>
              <w:right w:val="nil"/>
            </w:tcBorders>
          </w:tcPr>
          <w:p w14:paraId="1E6237D2" w14:textId="77777777" w:rsidR="00F02A6E" w:rsidRPr="00F02A6E" w:rsidRDefault="00F02A6E" w:rsidP="00960467">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single" w:sz="8" w:space="0" w:color="auto"/>
              <w:right w:val="nil"/>
            </w:tcBorders>
            <w:shd w:val="clear" w:color="auto" w:fill="auto"/>
            <w:hideMark/>
          </w:tcPr>
          <w:p w14:paraId="78C567BA" w14:textId="1A7AA7E1" w:rsidR="00F02A6E" w:rsidRPr="00F02A6E" w:rsidRDefault="00F02A6E" w:rsidP="00960467">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Wee et al</w:t>
            </w:r>
            <w:r w:rsidR="008B15B3">
              <w:rPr>
                <w:rFonts w:ascii="Calibri" w:eastAsia="Times New Roman" w:hAnsi="Calibri" w:cs="Calibri"/>
                <w:color w:val="000000"/>
                <w:sz w:val="18"/>
                <w:szCs w:val="18"/>
                <w:lang w:eastAsia="en-GB"/>
              </w:rPr>
              <w:t xml:space="preserve"> </w:t>
            </w:r>
            <w:r w:rsidR="00E91E13">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{"citationItems":[{"id":"ITEM-1","itemData":{"DOI":"10.1017/ice.2020.219","ISBN":"0899-823X (Print)\r0899-823x","PMID":"32391746","abstract":"OBJECTIVE: Staff surveillance is crucial during the containment phase of a pandemic to help reduce potential healthcare-associated transmission and sustain good staff morale. During an outbreak of SARS-COV-2 with community transmission, our institution used an integrated strategy for early detection and containment of COVID-19 cases among healthcare workers (HCWs). METHODS: Our strategy comprised 3 key components: (1) enforcing reporting of HCWs with acute respiratory illness (ARI) to our institution's staff clinic for monitoring; (2) conducting ongoing syndromic surveillance to obtain early warning of potential clusters of COVID-19; and (3) outbreak investigation and management. RESULTS: Over a 16-week surveillance period, we detected 14 cases of COVID-19 among HCWs with ARI symptoms. Two of the cases were linked epidemiologically and thus constituted a COVID-19 cluster with intrahospital HCW-HCW transmission; we also detected 1 family cluster and 2 clusters among HCWs who shared accommodation. No transmission to HCWs or patients was detected after containment measures were instituted. Early detection minimized the number of HCWs requiring quarantine, hence preserving continuity of service during an ongoing pandemic. CONCLUSIONS: An integrated surveillance strategy, outbreak management, and encouraging individual responsibility were successful in early detection of clusters of COVID-19 among HCWs. With ongoing local transmission, vigilance must be maintained for intrahospital spread in nonclinical areas where social mingling of HCWs occurs. Because most individuals with COVID-19 have mild symptoms, addressing presenteeism is crucial to minimize potential staff and patient exposure.","author":[{"dropping-particle":"","family":"Wee","given":"L E","non-dropping-particle":"","parse-names":false,"suffix":""},{"dropping-particle":"","family":"Sim","given":"X Y J","non-dropping-particle":"","parse-names":false,"suffix":""},{"dropping-particle":"","family":"Conceicao","given":"E P","non-dropping-particle":"","parse-names":false,"suffix":""},{"dropping-particle":"","family":"Aung","given":"M K","non-dropping-particle":"","parse-names":false,"suffix":""},{"dropping-particle":"","family":"Goh","given":"J Q","non-dropping-particle":"","parse-names":false,"suffix":""},{"dropping-particle":"","family":"Yeo","given":"D W T","non-dropping-particle":"","parse-names":false,"suffix":""},{"dropping-particle":"","family":"Gan","given":"W H","non-dropping-particle":"","parse-names":false,"suffix":""},{"dropping-particle":"","family":"Chua","given":"Y Y","non-dropping-particle":"","parse-names":false,"suffix":""},{"dropping-particle":"","family":"Wijaya","given":"L","non-dropping-particle":"","parse-names":false,"suffix":""},{"dropping-particle":"","family":"Tan","given":"T T","non-dropping-particle":"","parse-names":false,"suffix":""},{"dropping-particle":"","family":"Tan","given":"B H","non-dropping-particle":"","parse-names":false,"suffix":""},{"dropping-particle":"","family":"Ling","given":"M L","non-dropping-particle":"","parse-names":false,"suffix":""},{"dropping-particle":"","family":"Venkatachalam","given":"I","non-dropping-particle":"","parse-names":false,"suffix":""}],"container-title":"Infect Control Hosp Epidemiol","edition":"2020/05/12","id":"ITEM-1","issued":{"date-parts":[["2020"]]},"language":"eng","note":"1559-6834\nWee, Liang En\nOrcid: 0000-0001-6428-9999\nSim, Xiang Ying Jean\nConceicao, Edwin Philip\nAung, May Kyawt\nGoh, Jia Qing\nYeo, Dennis Wu Ting\nGan, Wee Hoe\nChua, Ying Ying\nWijaya, Limin\nTan, Thuan Tong\nTan, Ban Hock\nLing, Moi Lin\nVenkatachalam, Indumathi\nJournal Article\nInfect Control Hosp Epidemiol. 2020 May 11:1-7. doi: 10.1017/ice.2020.219.","page":"1-7","title":"Containment of COVID-19 cases among healthcare workers: The role of surveillance, early detection, and outbreak management","type":"article-journal"},"uris":["http://www.mendeley.com/documents/?uuid=7264eb59-12ab-425f-b125-e925ade237c3"]}],"mendeley":{"formattedCitation":"[84]","plainTextFormattedCitation":"[84]","previouslyFormattedCitation":"[86]"},"properties":{"noteIndex":0},"schema":"https://github.com/citation-style-language/schema/raw/master/csl-citation.json"}</w:instrText>
            </w:r>
            <w:r w:rsidR="00E91E13">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[84]</w:t>
            </w:r>
            <w:r w:rsidR="00E91E13">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single" w:sz="8" w:space="0" w:color="auto"/>
              <w:right w:val="nil"/>
            </w:tcBorders>
            <w:shd w:val="clear" w:color="000000" w:fill="FFFFFF"/>
            <w:hideMark/>
          </w:tcPr>
          <w:p w14:paraId="48293E09" w14:textId="4B32959E" w:rsidR="00F02A6E" w:rsidRPr="00F02A6E" w:rsidRDefault="008A54F3" w:rsidP="00960467">
            <w:pPr>
              <w:spacing w:after="0" w:line="240" w:lineRule="auto"/>
              <w:rPr>
                <w:rFonts w:ascii="Calibri" w:eastAsia="Times New Roman" w:hAnsi="Calibri" w:cs="Calibri"/>
                <w:color w:val="000000"/>
                <w:sz w:val="18"/>
                <w:szCs w:val="18"/>
                <w:lang w:eastAsia="en-GB"/>
              </w:rPr>
            </w:pPr>
            <w:r w:rsidRPr="008A54F3">
              <w:rPr>
                <w:rFonts w:ascii="Calibri" w:eastAsia="Times New Roman" w:hAnsi="Calibri" w:cs="Calibri"/>
                <w:color w:val="000000"/>
                <w:sz w:val="18"/>
                <w:szCs w:val="18"/>
                <w:lang w:eastAsia="en-GB"/>
              </w:rPr>
              <w:t>Bukit Merah</w:t>
            </w:r>
          </w:p>
        </w:tc>
        <w:tc>
          <w:tcPr>
            <w:tcW w:w="1070" w:type="dxa"/>
            <w:tcBorders>
              <w:top w:val="single" w:sz="8" w:space="0" w:color="auto"/>
              <w:left w:val="nil"/>
              <w:bottom w:val="single" w:sz="8" w:space="0" w:color="auto"/>
              <w:right w:val="nil"/>
            </w:tcBorders>
            <w:shd w:val="clear" w:color="000000" w:fill="FFFFFF"/>
            <w:hideMark/>
          </w:tcPr>
          <w:p w14:paraId="713DB5A9" w14:textId="77777777" w:rsidR="00F02A6E" w:rsidRPr="00F02A6E" w:rsidRDefault="00F02A6E" w:rsidP="00960467">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Singapore</w:t>
            </w:r>
          </w:p>
        </w:tc>
        <w:tc>
          <w:tcPr>
            <w:tcW w:w="2330" w:type="dxa"/>
            <w:tcBorders>
              <w:top w:val="single" w:sz="8" w:space="0" w:color="auto"/>
              <w:left w:val="nil"/>
              <w:bottom w:val="single" w:sz="8" w:space="0" w:color="auto"/>
              <w:right w:val="nil"/>
            </w:tcBorders>
            <w:shd w:val="clear" w:color="000000" w:fill="FFFFFF"/>
            <w:hideMark/>
          </w:tcPr>
          <w:p w14:paraId="676EFECA" w14:textId="77777777" w:rsidR="00F02A6E" w:rsidRPr="00F02A6E" w:rsidRDefault="00F02A6E" w:rsidP="00960467">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single" w:sz="8" w:space="0" w:color="auto"/>
              <w:left w:val="nil"/>
              <w:bottom w:val="single" w:sz="4" w:space="0" w:color="auto"/>
              <w:right w:val="nil"/>
            </w:tcBorders>
            <w:shd w:val="clear" w:color="auto" w:fill="auto"/>
            <w:vAlign w:val="center"/>
            <w:hideMark/>
          </w:tcPr>
          <w:p w14:paraId="283188E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and patients who had contact within two metres of the index case for a cumulative time of ≥15 minutes, or who had performed AGPs without appropriate PPE</w:t>
            </w:r>
          </w:p>
        </w:tc>
        <w:tc>
          <w:tcPr>
            <w:tcW w:w="1276" w:type="dxa"/>
            <w:tcBorders>
              <w:top w:val="single" w:sz="8" w:space="0" w:color="auto"/>
              <w:left w:val="nil"/>
              <w:bottom w:val="single" w:sz="4" w:space="0" w:color="auto"/>
              <w:right w:val="nil"/>
            </w:tcBorders>
            <w:shd w:val="clear" w:color="000000" w:fill="FFFFFF"/>
            <w:vAlign w:val="center"/>
            <w:hideMark/>
          </w:tcPr>
          <w:p w14:paraId="0F5D4FD3"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w:t>
            </w:r>
          </w:p>
        </w:tc>
        <w:tc>
          <w:tcPr>
            <w:tcW w:w="1134" w:type="dxa"/>
            <w:tcBorders>
              <w:top w:val="single" w:sz="8" w:space="0" w:color="auto"/>
              <w:left w:val="nil"/>
              <w:bottom w:val="single" w:sz="4" w:space="0" w:color="auto"/>
              <w:right w:val="nil"/>
            </w:tcBorders>
            <w:shd w:val="clear" w:color="000000" w:fill="FFFFFF"/>
            <w:vAlign w:val="center"/>
            <w:hideMark/>
          </w:tcPr>
          <w:p w14:paraId="09CBFF96"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single" w:sz="8" w:space="0" w:color="auto"/>
              <w:left w:val="nil"/>
              <w:bottom w:val="single" w:sz="4" w:space="0" w:color="auto"/>
              <w:right w:val="nil"/>
            </w:tcBorders>
            <w:shd w:val="clear" w:color="000000" w:fill="FFFFFF"/>
            <w:vAlign w:val="center"/>
            <w:hideMark/>
          </w:tcPr>
          <w:p w14:paraId="7218DE3A"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14</w:t>
            </w:r>
          </w:p>
        </w:tc>
        <w:tc>
          <w:tcPr>
            <w:tcW w:w="976" w:type="dxa"/>
            <w:tcBorders>
              <w:top w:val="single" w:sz="8" w:space="0" w:color="auto"/>
              <w:left w:val="nil"/>
              <w:bottom w:val="single" w:sz="4" w:space="0" w:color="auto"/>
              <w:right w:val="nil"/>
            </w:tcBorders>
            <w:shd w:val="clear" w:color="000000" w:fill="FFFFFF"/>
            <w:vAlign w:val="center"/>
            <w:hideMark/>
          </w:tcPr>
          <w:p w14:paraId="3F1254E0"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148</w:t>
            </w:r>
          </w:p>
        </w:tc>
        <w:tc>
          <w:tcPr>
            <w:tcW w:w="992" w:type="dxa"/>
            <w:tcBorders>
              <w:top w:val="single" w:sz="8" w:space="0" w:color="auto"/>
              <w:left w:val="nil"/>
              <w:bottom w:val="single" w:sz="4" w:space="0" w:color="auto"/>
              <w:right w:val="nil"/>
            </w:tcBorders>
            <w:shd w:val="clear" w:color="000000" w:fill="FFFFFF"/>
            <w:vAlign w:val="center"/>
            <w:hideMark/>
          </w:tcPr>
          <w:p w14:paraId="3D4EEE51"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30</w:t>
            </w:r>
          </w:p>
        </w:tc>
        <w:tc>
          <w:tcPr>
            <w:tcW w:w="996" w:type="dxa"/>
            <w:tcBorders>
              <w:top w:val="single" w:sz="8" w:space="0" w:color="auto"/>
              <w:left w:val="nil"/>
              <w:bottom w:val="single" w:sz="4" w:space="0" w:color="auto"/>
              <w:right w:val="nil"/>
            </w:tcBorders>
            <w:shd w:val="clear" w:color="000000" w:fill="FFFFFF"/>
            <w:vAlign w:val="center"/>
            <w:hideMark/>
          </w:tcPr>
          <w:p w14:paraId="1819643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39D46426" w14:textId="77777777" w:rsidTr="00CB478C">
        <w:trPr>
          <w:trHeight w:val="551"/>
        </w:trPr>
        <w:tc>
          <w:tcPr>
            <w:tcW w:w="993" w:type="dxa"/>
            <w:tcBorders>
              <w:top w:val="single" w:sz="8" w:space="0" w:color="auto"/>
              <w:left w:val="nil"/>
              <w:right w:val="nil"/>
            </w:tcBorders>
            <w:vAlign w:val="center"/>
          </w:tcPr>
          <w:p w14:paraId="0040F6BA"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right w:val="nil"/>
            </w:tcBorders>
            <w:shd w:val="clear" w:color="auto" w:fill="auto"/>
            <w:vAlign w:val="center"/>
            <w:hideMark/>
          </w:tcPr>
          <w:p w14:paraId="4A5C1D3E" w14:textId="28DE0DEF"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Wendt et al </w:t>
            </w:r>
            <w:r w:rsidR="00571972">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{"citationItems":[{"id":"ITEM-1","itemData":{"DOI":"10.1017/ice.2020.268","ISBN":"1559-6834\r0899-823X","PMID":"32489162","abstract":"We investigated potential transmissions of a symptomatic SARS-CoV-2-positive physician in a tertiary-care hospital who worked for 15 cumulative hours without wearing a face mask. No in-hospital transmissions occurred, despite 254 contacts among patients and healthcare workers. In conclusion, exposed hospital staff continued work, accompanied by close clinical and virologic monitoring.","author":[{"dropping-particle":"","family":"Wendt","given":"Ralph","non-dropping-particle":"","parse-names":false,"suffix":""},{"dropping-particle":"","family":"Nagel","given":"Stephan","non-dropping-particle":"","parse-names":false,"suffix":""},{"dropping-particle":"","family":"Nickel","given":"Olaf","non-dropping-particle":"","parse-names":false,"suffix":""},{"dropping-particle":"","family":"Wolf","given":"Johannes","non-dropping-particle":"","parse-names":false,"suffix":""},{"dropping-particle":"","family":"Kalbitz","given":"Sven","non-dropping-particle":"","parse-names":false,"suffix":""},{"dropping-particle":"","family":"Kaiser","given":"Thorsten","non-dropping-particle":"","parse-names":false,"suffix":""},{"dropping-particle":"","family":"Borte","given":"Stephan","non-dropping-particle":"","parse-names":false,"suffix":""},{"dropping-particle":"","family":"Lübbert","given":"Christoph","non-dropping-particle":"","parse-names":false,"suffix":""}],"container-title":"Infection control and hospital epidemiology","id":"ITEM-1","issued":{"date-parts":[["2020"]]},"language":"eng","note":"32489162[pmid]\nPMC7298077[pmcid]\nS0899823X20002688[PII]","page":"1-3","publisher":"Cambridge University Press","title":"Comprehensive investigation of an in-hospital transmission cluster of a symptomatic SARS-CoV-2-positive physician among patients and healthcare workers in Germany","type":"article-journal"},"uris":["http://www.mendeley.com/documents/?uuid=38c0c7af-971e-4e73-96dc-17abaaefb601"]}],"mendeley":{"formattedCitation":"[85]","plainTextFormattedCitation":"[85]","previouslyFormattedCitation":"[87]"},"properties":{"noteIndex":0},"schema":"https://github.com/citation-style-language/schema/raw/master/csl-citation.json"}</w:instrText>
            </w:r>
            <w:r w:rsidR="00571972">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[85]</w:t>
            </w:r>
            <w:r w:rsidR="00571972">
              <w:rPr>
                <w:rFonts w:ascii="Calibri" w:eastAsia="Times New Roman" w:hAnsi="Calibri" w:cs="Calibri"/>
                <w:color w:val="000000"/>
                <w:sz w:val="18"/>
                <w:szCs w:val="18"/>
                <w:lang w:eastAsia="en-GB"/>
              </w:rPr>
              <w:fldChar w:fldCharType="end"/>
            </w:r>
          </w:p>
        </w:tc>
        <w:tc>
          <w:tcPr>
            <w:tcW w:w="1129" w:type="dxa"/>
            <w:tcBorders>
              <w:top w:val="single" w:sz="8" w:space="0" w:color="auto"/>
              <w:left w:val="nil"/>
              <w:right w:val="nil"/>
            </w:tcBorders>
            <w:shd w:val="clear" w:color="000000" w:fill="FFFFFF"/>
            <w:vAlign w:val="center"/>
            <w:hideMark/>
          </w:tcPr>
          <w:p w14:paraId="4ADAA32C"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Leipzig</w:t>
            </w:r>
          </w:p>
        </w:tc>
        <w:tc>
          <w:tcPr>
            <w:tcW w:w="1070" w:type="dxa"/>
            <w:tcBorders>
              <w:top w:val="single" w:sz="8" w:space="0" w:color="auto"/>
              <w:left w:val="nil"/>
              <w:right w:val="nil"/>
            </w:tcBorders>
            <w:shd w:val="clear" w:color="000000" w:fill="FFFFFF"/>
            <w:vAlign w:val="center"/>
            <w:hideMark/>
          </w:tcPr>
          <w:p w14:paraId="40B2AC0C"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Germany</w:t>
            </w:r>
          </w:p>
        </w:tc>
        <w:tc>
          <w:tcPr>
            <w:tcW w:w="2330" w:type="dxa"/>
            <w:tcBorders>
              <w:top w:val="single" w:sz="8" w:space="0" w:color="auto"/>
              <w:left w:val="nil"/>
              <w:right w:val="nil"/>
            </w:tcBorders>
            <w:shd w:val="clear" w:color="000000" w:fill="FFFFFF"/>
            <w:vAlign w:val="center"/>
            <w:hideMark/>
          </w:tcPr>
          <w:p w14:paraId="217F12C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single" w:sz="4" w:space="0" w:color="auto"/>
              <w:left w:val="nil"/>
              <w:bottom w:val="single" w:sz="8" w:space="0" w:color="auto"/>
              <w:right w:val="nil"/>
            </w:tcBorders>
            <w:shd w:val="clear" w:color="auto" w:fill="auto"/>
            <w:vAlign w:val="center"/>
            <w:hideMark/>
          </w:tcPr>
          <w:p w14:paraId="22FFAAD8"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HCWs who had interacted with the index patient in the hospital environment</w:t>
            </w:r>
          </w:p>
        </w:tc>
        <w:tc>
          <w:tcPr>
            <w:tcW w:w="1276" w:type="dxa"/>
            <w:tcBorders>
              <w:top w:val="single" w:sz="4" w:space="0" w:color="auto"/>
              <w:left w:val="nil"/>
              <w:bottom w:val="single" w:sz="8" w:space="0" w:color="auto"/>
              <w:right w:val="nil"/>
            </w:tcBorders>
            <w:shd w:val="clear" w:color="000000" w:fill="FFFFFF"/>
            <w:vAlign w:val="center"/>
            <w:hideMark/>
          </w:tcPr>
          <w:p w14:paraId="4549D871"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single" w:sz="4" w:space="0" w:color="auto"/>
              <w:left w:val="nil"/>
              <w:bottom w:val="single" w:sz="8" w:space="0" w:color="auto"/>
              <w:right w:val="nil"/>
            </w:tcBorders>
            <w:shd w:val="clear" w:color="000000" w:fill="FFFFFF"/>
            <w:vAlign w:val="center"/>
            <w:hideMark/>
          </w:tcPr>
          <w:p w14:paraId="3D0134D4"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 and serology</w:t>
            </w:r>
          </w:p>
        </w:tc>
        <w:tc>
          <w:tcPr>
            <w:tcW w:w="869" w:type="dxa"/>
            <w:tcBorders>
              <w:top w:val="single" w:sz="4" w:space="0" w:color="auto"/>
              <w:left w:val="nil"/>
              <w:bottom w:val="single" w:sz="8" w:space="0" w:color="auto"/>
              <w:right w:val="nil"/>
            </w:tcBorders>
            <w:shd w:val="clear" w:color="000000" w:fill="FFFFFF"/>
            <w:vAlign w:val="center"/>
            <w:hideMark/>
          </w:tcPr>
          <w:p w14:paraId="72547152"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single" w:sz="4" w:space="0" w:color="auto"/>
              <w:left w:val="nil"/>
              <w:bottom w:val="single" w:sz="8" w:space="0" w:color="auto"/>
              <w:right w:val="nil"/>
            </w:tcBorders>
            <w:shd w:val="clear" w:color="000000" w:fill="FFFFFF"/>
            <w:vAlign w:val="center"/>
            <w:hideMark/>
          </w:tcPr>
          <w:p w14:paraId="2C8C3B7F"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187</w:t>
            </w:r>
          </w:p>
        </w:tc>
        <w:tc>
          <w:tcPr>
            <w:tcW w:w="992" w:type="dxa"/>
            <w:tcBorders>
              <w:top w:val="single" w:sz="4" w:space="0" w:color="auto"/>
              <w:left w:val="nil"/>
              <w:bottom w:val="single" w:sz="8" w:space="0" w:color="auto"/>
              <w:right w:val="nil"/>
            </w:tcBorders>
            <w:shd w:val="clear" w:color="000000" w:fill="FFFFFF"/>
            <w:vAlign w:val="center"/>
            <w:hideMark/>
          </w:tcPr>
          <w:p w14:paraId="1AD32F6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187</w:t>
            </w:r>
          </w:p>
        </w:tc>
        <w:tc>
          <w:tcPr>
            <w:tcW w:w="996" w:type="dxa"/>
            <w:tcBorders>
              <w:top w:val="single" w:sz="4" w:space="0" w:color="auto"/>
              <w:left w:val="nil"/>
              <w:bottom w:val="single" w:sz="8" w:space="0" w:color="auto"/>
              <w:right w:val="nil"/>
            </w:tcBorders>
            <w:shd w:val="clear" w:color="000000" w:fill="FFFFFF"/>
            <w:vAlign w:val="center"/>
            <w:hideMark/>
          </w:tcPr>
          <w:p w14:paraId="32CE926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465A2AAF" w14:textId="77777777" w:rsidTr="00CB478C">
        <w:trPr>
          <w:trHeight w:val="633"/>
        </w:trPr>
        <w:tc>
          <w:tcPr>
            <w:tcW w:w="993" w:type="dxa"/>
            <w:tcBorders>
              <w:left w:val="nil"/>
              <w:bottom w:val="single" w:sz="4" w:space="0" w:color="auto"/>
              <w:right w:val="nil"/>
            </w:tcBorders>
            <w:vAlign w:val="center"/>
          </w:tcPr>
          <w:p w14:paraId="24441C65"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left w:val="nil"/>
              <w:bottom w:val="single" w:sz="4" w:space="0" w:color="auto"/>
              <w:right w:val="nil"/>
            </w:tcBorders>
            <w:shd w:val="clear" w:color="auto" w:fill="auto"/>
            <w:vAlign w:val="center"/>
            <w:hideMark/>
          </w:tcPr>
          <w:p w14:paraId="2412C5A5" w14:textId="6DCB1DD3"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129" w:type="dxa"/>
            <w:tcBorders>
              <w:left w:val="nil"/>
              <w:bottom w:val="single" w:sz="4" w:space="0" w:color="auto"/>
              <w:right w:val="nil"/>
            </w:tcBorders>
            <w:shd w:val="clear" w:color="000000" w:fill="FFFFFF"/>
            <w:vAlign w:val="center"/>
            <w:hideMark/>
          </w:tcPr>
          <w:p w14:paraId="7F351B7C"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1070" w:type="dxa"/>
            <w:tcBorders>
              <w:left w:val="nil"/>
              <w:bottom w:val="single" w:sz="4" w:space="0" w:color="auto"/>
              <w:right w:val="nil"/>
            </w:tcBorders>
            <w:shd w:val="clear" w:color="000000" w:fill="FFFFFF"/>
            <w:vAlign w:val="center"/>
            <w:hideMark/>
          </w:tcPr>
          <w:p w14:paraId="336C6E5E"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330" w:type="dxa"/>
            <w:tcBorders>
              <w:left w:val="nil"/>
              <w:bottom w:val="single" w:sz="4" w:space="0" w:color="auto"/>
              <w:right w:val="nil"/>
            </w:tcBorders>
            <w:shd w:val="clear" w:color="000000" w:fill="FFFFFF"/>
            <w:vAlign w:val="center"/>
            <w:hideMark/>
          </w:tcPr>
          <w:p w14:paraId="61D2CB9C"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w:t>
            </w:r>
          </w:p>
        </w:tc>
        <w:tc>
          <w:tcPr>
            <w:tcW w:w="2975" w:type="dxa"/>
            <w:tcBorders>
              <w:top w:val="single" w:sz="8" w:space="0" w:color="auto"/>
              <w:left w:val="nil"/>
              <w:bottom w:val="single" w:sz="8" w:space="0" w:color="auto"/>
              <w:right w:val="nil"/>
            </w:tcBorders>
            <w:shd w:val="clear" w:color="auto" w:fill="auto"/>
            <w:vAlign w:val="center"/>
            <w:hideMark/>
          </w:tcPr>
          <w:p w14:paraId="6EDA1A1A"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Patients who had interacted with the index patient in the hospital environment</w:t>
            </w:r>
          </w:p>
        </w:tc>
        <w:tc>
          <w:tcPr>
            <w:tcW w:w="1276" w:type="dxa"/>
            <w:tcBorders>
              <w:top w:val="single" w:sz="8" w:space="0" w:color="auto"/>
              <w:left w:val="nil"/>
              <w:bottom w:val="single" w:sz="8" w:space="0" w:color="auto"/>
              <w:right w:val="nil"/>
            </w:tcBorders>
            <w:shd w:val="clear" w:color="000000" w:fill="FFFFFF"/>
            <w:vAlign w:val="center"/>
            <w:hideMark/>
          </w:tcPr>
          <w:p w14:paraId="40285001"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single" w:sz="8" w:space="0" w:color="auto"/>
              <w:left w:val="nil"/>
              <w:bottom w:val="single" w:sz="8" w:space="0" w:color="auto"/>
              <w:right w:val="nil"/>
            </w:tcBorders>
            <w:shd w:val="clear" w:color="000000" w:fill="FFFFFF"/>
            <w:vAlign w:val="center"/>
            <w:hideMark/>
          </w:tcPr>
          <w:p w14:paraId="65921A3E"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 and serology</w:t>
            </w:r>
          </w:p>
        </w:tc>
        <w:tc>
          <w:tcPr>
            <w:tcW w:w="869" w:type="dxa"/>
            <w:tcBorders>
              <w:top w:val="single" w:sz="8" w:space="0" w:color="auto"/>
              <w:left w:val="nil"/>
              <w:bottom w:val="single" w:sz="8" w:space="0" w:color="auto"/>
              <w:right w:val="nil"/>
            </w:tcBorders>
            <w:shd w:val="clear" w:color="000000" w:fill="FFFFFF"/>
            <w:vAlign w:val="center"/>
            <w:hideMark/>
          </w:tcPr>
          <w:p w14:paraId="31059B3C"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single" w:sz="8" w:space="0" w:color="auto"/>
              <w:left w:val="nil"/>
              <w:bottom w:val="single" w:sz="8" w:space="0" w:color="auto"/>
              <w:right w:val="nil"/>
            </w:tcBorders>
            <w:shd w:val="clear" w:color="000000" w:fill="FFFFFF"/>
            <w:vAlign w:val="center"/>
            <w:hideMark/>
          </w:tcPr>
          <w:p w14:paraId="3F21170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67</w:t>
            </w:r>
          </w:p>
        </w:tc>
        <w:tc>
          <w:tcPr>
            <w:tcW w:w="992" w:type="dxa"/>
            <w:tcBorders>
              <w:top w:val="single" w:sz="8" w:space="0" w:color="auto"/>
              <w:left w:val="nil"/>
              <w:bottom w:val="single" w:sz="8" w:space="0" w:color="auto"/>
              <w:right w:val="nil"/>
            </w:tcBorders>
            <w:shd w:val="clear" w:color="000000" w:fill="FFFFFF"/>
            <w:vAlign w:val="center"/>
            <w:hideMark/>
          </w:tcPr>
          <w:p w14:paraId="737E27C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67</w:t>
            </w:r>
          </w:p>
        </w:tc>
        <w:tc>
          <w:tcPr>
            <w:tcW w:w="996" w:type="dxa"/>
            <w:tcBorders>
              <w:top w:val="single" w:sz="8" w:space="0" w:color="auto"/>
              <w:left w:val="nil"/>
              <w:bottom w:val="single" w:sz="8" w:space="0" w:color="auto"/>
              <w:right w:val="nil"/>
            </w:tcBorders>
            <w:shd w:val="clear" w:color="000000" w:fill="FFFFFF"/>
            <w:vAlign w:val="center"/>
            <w:hideMark/>
          </w:tcPr>
          <w:p w14:paraId="49C9309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2A903E48" w14:textId="77777777" w:rsidTr="00CB478C">
        <w:trPr>
          <w:trHeight w:val="742"/>
        </w:trPr>
        <w:tc>
          <w:tcPr>
            <w:tcW w:w="993" w:type="dxa"/>
            <w:tcBorders>
              <w:top w:val="single" w:sz="4" w:space="0" w:color="auto"/>
              <w:left w:val="nil"/>
              <w:right w:val="nil"/>
            </w:tcBorders>
            <w:vAlign w:val="center"/>
          </w:tcPr>
          <w:p w14:paraId="2959DE71"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4" w:space="0" w:color="auto"/>
              <w:left w:val="nil"/>
              <w:right w:val="nil"/>
            </w:tcBorders>
            <w:shd w:val="clear" w:color="auto" w:fill="auto"/>
            <w:vAlign w:val="center"/>
            <w:hideMark/>
          </w:tcPr>
          <w:p w14:paraId="0C2451E5" w14:textId="43B5A54C"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Wong et al</w:t>
            </w:r>
            <w:r w:rsidR="00571972">
              <w:rPr>
                <w:rFonts w:ascii="Calibri" w:eastAsia="Times New Roman" w:hAnsi="Calibri" w:cs="Calibri"/>
                <w:color w:val="000000"/>
                <w:sz w:val="18"/>
                <w:szCs w:val="18"/>
                <w:lang w:eastAsia="en-GB"/>
              </w:rPr>
              <w:t xml:space="preserve"> </w:t>
            </w:r>
            <w:r w:rsidR="00571972">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{"citationItems":[{"id":"ITEM-1","itemData":{"DOI":"10.1016/j.jhin.2020.03.036","ISBN":"0195-6701 (Print)\r0195-6701","PMID":"32259546","abstract":"BACKGROUND: Coronavirus disease 2019 (COVID-19) was first reported in Wuhan in December 2019 and has rapidly spread across different cities within and outside China. Hong Kong started to prepare for COVID-19 on 31(st) December 2019 and infection control measures in public hospitals were tightened to limit nosocomial transmission within healthcare facilities. However, the recommendations on the transmission-based precautions required for COVID-19 in hospital settings vary from droplet and contact precautions, to contact and airborne precautions with placement of patients in airborne infection isolation rooms. AIM: To describe an outbreak investigation of a patient with COVID-19 who was nursed in an open cubicle of a general ward before the diagnosis was made. METHOD: Contacts were identified and risk categorized as 'close' or 'casual' for decisions on quarantine and/or medical surveillance. Respiratory specimens were collected from contacts who developed fever, and/or respiratory symptoms during the surveillance period and were tested for SARS-CoV-2. FINDINGS: A total of 71 staff and 49 patients were identified from contact tracing, seven staff and 10 patients fulfilled the criteria of 'close contact'. At the end of 28-day surveillance, 76 tests were performed on 52 contacts and all were negative, including all patient close contacts and six of the seven staff close contacts. The remaining contacts were asymptomatic throughout the surveillance period. CONCLUSION: Our findings suggest that SARS-CoV-2 is not spread by an airborne route, and nosocomial transmissions can be prevented through vigilant basic infection control measures, including wearing of surgical masks, hand and environmental hygiene.","author":[{"dropping-particle":"","family":"Wong","given":"S C Y","non-dropping-particle":"","parse-names":false,"suffix":""},{"dropping-particle":"","family":"Kwong","given":"R T","non-dropping-particle":"","parse-names":false,"suffix":""},{"dropping-particle":"","family":"Wu","given":"T C","non-dropping-particle":"","parse-names":false,"suffix":""},{"dropping-particle":"","family":"Chan","given":"J W M","non-dropping-particle":"","parse-names":false,"suffix":""},{"dropping-particle":"","family":"Chu","given":"M Y","non-dropping-particle":"","parse-names":false,"suffix":""},{"dropping-particle":"","family":"Lee","given":"S Y","non-dropping-particle":"","parse-names":false,"suffix":""},{"dropping-particle":"","family":"Wong","given":"H Y","non-dropping-particle":"","parse-names":false,"suffix":""},{"dropping-particle":"","family":"Lung","given":"D C","non-dropping-particle":"","parse-names":false,"suffix":""}],"container-title":"J Hosp Infect","edition":"2020/04/08","id":"ITEM-1","issue":"2","issued":{"date-parts":[["2020"]]},"language":"eng","note":"1532-2939\nWong, S C Y\nKwong, R T-S\nWu, T C\nChan, J W M\nChu, M Y\nLee, S Y\nWong, H Y\nLung, D C\nCase Reports\nJournal Article\nJ Hosp Infect. 2020 Jun;105(2):119-127. doi: 10.1016/j.jhin.2020.03.036. Epub 2020 Apr 4.","page":"119-127","title":"Risk of nosocomial transmission of coronavirus disease 2019: an experience in a general ward setting in Hong Kong","type":"article-journal","volume":"105"},"uris":["http://www.mendeley.com/documents/?uuid=5a806052-6f92-4af1-bfcb-12c874dc60e8"]}],"mendeley":{"formattedCitation":"[86]","plainTextFormattedCitation":"[86]","previouslyFormattedCitation":"[88]"},"properties":{"noteIndex":0},"schema":"https://github.com/citation-style-language/schema/raw/master/csl-citation.json"}</w:instrText>
            </w:r>
            <w:r w:rsidR="00571972">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[86]</w:t>
            </w:r>
            <w:r w:rsidR="00571972">
              <w:rPr>
                <w:rFonts w:ascii="Calibri" w:eastAsia="Times New Roman" w:hAnsi="Calibri" w:cs="Calibri"/>
                <w:color w:val="000000"/>
                <w:sz w:val="18"/>
                <w:szCs w:val="18"/>
                <w:lang w:eastAsia="en-GB"/>
              </w:rPr>
              <w:fldChar w:fldCharType="end"/>
            </w:r>
          </w:p>
        </w:tc>
        <w:tc>
          <w:tcPr>
            <w:tcW w:w="1129" w:type="dxa"/>
            <w:tcBorders>
              <w:top w:val="single" w:sz="4" w:space="0" w:color="auto"/>
              <w:left w:val="nil"/>
              <w:right w:val="nil"/>
            </w:tcBorders>
            <w:shd w:val="clear" w:color="000000" w:fill="FFFFFF"/>
            <w:vAlign w:val="center"/>
            <w:hideMark/>
          </w:tcPr>
          <w:p w14:paraId="68667B41"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Southern Kowloon</w:t>
            </w:r>
          </w:p>
        </w:tc>
        <w:tc>
          <w:tcPr>
            <w:tcW w:w="1070" w:type="dxa"/>
            <w:tcBorders>
              <w:top w:val="single" w:sz="4" w:space="0" w:color="auto"/>
              <w:left w:val="nil"/>
              <w:right w:val="nil"/>
            </w:tcBorders>
            <w:shd w:val="clear" w:color="auto" w:fill="auto"/>
            <w:vAlign w:val="center"/>
            <w:hideMark/>
          </w:tcPr>
          <w:p w14:paraId="3E936E3D"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Hong Kong</w:t>
            </w:r>
          </w:p>
        </w:tc>
        <w:tc>
          <w:tcPr>
            <w:tcW w:w="2330" w:type="dxa"/>
            <w:tcBorders>
              <w:top w:val="single" w:sz="4" w:space="0" w:color="auto"/>
              <w:left w:val="nil"/>
              <w:right w:val="nil"/>
            </w:tcBorders>
            <w:shd w:val="clear" w:color="000000" w:fill="FFFFFF"/>
            <w:vAlign w:val="center"/>
            <w:hideMark/>
          </w:tcPr>
          <w:p w14:paraId="38F8FD24"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Hospital contact investigation</w:t>
            </w:r>
          </w:p>
        </w:tc>
        <w:tc>
          <w:tcPr>
            <w:tcW w:w="2975" w:type="dxa"/>
            <w:tcBorders>
              <w:top w:val="nil"/>
              <w:left w:val="nil"/>
              <w:bottom w:val="single" w:sz="8" w:space="0" w:color="auto"/>
              <w:right w:val="nil"/>
            </w:tcBorders>
            <w:shd w:val="clear" w:color="auto" w:fill="auto"/>
            <w:vAlign w:val="center"/>
            <w:hideMark/>
          </w:tcPr>
          <w:p w14:paraId="431425E5"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Patients who shared the same cubicle with the index</w:t>
            </w:r>
          </w:p>
        </w:tc>
        <w:tc>
          <w:tcPr>
            <w:tcW w:w="1276" w:type="dxa"/>
            <w:tcBorders>
              <w:top w:val="nil"/>
              <w:left w:val="nil"/>
              <w:bottom w:val="single" w:sz="8" w:space="0" w:color="auto"/>
              <w:right w:val="nil"/>
            </w:tcBorders>
            <w:shd w:val="clear" w:color="000000" w:fill="FFFFFF"/>
            <w:vAlign w:val="center"/>
            <w:hideMark/>
          </w:tcPr>
          <w:p w14:paraId="76FE9788"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w:t>
            </w:r>
          </w:p>
        </w:tc>
        <w:tc>
          <w:tcPr>
            <w:tcW w:w="1134" w:type="dxa"/>
            <w:tcBorders>
              <w:top w:val="nil"/>
              <w:left w:val="nil"/>
              <w:bottom w:val="single" w:sz="8" w:space="0" w:color="auto"/>
              <w:right w:val="nil"/>
            </w:tcBorders>
            <w:shd w:val="clear" w:color="000000" w:fill="FFFFFF"/>
            <w:vAlign w:val="center"/>
            <w:hideMark/>
          </w:tcPr>
          <w:p w14:paraId="20083857"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766625DD"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vAlign w:val="center"/>
            <w:hideMark/>
          </w:tcPr>
          <w:p w14:paraId="47C77B5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61</w:t>
            </w:r>
          </w:p>
        </w:tc>
        <w:tc>
          <w:tcPr>
            <w:tcW w:w="992" w:type="dxa"/>
            <w:tcBorders>
              <w:top w:val="nil"/>
              <w:left w:val="nil"/>
              <w:bottom w:val="single" w:sz="8" w:space="0" w:color="auto"/>
              <w:right w:val="nil"/>
            </w:tcBorders>
            <w:shd w:val="clear" w:color="000000" w:fill="FFFFFF"/>
            <w:vAlign w:val="center"/>
            <w:hideMark/>
          </w:tcPr>
          <w:p w14:paraId="4AD34305"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22</w:t>
            </w:r>
          </w:p>
        </w:tc>
        <w:tc>
          <w:tcPr>
            <w:tcW w:w="996" w:type="dxa"/>
            <w:tcBorders>
              <w:top w:val="nil"/>
              <w:left w:val="nil"/>
              <w:bottom w:val="single" w:sz="8" w:space="0" w:color="auto"/>
              <w:right w:val="nil"/>
            </w:tcBorders>
            <w:shd w:val="clear" w:color="000000" w:fill="FFFFFF"/>
            <w:vAlign w:val="center"/>
            <w:hideMark/>
          </w:tcPr>
          <w:p w14:paraId="25BEFA2C"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3CF18566" w14:textId="77777777" w:rsidTr="00CB478C">
        <w:trPr>
          <w:trHeight w:val="824"/>
        </w:trPr>
        <w:tc>
          <w:tcPr>
            <w:tcW w:w="993" w:type="dxa"/>
            <w:tcBorders>
              <w:left w:val="nil"/>
              <w:bottom w:val="single" w:sz="8" w:space="0" w:color="auto"/>
              <w:right w:val="nil"/>
            </w:tcBorders>
            <w:vAlign w:val="center"/>
          </w:tcPr>
          <w:p w14:paraId="254B5FAD"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left w:val="nil"/>
              <w:bottom w:val="single" w:sz="8" w:space="0" w:color="auto"/>
              <w:right w:val="nil"/>
            </w:tcBorders>
            <w:shd w:val="clear" w:color="auto" w:fill="auto"/>
            <w:vAlign w:val="center"/>
          </w:tcPr>
          <w:p w14:paraId="7AB210E4" w14:textId="18ABB7E6" w:rsidR="00F02A6E" w:rsidRPr="00F02A6E" w:rsidRDefault="00F02A6E" w:rsidP="00B802CE">
            <w:pPr>
              <w:spacing w:after="0" w:line="240" w:lineRule="auto"/>
              <w:rPr>
                <w:rFonts w:ascii="Calibri" w:eastAsia="Times New Roman" w:hAnsi="Calibri" w:cs="Calibri"/>
                <w:color w:val="000000"/>
                <w:sz w:val="18"/>
                <w:szCs w:val="18"/>
                <w:lang w:eastAsia="en-GB"/>
              </w:rPr>
            </w:pPr>
          </w:p>
        </w:tc>
        <w:tc>
          <w:tcPr>
            <w:tcW w:w="1129" w:type="dxa"/>
            <w:tcBorders>
              <w:left w:val="nil"/>
              <w:bottom w:val="single" w:sz="8" w:space="0" w:color="auto"/>
              <w:right w:val="nil"/>
            </w:tcBorders>
            <w:shd w:val="clear" w:color="000000" w:fill="FFFFFF"/>
            <w:vAlign w:val="center"/>
          </w:tcPr>
          <w:p w14:paraId="1C3EF8A3" w14:textId="0F786447" w:rsidR="00F02A6E" w:rsidRPr="00F02A6E" w:rsidRDefault="00F02A6E" w:rsidP="00B802CE">
            <w:pPr>
              <w:spacing w:after="0" w:line="240" w:lineRule="auto"/>
              <w:rPr>
                <w:rFonts w:ascii="Calibri" w:eastAsia="Times New Roman" w:hAnsi="Calibri" w:cs="Calibri"/>
                <w:color w:val="000000"/>
                <w:sz w:val="18"/>
                <w:szCs w:val="18"/>
                <w:lang w:eastAsia="en-GB"/>
              </w:rPr>
            </w:pPr>
          </w:p>
        </w:tc>
        <w:tc>
          <w:tcPr>
            <w:tcW w:w="1070" w:type="dxa"/>
            <w:tcBorders>
              <w:left w:val="nil"/>
              <w:bottom w:val="single" w:sz="8" w:space="0" w:color="auto"/>
              <w:right w:val="nil"/>
            </w:tcBorders>
            <w:shd w:val="clear" w:color="auto" w:fill="auto"/>
            <w:vAlign w:val="center"/>
          </w:tcPr>
          <w:p w14:paraId="36D537CB" w14:textId="238DBC2A" w:rsidR="00F02A6E" w:rsidRPr="00F02A6E" w:rsidRDefault="00F02A6E" w:rsidP="00B802CE">
            <w:pPr>
              <w:spacing w:after="0" w:line="240" w:lineRule="auto"/>
              <w:rPr>
                <w:rFonts w:ascii="Calibri" w:eastAsia="Times New Roman" w:hAnsi="Calibri" w:cs="Calibri"/>
                <w:color w:val="000000"/>
                <w:sz w:val="18"/>
                <w:szCs w:val="18"/>
                <w:lang w:eastAsia="en-GB"/>
              </w:rPr>
            </w:pPr>
          </w:p>
        </w:tc>
        <w:tc>
          <w:tcPr>
            <w:tcW w:w="2330" w:type="dxa"/>
            <w:tcBorders>
              <w:left w:val="nil"/>
              <w:bottom w:val="single" w:sz="8" w:space="0" w:color="auto"/>
              <w:right w:val="nil"/>
            </w:tcBorders>
            <w:shd w:val="clear" w:color="000000" w:fill="FFFFFF"/>
            <w:vAlign w:val="center"/>
          </w:tcPr>
          <w:p w14:paraId="2CCA3187" w14:textId="0B38F7F9" w:rsidR="00F02A6E" w:rsidRPr="00F02A6E" w:rsidRDefault="00F02A6E" w:rsidP="00B802CE">
            <w:pPr>
              <w:spacing w:after="0" w:line="240" w:lineRule="auto"/>
              <w:rPr>
                <w:rFonts w:ascii="Calibri" w:eastAsia="Times New Roman" w:hAnsi="Calibri" w:cs="Calibri"/>
                <w:color w:val="000000"/>
                <w:sz w:val="18"/>
                <w:szCs w:val="18"/>
                <w:lang w:eastAsia="en-GB"/>
              </w:rPr>
            </w:pPr>
          </w:p>
        </w:tc>
        <w:tc>
          <w:tcPr>
            <w:tcW w:w="2975" w:type="dxa"/>
            <w:tcBorders>
              <w:top w:val="nil"/>
              <w:left w:val="nil"/>
              <w:bottom w:val="single" w:sz="8" w:space="0" w:color="auto"/>
              <w:right w:val="nil"/>
            </w:tcBorders>
            <w:shd w:val="clear" w:color="auto" w:fill="auto"/>
            <w:vAlign w:val="center"/>
            <w:hideMark/>
          </w:tcPr>
          <w:p w14:paraId="63DAC628"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Staff who had contact within 2m of the index case for a cumulative time of &gt;15 min, or had performed AGPs, without appropriate PPE</w:t>
            </w:r>
          </w:p>
        </w:tc>
        <w:tc>
          <w:tcPr>
            <w:tcW w:w="1276" w:type="dxa"/>
            <w:tcBorders>
              <w:top w:val="nil"/>
              <w:left w:val="nil"/>
              <w:bottom w:val="single" w:sz="8" w:space="0" w:color="auto"/>
              <w:right w:val="nil"/>
            </w:tcBorders>
            <w:shd w:val="clear" w:color="000000" w:fill="FFFFFF"/>
            <w:vAlign w:val="center"/>
            <w:hideMark/>
          </w:tcPr>
          <w:p w14:paraId="5AF0DC9F"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symptomatic</w:t>
            </w:r>
          </w:p>
        </w:tc>
        <w:tc>
          <w:tcPr>
            <w:tcW w:w="1134" w:type="dxa"/>
            <w:tcBorders>
              <w:top w:val="nil"/>
              <w:left w:val="nil"/>
              <w:bottom w:val="single" w:sz="8" w:space="0" w:color="auto"/>
              <w:right w:val="nil"/>
            </w:tcBorders>
            <w:shd w:val="clear" w:color="000000" w:fill="FFFFFF"/>
            <w:vAlign w:val="center"/>
            <w:hideMark/>
          </w:tcPr>
          <w:p w14:paraId="654CB5C6"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4AE649F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w:t>
            </w:r>
          </w:p>
        </w:tc>
        <w:tc>
          <w:tcPr>
            <w:tcW w:w="976" w:type="dxa"/>
            <w:tcBorders>
              <w:top w:val="nil"/>
              <w:left w:val="nil"/>
              <w:bottom w:val="single" w:sz="8" w:space="0" w:color="auto"/>
              <w:right w:val="nil"/>
            </w:tcBorders>
            <w:shd w:val="clear" w:color="000000" w:fill="FFFFFF"/>
            <w:vAlign w:val="center"/>
            <w:hideMark/>
          </w:tcPr>
          <w:p w14:paraId="7FB15FAC"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42</w:t>
            </w:r>
          </w:p>
        </w:tc>
        <w:tc>
          <w:tcPr>
            <w:tcW w:w="992" w:type="dxa"/>
            <w:tcBorders>
              <w:top w:val="nil"/>
              <w:left w:val="nil"/>
              <w:bottom w:val="single" w:sz="8" w:space="0" w:color="auto"/>
              <w:right w:val="nil"/>
            </w:tcBorders>
            <w:shd w:val="clear" w:color="000000" w:fill="FFFFFF"/>
            <w:vAlign w:val="center"/>
            <w:hideMark/>
          </w:tcPr>
          <w:p w14:paraId="52B057D9"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30</w:t>
            </w:r>
          </w:p>
        </w:tc>
        <w:tc>
          <w:tcPr>
            <w:tcW w:w="996" w:type="dxa"/>
            <w:tcBorders>
              <w:top w:val="nil"/>
              <w:left w:val="nil"/>
              <w:bottom w:val="single" w:sz="8" w:space="0" w:color="auto"/>
              <w:right w:val="nil"/>
            </w:tcBorders>
            <w:shd w:val="clear" w:color="000000" w:fill="FFFFFF"/>
            <w:vAlign w:val="center"/>
            <w:hideMark/>
          </w:tcPr>
          <w:p w14:paraId="5226FE2A"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0</w:t>
            </w:r>
          </w:p>
        </w:tc>
      </w:tr>
      <w:tr w:rsidR="000F13C3" w:rsidRPr="00F6420B" w14:paraId="10A01083" w14:textId="77777777" w:rsidTr="00CB478C">
        <w:trPr>
          <w:trHeight w:val="1391"/>
        </w:trPr>
        <w:tc>
          <w:tcPr>
            <w:tcW w:w="993" w:type="dxa"/>
            <w:tcBorders>
              <w:top w:val="single" w:sz="8" w:space="0" w:color="auto"/>
              <w:left w:val="nil"/>
              <w:bottom w:val="single" w:sz="8" w:space="0" w:color="auto"/>
              <w:right w:val="nil"/>
            </w:tcBorders>
          </w:tcPr>
          <w:p w14:paraId="3516CAC9" w14:textId="3F944E22" w:rsidR="00F02A6E" w:rsidRPr="00F02A6E" w:rsidRDefault="00ED69B5" w:rsidP="00C3296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21</w:t>
            </w:r>
          </w:p>
        </w:tc>
        <w:tc>
          <w:tcPr>
            <w:tcW w:w="1139" w:type="dxa"/>
            <w:tcBorders>
              <w:top w:val="single" w:sz="8" w:space="0" w:color="auto"/>
              <w:left w:val="nil"/>
              <w:bottom w:val="single" w:sz="8" w:space="0" w:color="auto"/>
              <w:right w:val="nil"/>
            </w:tcBorders>
            <w:shd w:val="clear" w:color="auto" w:fill="auto"/>
            <w:hideMark/>
          </w:tcPr>
          <w:p w14:paraId="1897625D" w14:textId="6A9DC8D2" w:rsidR="00F02A6E" w:rsidRPr="00F02A6E" w:rsidRDefault="00F02A6E" w:rsidP="005F37AD">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Wu et al </w:t>
            </w:r>
            <w:r w:rsidR="00F7434F">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{"citationItems":[{"id":"ITEM-1","itemData":{"DOI":"https://doi.org/10.1016/j.puhe.2020.05.016","ISBN":"0033-3506","abstract":"Objectives This study determined the rate of secondary infection among contacts of individuals with confirmed coronavirus disease 2019 (COVID-19) in Hangzhou according to the type of contacts, the intensity of contacts, and their relationship with the index patient. Study design This is a retrospective cohort study. Methods The analysis used the data of 2994 contacts of 144 individuals with confirmed severe acute respiratory syndrome coronavirus 2 (SARS-CoV-2) infection. The contacts were categorized according to the information source, type of contact, location, intensity of contact, and relationship with the index patient. Results The incidence of infection differed significantly according to contact type. Of the contacts, 186 (6.2%) developed symptoms, and 71 (2.4%) had confirmed SARS-CoV-2 infection. The main symptoms were cough and fever. Compared with those who had brief contact with the index case, those who had dined with the index case had 2.6 times higher risk of acquiring infection; those who had shared transport with, had visited, or had contact with the index case in a medical institution had 3.6 times higher risk of acquiring infection; and household contacts had 41.7 times higher risk of acquiring infection. Family members had 31.6 times higher risk of acquiring infection than healthcare providers or other patients exposed to an index case. Conclusions The form and frequency of contact are the main factors affecting the risk of infection among contacts of individuals with COVID-19. Centralized isolation and observation of close contacts of individuals with confirmed SARS-CoV-2 infection, in addition to population-based control measures, can reduce the risk of secondary infections and curb the spread of the infection.","author":[{"dropping-particle":"","family":"Wu","given":"Y","non-dropping-particle":"","parse-names":false,"suffix":""},{"dropping-particle":"","family":"Song","given":"S","non-dropping-particle":"","parse-names":false,"suffix":""},{"dropping-particle":"","family":"Kao","given":"Q","non-dropping-particle":"","parse-names":false,"suffix":""},{"dropping-particle":"","family":"Kong","given":"Q","non-dropping-particle":"","parse-names":false,"suffix":""},{"dropping-particle":"","family":"Sun","given":"Z","non-dropping-particle":"","parse-names":false,"suffix":""},{"dropping-particle":"","family":"Wang","given":"B","non-dropping-particle":"","parse-names":false,"suffix":""}],"container-title":"Public Health","id":"ITEM-1","issued":{"date-parts":[["2020"]]},"page":"57-59","title":"Risk of SARS-CoV-2 infection among contacts of individuals with COVID-19 in Hangzhou, China","type":"article-journal","volume":"185"},"uris":["http://www.mendeley.com/documents/?uuid=e73e0da2-bab7-4701-9f3b-19169e8cfd1f"]}],"mendeley":{"formattedCitation":"[56]","plainTextFormattedCitation":"[56]","previouslyFormattedCitation":"[58]"},"properties":{"noteIndex":0},"schema":"https://github.com/citation-style-language/schema/raw/master/csl-citation.json"}</w:instrText>
            </w:r>
            <w:r w:rsidR="00F7434F">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[56]</w:t>
            </w:r>
            <w:r w:rsidR="00F7434F">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single" w:sz="8" w:space="0" w:color="auto"/>
              <w:right w:val="nil"/>
            </w:tcBorders>
            <w:shd w:val="clear" w:color="000000" w:fill="FFFFFF"/>
            <w:noWrap/>
            <w:hideMark/>
          </w:tcPr>
          <w:p w14:paraId="02A54821" w14:textId="77777777" w:rsidR="00F02A6E" w:rsidRPr="00F02A6E" w:rsidRDefault="00F02A6E" w:rsidP="005F37AD">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Hangzhou</w:t>
            </w:r>
          </w:p>
        </w:tc>
        <w:tc>
          <w:tcPr>
            <w:tcW w:w="1070" w:type="dxa"/>
            <w:tcBorders>
              <w:top w:val="single" w:sz="8" w:space="0" w:color="auto"/>
              <w:left w:val="nil"/>
              <w:bottom w:val="single" w:sz="8" w:space="0" w:color="auto"/>
              <w:right w:val="nil"/>
            </w:tcBorders>
            <w:shd w:val="clear" w:color="000000" w:fill="FFFFFF"/>
            <w:hideMark/>
          </w:tcPr>
          <w:p w14:paraId="19CCD243" w14:textId="77777777" w:rsidR="00F02A6E" w:rsidRPr="00F02A6E" w:rsidRDefault="00F02A6E" w:rsidP="005F37AD">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China</w:t>
            </w:r>
          </w:p>
        </w:tc>
        <w:tc>
          <w:tcPr>
            <w:tcW w:w="2330" w:type="dxa"/>
            <w:tcBorders>
              <w:top w:val="single" w:sz="8" w:space="0" w:color="auto"/>
              <w:left w:val="nil"/>
              <w:bottom w:val="single" w:sz="8" w:space="0" w:color="auto"/>
              <w:right w:val="nil"/>
            </w:tcBorders>
            <w:shd w:val="clear" w:color="000000" w:fill="FFFFFF"/>
            <w:hideMark/>
          </w:tcPr>
          <w:p w14:paraId="61AB17A0" w14:textId="77777777" w:rsidR="00F02A6E" w:rsidRPr="00F02A6E" w:rsidRDefault="00F02A6E" w:rsidP="005F37AD">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Surveillance and contact tracing</w:t>
            </w:r>
          </w:p>
        </w:tc>
        <w:tc>
          <w:tcPr>
            <w:tcW w:w="2975" w:type="dxa"/>
            <w:tcBorders>
              <w:top w:val="single" w:sz="8" w:space="0" w:color="auto"/>
              <w:left w:val="nil"/>
              <w:bottom w:val="single" w:sz="8" w:space="0" w:color="auto"/>
              <w:right w:val="nil"/>
            </w:tcBorders>
            <w:shd w:val="clear" w:color="000000" w:fill="FFFFFF"/>
            <w:vAlign w:val="center"/>
            <w:hideMark/>
          </w:tcPr>
          <w:p w14:paraId="7BB64A4F" w14:textId="6CD9B92E"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A close contact in a medical institution setting, either a healthcare provider or </w:t>
            </w:r>
            <w:r w:rsidR="00A54203" w:rsidRPr="00F02A6E">
              <w:rPr>
                <w:rFonts w:ascii="Calibri" w:eastAsia="Times New Roman" w:hAnsi="Calibri" w:cs="Calibri"/>
                <w:color w:val="000000"/>
                <w:sz w:val="18"/>
                <w:szCs w:val="18"/>
                <w:lang w:eastAsia="en-GB"/>
              </w:rPr>
              <w:t>patient, defined</w:t>
            </w:r>
            <w:r w:rsidRPr="00F02A6E">
              <w:rPr>
                <w:rFonts w:ascii="Calibri" w:eastAsia="Times New Roman" w:hAnsi="Calibri" w:cs="Calibri"/>
                <w:color w:val="000000"/>
                <w:sz w:val="18"/>
                <w:szCs w:val="18"/>
                <w:lang w:eastAsia="en-GB"/>
              </w:rPr>
              <w:t xml:space="preserve"> as being within 1m of a confirmed case, without effective protection, within 5 days before symptom onset or testing of index case</w:t>
            </w:r>
          </w:p>
        </w:tc>
        <w:tc>
          <w:tcPr>
            <w:tcW w:w="1276" w:type="dxa"/>
            <w:tcBorders>
              <w:top w:val="nil"/>
              <w:left w:val="nil"/>
              <w:bottom w:val="single" w:sz="8" w:space="0" w:color="auto"/>
              <w:right w:val="nil"/>
            </w:tcBorders>
            <w:shd w:val="clear" w:color="000000" w:fill="FFFFFF"/>
            <w:vAlign w:val="center"/>
            <w:hideMark/>
          </w:tcPr>
          <w:p w14:paraId="1B4DBC33" w14:textId="39782D60" w:rsidR="00F02A6E" w:rsidRPr="00F02A6E" w:rsidRDefault="001866ED" w:rsidP="00B802CE">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all</w:t>
            </w:r>
          </w:p>
        </w:tc>
        <w:tc>
          <w:tcPr>
            <w:tcW w:w="1134" w:type="dxa"/>
            <w:tcBorders>
              <w:top w:val="nil"/>
              <w:left w:val="nil"/>
              <w:bottom w:val="single" w:sz="8" w:space="0" w:color="auto"/>
              <w:right w:val="nil"/>
            </w:tcBorders>
            <w:shd w:val="clear" w:color="000000" w:fill="FFFFFF"/>
            <w:vAlign w:val="center"/>
            <w:hideMark/>
          </w:tcPr>
          <w:p w14:paraId="1039C1FA"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unclear</w:t>
            </w:r>
          </w:p>
        </w:tc>
        <w:tc>
          <w:tcPr>
            <w:tcW w:w="869" w:type="dxa"/>
            <w:tcBorders>
              <w:top w:val="nil"/>
              <w:left w:val="nil"/>
              <w:bottom w:val="single" w:sz="8" w:space="0" w:color="auto"/>
              <w:right w:val="nil"/>
            </w:tcBorders>
            <w:shd w:val="clear" w:color="000000" w:fill="FFFFFF"/>
            <w:vAlign w:val="center"/>
            <w:hideMark/>
          </w:tcPr>
          <w:p w14:paraId="12D3584F"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144</w:t>
            </w:r>
          </w:p>
        </w:tc>
        <w:tc>
          <w:tcPr>
            <w:tcW w:w="976" w:type="dxa"/>
            <w:tcBorders>
              <w:top w:val="nil"/>
              <w:left w:val="nil"/>
              <w:bottom w:val="single" w:sz="8" w:space="0" w:color="auto"/>
              <w:right w:val="nil"/>
            </w:tcBorders>
            <w:shd w:val="clear" w:color="000000" w:fill="FFFFFF"/>
            <w:noWrap/>
            <w:vAlign w:val="center"/>
            <w:hideMark/>
          </w:tcPr>
          <w:p w14:paraId="50EF82EC" w14:textId="2B428DEE" w:rsidR="00F02A6E" w:rsidRPr="00F02A6E" w:rsidRDefault="00C32969" w:rsidP="00B802CE">
            <w:pPr>
              <w:spacing w:after="0" w:line="240" w:lineRule="auto"/>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532</w:t>
            </w:r>
          </w:p>
        </w:tc>
        <w:tc>
          <w:tcPr>
            <w:tcW w:w="992" w:type="dxa"/>
            <w:tcBorders>
              <w:top w:val="nil"/>
              <w:left w:val="nil"/>
              <w:bottom w:val="single" w:sz="8" w:space="0" w:color="auto"/>
              <w:right w:val="nil"/>
            </w:tcBorders>
            <w:shd w:val="clear" w:color="000000" w:fill="FFFFFF"/>
            <w:noWrap/>
            <w:vAlign w:val="center"/>
            <w:hideMark/>
          </w:tcPr>
          <w:p w14:paraId="0F7E88BB"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532</w:t>
            </w:r>
          </w:p>
        </w:tc>
        <w:tc>
          <w:tcPr>
            <w:tcW w:w="996" w:type="dxa"/>
            <w:tcBorders>
              <w:top w:val="nil"/>
              <w:left w:val="nil"/>
              <w:bottom w:val="single" w:sz="8" w:space="0" w:color="auto"/>
              <w:right w:val="nil"/>
            </w:tcBorders>
            <w:shd w:val="clear" w:color="000000" w:fill="FFFFFF"/>
            <w:noWrap/>
            <w:vAlign w:val="center"/>
            <w:hideMark/>
          </w:tcPr>
          <w:p w14:paraId="04501E1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w:t>
            </w:r>
          </w:p>
        </w:tc>
      </w:tr>
      <w:tr w:rsidR="000F13C3" w:rsidRPr="00F6420B" w14:paraId="1881DB56" w14:textId="77777777" w:rsidTr="00CB478C">
        <w:trPr>
          <w:trHeight w:val="605"/>
        </w:trPr>
        <w:tc>
          <w:tcPr>
            <w:tcW w:w="993" w:type="dxa"/>
            <w:tcBorders>
              <w:top w:val="single" w:sz="8" w:space="0" w:color="auto"/>
              <w:left w:val="nil"/>
              <w:bottom w:val="single" w:sz="8" w:space="0" w:color="auto"/>
              <w:right w:val="nil"/>
            </w:tcBorders>
            <w:vAlign w:val="center"/>
          </w:tcPr>
          <w:p w14:paraId="10F2C175" w14:textId="77777777" w:rsidR="00F02A6E" w:rsidRPr="00F02A6E" w:rsidRDefault="00F02A6E" w:rsidP="00F02A6E">
            <w:pPr>
              <w:spacing w:after="0" w:line="240" w:lineRule="auto"/>
              <w:jc w:val="center"/>
              <w:rPr>
                <w:rFonts w:ascii="Calibri" w:eastAsia="Times New Roman" w:hAnsi="Calibri" w:cs="Calibri"/>
                <w:color w:val="000000"/>
                <w:sz w:val="18"/>
                <w:szCs w:val="18"/>
                <w:lang w:eastAsia="en-GB"/>
              </w:rPr>
            </w:pPr>
          </w:p>
        </w:tc>
        <w:tc>
          <w:tcPr>
            <w:tcW w:w="1139" w:type="dxa"/>
            <w:tcBorders>
              <w:top w:val="single" w:sz="8" w:space="0" w:color="auto"/>
              <w:left w:val="nil"/>
              <w:bottom w:val="single" w:sz="8" w:space="0" w:color="auto"/>
              <w:right w:val="nil"/>
            </w:tcBorders>
            <w:shd w:val="clear" w:color="auto" w:fill="auto"/>
            <w:vAlign w:val="center"/>
            <w:hideMark/>
          </w:tcPr>
          <w:p w14:paraId="67A61A20" w14:textId="3529A68D"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Yu et al</w:t>
            </w:r>
            <w:r w:rsidR="00D17082">
              <w:rPr>
                <w:rFonts w:ascii="Calibri" w:eastAsia="Times New Roman" w:hAnsi="Calibri" w:cs="Calibri"/>
                <w:color w:val="000000"/>
                <w:sz w:val="18"/>
                <w:szCs w:val="18"/>
                <w:lang w:eastAsia="en-GB"/>
              </w:rPr>
              <w:t xml:space="preserve"> </w:t>
            </w:r>
            <w:r w:rsidR="00D17082">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10.1016/j.tmaid.2020.101809","ISBN":"1873-0442\r1477-8939","PMID":"32592904","author":[{"dropping-particle":"","family":"Yu","given":"Hong-Jie","non-dropping-particle":"","parse-names":false,"suffix":""},{"dropping-particle":"","family":"Hu","given":"Yong-Feng","non-dropping-particle":"","parse-names":false,"suffix":""},{"dropping-particle":"","family":"Liu","given":"Xiang-Xiang","non-dropping-particle":"","parse-names":false,"suffix":""},{"dropping-particle":"","family":"Yao","given":"Xi-Qing","non-dropping-particle":"","parse-names":false,"suffix":""},{"dropping-particle":"","family":"Wang","given":"Qi-Fa","non-dropping-particle":"","parse-names":false,"suffix":""},{"dropping-particle":"","family":"Liu","given":"Li-Ping","non-dropping-particle":"","parse-names":false,"suffix":""},{"dropping-particle":"","family":"Yang","given":"Dan","non-dropping-particle":"","parse-names":false,"suffix":""},{"dropping-particle":"","family":"Li","given":"De-Jia","non-dropping-particle":"","parse-names":false,"suffix":""},{"dropping-particle":"","family":"Wang","given":"Pei-Gang","non-dropping-particle":"","parse-names":false,"suffix":""},{"dropping-particle":"","family":"He","given":"Qi-Qiang","non-dropping-particle":"","parse-names":false,"suffix":""}],"container-title":"Travel medicine and infectious disease","id":"ITEM-1","issued":{"date-parts":[["2020"]]},"language":"eng","note":"32592904[pmid]\nPMC7311892[pmcid]\nS1477-8939(20)30305-7[PII]","page":"101809","publisher":"Elsevier Ltd.","title":"Household infection: The predominant risk factor for close contacts of patients with COVID-19","type":"article-journal","volume":"36"},"uris":["http://www.mendeley.com/documents/?uuid=b1f09280-3317-4036-8f04-4d1dd8aaea35"]}],"mendeley":{"formattedCitation":"[59]","plainTextFormattedCitation":"[59]","previouslyFormattedCitation":"[61]"},"properties":{"noteIndex":0},"schema":"https://github.com/citation-style-language/schema/raw/master/csl-citation.json"}</w:instrText>
            </w:r>
            <w:r w:rsidR="00D17082">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[59]</w:t>
            </w:r>
            <w:r w:rsidR="00D17082">
              <w:rPr>
                <w:rFonts w:ascii="Calibri" w:eastAsia="Times New Roman" w:hAnsi="Calibri" w:cs="Calibri"/>
                <w:color w:val="000000"/>
                <w:sz w:val="18"/>
                <w:szCs w:val="18"/>
                <w:lang w:eastAsia="en-GB"/>
              </w:rPr>
              <w:fldChar w:fldCharType="end"/>
            </w:r>
          </w:p>
        </w:tc>
        <w:tc>
          <w:tcPr>
            <w:tcW w:w="1129" w:type="dxa"/>
            <w:tcBorders>
              <w:top w:val="single" w:sz="8" w:space="0" w:color="auto"/>
              <w:left w:val="nil"/>
              <w:bottom w:val="single" w:sz="8" w:space="0" w:color="auto"/>
              <w:right w:val="nil"/>
            </w:tcBorders>
            <w:shd w:val="clear" w:color="000000" w:fill="FFFFFF"/>
            <w:vAlign w:val="center"/>
            <w:hideMark/>
          </w:tcPr>
          <w:p w14:paraId="6A4521BA"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proofErr w:type="spellStart"/>
            <w:r w:rsidRPr="00F02A6E">
              <w:rPr>
                <w:rFonts w:ascii="Calibri" w:eastAsia="Times New Roman" w:hAnsi="Calibri" w:cs="Calibri"/>
                <w:color w:val="000000"/>
                <w:sz w:val="18"/>
                <w:szCs w:val="18"/>
                <w:lang w:eastAsia="en-GB"/>
              </w:rPr>
              <w:t>Xinzhou</w:t>
            </w:r>
            <w:proofErr w:type="spellEnd"/>
          </w:p>
        </w:tc>
        <w:tc>
          <w:tcPr>
            <w:tcW w:w="1070" w:type="dxa"/>
            <w:tcBorders>
              <w:top w:val="single" w:sz="8" w:space="0" w:color="auto"/>
              <w:left w:val="nil"/>
              <w:bottom w:val="single" w:sz="8" w:space="0" w:color="auto"/>
              <w:right w:val="nil"/>
            </w:tcBorders>
            <w:shd w:val="clear" w:color="000000" w:fill="FFFFFF"/>
            <w:vAlign w:val="center"/>
            <w:hideMark/>
          </w:tcPr>
          <w:p w14:paraId="792BD02E"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China</w:t>
            </w:r>
          </w:p>
        </w:tc>
        <w:tc>
          <w:tcPr>
            <w:tcW w:w="2330" w:type="dxa"/>
            <w:tcBorders>
              <w:top w:val="single" w:sz="8" w:space="0" w:color="auto"/>
              <w:left w:val="nil"/>
              <w:bottom w:val="single" w:sz="8" w:space="0" w:color="auto"/>
              <w:right w:val="nil"/>
            </w:tcBorders>
            <w:shd w:val="clear" w:color="000000" w:fill="FFFFFF"/>
            <w:vAlign w:val="center"/>
            <w:hideMark/>
          </w:tcPr>
          <w:p w14:paraId="20DE7F55"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Surveillance and contact tracing</w:t>
            </w:r>
          </w:p>
        </w:tc>
        <w:tc>
          <w:tcPr>
            <w:tcW w:w="2975" w:type="dxa"/>
            <w:tcBorders>
              <w:top w:val="single" w:sz="8" w:space="0" w:color="auto"/>
              <w:left w:val="nil"/>
              <w:bottom w:val="single" w:sz="8" w:space="0" w:color="auto"/>
              <w:right w:val="nil"/>
            </w:tcBorders>
            <w:shd w:val="clear" w:color="auto" w:fill="auto"/>
            <w:vAlign w:val="center"/>
            <w:hideMark/>
          </w:tcPr>
          <w:p w14:paraId="12C794DB"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Doctor-patient</w:t>
            </w:r>
          </w:p>
        </w:tc>
        <w:tc>
          <w:tcPr>
            <w:tcW w:w="1276" w:type="dxa"/>
            <w:tcBorders>
              <w:top w:val="single" w:sz="8" w:space="0" w:color="auto"/>
              <w:left w:val="nil"/>
              <w:bottom w:val="single" w:sz="8" w:space="0" w:color="auto"/>
              <w:right w:val="nil"/>
            </w:tcBorders>
            <w:shd w:val="clear" w:color="000000" w:fill="FFFFFF"/>
            <w:vAlign w:val="center"/>
            <w:hideMark/>
          </w:tcPr>
          <w:p w14:paraId="0DA65926"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unclear</w:t>
            </w:r>
          </w:p>
        </w:tc>
        <w:tc>
          <w:tcPr>
            <w:tcW w:w="1134" w:type="dxa"/>
            <w:tcBorders>
              <w:top w:val="single" w:sz="8" w:space="0" w:color="auto"/>
              <w:left w:val="nil"/>
              <w:bottom w:val="single" w:sz="8" w:space="0" w:color="auto"/>
              <w:right w:val="nil"/>
            </w:tcBorders>
            <w:shd w:val="clear" w:color="000000" w:fill="FFFFFF"/>
            <w:vAlign w:val="center"/>
            <w:hideMark/>
          </w:tcPr>
          <w:p w14:paraId="41B6B423"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unclear</w:t>
            </w:r>
          </w:p>
        </w:tc>
        <w:tc>
          <w:tcPr>
            <w:tcW w:w="869" w:type="dxa"/>
            <w:tcBorders>
              <w:top w:val="single" w:sz="8" w:space="0" w:color="auto"/>
              <w:left w:val="nil"/>
              <w:bottom w:val="single" w:sz="8" w:space="0" w:color="auto"/>
              <w:right w:val="nil"/>
            </w:tcBorders>
            <w:shd w:val="clear" w:color="000000" w:fill="FFFFFF"/>
            <w:vAlign w:val="center"/>
            <w:hideMark/>
          </w:tcPr>
          <w:p w14:paraId="1929786F"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560</w:t>
            </w:r>
          </w:p>
        </w:tc>
        <w:tc>
          <w:tcPr>
            <w:tcW w:w="976" w:type="dxa"/>
            <w:tcBorders>
              <w:top w:val="single" w:sz="8" w:space="0" w:color="auto"/>
              <w:left w:val="nil"/>
              <w:bottom w:val="single" w:sz="8" w:space="0" w:color="auto"/>
              <w:right w:val="nil"/>
            </w:tcBorders>
            <w:shd w:val="clear" w:color="000000" w:fill="FFFFFF"/>
            <w:noWrap/>
            <w:vAlign w:val="center"/>
            <w:hideMark/>
          </w:tcPr>
          <w:p w14:paraId="66FE0C5E"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5</w:t>
            </w:r>
          </w:p>
        </w:tc>
        <w:tc>
          <w:tcPr>
            <w:tcW w:w="992" w:type="dxa"/>
            <w:tcBorders>
              <w:top w:val="single" w:sz="8" w:space="0" w:color="auto"/>
              <w:left w:val="nil"/>
              <w:bottom w:val="single" w:sz="8" w:space="0" w:color="auto"/>
              <w:right w:val="nil"/>
            </w:tcBorders>
            <w:shd w:val="clear" w:color="000000" w:fill="FFFFFF"/>
            <w:noWrap/>
            <w:vAlign w:val="center"/>
            <w:hideMark/>
          </w:tcPr>
          <w:p w14:paraId="3B2D6E61"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5</w:t>
            </w:r>
          </w:p>
        </w:tc>
        <w:tc>
          <w:tcPr>
            <w:tcW w:w="996" w:type="dxa"/>
            <w:tcBorders>
              <w:top w:val="single" w:sz="8" w:space="0" w:color="auto"/>
              <w:left w:val="nil"/>
              <w:bottom w:val="single" w:sz="8" w:space="0" w:color="auto"/>
              <w:right w:val="nil"/>
            </w:tcBorders>
            <w:shd w:val="clear" w:color="000000" w:fill="FFFFFF"/>
            <w:noWrap/>
            <w:vAlign w:val="center"/>
            <w:hideMark/>
          </w:tcPr>
          <w:p w14:paraId="58F05F38"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2</w:t>
            </w:r>
          </w:p>
        </w:tc>
      </w:tr>
      <w:tr w:rsidR="000F13C3" w:rsidRPr="00F6420B" w14:paraId="4669A822" w14:textId="77777777" w:rsidTr="00CB478C">
        <w:trPr>
          <w:trHeight w:val="132"/>
        </w:trPr>
        <w:tc>
          <w:tcPr>
            <w:tcW w:w="993" w:type="dxa"/>
            <w:tcBorders>
              <w:top w:val="nil"/>
              <w:left w:val="nil"/>
              <w:bottom w:val="single" w:sz="18" w:space="0" w:color="auto"/>
              <w:right w:val="nil"/>
            </w:tcBorders>
            <w:vAlign w:val="center"/>
          </w:tcPr>
          <w:p w14:paraId="6F3B71D4" w14:textId="4E609494" w:rsidR="00F02A6E" w:rsidRPr="00F02A6E" w:rsidRDefault="00887C10" w:rsidP="00F02A6E">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w:t>
            </w:r>
            <w:r w:rsidR="00ED69B5">
              <w:rPr>
                <w:rFonts w:ascii="Calibri" w:eastAsia="Times New Roman" w:hAnsi="Calibri" w:cs="Calibri"/>
                <w:color w:val="000000"/>
                <w:sz w:val="18"/>
                <w:szCs w:val="18"/>
                <w:lang w:eastAsia="en-GB"/>
              </w:rPr>
              <w:t>6</w:t>
            </w:r>
          </w:p>
        </w:tc>
        <w:tc>
          <w:tcPr>
            <w:tcW w:w="1139" w:type="dxa"/>
            <w:tcBorders>
              <w:top w:val="nil"/>
              <w:left w:val="nil"/>
              <w:bottom w:val="single" w:sz="18" w:space="0" w:color="auto"/>
              <w:right w:val="nil"/>
            </w:tcBorders>
            <w:shd w:val="clear" w:color="auto" w:fill="auto"/>
            <w:vAlign w:val="center"/>
            <w:hideMark/>
          </w:tcPr>
          <w:p w14:paraId="48C82C9C" w14:textId="6F2C3D1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Zhang et al </w:t>
            </w:r>
            <w:r w:rsidR="00D17082">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{"citationItems":[{"id":"ITEM-1","itemData":{"DOI":"10.1126/science.abb8001","abstract":"The coronavirus 2019 (COVID-19) pandemic has brought tighter restrictions on the daily lives of millions of people, but we do not yet understand what measures are the most effective. Zhang et al. modeled virus transmission in Wuhan, China, in February 2020, investigating the effects of interventions ranging from patient management to social isolation. Age-mixing patterns were estimated by contact surveys conducted in Wuhan and Shanghai at the beginning of February 2020. Once people reduced their average daily contacts from 14 to 20 down to 2, transmission rapidly fell below the epidemic threshold. The model also showed that preemptive school closures helped to reduce transmission, although alone they would not prevent a COVID-19 outbreak. Limiting human mixing to within households appeared to be the most effective measure.Science, this issue p. 1481Intense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 Although proactive school closures cannot interrupt transmission on their own, they can reduce peak incidence by 40 to 60% and delay the epidemic.","author":[{"dropping-particle":"","family":"Zhang","given":"Juanjuan","non-dropping-particle":"","parse-names":false,"suffix":""},{"dropping-particle":"","family":"Litvinova","given":"Maria","non-dropping-particle":"","parse-names":false,"suffix":""},{"dropping-particle":"","family":"Liang","given":"Yuxia","non-dropping-particle":"","parse-names":false,"suffix":""},{"dropping-particle":"","family":"Wang","given":"Yan","non-dropping-particle":"","parse-names":false,"suffix":""},{"dropping-particle":"","family":"Wang","given":"Wei","non-dropping-particle":"","parse-names":false,"suffix":""},{"dropping-particle":"","family":"Zhao","given":"Shanlu","non-dropping-particle":"","parse-names":false,"suffix":""},{"dropping-particle":"","family":"Wu","given":"Qianhui","non-dropping-particle":"","parse-names":false,"suffix":""},{"dropping-particle":"","family":"Merler","given":"Stefano","non-dropping-particle":"","parse-names":false,"suffix":""},{"dropping-particle":"","family":"Viboud","given":"Cécile","non-dropping-particle":"","parse-names":false,"suffix":""},{"dropping-particle":"","family":"Vespignani","given":"Alessandro","non-dropping-particle":"","parse-names":false,"suffix":""},{"dropping-particle":"","family":"Ajelli","given":"Marco","non-dropping-particle":"","parse-names":false,"suffix":""},{"dropping-particle":"","family":"Yu","given":"Hongjie","non-dropping-particle":"","parse-names":false,"suffix":""}],"container-title":"Science","id":"ITEM-1","issue":"6498","issued":{"date-parts":[["2020"]]},"page":"1481-1486","title":"Changes in contact patterns shape the dynamics of the COVID-19 outbreak in China","type":"article-journal","volume":"368"},"uris":["http://www.mendeley.com/documents/?uuid=b9300627-c650-42e9-83b0-3a26afbc8c23"]}],"mendeley":{"formattedCitation":"[63]","plainTextFormattedCitation":"[63]","previouslyFormattedCitation":"[65]"},"properties":{"noteIndex":0},"schema":"https://github.com/citation-style-language/schema/raw/master/csl-citation.json"}</w:instrText>
            </w:r>
            <w:r w:rsidR="00D17082">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[63]</w:t>
            </w:r>
            <w:r w:rsidR="00D17082">
              <w:rPr>
                <w:rFonts w:ascii="Calibri" w:eastAsia="Times New Roman" w:hAnsi="Calibri" w:cs="Calibri"/>
                <w:color w:val="000000"/>
                <w:sz w:val="18"/>
                <w:szCs w:val="18"/>
                <w:lang w:eastAsia="en-GB"/>
              </w:rPr>
              <w:fldChar w:fldCharType="end"/>
            </w:r>
          </w:p>
        </w:tc>
        <w:tc>
          <w:tcPr>
            <w:tcW w:w="1129" w:type="dxa"/>
            <w:tcBorders>
              <w:top w:val="nil"/>
              <w:left w:val="nil"/>
              <w:bottom w:val="single" w:sz="18" w:space="0" w:color="auto"/>
              <w:right w:val="nil"/>
            </w:tcBorders>
            <w:shd w:val="clear" w:color="000000" w:fill="FFFFFF"/>
            <w:vAlign w:val="center"/>
            <w:hideMark/>
          </w:tcPr>
          <w:p w14:paraId="4264499E"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Hunan</w:t>
            </w:r>
          </w:p>
        </w:tc>
        <w:tc>
          <w:tcPr>
            <w:tcW w:w="1070" w:type="dxa"/>
            <w:tcBorders>
              <w:top w:val="nil"/>
              <w:left w:val="nil"/>
              <w:bottom w:val="single" w:sz="18" w:space="0" w:color="auto"/>
              <w:right w:val="nil"/>
            </w:tcBorders>
            <w:shd w:val="clear" w:color="000000" w:fill="FFFFFF"/>
            <w:vAlign w:val="center"/>
            <w:hideMark/>
          </w:tcPr>
          <w:p w14:paraId="1C691049"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China</w:t>
            </w:r>
          </w:p>
        </w:tc>
        <w:tc>
          <w:tcPr>
            <w:tcW w:w="2330" w:type="dxa"/>
            <w:tcBorders>
              <w:top w:val="nil"/>
              <w:left w:val="nil"/>
              <w:bottom w:val="single" w:sz="18" w:space="0" w:color="auto"/>
              <w:right w:val="nil"/>
            </w:tcBorders>
            <w:shd w:val="clear" w:color="000000" w:fill="FFFFFF"/>
            <w:vAlign w:val="center"/>
            <w:hideMark/>
          </w:tcPr>
          <w:p w14:paraId="05A28ADA" w14:textId="77777777"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Surveillance and contact tracing</w:t>
            </w:r>
          </w:p>
        </w:tc>
        <w:tc>
          <w:tcPr>
            <w:tcW w:w="2975" w:type="dxa"/>
            <w:tcBorders>
              <w:top w:val="nil"/>
              <w:left w:val="nil"/>
              <w:bottom w:val="single" w:sz="18" w:space="0" w:color="auto"/>
              <w:right w:val="nil"/>
            </w:tcBorders>
            <w:shd w:val="clear" w:color="000000" w:fill="FFFFFF"/>
            <w:vAlign w:val="center"/>
            <w:hideMark/>
          </w:tcPr>
          <w:p w14:paraId="47B587DD" w14:textId="2AC79CCF" w:rsidR="00F02A6E" w:rsidRPr="00F02A6E" w:rsidRDefault="00F02A6E" w:rsidP="00B802CE">
            <w:pPr>
              <w:spacing w:after="0" w:line="240" w:lineRule="auto"/>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 xml:space="preserve">Healthcare </w:t>
            </w:r>
          </w:p>
        </w:tc>
        <w:tc>
          <w:tcPr>
            <w:tcW w:w="1276" w:type="dxa"/>
            <w:tcBorders>
              <w:top w:val="nil"/>
              <w:left w:val="nil"/>
              <w:bottom w:val="single" w:sz="18" w:space="0" w:color="auto"/>
              <w:right w:val="nil"/>
            </w:tcBorders>
            <w:shd w:val="clear" w:color="000000" w:fill="FFFFFF"/>
            <w:vAlign w:val="center"/>
            <w:hideMark/>
          </w:tcPr>
          <w:p w14:paraId="1A2A0BBE"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all</w:t>
            </w:r>
          </w:p>
        </w:tc>
        <w:tc>
          <w:tcPr>
            <w:tcW w:w="1134" w:type="dxa"/>
            <w:tcBorders>
              <w:top w:val="nil"/>
              <w:left w:val="nil"/>
              <w:bottom w:val="single" w:sz="18" w:space="0" w:color="auto"/>
              <w:right w:val="nil"/>
            </w:tcBorders>
            <w:shd w:val="clear" w:color="000000" w:fill="FFFFFF"/>
            <w:noWrap/>
            <w:vAlign w:val="center"/>
            <w:hideMark/>
          </w:tcPr>
          <w:p w14:paraId="5A11456C" w14:textId="77777777" w:rsidR="00F02A6E" w:rsidRPr="00F02A6E" w:rsidRDefault="00F02A6E" w:rsidP="00B802CE">
            <w:pPr>
              <w:spacing w:after="0" w:line="240" w:lineRule="auto"/>
              <w:jc w:val="center"/>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RT-PCR</w:t>
            </w:r>
          </w:p>
        </w:tc>
        <w:tc>
          <w:tcPr>
            <w:tcW w:w="869" w:type="dxa"/>
            <w:tcBorders>
              <w:top w:val="nil"/>
              <w:left w:val="nil"/>
              <w:bottom w:val="single" w:sz="18" w:space="0" w:color="auto"/>
              <w:right w:val="nil"/>
            </w:tcBorders>
            <w:shd w:val="clear" w:color="000000" w:fill="FFFFFF"/>
            <w:noWrap/>
            <w:vAlign w:val="center"/>
            <w:hideMark/>
          </w:tcPr>
          <w:p w14:paraId="63A1326C"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136</w:t>
            </w:r>
          </w:p>
        </w:tc>
        <w:tc>
          <w:tcPr>
            <w:tcW w:w="976" w:type="dxa"/>
            <w:tcBorders>
              <w:top w:val="nil"/>
              <w:left w:val="nil"/>
              <w:bottom w:val="single" w:sz="18" w:space="0" w:color="auto"/>
              <w:right w:val="nil"/>
            </w:tcBorders>
            <w:shd w:val="clear" w:color="000000" w:fill="FFFFFF"/>
            <w:noWrap/>
            <w:vAlign w:val="center"/>
            <w:hideMark/>
          </w:tcPr>
          <w:p w14:paraId="3A18528B"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572</w:t>
            </w:r>
          </w:p>
        </w:tc>
        <w:tc>
          <w:tcPr>
            <w:tcW w:w="992" w:type="dxa"/>
            <w:tcBorders>
              <w:top w:val="nil"/>
              <w:left w:val="nil"/>
              <w:bottom w:val="single" w:sz="18" w:space="0" w:color="auto"/>
              <w:right w:val="nil"/>
            </w:tcBorders>
            <w:shd w:val="clear" w:color="000000" w:fill="FFFFFF"/>
            <w:noWrap/>
            <w:vAlign w:val="center"/>
            <w:hideMark/>
          </w:tcPr>
          <w:p w14:paraId="52237B42"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572</w:t>
            </w:r>
          </w:p>
        </w:tc>
        <w:tc>
          <w:tcPr>
            <w:tcW w:w="996" w:type="dxa"/>
            <w:tcBorders>
              <w:top w:val="nil"/>
              <w:left w:val="nil"/>
              <w:bottom w:val="single" w:sz="18" w:space="0" w:color="auto"/>
              <w:right w:val="nil"/>
            </w:tcBorders>
            <w:shd w:val="clear" w:color="000000" w:fill="FFFFFF"/>
            <w:noWrap/>
            <w:vAlign w:val="center"/>
            <w:hideMark/>
          </w:tcPr>
          <w:p w14:paraId="363C67DF" w14:textId="77777777" w:rsidR="00F02A6E" w:rsidRPr="00F02A6E" w:rsidRDefault="00F02A6E" w:rsidP="00B802CE">
            <w:pPr>
              <w:spacing w:after="0" w:line="240" w:lineRule="auto"/>
              <w:jc w:val="right"/>
              <w:rPr>
                <w:rFonts w:ascii="Calibri" w:eastAsia="Times New Roman" w:hAnsi="Calibri" w:cs="Calibri"/>
                <w:color w:val="000000"/>
                <w:sz w:val="18"/>
                <w:szCs w:val="18"/>
                <w:lang w:eastAsia="en-GB"/>
              </w:rPr>
            </w:pPr>
            <w:r w:rsidRPr="00F02A6E">
              <w:rPr>
                <w:rFonts w:ascii="Calibri" w:eastAsia="Times New Roman" w:hAnsi="Calibri" w:cs="Calibri"/>
                <w:color w:val="000000"/>
                <w:sz w:val="18"/>
                <w:szCs w:val="18"/>
                <w:lang w:eastAsia="en-GB"/>
              </w:rPr>
              <w:t>7</w:t>
            </w:r>
          </w:p>
        </w:tc>
      </w:tr>
    </w:tbl>
    <w:p w14:paraId="4D95E538" w14:textId="77777777" w:rsidR="00023ABF" w:rsidRDefault="00023ABF" w:rsidP="00023ABF">
      <w:r>
        <w:t>*</w:t>
      </w:r>
      <w:r w:rsidRPr="006C15AF">
        <w:rPr>
          <w:rFonts w:ascii="Calibri" w:eastAsia="Times New Roman" w:hAnsi="Calibri" w:cs="Calibri"/>
          <w:color w:val="000000"/>
          <w:sz w:val="18"/>
          <w:szCs w:val="18"/>
          <w:lang w:eastAsia="en-GB"/>
        </w:rPr>
        <w:t xml:space="preserve"> </w:t>
      </w:r>
      <w:r>
        <w:rPr>
          <w:rFonts w:ascii="Calibri" w:eastAsia="Times New Roman" w:hAnsi="Calibri" w:cs="Calibri"/>
          <w:color w:val="000000"/>
          <w:sz w:val="18"/>
          <w:szCs w:val="18"/>
          <w:lang w:eastAsia="en-GB"/>
        </w:rPr>
        <w:t>I</w:t>
      </w:r>
      <w:r w:rsidRPr="008C4D21">
        <w:rPr>
          <w:rFonts w:ascii="Calibri" w:eastAsia="Times New Roman" w:hAnsi="Calibri" w:cs="Calibri"/>
          <w:color w:val="000000"/>
          <w:sz w:val="18"/>
          <w:szCs w:val="18"/>
          <w:lang w:eastAsia="en-GB"/>
        </w:rPr>
        <w:t xml:space="preserve">nferred &gt;1 due to </w:t>
      </w:r>
      <w:r>
        <w:rPr>
          <w:rFonts w:ascii="Calibri" w:eastAsia="Times New Roman" w:hAnsi="Calibri" w:cs="Calibri"/>
          <w:color w:val="000000"/>
          <w:sz w:val="18"/>
          <w:szCs w:val="18"/>
          <w:lang w:eastAsia="en-GB"/>
        </w:rPr>
        <w:t>contact</w:t>
      </w:r>
      <w:r w:rsidRPr="008C4D21">
        <w:rPr>
          <w:rFonts w:ascii="Calibri" w:eastAsia="Times New Roman" w:hAnsi="Calibri" w:cs="Calibri"/>
          <w:color w:val="000000"/>
          <w:sz w:val="18"/>
          <w:szCs w:val="18"/>
          <w:lang w:eastAsia="en-GB"/>
        </w:rPr>
        <w:t xml:space="preserve"> </w:t>
      </w:r>
      <w:r>
        <w:rPr>
          <w:rFonts w:ascii="Calibri" w:eastAsia="Times New Roman" w:hAnsi="Calibri" w:cs="Calibri"/>
          <w:color w:val="000000"/>
          <w:sz w:val="18"/>
          <w:szCs w:val="18"/>
          <w:lang w:eastAsia="en-GB"/>
        </w:rPr>
        <w:t xml:space="preserve">sample size </w:t>
      </w:r>
    </w:p>
    <w:p w14:paraId="6DFD034C" w14:textId="4EC27DBE" w:rsidR="00023ABF" w:rsidRPr="00023ABF" w:rsidRDefault="00023ABF" w:rsidP="00023ABF">
      <w:pPr>
        <w:sectPr w:rsidR="00023ABF" w:rsidRPr="00023ABF" w:rsidSect="00AF487A">
          <w:pgSz w:w="16838" w:h="11906" w:orient="landscape"/>
          <w:pgMar w:top="1440" w:right="1440" w:bottom="1440" w:left="1440" w:header="709" w:footer="709" w:gutter="0"/>
          <w:cols w:space="708"/>
          <w:docGrid w:linePitch="360"/>
        </w:sectPr>
      </w:pPr>
    </w:p>
    <w:p w14:paraId="74ADC266" w14:textId="4548D383" w:rsidR="00922450" w:rsidRDefault="001F31E3" w:rsidP="001F31E3">
      <w:pPr>
        <w:pStyle w:val="Heading2"/>
        <w:rPr>
          <w:rFonts w:asciiTheme="minorHAnsi" w:hAnsiTheme="minorHAnsi" w:cstheme="minorHAnsi"/>
          <w:sz w:val="24"/>
          <w:szCs w:val="24"/>
        </w:rPr>
      </w:pPr>
      <w:r w:rsidRPr="00A80249">
        <w:rPr>
          <w:rFonts w:asciiTheme="minorHAnsi" w:hAnsiTheme="minorHAnsi" w:cstheme="minorHAnsi"/>
          <w:sz w:val="24"/>
          <w:szCs w:val="24"/>
        </w:rPr>
        <w:lastRenderedPageBreak/>
        <w:t xml:space="preserve">Group Living Populations </w:t>
      </w:r>
    </w:p>
    <w:p w14:paraId="1F0AB09F" w14:textId="1E844A1A" w:rsidR="00E066BE" w:rsidRPr="000D1FB5" w:rsidRDefault="00E066BE" w:rsidP="001F31E3">
      <w:pPr>
        <w:rPr>
          <w:sz w:val="20"/>
          <w:szCs w:val="20"/>
        </w:rPr>
      </w:pPr>
      <w:r w:rsidRPr="000D1FB5">
        <w:rPr>
          <w:b/>
          <w:bCs/>
          <w:sz w:val="20"/>
          <w:szCs w:val="20"/>
        </w:rPr>
        <w:t>Table 5. Summary of studies reporting on contact investigations in group living vulnerable populations</w:t>
      </w:r>
    </w:p>
    <w:tbl>
      <w:tblPr>
        <w:tblW w:w="16052" w:type="dxa"/>
        <w:tblInd w:w="-993" w:type="dxa"/>
        <w:tblLayout w:type="fixed"/>
        <w:tblLook w:val="04A0" w:firstRow="1" w:lastRow="0" w:firstColumn="1" w:lastColumn="0" w:noHBand="0" w:noVBand="1"/>
      </w:tblPr>
      <w:tblGrid>
        <w:gridCol w:w="1170"/>
        <w:gridCol w:w="1170"/>
        <w:gridCol w:w="1291"/>
        <w:gridCol w:w="1006"/>
        <w:gridCol w:w="1318"/>
        <w:gridCol w:w="1212"/>
        <w:gridCol w:w="3023"/>
        <w:gridCol w:w="977"/>
        <w:gridCol w:w="977"/>
        <w:gridCol w:w="838"/>
        <w:gridCol w:w="977"/>
        <w:gridCol w:w="977"/>
        <w:gridCol w:w="1116"/>
      </w:tblGrid>
      <w:tr w:rsidR="004E7F1D" w:rsidRPr="00226F56" w14:paraId="195684BB" w14:textId="77777777" w:rsidTr="00056E47">
        <w:trPr>
          <w:trHeight w:val="294"/>
        </w:trPr>
        <w:tc>
          <w:tcPr>
            <w:tcW w:w="1170" w:type="dxa"/>
            <w:tcBorders>
              <w:top w:val="single" w:sz="18" w:space="0" w:color="auto"/>
              <w:left w:val="nil"/>
              <w:bottom w:val="single" w:sz="18" w:space="0" w:color="auto"/>
              <w:right w:val="nil"/>
            </w:tcBorders>
            <w:shd w:val="clear" w:color="000000" w:fill="FFFFFF"/>
            <w:vAlign w:val="center"/>
          </w:tcPr>
          <w:p w14:paraId="3085B0BB" w14:textId="274855CC" w:rsidR="005A0998" w:rsidRPr="00226F56" w:rsidRDefault="00226F56" w:rsidP="005A0998">
            <w:pPr>
              <w:spacing w:after="0" w:line="240" w:lineRule="auto"/>
              <w:jc w:val="center"/>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Main text reference number</w:t>
            </w:r>
          </w:p>
        </w:tc>
        <w:tc>
          <w:tcPr>
            <w:tcW w:w="1170" w:type="dxa"/>
            <w:tcBorders>
              <w:top w:val="single" w:sz="18" w:space="0" w:color="auto"/>
              <w:left w:val="nil"/>
              <w:bottom w:val="single" w:sz="18" w:space="0" w:color="auto"/>
              <w:right w:val="nil"/>
            </w:tcBorders>
            <w:shd w:val="clear" w:color="000000" w:fill="FFFFFF"/>
            <w:vAlign w:val="center"/>
            <w:hideMark/>
          </w:tcPr>
          <w:p w14:paraId="4FBF7D77" w14:textId="2E6D41E5" w:rsidR="005A0998" w:rsidRPr="00226F56" w:rsidRDefault="005A0998" w:rsidP="00364858">
            <w:pPr>
              <w:spacing w:after="0" w:line="240" w:lineRule="auto"/>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Author</w:t>
            </w:r>
          </w:p>
        </w:tc>
        <w:tc>
          <w:tcPr>
            <w:tcW w:w="1291" w:type="dxa"/>
            <w:tcBorders>
              <w:top w:val="single" w:sz="18" w:space="0" w:color="auto"/>
              <w:left w:val="nil"/>
              <w:bottom w:val="single" w:sz="18" w:space="0" w:color="auto"/>
              <w:right w:val="nil"/>
            </w:tcBorders>
            <w:shd w:val="clear" w:color="000000" w:fill="FFFFFF"/>
            <w:vAlign w:val="center"/>
            <w:hideMark/>
          </w:tcPr>
          <w:p w14:paraId="003D18AC" w14:textId="77777777" w:rsidR="005A0998" w:rsidRPr="00226F56" w:rsidRDefault="005A0998" w:rsidP="00364858">
            <w:pPr>
              <w:spacing w:after="0" w:line="240" w:lineRule="auto"/>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Region</w:t>
            </w:r>
          </w:p>
        </w:tc>
        <w:tc>
          <w:tcPr>
            <w:tcW w:w="1006" w:type="dxa"/>
            <w:tcBorders>
              <w:top w:val="single" w:sz="18" w:space="0" w:color="auto"/>
              <w:left w:val="nil"/>
              <w:bottom w:val="single" w:sz="18" w:space="0" w:color="auto"/>
              <w:right w:val="nil"/>
            </w:tcBorders>
            <w:shd w:val="clear" w:color="000000" w:fill="FFFFFF"/>
            <w:vAlign w:val="center"/>
            <w:hideMark/>
          </w:tcPr>
          <w:p w14:paraId="42E83B2D" w14:textId="77777777" w:rsidR="005A0998" w:rsidRPr="00226F56" w:rsidRDefault="005A0998" w:rsidP="00364858">
            <w:pPr>
              <w:spacing w:after="0" w:line="240" w:lineRule="auto"/>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Country</w:t>
            </w:r>
          </w:p>
        </w:tc>
        <w:tc>
          <w:tcPr>
            <w:tcW w:w="1318" w:type="dxa"/>
            <w:tcBorders>
              <w:top w:val="single" w:sz="18" w:space="0" w:color="auto"/>
              <w:left w:val="nil"/>
              <w:bottom w:val="single" w:sz="18" w:space="0" w:color="auto"/>
              <w:right w:val="nil"/>
            </w:tcBorders>
            <w:shd w:val="clear" w:color="000000" w:fill="FFFFFF"/>
            <w:vAlign w:val="center"/>
            <w:hideMark/>
          </w:tcPr>
          <w:p w14:paraId="62330C22" w14:textId="77777777" w:rsidR="005A0998" w:rsidRPr="00226F56" w:rsidRDefault="005A0998" w:rsidP="00364858">
            <w:pPr>
              <w:spacing w:after="0" w:line="240" w:lineRule="auto"/>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Study design</w:t>
            </w:r>
          </w:p>
        </w:tc>
        <w:tc>
          <w:tcPr>
            <w:tcW w:w="1212" w:type="dxa"/>
            <w:tcBorders>
              <w:top w:val="single" w:sz="18" w:space="0" w:color="auto"/>
              <w:left w:val="nil"/>
              <w:bottom w:val="single" w:sz="18" w:space="0" w:color="auto"/>
              <w:right w:val="nil"/>
            </w:tcBorders>
            <w:shd w:val="clear" w:color="000000" w:fill="FFFFFF"/>
            <w:vAlign w:val="center"/>
            <w:hideMark/>
          </w:tcPr>
          <w:p w14:paraId="5B6553F5" w14:textId="77777777" w:rsidR="005A0998" w:rsidRPr="00226F56" w:rsidRDefault="005A0998" w:rsidP="00364858">
            <w:pPr>
              <w:spacing w:after="0" w:line="240" w:lineRule="auto"/>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Setting</w:t>
            </w:r>
          </w:p>
        </w:tc>
        <w:tc>
          <w:tcPr>
            <w:tcW w:w="3023" w:type="dxa"/>
            <w:tcBorders>
              <w:top w:val="single" w:sz="18" w:space="0" w:color="auto"/>
              <w:left w:val="nil"/>
              <w:bottom w:val="single" w:sz="18" w:space="0" w:color="auto"/>
              <w:right w:val="nil"/>
            </w:tcBorders>
            <w:shd w:val="clear" w:color="000000" w:fill="FFFFFF"/>
            <w:vAlign w:val="center"/>
            <w:hideMark/>
          </w:tcPr>
          <w:p w14:paraId="5952D583" w14:textId="77777777" w:rsidR="005A0998" w:rsidRPr="00226F56" w:rsidRDefault="005A0998" w:rsidP="00364858">
            <w:pPr>
              <w:spacing w:after="0" w:line="240" w:lineRule="auto"/>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Contact definition</w:t>
            </w:r>
          </w:p>
        </w:tc>
        <w:tc>
          <w:tcPr>
            <w:tcW w:w="977" w:type="dxa"/>
            <w:tcBorders>
              <w:top w:val="single" w:sz="18" w:space="0" w:color="auto"/>
              <w:left w:val="nil"/>
              <w:bottom w:val="single" w:sz="18" w:space="0" w:color="auto"/>
              <w:right w:val="nil"/>
            </w:tcBorders>
            <w:shd w:val="clear" w:color="000000" w:fill="FFFFFF"/>
            <w:vAlign w:val="center"/>
            <w:hideMark/>
          </w:tcPr>
          <w:p w14:paraId="59D5F7ED" w14:textId="77777777" w:rsidR="005A0998" w:rsidRPr="00226F56" w:rsidRDefault="005A0998" w:rsidP="00364858">
            <w:pPr>
              <w:spacing w:after="0" w:line="240" w:lineRule="auto"/>
              <w:jc w:val="center"/>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Testing strategy</w:t>
            </w:r>
          </w:p>
        </w:tc>
        <w:tc>
          <w:tcPr>
            <w:tcW w:w="977" w:type="dxa"/>
            <w:tcBorders>
              <w:top w:val="single" w:sz="18" w:space="0" w:color="auto"/>
              <w:left w:val="nil"/>
              <w:bottom w:val="single" w:sz="18" w:space="0" w:color="auto"/>
              <w:right w:val="nil"/>
            </w:tcBorders>
            <w:shd w:val="clear" w:color="000000" w:fill="FFFFFF"/>
            <w:vAlign w:val="center"/>
            <w:hideMark/>
          </w:tcPr>
          <w:p w14:paraId="00952A2D" w14:textId="77777777" w:rsidR="005A0998" w:rsidRPr="00226F56" w:rsidRDefault="005A0998" w:rsidP="00364858">
            <w:pPr>
              <w:spacing w:after="0" w:line="240" w:lineRule="auto"/>
              <w:jc w:val="center"/>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Testing method</w:t>
            </w:r>
          </w:p>
        </w:tc>
        <w:tc>
          <w:tcPr>
            <w:tcW w:w="838" w:type="dxa"/>
            <w:tcBorders>
              <w:top w:val="single" w:sz="18" w:space="0" w:color="auto"/>
              <w:left w:val="nil"/>
              <w:bottom w:val="single" w:sz="18" w:space="0" w:color="auto"/>
              <w:right w:val="nil"/>
            </w:tcBorders>
            <w:shd w:val="clear" w:color="000000" w:fill="FFFFFF"/>
            <w:vAlign w:val="center"/>
            <w:hideMark/>
          </w:tcPr>
          <w:p w14:paraId="757FA31D" w14:textId="77777777" w:rsidR="005A0998" w:rsidRPr="00226F56" w:rsidRDefault="005A0998" w:rsidP="00364858">
            <w:pPr>
              <w:spacing w:after="0" w:line="240" w:lineRule="auto"/>
              <w:jc w:val="right"/>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Index cases</w:t>
            </w:r>
          </w:p>
        </w:tc>
        <w:tc>
          <w:tcPr>
            <w:tcW w:w="977" w:type="dxa"/>
            <w:tcBorders>
              <w:top w:val="single" w:sz="18" w:space="0" w:color="auto"/>
              <w:left w:val="nil"/>
              <w:bottom w:val="single" w:sz="18" w:space="0" w:color="auto"/>
              <w:right w:val="nil"/>
            </w:tcBorders>
            <w:shd w:val="clear" w:color="000000" w:fill="FFFFFF"/>
            <w:vAlign w:val="center"/>
            <w:hideMark/>
          </w:tcPr>
          <w:p w14:paraId="3CA1742A" w14:textId="77777777" w:rsidR="005A0998" w:rsidRPr="00226F56" w:rsidRDefault="005A0998" w:rsidP="00364858">
            <w:pPr>
              <w:spacing w:after="0" w:line="240" w:lineRule="auto"/>
              <w:jc w:val="right"/>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Contacts traced</w:t>
            </w:r>
          </w:p>
        </w:tc>
        <w:tc>
          <w:tcPr>
            <w:tcW w:w="977" w:type="dxa"/>
            <w:tcBorders>
              <w:top w:val="single" w:sz="18" w:space="0" w:color="auto"/>
              <w:left w:val="nil"/>
              <w:bottom w:val="single" w:sz="18" w:space="0" w:color="auto"/>
              <w:right w:val="nil"/>
            </w:tcBorders>
            <w:shd w:val="clear" w:color="000000" w:fill="FFFFFF"/>
            <w:vAlign w:val="center"/>
            <w:hideMark/>
          </w:tcPr>
          <w:p w14:paraId="18F2528A" w14:textId="77777777" w:rsidR="005A0998" w:rsidRPr="00226F56" w:rsidRDefault="005A0998" w:rsidP="00364858">
            <w:pPr>
              <w:spacing w:after="0" w:line="240" w:lineRule="auto"/>
              <w:jc w:val="right"/>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Contacts tested</w:t>
            </w:r>
          </w:p>
        </w:tc>
        <w:tc>
          <w:tcPr>
            <w:tcW w:w="1116" w:type="dxa"/>
            <w:tcBorders>
              <w:top w:val="single" w:sz="18" w:space="0" w:color="auto"/>
              <w:left w:val="nil"/>
              <w:bottom w:val="single" w:sz="18" w:space="0" w:color="auto"/>
              <w:right w:val="nil"/>
            </w:tcBorders>
            <w:shd w:val="clear" w:color="000000" w:fill="FFFFFF"/>
            <w:vAlign w:val="center"/>
            <w:hideMark/>
          </w:tcPr>
          <w:p w14:paraId="23554576" w14:textId="77777777" w:rsidR="005A0998" w:rsidRPr="00226F56" w:rsidRDefault="005A0998" w:rsidP="00364858">
            <w:pPr>
              <w:spacing w:after="0" w:line="240" w:lineRule="auto"/>
              <w:jc w:val="right"/>
              <w:rPr>
                <w:rFonts w:ascii="Calibri" w:eastAsia="Times New Roman" w:hAnsi="Calibri" w:cs="Calibri"/>
                <w:b/>
                <w:bCs/>
                <w:color w:val="000000"/>
                <w:sz w:val="18"/>
                <w:szCs w:val="18"/>
                <w:lang w:eastAsia="en-GB"/>
              </w:rPr>
            </w:pPr>
            <w:r w:rsidRPr="00226F56">
              <w:rPr>
                <w:rFonts w:ascii="Calibri" w:eastAsia="Times New Roman" w:hAnsi="Calibri" w:cs="Calibri"/>
                <w:b/>
                <w:bCs/>
                <w:color w:val="000000"/>
                <w:sz w:val="18"/>
                <w:szCs w:val="18"/>
                <w:lang w:eastAsia="en-GB"/>
              </w:rPr>
              <w:t>Secondary cases</w:t>
            </w:r>
          </w:p>
        </w:tc>
      </w:tr>
      <w:tr w:rsidR="004E7F1D" w:rsidRPr="00226F56" w14:paraId="7F9795DF" w14:textId="77777777" w:rsidTr="00056E47">
        <w:trPr>
          <w:trHeight w:val="914"/>
        </w:trPr>
        <w:tc>
          <w:tcPr>
            <w:tcW w:w="1170" w:type="dxa"/>
            <w:tcBorders>
              <w:top w:val="single" w:sz="18" w:space="0" w:color="auto"/>
              <w:left w:val="nil"/>
              <w:bottom w:val="single" w:sz="8" w:space="0" w:color="auto"/>
              <w:right w:val="nil"/>
            </w:tcBorders>
            <w:shd w:val="clear" w:color="000000" w:fill="FFFFFF"/>
            <w:vAlign w:val="center"/>
          </w:tcPr>
          <w:p w14:paraId="48A23179" w14:textId="0785A4B1" w:rsidR="005A0998" w:rsidRPr="00226F56" w:rsidRDefault="005A0998" w:rsidP="005A0998">
            <w:pPr>
              <w:spacing w:after="0" w:line="240" w:lineRule="auto"/>
              <w:jc w:val="center"/>
              <w:rPr>
                <w:rFonts w:ascii="Calibri" w:eastAsia="Times New Roman" w:hAnsi="Calibri" w:cs="Calibri"/>
                <w:color w:val="000000"/>
                <w:sz w:val="18"/>
                <w:szCs w:val="18"/>
                <w:lang w:eastAsia="en-GB"/>
              </w:rPr>
            </w:pPr>
          </w:p>
        </w:tc>
        <w:tc>
          <w:tcPr>
            <w:tcW w:w="1170" w:type="dxa"/>
            <w:tcBorders>
              <w:top w:val="single" w:sz="18" w:space="0" w:color="auto"/>
              <w:left w:val="nil"/>
              <w:bottom w:val="single" w:sz="8" w:space="0" w:color="auto"/>
              <w:right w:val="nil"/>
            </w:tcBorders>
            <w:shd w:val="clear" w:color="000000" w:fill="FFFFFF"/>
            <w:noWrap/>
            <w:vAlign w:val="center"/>
            <w:hideMark/>
          </w:tcPr>
          <w:p w14:paraId="272EAAA4" w14:textId="48089781"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xml:space="preserve">Baggett et al </w:t>
            </w:r>
            <w:r w:rsidR="00C83B75">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{"citationItems":[{"id":"ITEM-1","itemData":{"DOI":"10.1001/jama.2020.6887","ISBN":"0098-7484","abstract":"In the United States, 567 715 people were homeless on a single night in January 2019. The congregate nature and hygienic challenges of shelter life create the potential for rapid transmission of severe acute respiratory syndrome coronavirus 2 (SARS-CoV-2) in this vulnerable population.On March 13, 2020, the Boston Health Care for the Homeless Program (BHCHP), in partnership with city and state public health agencies and community partners, rolled out a coronavirus disease 2019 (COVID-19) response strategy that included respiratory symptom screening at shelter front doors, expedited referrals for SARS-CoV-2 testing and isolation for those with respiratory symptoms, dedicated treatment settings for individuals with positive test results, and contact tracing of confirmed COVID-19 cases.","author":[{"dropping-particle":"","family":"Baggett","given":"Travis P","non-dropping-particle":"","parse-names":false,"suffix":""},{"dropping-particle":"","family":"Keyes","given":"Harrison","non-dropping-particle":"","parse-names":false,"suffix":""},{"dropping-particle":"","family":"Sporn","given":"Nora","non-dropping-particle":"","parse-names":false,"suffix":""},{"dropping-particle":"","family":"Gaeta","given":"Jessie M","non-dropping-particle":"","parse-names":false,"suffix":""}],"container-title":"JAMA","id":"ITEM-1","issue":"21","issued":{"date-parts":[["2020"]]},"page":"2191-2192","title":"Prevalence of SARS-CoV-2 Infection in Residents of a Large Homeless Shelter in Boston","type":"article-journal","volume":"323"},"uris":["http://www.mendeley.com/documents/?uuid=15cc2aa0-92bc-4214-97d0-95030d0acca4"]}],"mendeley":{"formattedCitation":"[14]","plainTextFormattedCitation":"[14]","previouslyFormattedCitation":"[16]"},"properties":{"noteIndex":0},"schema":"https://github.com/citation-style-language/schema/raw/master/csl-citation.json"}</w:instrText>
            </w:r>
            <w:r w:rsidR="00C83B75">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[14]</w:t>
            </w:r>
            <w:r w:rsidR="00C83B75">
              <w:rPr>
                <w:rFonts w:ascii="Calibri" w:eastAsia="Times New Roman" w:hAnsi="Calibri" w:cs="Calibri"/>
                <w:color w:val="000000"/>
                <w:sz w:val="18"/>
                <w:szCs w:val="18"/>
                <w:lang w:eastAsia="en-GB"/>
              </w:rPr>
              <w:fldChar w:fldCharType="end"/>
            </w:r>
          </w:p>
        </w:tc>
        <w:tc>
          <w:tcPr>
            <w:tcW w:w="1291" w:type="dxa"/>
            <w:tcBorders>
              <w:top w:val="single" w:sz="18" w:space="0" w:color="auto"/>
              <w:left w:val="nil"/>
              <w:bottom w:val="single" w:sz="8" w:space="0" w:color="auto"/>
              <w:right w:val="nil"/>
            </w:tcBorders>
            <w:shd w:val="clear" w:color="000000" w:fill="FFFFFF"/>
            <w:noWrap/>
            <w:vAlign w:val="center"/>
            <w:hideMark/>
          </w:tcPr>
          <w:p w14:paraId="44550B9A"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Boston</w:t>
            </w:r>
          </w:p>
        </w:tc>
        <w:tc>
          <w:tcPr>
            <w:tcW w:w="1006" w:type="dxa"/>
            <w:tcBorders>
              <w:top w:val="single" w:sz="18" w:space="0" w:color="auto"/>
              <w:left w:val="nil"/>
              <w:bottom w:val="single" w:sz="8" w:space="0" w:color="auto"/>
              <w:right w:val="nil"/>
            </w:tcBorders>
            <w:shd w:val="clear" w:color="000000" w:fill="FFFFFF"/>
            <w:noWrap/>
            <w:vAlign w:val="center"/>
            <w:hideMark/>
          </w:tcPr>
          <w:p w14:paraId="0DAAEB5D"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USA</w:t>
            </w:r>
          </w:p>
        </w:tc>
        <w:tc>
          <w:tcPr>
            <w:tcW w:w="1318" w:type="dxa"/>
            <w:tcBorders>
              <w:top w:val="single" w:sz="18" w:space="0" w:color="auto"/>
              <w:left w:val="nil"/>
              <w:bottom w:val="single" w:sz="8" w:space="0" w:color="auto"/>
              <w:right w:val="nil"/>
            </w:tcBorders>
            <w:shd w:val="clear" w:color="000000" w:fill="FFFFFF"/>
            <w:noWrap/>
            <w:vAlign w:val="center"/>
            <w:hideMark/>
          </w:tcPr>
          <w:p w14:paraId="71140F25"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Outbreak investigation</w:t>
            </w:r>
          </w:p>
        </w:tc>
        <w:tc>
          <w:tcPr>
            <w:tcW w:w="1212" w:type="dxa"/>
            <w:tcBorders>
              <w:top w:val="single" w:sz="18" w:space="0" w:color="auto"/>
              <w:left w:val="nil"/>
              <w:bottom w:val="single" w:sz="8" w:space="0" w:color="auto"/>
              <w:right w:val="nil"/>
            </w:tcBorders>
            <w:shd w:val="clear" w:color="000000" w:fill="FFFFFF"/>
            <w:noWrap/>
            <w:vAlign w:val="center"/>
            <w:hideMark/>
          </w:tcPr>
          <w:p w14:paraId="2995FFC5"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Homeless shelter</w:t>
            </w:r>
          </w:p>
        </w:tc>
        <w:tc>
          <w:tcPr>
            <w:tcW w:w="3023" w:type="dxa"/>
            <w:tcBorders>
              <w:top w:val="single" w:sz="18" w:space="0" w:color="auto"/>
              <w:left w:val="nil"/>
              <w:bottom w:val="single" w:sz="8" w:space="0" w:color="auto"/>
              <w:right w:val="nil"/>
            </w:tcBorders>
            <w:shd w:val="clear" w:color="000000" w:fill="FFFFFF"/>
            <w:vAlign w:val="center"/>
            <w:hideMark/>
          </w:tcPr>
          <w:p w14:paraId="7A81EFD2" w14:textId="722C0361"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Adults aged 18+ residing in the shelter on April 2 and April 3, 2020, without being previously diagnosed with COVID-19</w:t>
            </w:r>
          </w:p>
        </w:tc>
        <w:tc>
          <w:tcPr>
            <w:tcW w:w="977" w:type="dxa"/>
            <w:tcBorders>
              <w:top w:val="single" w:sz="18" w:space="0" w:color="auto"/>
              <w:left w:val="nil"/>
              <w:bottom w:val="single" w:sz="8" w:space="0" w:color="auto"/>
              <w:right w:val="nil"/>
            </w:tcBorders>
            <w:shd w:val="clear" w:color="000000" w:fill="FFFFFF"/>
            <w:noWrap/>
            <w:vAlign w:val="center"/>
            <w:hideMark/>
          </w:tcPr>
          <w:p w14:paraId="65DA4186"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all</w:t>
            </w:r>
          </w:p>
        </w:tc>
        <w:tc>
          <w:tcPr>
            <w:tcW w:w="977" w:type="dxa"/>
            <w:tcBorders>
              <w:top w:val="single" w:sz="18" w:space="0" w:color="auto"/>
              <w:left w:val="nil"/>
              <w:bottom w:val="single" w:sz="8" w:space="0" w:color="auto"/>
              <w:right w:val="nil"/>
            </w:tcBorders>
            <w:shd w:val="clear" w:color="000000" w:fill="FFFFFF"/>
            <w:vAlign w:val="center"/>
            <w:hideMark/>
          </w:tcPr>
          <w:p w14:paraId="0110A3CD"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RT-PCR</w:t>
            </w:r>
          </w:p>
        </w:tc>
        <w:tc>
          <w:tcPr>
            <w:tcW w:w="838" w:type="dxa"/>
            <w:tcBorders>
              <w:top w:val="single" w:sz="18" w:space="0" w:color="auto"/>
              <w:left w:val="nil"/>
              <w:bottom w:val="single" w:sz="8" w:space="0" w:color="auto"/>
              <w:right w:val="nil"/>
            </w:tcBorders>
            <w:shd w:val="clear" w:color="000000" w:fill="FFFFFF"/>
            <w:vAlign w:val="center"/>
            <w:hideMark/>
          </w:tcPr>
          <w:p w14:paraId="76689515" w14:textId="35AFBEEE"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xml:space="preserve">Not stated directly, </w:t>
            </w:r>
            <w:proofErr w:type="spellStart"/>
            <w:r w:rsidRPr="00226F56">
              <w:rPr>
                <w:rFonts w:ascii="Calibri" w:eastAsia="Times New Roman" w:hAnsi="Calibri" w:cs="Calibri"/>
                <w:color w:val="000000"/>
                <w:sz w:val="18"/>
                <w:szCs w:val="18"/>
                <w:lang w:eastAsia="en-GB"/>
              </w:rPr>
              <w:t>infer</w:t>
            </w:r>
            <w:r w:rsidR="000574F2">
              <w:rPr>
                <w:rFonts w:ascii="Calibri" w:eastAsia="Times New Roman" w:hAnsi="Calibri" w:cs="Calibri"/>
                <w:color w:val="000000"/>
                <w:sz w:val="18"/>
                <w:szCs w:val="18"/>
                <w:lang w:eastAsia="en-GB"/>
              </w:rPr>
              <w:t>ed</w:t>
            </w:r>
            <w:proofErr w:type="spellEnd"/>
            <w:r w:rsidRPr="00226F56">
              <w:rPr>
                <w:rFonts w:ascii="Calibri" w:eastAsia="Times New Roman" w:hAnsi="Calibri" w:cs="Calibri"/>
                <w:color w:val="000000"/>
                <w:sz w:val="18"/>
                <w:szCs w:val="18"/>
                <w:lang w:eastAsia="en-GB"/>
              </w:rPr>
              <w:t xml:space="preserve"> ~16-25</w:t>
            </w:r>
          </w:p>
        </w:tc>
        <w:tc>
          <w:tcPr>
            <w:tcW w:w="977" w:type="dxa"/>
            <w:tcBorders>
              <w:top w:val="single" w:sz="18" w:space="0" w:color="auto"/>
              <w:left w:val="nil"/>
              <w:bottom w:val="single" w:sz="8" w:space="0" w:color="auto"/>
              <w:right w:val="nil"/>
            </w:tcBorders>
            <w:shd w:val="clear" w:color="000000" w:fill="FFFFFF"/>
            <w:noWrap/>
            <w:vAlign w:val="center"/>
            <w:hideMark/>
          </w:tcPr>
          <w:p w14:paraId="252C4DE1"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408</w:t>
            </w:r>
          </w:p>
        </w:tc>
        <w:tc>
          <w:tcPr>
            <w:tcW w:w="977" w:type="dxa"/>
            <w:tcBorders>
              <w:top w:val="single" w:sz="18" w:space="0" w:color="auto"/>
              <w:left w:val="nil"/>
              <w:bottom w:val="single" w:sz="8" w:space="0" w:color="auto"/>
              <w:right w:val="nil"/>
            </w:tcBorders>
            <w:shd w:val="clear" w:color="000000" w:fill="FFFFFF"/>
            <w:noWrap/>
            <w:vAlign w:val="center"/>
            <w:hideMark/>
          </w:tcPr>
          <w:p w14:paraId="2FB46A82"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408</w:t>
            </w:r>
          </w:p>
        </w:tc>
        <w:tc>
          <w:tcPr>
            <w:tcW w:w="1116" w:type="dxa"/>
            <w:tcBorders>
              <w:top w:val="single" w:sz="18" w:space="0" w:color="auto"/>
              <w:left w:val="nil"/>
              <w:bottom w:val="single" w:sz="8" w:space="0" w:color="auto"/>
              <w:right w:val="nil"/>
            </w:tcBorders>
            <w:shd w:val="clear" w:color="000000" w:fill="FFFFFF"/>
            <w:noWrap/>
            <w:vAlign w:val="center"/>
            <w:hideMark/>
          </w:tcPr>
          <w:p w14:paraId="3766D8CA"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147</w:t>
            </w:r>
          </w:p>
        </w:tc>
      </w:tr>
      <w:tr w:rsidR="004E7F1D" w:rsidRPr="00226F56" w14:paraId="2B47BBA3" w14:textId="77777777" w:rsidTr="00056E47">
        <w:trPr>
          <w:trHeight w:val="230"/>
        </w:trPr>
        <w:tc>
          <w:tcPr>
            <w:tcW w:w="1170" w:type="dxa"/>
            <w:tcBorders>
              <w:top w:val="nil"/>
              <w:left w:val="nil"/>
              <w:bottom w:val="single" w:sz="8" w:space="0" w:color="auto"/>
              <w:right w:val="nil"/>
            </w:tcBorders>
            <w:shd w:val="clear" w:color="000000" w:fill="FFFFFF"/>
            <w:vAlign w:val="center"/>
          </w:tcPr>
          <w:p w14:paraId="3CE12655" w14:textId="38F07C52" w:rsidR="005A0998" w:rsidRPr="00226F56" w:rsidRDefault="005A0998" w:rsidP="005A0998">
            <w:pPr>
              <w:spacing w:after="0" w:line="240" w:lineRule="auto"/>
              <w:jc w:val="center"/>
              <w:rPr>
                <w:rFonts w:ascii="Calibri" w:eastAsia="Times New Roman" w:hAnsi="Calibri" w:cs="Calibri"/>
                <w:color w:val="000000"/>
                <w:sz w:val="18"/>
                <w:szCs w:val="18"/>
                <w:lang w:eastAsia="en-GB"/>
              </w:rPr>
            </w:pPr>
          </w:p>
        </w:tc>
        <w:tc>
          <w:tcPr>
            <w:tcW w:w="1170" w:type="dxa"/>
            <w:tcBorders>
              <w:top w:val="nil"/>
              <w:left w:val="nil"/>
              <w:bottom w:val="single" w:sz="8" w:space="0" w:color="auto"/>
              <w:right w:val="nil"/>
            </w:tcBorders>
            <w:shd w:val="clear" w:color="000000" w:fill="FFFFFF"/>
            <w:vAlign w:val="center"/>
            <w:hideMark/>
          </w:tcPr>
          <w:p w14:paraId="755D79B4" w14:textId="07734DD0"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Kimball et al</w:t>
            </w:r>
            <w:r w:rsidR="00C83B75">
              <w:rPr>
                <w:rFonts w:ascii="Calibri" w:eastAsia="Times New Roman" w:hAnsi="Calibri" w:cs="Calibri"/>
                <w:color w:val="000000"/>
                <w:sz w:val="18"/>
                <w:szCs w:val="18"/>
                <w:lang w:eastAsia="en-GB"/>
              </w:rPr>
              <w:t xml:space="preserve"> </w:t>
            </w:r>
            <w:r w:rsidR="00C83B75">
              <w:rPr>
                <w:rFonts w:ascii="Calibri" w:eastAsia="Times New Roman" w:hAnsi="Calibri" w:cs="Calibri"/>
                <w:color w:val="000000"/>
                <w:sz w:val="18"/>
                <w:szCs w:val="18"/>
                <w:lang w:eastAsia="en-GB"/>
              </w:rPr>
              <w:fldChar w:fldCharType="begin" w:fldLock="1"/>
            </w:r>
            <w:r w:rsidR="0004151B">
              <w:rPr>
                <w:rFonts w:ascii="Calibri" w:eastAsia="Times New Roman" w:hAnsi="Calibri" w:cs="Calibri"/>
                <w:color w:val="000000"/>
                <w:sz w:val="18"/>
                <w:szCs w:val="18"/>
                <w:lang w:eastAsia="en-GB"/>
              </w:rPr>
              <w:instrText>ADDIN CSL_CITATION {"citationItems":[{"id":"ITEM-1","itemData":{"author":[{"dropping-particle":"","family":"Kimball","given":"Anne","non-dropping-particle":"","parse-names":false,"suffix":""},{"dropping-particle":"","family":"Hatfield","given":"Kelly M","non-dropping-particle":"","parse-names":false,"suffix":""},{"dropping-particle":"","family":"Arons","given":"Melissa","non-dropping-particle":"","parse-names":false,"suffix":""},{"dropping-particle":"","family":"James","given":"Allison","non-dropping-particle":"","parse-names":false,"suffix":""},{"dropping-particle":"","family":"Taylor","given":"Joanne","non-dropping-particle":"","parse-names":false,"suffix":""},{"dropping-particle":"","family":"Spicer","given":"Kevin","non-dropping-particle":"","parse-names":false,"suffix":""},{"dropping-particle":"","family":"Bardossy","given":"Ana C","non-dropping-particle":"","parse-names":false,"suffix":""},{"dropping-particle":"","family":"Oakley","given":"Lisa P","non-dropping-particle":"","parse-names":false,"suffix":""},{"dropping-particle":"","family":"Tanwar","given":"Sukarma","non-dropping-particle":"","parse-names":false,"suffix":""},{"dropping-particle":"","family":"Chisty","given":"Zeshan","non-dropping-particle":"","parse-names":false,"suffix":""}],"container-title":"Morbidity and Mortality Weekly Report","id":"ITEM-1","issue":"13","issued":{"date-parts":[["2020"]]},"page":"377","title":"Asymptomatic and presymptomatic SARS-CoV-2 infections in residents of a long-term care skilled nursing facility—King County, Washington, March 2020","type":"article-journal","volume":"69"},"uris":["http://www.mendeley.com/documents/?uuid=ce2344d4-f892-4ce5-93dd-c23004a592ce"]}],"mendeley":{"formattedCitation":"[11]","plainTextFormattedCitation":"[11]","previouslyFormattedCitation":"[11]"},"properties":{"noteIndex":0},"schema":"https://github.com/citation-style-language/schema/raw/master/csl-citation.json"}</w:instrText>
            </w:r>
            <w:r w:rsidR="00C83B75">
              <w:rPr>
                <w:rFonts w:ascii="Calibri" w:eastAsia="Times New Roman" w:hAnsi="Calibri" w:cs="Calibri"/>
                <w:color w:val="000000"/>
                <w:sz w:val="18"/>
                <w:szCs w:val="18"/>
                <w:lang w:eastAsia="en-GB"/>
              </w:rPr>
              <w:fldChar w:fldCharType="separate"/>
            </w:r>
            <w:r w:rsidR="00B058AB" w:rsidRPr="00B058AB">
              <w:rPr>
                <w:rFonts w:ascii="Calibri" w:eastAsia="Times New Roman" w:hAnsi="Calibri" w:cs="Calibri"/>
                <w:noProof/>
                <w:color w:val="000000"/>
                <w:sz w:val="18"/>
                <w:szCs w:val="18"/>
                <w:lang w:eastAsia="en-GB"/>
              </w:rPr>
              <w:t>[11]</w:t>
            </w:r>
            <w:r w:rsidR="00C83B75">
              <w:rPr>
                <w:rFonts w:ascii="Calibri" w:eastAsia="Times New Roman" w:hAnsi="Calibri" w:cs="Calibri"/>
                <w:color w:val="000000"/>
                <w:sz w:val="18"/>
                <w:szCs w:val="18"/>
                <w:lang w:eastAsia="en-GB"/>
              </w:rPr>
              <w:fldChar w:fldCharType="end"/>
            </w:r>
            <w:r w:rsidRPr="00226F56">
              <w:rPr>
                <w:rFonts w:ascii="Calibri" w:eastAsia="Times New Roman" w:hAnsi="Calibri" w:cs="Calibri"/>
                <w:color w:val="000000"/>
                <w:sz w:val="18"/>
                <w:szCs w:val="18"/>
                <w:lang w:eastAsia="en-GB"/>
              </w:rPr>
              <w:t xml:space="preserve"> </w:t>
            </w:r>
          </w:p>
        </w:tc>
        <w:tc>
          <w:tcPr>
            <w:tcW w:w="1291" w:type="dxa"/>
            <w:tcBorders>
              <w:top w:val="nil"/>
              <w:left w:val="nil"/>
              <w:bottom w:val="single" w:sz="8" w:space="0" w:color="auto"/>
              <w:right w:val="nil"/>
            </w:tcBorders>
            <w:shd w:val="clear" w:color="000000" w:fill="FFFFFF"/>
            <w:vAlign w:val="center"/>
            <w:hideMark/>
          </w:tcPr>
          <w:p w14:paraId="1E12EB99"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Washington</w:t>
            </w:r>
          </w:p>
        </w:tc>
        <w:tc>
          <w:tcPr>
            <w:tcW w:w="1006" w:type="dxa"/>
            <w:tcBorders>
              <w:top w:val="nil"/>
              <w:left w:val="nil"/>
              <w:bottom w:val="single" w:sz="8" w:space="0" w:color="auto"/>
              <w:right w:val="nil"/>
            </w:tcBorders>
            <w:shd w:val="clear" w:color="000000" w:fill="FFFFFF"/>
            <w:vAlign w:val="center"/>
            <w:hideMark/>
          </w:tcPr>
          <w:p w14:paraId="56E51423"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USA</w:t>
            </w:r>
          </w:p>
        </w:tc>
        <w:tc>
          <w:tcPr>
            <w:tcW w:w="1318" w:type="dxa"/>
            <w:tcBorders>
              <w:top w:val="nil"/>
              <w:left w:val="nil"/>
              <w:bottom w:val="single" w:sz="8" w:space="0" w:color="auto"/>
              <w:right w:val="nil"/>
            </w:tcBorders>
            <w:shd w:val="clear" w:color="000000" w:fill="FFFFFF"/>
            <w:vAlign w:val="center"/>
            <w:hideMark/>
          </w:tcPr>
          <w:p w14:paraId="2D426E77"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Outbreak investigation</w:t>
            </w:r>
          </w:p>
        </w:tc>
        <w:tc>
          <w:tcPr>
            <w:tcW w:w="1212" w:type="dxa"/>
            <w:tcBorders>
              <w:top w:val="nil"/>
              <w:left w:val="nil"/>
              <w:bottom w:val="single" w:sz="8" w:space="0" w:color="auto"/>
              <w:right w:val="nil"/>
            </w:tcBorders>
            <w:shd w:val="clear" w:color="000000" w:fill="FFFFFF"/>
            <w:vAlign w:val="center"/>
            <w:hideMark/>
          </w:tcPr>
          <w:p w14:paraId="68948659"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Care facility</w:t>
            </w:r>
          </w:p>
        </w:tc>
        <w:tc>
          <w:tcPr>
            <w:tcW w:w="3023" w:type="dxa"/>
            <w:tcBorders>
              <w:top w:val="nil"/>
              <w:left w:val="nil"/>
              <w:bottom w:val="single" w:sz="8" w:space="0" w:color="auto"/>
              <w:right w:val="nil"/>
            </w:tcBorders>
            <w:shd w:val="clear" w:color="000000" w:fill="FFFFFF"/>
            <w:vAlign w:val="center"/>
            <w:hideMark/>
          </w:tcPr>
          <w:p w14:paraId="24F2EA3D"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Residents in a skilled nursing facility with a confirmed case</w:t>
            </w:r>
          </w:p>
        </w:tc>
        <w:tc>
          <w:tcPr>
            <w:tcW w:w="977" w:type="dxa"/>
            <w:tcBorders>
              <w:top w:val="nil"/>
              <w:left w:val="nil"/>
              <w:bottom w:val="single" w:sz="8" w:space="0" w:color="auto"/>
              <w:right w:val="nil"/>
            </w:tcBorders>
            <w:shd w:val="clear" w:color="000000" w:fill="FFFFFF"/>
            <w:vAlign w:val="center"/>
            <w:hideMark/>
          </w:tcPr>
          <w:p w14:paraId="1610DAD6"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all</w:t>
            </w:r>
          </w:p>
        </w:tc>
        <w:tc>
          <w:tcPr>
            <w:tcW w:w="977" w:type="dxa"/>
            <w:tcBorders>
              <w:top w:val="nil"/>
              <w:left w:val="nil"/>
              <w:bottom w:val="single" w:sz="8" w:space="0" w:color="auto"/>
              <w:right w:val="nil"/>
            </w:tcBorders>
            <w:shd w:val="clear" w:color="000000" w:fill="FFFFFF"/>
            <w:vAlign w:val="center"/>
            <w:hideMark/>
          </w:tcPr>
          <w:p w14:paraId="1FA811D2"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RT-PCR</w:t>
            </w:r>
          </w:p>
        </w:tc>
        <w:tc>
          <w:tcPr>
            <w:tcW w:w="838" w:type="dxa"/>
            <w:tcBorders>
              <w:top w:val="nil"/>
              <w:left w:val="nil"/>
              <w:bottom w:val="single" w:sz="8" w:space="0" w:color="auto"/>
              <w:right w:val="nil"/>
            </w:tcBorders>
            <w:shd w:val="clear" w:color="000000" w:fill="FFFFFF"/>
            <w:vAlign w:val="center"/>
            <w:hideMark/>
          </w:tcPr>
          <w:p w14:paraId="0DC0631C"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w:t>
            </w:r>
          </w:p>
        </w:tc>
        <w:tc>
          <w:tcPr>
            <w:tcW w:w="977" w:type="dxa"/>
            <w:tcBorders>
              <w:top w:val="nil"/>
              <w:left w:val="nil"/>
              <w:bottom w:val="single" w:sz="8" w:space="0" w:color="auto"/>
              <w:right w:val="nil"/>
            </w:tcBorders>
            <w:shd w:val="clear" w:color="000000" w:fill="FFFFFF"/>
            <w:vAlign w:val="center"/>
            <w:hideMark/>
          </w:tcPr>
          <w:p w14:paraId="28A6D708"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76</w:t>
            </w:r>
          </w:p>
        </w:tc>
        <w:tc>
          <w:tcPr>
            <w:tcW w:w="977" w:type="dxa"/>
            <w:tcBorders>
              <w:top w:val="nil"/>
              <w:left w:val="nil"/>
              <w:bottom w:val="single" w:sz="8" w:space="0" w:color="auto"/>
              <w:right w:val="nil"/>
            </w:tcBorders>
            <w:shd w:val="clear" w:color="000000" w:fill="FFFFFF"/>
            <w:vAlign w:val="center"/>
            <w:hideMark/>
          </w:tcPr>
          <w:p w14:paraId="239407AE"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76</w:t>
            </w:r>
          </w:p>
        </w:tc>
        <w:tc>
          <w:tcPr>
            <w:tcW w:w="1116" w:type="dxa"/>
            <w:tcBorders>
              <w:top w:val="nil"/>
              <w:left w:val="nil"/>
              <w:bottom w:val="single" w:sz="8" w:space="0" w:color="auto"/>
              <w:right w:val="nil"/>
            </w:tcBorders>
            <w:shd w:val="clear" w:color="000000" w:fill="FFFFFF"/>
            <w:vAlign w:val="center"/>
            <w:hideMark/>
          </w:tcPr>
          <w:p w14:paraId="00F7536A"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23</w:t>
            </w:r>
          </w:p>
        </w:tc>
      </w:tr>
      <w:tr w:rsidR="004E7F1D" w:rsidRPr="00226F56" w14:paraId="169B7D20" w14:textId="77777777" w:rsidTr="00056E47">
        <w:trPr>
          <w:trHeight w:val="824"/>
        </w:trPr>
        <w:tc>
          <w:tcPr>
            <w:tcW w:w="1170" w:type="dxa"/>
            <w:tcBorders>
              <w:top w:val="nil"/>
              <w:left w:val="nil"/>
              <w:bottom w:val="single" w:sz="8" w:space="0" w:color="auto"/>
              <w:right w:val="nil"/>
            </w:tcBorders>
            <w:shd w:val="clear" w:color="000000" w:fill="FFFFFF"/>
            <w:vAlign w:val="center"/>
          </w:tcPr>
          <w:p w14:paraId="2F7CD2C1" w14:textId="6FAE4980" w:rsidR="005A0998" w:rsidRPr="00226F56" w:rsidRDefault="005A0998" w:rsidP="005A0998">
            <w:pPr>
              <w:spacing w:after="0" w:line="240" w:lineRule="auto"/>
              <w:jc w:val="center"/>
              <w:rPr>
                <w:rFonts w:ascii="Calibri" w:eastAsia="Times New Roman" w:hAnsi="Calibri" w:cs="Calibri"/>
                <w:color w:val="000000"/>
                <w:sz w:val="18"/>
                <w:szCs w:val="18"/>
                <w:lang w:eastAsia="en-GB"/>
              </w:rPr>
            </w:pPr>
          </w:p>
        </w:tc>
        <w:tc>
          <w:tcPr>
            <w:tcW w:w="1170" w:type="dxa"/>
            <w:tcBorders>
              <w:top w:val="nil"/>
              <w:left w:val="nil"/>
              <w:bottom w:val="single" w:sz="8" w:space="0" w:color="auto"/>
              <w:right w:val="nil"/>
            </w:tcBorders>
            <w:shd w:val="clear" w:color="000000" w:fill="FFFFFF"/>
            <w:vAlign w:val="center"/>
            <w:hideMark/>
          </w:tcPr>
          <w:p w14:paraId="79F6238B" w14:textId="7837227F"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Marcus et al</w:t>
            </w:r>
            <w:r w:rsidR="00056E47">
              <w:rPr>
                <w:rFonts w:ascii="Calibri" w:eastAsia="Times New Roman" w:hAnsi="Calibri" w:cs="Calibri"/>
                <w:color w:val="000000"/>
                <w:sz w:val="18"/>
                <w:szCs w:val="18"/>
                <w:lang w:eastAsia="en-GB"/>
              </w:rPr>
              <w:t xml:space="preserve"> </w:t>
            </w:r>
            <w:r w:rsidR="00056E4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{"citationItems":[{"id":"ITEM-1","itemData":{"DOI":"10.15585/mmwr.mm6922e2","ISBN":"0149-2195 (Print)\r0149-2195","PMID":"32497031","abstract":"The coronavirus disease 2019 (COVID-19) pandemic has resulted in substantial morbidity and mortality since it was first described in December 2019 (1). Based on epidemiologic data showing spread in congregate settings (2-4), national, state, and local governments instituted significant restrictions on large gatherings to prevent transmission of disease in early March 2020. This and other nonpharmaceutical interventions (NPIs) have shown initial success in slowing the pandemic across the country (5). This report examines the first 7 weeks (March 1-April 18) of implementation of NPIs in Basic Military Training (BMT) at a U.S. Air Force base. In a population of 10,579 trainees, COVID-19 incidence was limited to five cases (47 per 100,000 persons), three of which were in persons who were contacts of the first patient. Transmission of symptomatic COVID-19 was successfully limited using strategies of quarantine, social distancing, early screening of trainees, rapid isolation of persons with suspected cases, and monitored reentry into training for trainees with positive test results after resolution of symptoms.","author":[{"dropping-particle":"","family":"Marcus","given":"J E","non-dropping-particle":"","parse-names":false,"suffix":""},{"dropping-particle":"","family":"Frankel","given":"D N","non-dropping-particle":"","parse-names":false,"suffix":""},{"dropping-particle":"","family":"Pawlak","given":"M T","non-dropping-particle":"","parse-names":false,"suffix":""},{"dropping-particle":"","family":"Casey","given":"T M","non-dropping-particle":"","parse-names":false,"suffix":""},{"dropping-particle":"","family":"Blackwell","given":"R S","non-dropping-particle":"","parse-names":false,"suffix":""},{"dropping-particle":"V","family":"Tran","given":"F","non-dropping-particle":"","parse-names":false,"suffix":""},{"dropping-particle":"","family":"Dolan","given":"M J","non-dropping-particle":"","parse-names":false,"suffix":""},{"dropping-particle":"","family":"Yun","given":"H C","non-dropping-particle":"","parse-names":false,"suffix":""}],"container-title":"MMWR Morb Mortal Wkly Rep","edition":"2020/06/05","id":"ITEM-1","issue":"22","issued":{"date-parts":[["2020"]]},"language":"eng","note":"1545-861x\nMarcus, Joseph E\nFrankel, Dianne N\nPawlak, Mary T\nCasey, Theresa M\nBlackwell, Rebecca S\nTran, Francis V\nDolan, Mathew J\nYun, Heather C\nJournal Article\nMMWR Morb Mortal Wkly Rep. 2020 Jun 5;69(22):685-688. doi: 10.15585/mmwr.mm6922e2.","page":"685-688","title":"COVID-19 Monitoring and Response Among U.S. Air Force Basic Military Trainees - Texas, March-April 2020","type":"article-journal","volume":"69"},"uris":["http://www.mendeley.com/documents/?uuid=53e7a8b9-8ad4-4352-9090-66c74273c570"]}],"mendeley":{"formattedCitation":"[15]","plainTextFormattedCitation":"[15]","previouslyFormattedCitation":"[17]"},"properties":{"noteIndex":0},"schema":"https://github.com/citation-style-language/schema/raw/master/csl-citation.json"}</w:instrText>
            </w:r>
            <w:r w:rsidR="00056E4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[15]</w:t>
            </w:r>
            <w:r w:rsidR="00056E47">
              <w:rPr>
                <w:rFonts w:ascii="Calibri" w:eastAsia="Times New Roman" w:hAnsi="Calibri" w:cs="Calibri"/>
                <w:color w:val="000000"/>
                <w:sz w:val="18"/>
                <w:szCs w:val="18"/>
                <w:lang w:eastAsia="en-GB"/>
              </w:rPr>
              <w:fldChar w:fldCharType="end"/>
            </w:r>
            <w:r w:rsidRPr="00226F56">
              <w:rPr>
                <w:rFonts w:ascii="Calibri" w:eastAsia="Times New Roman" w:hAnsi="Calibri" w:cs="Calibri"/>
                <w:color w:val="000000"/>
                <w:sz w:val="18"/>
                <w:szCs w:val="18"/>
                <w:lang w:eastAsia="en-GB"/>
              </w:rPr>
              <w:t xml:space="preserve"> </w:t>
            </w:r>
          </w:p>
        </w:tc>
        <w:tc>
          <w:tcPr>
            <w:tcW w:w="1291" w:type="dxa"/>
            <w:tcBorders>
              <w:top w:val="nil"/>
              <w:left w:val="nil"/>
              <w:bottom w:val="single" w:sz="8" w:space="0" w:color="auto"/>
              <w:right w:val="nil"/>
            </w:tcBorders>
            <w:shd w:val="clear" w:color="000000" w:fill="FFFFFF"/>
            <w:vAlign w:val="center"/>
            <w:hideMark/>
          </w:tcPr>
          <w:p w14:paraId="72BE9433"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xml:space="preserve">Texas </w:t>
            </w:r>
          </w:p>
        </w:tc>
        <w:tc>
          <w:tcPr>
            <w:tcW w:w="1006" w:type="dxa"/>
            <w:tcBorders>
              <w:top w:val="nil"/>
              <w:left w:val="nil"/>
              <w:bottom w:val="single" w:sz="8" w:space="0" w:color="auto"/>
              <w:right w:val="nil"/>
            </w:tcBorders>
            <w:shd w:val="clear" w:color="000000" w:fill="FFFFFF"/>
            <w:vAlign w:val="center"/>
            <w:hideMark/>
          </w:tcPr>
          <w:p w14:paraId="14486523"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USA</w:t>
            </w:r>
          </w:p>
        </w:tc>
        <w:tc>
          <w:tcPr>
            <w:tcW w:w="1318" w:type="dxa"/>
            <w:tcBorders>
              <w:top w:val="nil"/>
              <w:left w:val="nil"/>
              <w:bottom w:val="single" w:sz="8" w:space="0" w:color="auto"/>
              <w:right w:val="nil"/>
            </w:tcBorders>
            <w:shd w:val="clear" w:color="000000" w:fill="FFFFFF"/>
            <w:vAlign w:val="center"/>
            <w:hideMark/>
          </w:tcPr>
          <w:p w14:paraId="385CA5E4"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xml:space="preserve">Surveillance and contact tracing </w:t>
            </w:r>
          </w:p>
        </w:tc>
        <w:tc>
          <w:tcPr>
            <w:tcW w:w="1212" w:type="dxa"/>
            <w:tcBorders>
              <w:top w:val="nil"/>
              <w:left w:val="nil"/>
              <w:bottom w:val="single" w:sz="8" w:space="0" w:color="auto"/>
              <w:right w:val="nil"/>
            </w:tcBorders>
            <w:shd w:val="clear" w:color="000000" w:fill="FFFFFF"/>
            <w:vAlign w:val="center"/>
            <w:hideMark/>
          </w:tcPr>
          <w:p w14:paraId="5554DBD1"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Military base</w:t>
            </w:r>
          </w:p>
        </w:tc>
        <w:tc>
          <w:tcPr>
            <w:tcW w:w="3023" w:type="dxa"/>
            <w:tcBorders>
              <w:top w:val="nil"/>
              <w:left w:val="nil"/>
              <w:bottom w:val="single" w:sz="8" w:space="0" w:color="auto"/>
              <w:right w:val="nil"/>
            </w:tcBorders>
            <w:shd w:val="clear" w:color="000000" w:fill="FFFFFF"/>
            <w:vAlign w:val="center"/>
            <w:hideMark/>
          </w:tcPr>
          <w:p w14:paraId="3381BF69"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Trainees reporting symptoms and either exposure to a known COVID-19 case or travel from a high-transmission area.</w:t>
            </w:r>
          </w:p>
        </w:tc>
        <w:tc>
          <w:tcPr>
            <w:tcW w:w="977" w:type="dxa"/>
            <w:tcBorders>
              <w:top w:val="nil"/>
              <w:left w:val="nil"/>
              <w:bottom w:val="single" w:sz="8" w:space="0" w:color="auto"/>
              <w:right w:val="nil"/>
            </w:tcBorders>
            <w:shd w:val="clear" w:color="000000" w:fill="FFFFFF"/>
            <w:vAlign w:val="center"/>
            <w:hideMark/>
          </w:tcPr>
          <w:p w14:paraId="1398FADC" w14:textId="0FB453C0"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xml:space="preserve">symptomatic </w:t>
            </w:r>
          </w:p>
        </w:tc>
        <w:tc>
          <w:tcPr>
            <w:tcW w:w="977" w:type="dxa"/>
            <w:tcBorders>
              <w:top w:val="nil"/>
              <w:left w:val="nil"/>
              <w:bottom w:val="single" w:sz="8" w:space="0" w:color="auto"/>
              <w:right w:val="nil"/>
            </w:tcBorders>
            <w:shd w:val="clear" w:color="000000" w:fill="FFFFFF"/>
            <w:vAlign w:val="center"/>
            <w:hideMark/>
          </w:tcPr>
          <w:p w14:paraId="6EDC89FC"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RT-PCR</w:t>
            </w:r>
          </w:p>
        </w:tc>
        <w:tc>
          <w:tcPr>
            <w:tcW w:w="838" w:type="dxa"/>
            <w:tcBorders>
              <w:top w:val="nil"/>
              <w:left w:val="nil"/>
              <w:bottom w:val="single" w:sz="8" w:space="0" w:color="auto"/>
              <w:right w:val="nil"/>
            </w:tcBorders>
            <w:shd w:val="clear" w:color="000000" w:fill="FFFFFF"/>
            <w:vAlign w:val="center"/>
            <w:hideMark/>
          </w:tcPr>
          <w:p w14:paraId="1DA66E01"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w:t>
            </w:r>
          </w:p>
        </w:tc>
        <w:tc>
          <w:tcPr>
            <w:tcW w:w="977" w:type="dxa"/>
            <w:tcBorders>
              <w:top w:val="nil"/>
              <w:left w:val="nil"/>
              <w:bottom w:val="single" w:sz="8" w:space="0" w:color="auto"/>
              <w:right w:val="nil"/>
            </w:tcBorders>
            <w:shd w:val="clear" w:color="000000" w:fill="FFFFFF"/>
            <w:noWrap/>
            <w:vAlign w:val="center"/>
            <w:hideMark/>
          </w:tcPr>
          <w:p w14:paraId="14D6CDBE"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4,073</w:t>
            </w:r>
          </w:p>
        </w:tc>
        <w:tc>
          <w:tcPr>
            <w:tcW w:w="977" w:type="dxa"/>
            <w:tcBorders>
              <w:top w:val="nil"/>
              <w:left w:val="nil"/>
              <w:bottom w:val="single" w:sz="8" w:space="0" w:color="auto"/>
              <w:right w:val="nil"/>
            </w:tcBorders>
            <w:shd w:val="clear" w:color="000000" w:fill="FFFFFF"/>
            <w:noWrap/>
            <w:vAlign w:val="center"/>
            <w:hideMark/>
          </w:tcPr>
          <w:p w14:paraId="0F9FC067"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86</w:t>
            </w:r>
          </w:p>
        </w:tc>
        <w:tc>
          <w:tcPr>
            <w:tcW w:w="1116" w:type="dxa"/>
            <w:tcBorders>
              <w:top w:val="nil"/>
              <w:left w:val="nil"/>
              <w:bottom w:val="single" w:sz="8" w:space="0" w:color="auto"/>
              <w:right w:val="nil"/>
            </w:tcBorders>
            <w:shd w:val="clear" w:color="000000" w:fill="FFFFFF"/>
            <w:noWrap/>
            <w:vAlign w:val="center"/>
            <w:hideMark/>
          </w:tcPr>
          <w:p w14:paraId="7EA4E2BE"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3</w:t>
            </w:r>
          </w:p>
        </w:tc>
      </w:tr>
      <w:tr w:rsidR="004E7F1D" w:rsidRPr="00226F56" w14:paraId="72770FF8" w14:textId="77777777" w:rsidTr="00056E47">
        <w:trPr>
          <w:trHeight w:val="532"/>
        </w:trPr>
        <w:tc>
          <w:tcPr>
            <w:tcW w:w="1170" w:type="dxa"/>
            <w:tcBorders>
              <w:top w:val="nil"/>
              <w:left w:val="nil"/>
              <w:bottom w:val="single" w:sz="8" w:space="0" w:color="auto"/>
              <w:right w:val="nil"/>
            </w:tcBorders>
            <w:shd w:val="clear" w:color="000000" w:fill="FFFFFF"/>
            <w:vAlign w:val="center"/>
          </w:tcPr>
          <w:p w14:paraId="5A6924CD" w14:textId="0AABC8B7" w:rsidR="005A0998" w:rsidRPr="00226F56" w:rsidRDefault="005A0998" w:rsidP="005A0998">
            <w:pPr>
              <w:spacing w:after="0" w:line="240" w:lineRule="auto"/>
              <w:jc w:val="center"/>
              <w:rPr>
                <w:rFonts w:ascii="Calibri" w:eastAsia="Times New Roman" w:hAnsi="Calibri" w:cs="Calibri"/>
                <w:color w:val="000000"/>
                <w:sz w:val="18"/>
                <w:szCs w:val="18"/>
                <w:lang w:eastAsia="en-GB"/>
              </w:rPr>
            </w:pPr>
          </w:p>
        </w:tc>
        <w:tc>
          <w:tcPr>
            <w:tcW w:w="1170" w:type="dxa"/>
            <w:tcBorders>
              <w:top w:val="nil"/>
              <w:left w:val="nil"/>
              <w:bottom w:val="single" w:sz="8" w:space="0" w:color="auto"/>
              <w:right w:val="nil"/>
            </w:tcBorders>
            <w:shd w:val="clear" w:color="000000" w:fill="FFFFFF"/>
            <w:vAlign w:val="center"/>
            <w:hideMark/>
          </w:tcPr>
          <w:p w14:paraId="661BEFE4" w14:textId="41619312"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xml:space="preserve">McMichael et al </w:t>
            </w:r>
            <w:r w:rsidR="00056E47">
              <w:rPr>
                <w:rFonts w:ascii="Calibri" w:eastAsia="Times New Roman" w:hAnsi="Calibri" w:cs="Calibri"/>
                <w:color w:val="000000"/>
                <w:sz w:val="18"/>
                <w:szCs w:val="18"/>
                <w:lang w:eastAsia="en-GB"/>
              </w:rPr>
              <w:fldChar w:fldCharType="begin" w:fldLock="1"/>
            </w:r>
            <w:r w:rsidR="0004151B">
              <w:rPr>
                <w:rFonts w:ascii="Calibri" w:eastAsia="Times New Roman" w:hAnsi="Calibri" w:cs="Calibri"/>
                <w:color w:val="000000"/>
                <w:sz w:val="18"/>
                <w:szCs w:val="18"/>
                <w:lang w:eastAsia="en-GB"/>
              </w:rPr>
              <w:instrText>ADDIN CSL_CITATION {"citationItems":[{"id":"ITEM-1","itemData":{"DOI":"10.1056/NEJMoa2005412","ISBN":"0028-4793 (Print)\r0028-4793","PMID":"32220208","abstract":"BACKGROUND: Long-term care facilities are high-risk settings for severe outcomes from outbreaks of Covid-19, owing to both the advanced age and frequent chronic underlying health conditions of the residents and the movement of health care personnel among facilities in a region. METHODS: After identification on February 28, 2020, of a confirmed case of Covid-19 in a skilled nursing facility in King County, Washington, Public Health-Seattle and King County, aided by the Centers for Disease Control and Prevention, launched a case investigation, contact tracing, quarantine of exposed persons, isolation of confirmed and suspected cases, and on-site enhancement of infection prevention and control. RESULTS: As of March 18, a total of 167 confirmed cases of Covid-19 affecting 101 residents, 50 health care personnel, and 16 visitors were found to be epidemiologically linked to the facility. Most cases among residents included respiratory illness consistent with Covid-19; however, in 7 residents no symptoms were documented. Hospitalization rates for facility residents, visitors, and staff were 54.5%, 50.0%, and 6.0%, respectively. The case fatality rate for residents was 33.7% (34 of 101). As of March 18, a total of 30 long-term care facilities with at least one confirmed case of Covid-19 had been identified in King County. CONCLUSIONS: In the context of rapidly escalating Covid-19 outbreaks, proactive steps by long-term care facilities to identify and exclude potentially infected staff and visitors, actively monitor for potentially infected patients, and implement appropriate infection prevention and control measures are needed to prevent the introduction of Covid-19.","author":[{"dropping-particle":"","family":"McMichael","given":"T M","non-dropping-particle":"","parse-names":false,"suffix":""},{"dropping-particle":"","family":"Currie","given":"D W","non-dropping-particle":"","parse-names":false,"suffix":""},{"dropping-particle":"","family":"Clark","given":"S","non-dropping-particle":"","parse-names":false,"suffix":""},{"dropping-particle":"","family":"Pogosjans","given":"S","non-dropping-particle":"","parse-names":false,"suffix":""},{"dropping-particle":"","family":"Kay","given":"M","non-dropping-particle":"","parse-names":false,"suffix":""},{"dropping-particle":"","family":"Schwartz","given":"N G","non-dropping-particle":"","parse-names":false,"suffix":""},{"dropping-particle":"","family":"Lewis","given":"J","non-dropping-particle":"","parse-names":false,"suffix":""},{"dropping-particle":"","family":"Baer","given":"A","non-dropping-particle":"","parse-names":false,"suffix":""},{"dropping-particle":"","family":"Kawakami","given":"V","non-dropping-particle":"","parse-names":false,"suffix":""},{"dropping-particle":"","family":"Lukoff","given":"M D","non-dropping-particle":"","parse-names":false,"suffix":""},{"dropping-particle":"","family":"Ferro","given":"J","non-dropping-particle":"","parse-names":false,"suffix":""},{"dropping-particle":"","family":"Brostrom-Smith","given":"C","non-dropping-particle":"","parse-names":false,"suffix":""},{"dropping-particle":"","family":"Rea","given":"T D","non-dropping-particle":"","parse-names":false,"suffix":""},{"dropping-particle":"","family":"Sayre","given":"M R","non-dropping-particle":"","parse-names":false,"suffix":""},{"dropping-particle":"","family":"Riedo","given":"F X","non-dropping-particle":"","parse-names":false,"suffix":""},{"dropping-particle":"","family":"Russell","given":"D","non-dropping-particle":"","parse-names":false,"suffix":""},{"dropping-particle":"","family":"Hiatt","given":"B","non-dropping-particle":"","parse-names":false,"suffix":""},{"dropping-particle":"","family":"Montgomery","given":"P","non-dropping-particle":"","parse-names":false,"suffix":""},{"dropping-particle":"","family":"Rao","given":"A K","non-dropping-particle":"","parse-names":false,"suffix":""},{"dropping-particle":"","family":"Chow","given":"E J","non-dropping-particle":"","parse-names":false,"suffix":""},{"dropping-particle":"","family":"Tobolowsky","given":"F","non-dropping-particle":"","parse-names":false,"suffix":""},{"dropping-particle":"","family":"Hughes","given":"M J","non-dropping-particle":"","parse-names":false,"suffix":""},{"dropping-particle":"","family":"Bardossy","given":"A C","non-dropping-particle":"","parse-names":false,"suffix":""},{"dropping-particle":"","family":"Oakley","given":"L P","non-dropping-particle":"","parse-names":false,"suffix":""},{"dropping-particle":"","family":"Jacobs","given":"J R","non-dropping-particle":"","parse-names":false,"suffix":""},{"dropping-particle":"","family":"Stone","given":"N D","non-dropping-particle":"","parse-names":false,"suffix":""},{"dropping-particle":"","family":"Reddy","given":"S C","non-dropping-particle":"","parse-names":false,"suffix":""},{"dropping-particle":"","family":"Jernigan","given":"J A","non-dropping-particle":"","parse-names":false,"suffix":""},{"dropping-particle":"","family":"Honein","given":"M A","non-dropping-particle":"","parse-names":false,"suffix":""},{"dropping-particle":"","family":"Clark","given":"T A","non-dropping-particle":"","parse-names":false,"suffix":""},{"dropping-particle":"","family":"Duchin","given":"J S","non-dropping-particle":"","parse-names":false,"suffix":""}],"container-title":"N Engl J Med","edition":"2020/03/29","id":"ITEM-1","issue":"21","issued":{"date-parts":[["2020"]]},"language":"eng","note":"1533-4406\nMcMichael, Temet M\nCurrie, Dustin W\nClark, Shauna\nPogosjans, Sargis\nKay, Meagan\nSchwartz, Noah G\nLewis, James\nBaer, Atar\nKawakami, Vance\nLukoff, Margaret D\nFerro, Jessica\nBrostrom-Smith, Claire\nRea, Thomas D\nSayre, Michael R\nRiedo, Francis X\nRussell, Denny\nHiatt, Brian\nMontgomery, Patricia\nRao, Agam K\nChow, Eric J\nTobolowsky, Farrell\nHughes, Michael J\nBardossy, Ana C\nOakley, Lisa P\nJacobs, Jesica R\nStone, Nimalie D\nReddy, Sujan C\nJernigan, John A\nHonein, Margaret A\nClark, Thomas A\nDuchin, Jeffrey S\nPublic Health–Seattle and King County, EvergreenHealth, and CDC COVID-19 Investigation Team\nCase Reports\nJournal Article\nN Engl J Med. 2020 May 21;382(21):2005-2011. doi: 10.1056/NEJMoa2005412. Epub 2020 Mar 27.","page":"2005-2011","title":"Epidemiology of Covid-19 in a Long-Term Care Facility in King County, Washington","type":"article-journal","volume":"382"},"uris":["http://www.mendeley.com/documents/?uuid=f9131146-88d9-4622-b18e-a21af680f1ed"]}],"mendeley":{"formattedCitation":"[13]","plainTextFormattedCitation":"[13]","previouslyFormattedCitation":"[13]"},"properties":{"noteIndex":0},"schema":"https://github.com/citation-style-language/schema/raw/master/csl-citation.json"}</w:instrText>
            </w:r>
            <w:r w:rsidR="00056E47">
              <w:rPr>
                <w:rFonts w:ascii="Calibri" w:eastAsia="Times New Roman" w:hAnsi="Calibri" w:cs="Calibri"/>
                <w:color w:val="000000"/>
                <w:sz w:val="18"/>
                <w:szCs w:val="18"/>
                <w:lang w:eastAsia="en-GB"/>
              </w:rPr>
              <w:fldChar w:fldCharType="separate"/>
            </w:r>
            <w:r w:rsidR="00B058AB" w:rsidRPr="00B058AB">
              <w:rPr>
                <w:rFonts w:ascii="Calibri" w:eastAsia="Times New Roman" w:hAnsi="Calibri" w:cs="Calibri"/>
                <w:noProof/>
                <w:color w:val="000000"/>
                <w:sz w:val="18"/>
                <w:szCs w:val="18"/>
                <w:lang w:eastAsia="en-GB"/>
              </w:rPr>
              <w:t>[13]</w:t>
            </w:r>
            <w:r w:rsidR="00056E47">
              <w:rPr>
                <w:rFonts w:ascii="Calibri" w:eastAsia="Times New Roman" w:hAnsi="Calibri" w:cs="Calibri"/>
                <w:color w:val="000000"/>
                <w:sz w:val="18"/>
                <w:szCs w:val="18"/>
                <w:lang w:eastAsia="en-GB"/>
              </w:rPr>
              <w:fldChar w:fldCharType="end"/>
            </w:r>
          </w:p>
        </w:tc>
        <w:tc>
          <w:tcPr>
            <w:tcW w:w="1291" w:type="dxa"/>
            <w:tcBorders>
              <w:top w:val="nil"/>
              <w:left w:val="nil"/>
              <w:bottom w:val="single" w:sz="8" w:space="0" w:color="auto"/>
              <w:right w:val="nil"/>
            </w:tcBorders>
            <w:shd w:val="clear" w:color="000000" w:fill="FFFFFF"/>
            <w:vAlign w:val="center"/>
            <w:hideMark/>
          </w:tcPr>
          <w:p w14:paraId="58CEF1AB"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Washington</w:t>
            </w:r>
          </w:p>
        </w:tc>
        <w:tc>
          <w:tcPr>
            <w:tcW w:w="1006" w:type="dxa"/>
            <w:tcBorders>
              <w:top w:val="nil"/>
              <w:left w:val="nil"/>
              <w:bottom w:val="single" w:sz="8" w:space="0" w:color="auto"/>
              <w:right w:val="nil"/>
            </w:tcBorders>
            <w:shd w:val="clear" w:color="000000" w:fill="FFFFFF"/>
            <w:vAlign w:val="center"/>
            <w:hideMark/>
          </w:tcPr>
          <w:p w14:paraId="1619FFEB"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USA</w:t>
            </w:r>
          </w:p>
        </w:tc>
        <w:tc>
          <w:tcPr>
            <w:tcW w:w="1318" w:type="dxa"/>
            <w:tcBorders>
              <w:top w:val="nil"/>
              <w:left w:val="nil"/>
              <w:bottom w:val="single" w:sz="8" w:space="0" w:color="auto"/>
              <w:right w:val="nil"/>
            </w:tcBorders>
            <w:shd w:val="clear" w:color="000000" w:fill="FFFFFF"/>
            <w:vAlign w:val="center"/>
            <w:hideMark/>
          </w:tcPr>
          <w:p w14:paraId="7E7BA931"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Outbreak investigation</w:t>
            </w:r>
          </w:p>
        </w:tc>
        <w:tc>
          <w:tcPr>
            <w:tcW w:w="1212" w:type="dxa"/>
            <w:tcBorders>
              <w:top w:val="nil"/>
              <w:left w:val="nil"/>
              <w:bottom w:val="single" w:sz="8" w:space="0" w:color="auto"/>
              <w:right w:val="nil"/>
            </w:tcBorders>
            <w:shd w:val="clear" w:color="000000" w:fill="FFFFFF"/>
            <w:vAlign w:val="center"/>
            <w:hideMark/>
          </w:tcPr>
          <w:p w14:paraId="6916C04C"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Care facility</w:t>
            </w:r>
          </w:p>
        </w:tc>
        <w:tc>
          <w:tcPr>
            <w:tcW w:w="3023" w:type="dxa"/>
            <w:tcBorders>
              <w:top w:val="nil"/>
              <w:left w:val="nil"/>
              <w:bottom w:val="single" w:sz="8" w:space="0" w:color="auto"/>
              <w:right w:val="nil"/>
            </w:tcBorders>
            <w:shd w:val="clear" w:color="000000" w:fill="FFFFFF"/>
            <w:vAlign w:val="center"/>
            <w:hideMark/>
          </w:tcPr>
          <w:p w14:paraId="28DC1B6C"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xml:space="preserve">Residents living in a skilled nursing with a confirmed case </w:t>
            </w:r>
          </w:p>
        </w:tc>
        <w:tc>
          <w:tcPr>
            <w:tcW w:w="977" w:type="dxa"/>
            <w:tcBorders>
              <w:top w:val="nil"/>
              <w:left w:val="nil"/>
              <w:bottom w:val="single" w:sz="8" w:space="0" w:color="auto"/>
              <w:right w:val="nil"/>
            </w:tcBorders>
            <w:shd w:val="clear" w:color="000000" w:fill="FFFFFF"/>
            <w:vAlign w:val="center"/>
            <w:hideMark/>
          </w:tcPr>
          <w:p w14:paraId="1F14C2B9"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Subset</w:t>
            </w:r>
          </w:p>
        </w:tc>
        <w:tc>
          <w:tcPr>
            <w:tcW w:w="977" w:type="dxa"/>
            <w:tcBorders>
              <w:top w:val="nil"/>
              <w:left w:val="nil"/>
              <w:bottom w:val="single" w:sz="8" w:space="0" w:color="auto"/>
              <w:right w:val="nil"/>
            </w:tcBorders>
            <w:shd w:val="clear" w:color="000000" w:fill="FFFFFF"/>
            <w:vAlign w:val="center"/>
            <w:hideMark/>
          </w:tcPr>
          <w:p w14:paraId="7A7EE76E"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RT-PCR</w:t>
            </w:r>
          </w:p>
        </w:tc>
        <w:tc>
          <w:tcPr>
            <w:tcW w:w="838" w:type="dxa"/>
            <w:tcBorders>
              <w:top w:val="nil"/>
              <w:left w:val="nil"/>
              <w:bottom w:val="single" w:sz="8" w:space="0" w:color="auto"/>
              <w:right w:val="nil"/>
            </w:tcBorders>
            <w:shd w:val="clear" w:color="000000" w:fill="FFFFFF"/>
            <w:vAlign w:val="center"/>
            <w:hideMark/>
          </w:tcPr>
          <w:p w14:paraId="718157F3"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2</w:t>
            </w:r>
          </w:p>
        </w:tc>
        <w:tc>
          <w:tcPr>
            <w:tcW w:w="977" w:type="dxa"/>
            <w:tcBorders>
              <w:top w:val="nil"/>
              <w:left w:val="nil"/>
              <w:bottom w:val="single" w:sz="8" w:space="0" w:color="auto"/>
              <w:right w:val="nil"/>
            </w:tcBorders>
            <w:shd w:val="clear" w:color="000000" w:fill="FFFFFF"/>
            <w:vAlign w:val="center"/>
            <w:hideMark/>
          </w:tcPr>
          <w:p w14:paraId="0A180230"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170</w:t>
            </w:r>
          </w:p>
        </w:tc>
        <w:tc>
          <w:tcPr>
            <w:tcW w:w="977" w:type="dxa"/>
            <w:tcBorders>
              <w:top w:val="nil"/>
              <w:left w:val="nil"/>
              <w:bottom w:val="single" w:sz="8" w:space="0" w:color="auto"/>
              <w:right w:val="nil"/>
            </w:tcBorders>
            <w:shd w:val="clear" w:color="000000" w:fill="FFFFFF"/>
            <w:vAlign w:val="center"/>
            <w:hideMark/>
          </w:tcPr>
          <w:p w14:paraId="5618971F"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118</w:t>
            </w:r>
          </w:p>
        </w:tc>
        <w:tc>
          <w:tcPr>
            <w:tcW w:w="1116" w:type="dxa"/>
            <w:tcBorders>
              <w:top w:val="nil"/>
              <w:left w:val="nil"/>
              <w:bottom w:val="single" w:sz="8" w:space="0" w:color="auto"/>
              <w:right w:val="nil"/>
            </w:tcBorders>
            <w:shd w:val="clear" w:color="000000" w:fill="FFFFFF"/>
            <w:vAlign w:val="center"/>
            <w:hideMark/>
          </w:tcPr>
          <w:p w14:paraId="086A5622"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101</w:t>
            </w:r>
          </w:p>
        </w:tc>
      </w:tr>
      <w:tr w:rsidR="000F13C3" w:rsidRPr="00226F56" w14:paraId="42DC220A" w14:textId="77777777" w:rsidTr="00056E47">
        <w:trPr>
          <w:trHeight w:val="676"/>
        </w:trPr>
        <w:tc>
          <w:tcPr>
            <w:tcW w:w="1170" w:type="dxa"/>
            <w:tcBorders>
              <w:top w:val="single" w:sz="8" w:space="0" w:color="auto"/>
              <w:left w:val="nil"/>
              <w:bottom w:val="single" w:sz="8" w:space="0" w:color="auto"/>
              <w:right w:val="nil"/>
            </w:tcBorders>
            <w:vAlign w:val="center"/>
          </w:tcPr>
          <w:p w14:paraId="2DD4B742" w14:textId="5BC99270" w:rsidR="005A0998" w:rsidRPr="00226F56" w:rsidRDefault="005A0998" w:rsidP="005A0998">
            <w:pPr>
              <w:spacing w:after="0" w:line="240" w:lineRule="auto"/>
              <w:jc w:val="center"/>
              <w:rPr>
                <w:rFonts w:ascii="Calibri" w:eastAsia="Times New Roman" w:hAnsi="Calibri" w:cs="Calibri"/>
                <w:color w:val="000000"/>
                <w:sz w:val="18"/>
                <w:szCs w:val="18"/>
                <w:lang w:eastAsia="en-GB"/>
              </w:rPr>
            </w:pPr>
          </w:p>
        </w:tc>
        <w:tc>
          <w:tcPr>
            <w:tcW w:w="1170" w:type="dxa"/>
            <w:tcBorders>
              <w:top w:val="single" w:sz="8" w:space="0" w:color="auto"/>
              <w:left w:val="nil"/>
              <w:bottom w:val="single" w:sz="8" w:space="0" w:color="auto"/>
              <w:right w:val="nil"/>
            </w:tcBorders>
            <w:shd w:val="clear" w:color="auto" w:fill="auto"/>
            <w:noWrap/>
            <w:vAlign w:val="center"/>
            <w:hideMark/>
          </w:tcPr>
          <w:p w14:paraId="5CAC9115" w14:textId="4987170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xml:space="preserve">Roxby et al </w:t>
            </w:r>
            <w:r w:rsidR="00056E47">
              <w:rPr>
                <w:rFonts w:ascii="Calibri" w:eastAsia="Times New Roman" w:hAnsi="Calibri" w:cs="Calibri"/>
                <w:color w:val="000000"/>
                <w:sz w:val="18"/>
                <w:szCs w:val="18"/>
                <w:lang w:eastAsia="en-GB"/>
              </w:rPr>
              <w:fldChar w:fldCharType="begin" w:fldLock="1"/>
            </w:r>
            <w:r w:rsidR="0004151B">
              <w:rPr>
                <w:rFonts w:ascii="Calibri" w:eastAsia="Times New Roman" w:hAnsi="Calibri" w:cs="Calibri"/>
                <w:color w:val="000000"/>
                <w:sz w:val="18"/>
                <w:szCs w:val="18"/>
                <w:lang w:eastAsia="en-GB"/>
              </w:rPr>
              <w:instrText>ADDIN CSL_CITATION {"citationItems":[{"id":"ITEM-1","itemData":{"author":[{"dropping-particle":"","family":"Roxby","given":"Alison C","non-dropping-particle":"","parse-names":false,"suffix":""},{"dropping-particle":"","family":"Greninger","given":"Alexander L","non-dropping-particle":"","parse-names":false,"suffix":""},{"dropping-particle":"","family":"Hatfield","given":"Kelly M","non-dropping-particle":"","parse-names":false,"suffix":""},{"dropping-particle":"","family":"Lynch","given":"John B","non-dropping-particle":"","parse-names":false,"suffix":""},{"dropping-particle":"","family":"Dellit","given":"Timothy H","non-dropping-particle":"","parse-names":false,"suffix":""},{"dropping-particle":"","family":"James","given":"Allison","non-dropping-particle":"","parse-names":false,"suffix":""},{"dropping-particle":"","family":"Taylor","given":"Joanne","non-dropping-particle":"","parse-names":false,"suffix":""},{"dropping-particle":"","family":"Page","given":"Libby C","non-dropping-particle":"","parse-names":false,"suffix":""},{"dropping-particle":"","family":"Kimball","given":"Anne","non-dropping-particle":"","parse-names":false,"suffix":""},{"dropping-particle":"","family":"Arons","given":"Melissa","non-dropping-particle":"","parse-names":false,"suffix":""}],"container-title":"Morbidity and Mortality Weekly Report","id":"ITEM-1","issue":"14","issued":{"date-parts":[["2020"]]},"page":"416","title":"Detection of SARS-CoV-2 among residents and staff members of an independent and assisted living community for older adults—Seattle, Washington, 2020","type":"article-journal","volume":"69"},"uris":["http://www.mendeley.com/documents/?uuid=040b5028-301c-4409-b6b9-d74920a092ca"]}],"mendeley":{"formattedCitation":"[12]","plainTextFormattedCitation":"[12]","previouslyFormattedCitation":"[12]"},"properties":{"noteIndex":0},"schema":"https://github.com/citation-style-language/schema/raw/master/csl-citation.json"}</w:instrText>
            </w:r>
            <w:r w:rsidR="00056E47">
              <w:rPr>
                <w:rFonts w:ascii="Calibri" w:eastAsia="Times New Roman" w:hAnsi="Calibri" w:cs="Calibri"/>
                <w:color w:val="000000"/>
                <w:sz w:val="18"/>
                <w:szCs w:val="18"/>
                <w:lang w:eastAsia="en-GB"/>
              </w:rPr>
              <w:fldChar w:fldCharType="separate"/>
            </w:r>
            <w:r w:rsidR="00B058AB" w:rsidRPr="00B058AB">
              <w:rPr>
                <w:rFonts w:ascii="Calibri" w:eastAsia="Times New Roman" w:hAnsi="Calibri" w:cs="Calibri"/>
                <w:noProof/>
                <w:color w:val="000000"/>
                <w:sz w:val="18"/>
                <w:szCs w:val="18"/>
                <w:lang w:eastAsia="en-GB"/>
              </w:rPr>
              <w:t>[12]</w:t>
            </w:r>
            <w:r w:rsidR="00056E47">
              <w:rPr>
                <w:rFonts w:ascii="Calibri" w:eastAsia="Times New Roman" w:hAnsi="Calibri" w:cs="Calibri"/>
                <w:color w:val="000000"/>
                <w:sz w:val="18"/>
                <w:szCs w:val="18"/>
                <w:lang w:eastAsia="en-GB"/>
              </w:rPr>
              <w:fldChar w:fldCharType="end"/>
            </w:r>
          </w:p>
        </w:tc>
        <w:tc>
          <w:tcPr>
            <w:tcW w:w="1291" w:type="dxa"/>
            <w:tcBorders>
              <w:top w:val="single" w:sz="8" w:space="0" w:color="auto"/>
              <w:left w:val="nil"/>
              <w:bottom w:val="single" w:sz="8" w:space="0" w:color="auto"/>
              <w:right w:val="nil"/>
            </w:tcBorders>
            <w:shd w:val="clear" w:color="000000" w:fill="FFFFFF"/>
            <w:vAlign w:val="center"/>
            <w:hideMark/>
          </w:tcPr>
          <w:p w14:paraId="6346B35C"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Washington</w:t>
            </w:r>
          </w:p>
        </w:tc>
        <w:tc>
          <w:tcPr>
            <w:tcW w:w="1006" w:type="dxa"/>
            <w:tcBorders>
              <w:top w:val="single" w:sz="8" w:space="0" w:color="auto"/>
              <w:left w:val="nil"/>
              <w:bottom w:val="single" w:sz="8" w:space="0" w:color="auto"/>
              <w:right w:val="nil"/>
            </w:tcBorders>
            <w:shd w:val="clear" w:color="000000" w:fill="FFFFFF"/>
            <w:vAlign w:val="center"/>
            <w:hideMark/>
          </w:tcPr>
          <w:p w14:paraId="2A5BBD5F"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USA</w:t>
            </w:r>
          </w:p>
        </w:tc>
        <w:tc>
          <w:tcPr>
            <w:tcW w:w="1318" w:type="dxa"/>
            <w:tcBorders>
              <w:top w:val="single" w:sz="8" w:space="0" w:color="auto"/>
              <w:left w:val="nil"/>
              <w:bottom w:val="single" w:sz="8" w:space="0" w:color="auto"/>
              <w:right w:val="nil"/>
            </w:tcBorders>
            <w:shd w:val="clear" w:color="000000" w:fill="FFFFFF"/>
            <w:vAlign w:val="center"/>
            <w:hideMark/>
          </w:tcPr>
          <w:p w14:paraId="1C7C9D09"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Outbreak investigation</w:t>
            </w:r>
          </w:p>
        </w:tc>
        <w:tc>
          <w:tcPr>
            <w:tcW w:w="1212" w:type="dxa"/>
            <w:tcBorders>
              <w:top w:val="single" w:sz="8" w:space="0" w:color="auto"/>
              <w:left w:val="nil"/>
              <w:bottom w:val="single" w:sz="8" w:space="0" w:color="auto"/>
              <w:right w:val="nil"/>
            </w:tcBorders>
            <w:shd w:val="clear" w:color="000000" w:fill="FFFFFF"/>
            <w:vAlign w:val="center"/>
            <w:hideMark/>
          </w:tcPr>
          <w:p w14:paraId="73A12C98"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Care facility</w:t>
            </w:r>
          </w:p>
        </w:tc>
        <w:tc>
          <w:tcPr>
            <w:tcW w:w="3023" w:type="dxa"/>
            <w:tcBorders>
              <w:top w:val="nil"/>
              <w:left w:val="nil"/>
              <w:bottom w:val="single" w:sz="8" w:space="0" w:color="auto"/>
              <w:right w:val="nil"/>
            </w:tcBorders>
            <w:shd w:val="clear" w:color="auto" w:fill="auto"/>
            <w:vAlign w:val="center"/>
            <w:hideMark/>
          </w:tcPr>
          <w:p w14:paraId="0938CA9E"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All Residents and healthcare personal of the facility with a confirmed case</w:t>
            </w:r>
          </w:p>
        </w:tc>
        <w:tc>
          <w:tcPr>
            <w:tcW w:w="977" w:type="dxa"/>
            <w:tcBorders>
              <w:top w:val="nil"/>
              <w:left w:val="nil"/>
              <w:bottom w:val="single" w:sz="8" w:space="0" w:color="auto"/>
              <w:right w:val="nil"/>
            </w:tcBorders>
            <w:shd w:val="clear" w:color="000000" w:fill="FFFFFF"/>
            <w:vAlign w:val="center"/>
            <w:hideMark/>
          </w:tcPr>
          <w:p w14:paraId="62C1CB90"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all</w:t>
            </w:r>
          </w:p>
        </w:tc>
        <w:tc>
          <w:tcPr>
            <w:tcW w:w="977" w:type="dxa"/>
            <w:tcBorders>
              <w:top w:val="nil"/>
              <w:left w:val="nil"/>
              <w:bottom w:val="single" w:sz="8" w:space="0" w:color="auto"/>
              <w:right w:val="nil"/>
            </w:tcBorders>
            <w:shd w:val="clear" w:color="000000" w:fill="FFFFFF"/>
            <w:vAlign w:val="center"/>
            <w:hideMark/>
          </w:tcPr>
          <w:p w14:paraId="3FAB4E0C"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RT-PCR</w:t>
            </w:r>
          </w:p>
        </w:tc>
        <w:tc>
          <w:tcPr>
            <w:tcW w:w="838" w:type="dxa"/>
            <w:tcBorders>
              <w:top w:val="nil"/>
              <w:left w:val="nil"/>
              <w:bottom w:val="single" w:sz="8" w:space="0" w:color="auto"/>
              <w:right w:val="nil"/>
            </w:tcBorders>
            <w:shd w:val="clear" w:color="000000" w:fill="FFFFFF"/>
            <w:vAlign w:val="center"/>
            <w:hideMark/>
          </w:tcPr>
          <w:p w14:paraId="29DDEA11"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2</w:t>
            </w:r>
          </w:p>
        </w:tc>
        <w:tc>
          <w:tcPr>
            <w:tcW w:w="977" w:type="dxa"/>
            <w:tcBorders>
              <w:top w:val="nil"/>
              <w:left w:val="nil"/>
              <w:bottom w:val="single" w:sz="8" w:space="0" w:color="auto"/>
              <w:right w:val="nil"/>
            </w:tcBorders>
            <w:shd w:val="clear" w:color="000000" w:fill="FFFFFF"/>
            <w:vAlign w:val="center"/>
            <w:hideMark/>
          </w:tcPr>
          <w:p w14:paraId="4169617F"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142</w:t>
            </w:r>
          </w:p>
        </w:tc>
        <w:tc>
          <w:tcPr>
            <w:tcW w:w="977" w:type="dxa"/>
            <w:tcBorders>
              <w:top w:val="nil"/>
              <w:left w:val="nil"/>
              <w:bottom w:val="single" w:sz="8" w:space="0" w:color="auto"/>
              <w:right w:val="nil"/>
            </w:tcBorders>
            <w:shd w:val="clear" w:color="000000" w:fill="FFFFFF"/>
            <w:vAlign w:val="center"/>
            <w:hideMark/>
          </w:tcPr>
          <w:p w14:paraId="02CE1E61"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142</w:t>
            </w:r>
          </w:p>
        </w:tc>
        <w:tc>
          <w:tcPr>
            <w:tcW w:w="1116" w:type="dxa"/>
            <w:tcBorders>
              <w:top w:val="nil"/>
              <w:left w:val="nil"/>
              <w:bottom w:val="single" w:sz="8" w:space="0" w:color="auto"/>
              <w:right w:val="nil"/>
            </w:tcBorders>
            <w:shd w:val="clear" w:color="000000" w:fill="FFFFFF"/>
            <w:vAlign w:val="center"/>
            <w:hideMark/>
          </w:tcPr>
          <w:p w14:paraId="38702F87"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5</w:t>
            </w:r>
          </w:p>
        </w:tc>
      </w:tr>
      <w:tr w:rsidR="004E7F1D" w:rsidRPr="00226F56" w14:paraId="59BB6FB5" w14:textId="77777777" w:rsidTr="00056E47">
        <w:trPr>
          <w:trHeight w:val="1121"/>
        </w:trPr>
        <w:tc>
          <w:tcPr>
            <w:tcW w:w="1170" w:type="dxa"/>
            <w:tcBorders>
              <w:top w:val="single" w:sz="8" w:space="0" w:color="auto"/>
              <w:left w:val="nil"/>
              <w:right w:val="nil"/>
            </w:tcBorders>
            <w:shd w:val="clear" w:color="000000" w:fill="FFFFFF"/>
          </w:tcPr>
          <w:p w14:paraId="65EA4A93" w14:textId="2D31EF5E" w:rsidR="005A0998" w:rsidRPr="00226F56" w:rsidRDefault="005A0998" w:rsidP="00C83B75">
            <w:pPr>
              <w:spacing w:after="0" w:line="240" w:lineRule="auto"/>
              <w:jc w:val="center"/>
              <w:rPr>
                <w:rFonts w:ascii="Calibri" w:eastAsia="Times New Roman" w:hAnsi="Calibri" w:cs="Calibri"/>
                <w:color w:val="000000"/>
                <w:sz w:val="18"/>
                <w:szCs w:val="18"/>
                <w:lang w:eastAsia="en-GB"/>
              </w:rPr>
            </w:pPr>
          </w:p>
        </w:tc>
        <w:tc>
          <w:tcPr>
            <w:tcW w:w="1170" w:type="dxa"/>
            <w:tcBorders>
              <w:top w:val="single" w:sz="8" w:space="0" w:color="auto"/>
              <w:left w:val="nil"/>
              <w:right w:val="nil"/>
            </w:tcBorders>
            <w:shd w:val="clear" w:color="000000" w:fill="FFFFFF"/>
            <w:noWrap/>
            <w:hideMark/>
          </w:tcPr>
          <w:p w14:paraId="1212BBDE" w14:textId="42D4E18F" w:rsidR="005A0998" w:rsidRPr="00226F56" w:rsidRDefault="005A0998" w:rsidP="00C32EC3">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Wallace et al</w:t>
            </w:r>
            <w:r w:rsidR="00056E47">
              <w:rPr>
                <w:rFonts w:ascii="Calibri" w:eastAsia="Times New Roman" w:hAnsi="Calibri" w:cs="Calibri"/>
                <w:color w:val="000000"/>
                <w:sz w:val="18"/>
                <w:szCs w:val="18"/>
                <w:lang w:eastAsia="en-GB"/>
              </w:rPr>
              <w:t xml:space="preserve"> </w:t>
            </w:r>
            <w:r w:rsidR="00056E47">
              <w:rPr>
                <w:rFonts w:ascii="Calibri" w:eastAsia="Times New Roman" w:hAnsi="Calibri" w:cs="Calibri"/>
                <w:color w:val="000000"/>
                <w:sz w:val="18"/>
                <w:szCs w:val="18"/>
                <w:lang w:eastAsia="en-GB"/>
              </w:rPr>
              <w:fldChar w:fldCharType="begin" w:fldLock="1"/>
            </w:r>
            <w:r w:rsidR="001B3AB4">
              <w:rPr>
                <w:rFonts w:ascii="Calibri" w:eastAsia="Times New Roman" w:hAnsi="Calibri" w:cs="Calibri"/>
                <w:color w:val="000000"/>
                <w:sz w:val="18"/>
                <w:szCs w:val="18"/>
                <w:lang w:eastAsia="en-GB"/>
              </w:rPr>
              <w:instrText>ADDIN CSL_CITATION {"citationItems":[{"id":"ITEM-1","itemData":{"author":[{"dropping-particle":"","family":"Wallace","given":"Megan","non-dropping-particle":"","parse-names":false,"suffix":""}],"container-title":"MMWR. Morbidity and Mortality Weekly Report","id":"ITEM-1","issued":{"date-parts":[["2020"]]},"title":"Public Health Response to COVID-19 Cases in Correctional and Detention Facilities—Louisiana, March–April 2020","type":"article-journal","volume":"69"},"uris":["http://www.mendeley.com/documents/?uuid=d061fc0a-e6bd-43b9-ae39-e18bdf89f9b3"]}],"mendeley":{"formattedCitation":"[16]","plainTextFormattedCitation":"[16]","previouslyFormattedCitation":"[18]"},"properties":{"noteIndex":0},"schema":"https://github.com/citation-style-language/schema/raw/master/csl-citation.json"}</w:instrText>
            </w:r>
            <w:r w:rsidR="00056E47">
              <w:rPr>
                <w:rFonts w:ascii="Calibri" w:eastAsia="Times New Roman" w:hAnsi="Calibri" w:cs="Calibri"/>
                <w:color w:val="000000"/>
                <w:sz w:val="18"/>
                <w:szCs w:val="18"/>
                <w:lang w:eastAsia="en-GB"/>
              </w:rPr>
              <w:fldChar w:fldCharType="separate"/>
            </w:r>
            <w:r w:rsidR="001B3AB4" w:rsidRPr="001B3AB4">
              <w:rPr>
                <w:rFonts w:ascii="Calibri" w:eastAsia="Times New Roman" w:hAnsi="Calibri" w:cs="Calibri"/>
                <w:noProof/>
                <w:color w:val="000000"/>
                <w:sz w:val="18"/>
                <w:szCs w:val="18"/>
                <w:lang w:eastAsia="en-GB"/>
              </w:rPr>
              <w:t>[16]</w:t>
            </w:r>
            <w:r w:rsidR="00056E47">
              <w:rPr>
                <w:rFonts w:ascii="Calibri" w:eastAsia="Times New Roman" w:hAnsi="Calibri" w:cs="Calibri"/>
                <w:color w:val="000000"/>
                <w:sz w:val="18"/>
                <w:szCs w:val="18"/>
                <w:lang w:eastAsia="en-GB"/>
              </w:rPr>
              <w:fldChar w:fldCharType="end"/>
            </w:r>
          </w:p>
        </w:tc>
        <w:tc>
          <w:tcPr>
            <w:tcW w:w="1291" w:type="dxa"/>
            <w:tcBorders>
              <w:top w:val="single" w:sz="8" w:space="0" w:color="auto"/>
              <w:left w:val="nil"/>
              <w:right w:val="nil"/>
            </w:tcBorders>
            <w:shd w:val="clear" w:color="000000" w:fill="FFFFFF"/>
            <w:noWrap/>
            <w:hideMark/>
          </w:tcPr>
          <w:p w14:paraId="73BDEC24" w14:textId="77777777" w:rsidR="005A0998" w:rsidRPr="00226F56" w:rsidRDefault="005A0998" w:rsidP="00C32EC3">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Louisiana</w:t>
            </w:r>
          </w:p>
        </w:tc>
        <w:tc>
          <w:tcPr>
            <w:tcW w:w="1006" w:type="dxa"/>
            <w:tcBorders>
              <w:top w:val="single" w:sz="8" w:space="0" w:color="auto"/>
              <w:left w:val="nil"/>
              <w:right w:val="nil"/>
            </w:tcBorders>
            <w:shd w:val="clear" w:color="000000" w:fill="FFFFFF"/>
            <w:hideMark/>
          </w:tcPr>
          <w:p w14:paraId="58191FA2" w14:textId="77777777" w:rsidR="005A0998" w:rsidRPr="00226F56" w:rsidRDefault="005A0998" w:rsidP="00C32EC3">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USA</w:t>
            </w:r>
          </w:p>
        </w:tc>
        <w:tc>
          <w:tcPr>
            <w:tcW w:w="1318" w:type="dxa"/>
            <w:tcBorders>
              <w:top w:val="single" w:sz="8" w:space="0" w:color="auto"/>
              <w:left w:val="nil"/>
              <w:right w:val="nil"/>
            </w:tcBorders>
            <w:shd w:val="clear" w:color="000000" w:fill="FFFFFF"/>
            <w:noWrap/>
            <w:hideMark/>
          </w:tcPr>
          <w:p w14:paraId="56DF5BBF" w14:textId="77777777" w:rsidR="005A0998" w:rsidRPr="00226F56" w:rsidRDefault="005A0998" w:rsidP="00C32EC3">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Contact investigation</w:t>
            </w:r>
          </w:p>
        </w:tc>
        <w:tc>
          <w:tcPr>
            <w:tcW w:w="1212" w:type="dxa"/>
            <w:tcBorders>
              <w:top w:val="single" w:sz="8" w:space="0" w:color="auto"/>
              <w:left w:val="nil"/>
              <w:right w:val="nil"/>
            </w:tcBorders>
            <w:shd w:val="clear" w:color="000000" w:fill="FFFFFF"/>
            <w:hideMark/>
          </w:tcPr>
          <w:p w14:paraId="51CF9CAE" w14:textId="77777777" w:rsidR="005A0998" w:rsidRPr="00226F56" w:rsidRDefault="005A0998" w:rsidP="00C32EC3">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Correctional and detention facilities</w:t>
            </w:r>
          </w:p>
        </w:tc>
        <w:tc>
          <w:tcPr>
            <w:tcW w:w="3023" w:type="dxa"/>
            <w:tcBorders>
              <w:top w:val="nil"/>
              <w:left w:val="nil"/>
              <w:bottom w:val="single" w:sz="8" w:space="0" w:color="auto"/>
              <w:right w:val="nil"/>
            </w:tcBorders>
            <w:shd w:val="clear" w:color="000000" w:fill="FFFFFF"/>
            <w:vAlign w:val="center"/>
            <w:hideMark/>
          </w:tcPr>
          <w:p w14:paraId="24BAA770" w14:textId="50E1EB26"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Asymptomatic close contacts of incarcerated and detained persons with COVID-19 (Facility A) at the end of their 14-day isolation</w:t>
            </w:r>
          </w:p>
        </w:tc>
        <w:tc>
          <w:tcPr>
            <w:tcW w:w="977" w:type="dxa"/>
            <w:tcBorders>
              <w:top w:val="nil"/>
              <w:left w:val="nil"/>
              <w:bottom w:val="single" w:sz="8" w:space="0" w:color="auto"/>
              <w:right w:val="nil"/>
            </w:tcBorders>
            <w:shd w:val="clear" w:color="000000" w:fill="FFFFFF"/>
            <w:noWrap/>
            <w:vAlign w:val="center"/>
            <w:hideMark/>
          </w:tcPr>
          <w:p w14:paraId="27B64091"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all</w:t>
            </w:r>
          </w:p>
        </w:tc>
        <w:tc>
          <w:tcPr>
            <w:tcW w:w="977" w:type="dxa"/>
            <w:tcBorders>
              <w:top w:val="nil"/>
              <w:left w:val="nil"/>
              <w:bottom w:val="single" w:sz="8" w:space="0" w:color="auto"/>
              <w:right w:val="nil"/>
            </w:tcBorders>
            <w:shd w:val="clear" w:color="000000" w:fill="FFFFFF"/>
            <w:vAlign w:val="center"/>
            <w:hideMark/>
          </w:tcPr>
          <w:p w14:paraId="15D7BC17"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RT-PCR</w:t>
            </w:r>
          </w:p>
        </w:tc>
        <w:tc>
          <w:tcPr>
            <w:tcW w:w="838" w:type="dxa"/>
            <w:tcBorders>
              <w:top w:val="nil"/>
              <w:left w:val="nil"/>
              <w:bottom w:val="single" w:sz="8" w:space="0" w:color="auto"/>
              <w:right w:val="nil"/>
            </w:tcBorders>
            <w:shd w:val="clear" w:color="000000" w:fill="FFFFFF"/>
            <w:vAlign w:val="center"/>
            <w:hideMark/>
          </w:tcPr>
          <w:p w14:paraId="105787CA"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Not listed</w:t>
            </w:r>
          </w:p>
        </w:tc>
        <w:tc>
          <w:tcPr>
            <w:tcW w:w="977" w:type="dxa"/>
            <w:tcBorders>
              <w:top w:val="nil"/>
              <w:left w:val="nil"/>
              <w:bottom w:val="single" w:sz="8" w:space="0" w:color="auto"/>
              <w:right w:val="nil"/>
            </w:tcBorders>
            <w:shd w:val="clear" w:color="000000" w:fill="FFFFFF"/>
            <w:noWrap/>
            <w:vAlign w:val="center"/>
            <w:hideMark/>
          </w:tcPr>
          <w:p w14:paraId="09010429"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10</w:t>
            </w:r>
          </w:p>
        </w:tc>
        <w:tc>
          <w:tcPr>
            <w:tcW w:w="977" w:type="dxa"/>
            <w:tcBorders>
              <w:top w:val="nil"/>
              <w:left w:val="nil"/>
              <w:bottom w:val="single" w:sz="8" w:space="0" w:color="auto"/>
              <w:right w:val="nil"/>
            </w:tcBorders>
            <w:shd w:val="clear" w:color="000000" w:fill="FFFFFF"/>
            <w:noWrap/>
            <w:vAlign w:val="center"/>
            <w:hideMark/>
          </w:tcPr>
          <w:p w14:paraId="07096015"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10</w:t>
            </w:r>
          </w:p>
        </w:tc>
        <w:tc>
          <w:tcPr>
            <w:tcW w:w="1116" w:type="dxa"/>
            <w:tcBorders>
              <w:top w:val="nil"/>
              <w:left w:val="nil"/>
              <w:bottom w:val="single" w:sz="8" w:space="0" w:color="auto"/>
              <w:right w:val="nil"/>
            </w:tcBorders>
            <w:shd w:val="clear" w:color="000000" w:fill="FFFFFF"/>
            <w:noWrap/>
            <w:vAlign w:val="center"/>
            <w:hideMark/>
          </w:tcPr>
          <w:p w14:paraId="0DB7A82D"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6</w:t>
            </w:r>
          </w:p>
        </w:tc>
      </w:tr>
      <w:tr w:rsidR="004E7F1D" w:rsidRPr="00226F56" w14:paraId="79760145" w14:textId="77777777" w:rsidTr="00056E47">
        <w:trPr>
          <w:trHeight w:val="1121"/>
        </w:trPr>
        <w:tc>
          <w:tcPr>
            <w:tcW w:w="1170" w:type="dxa"/>
            <w:tcBorders>
              <w:left w:val="nil"/>
              <w:bottom w:val="single" w:sz="18" w:space="0" w:color="auto"/>
              <w:right w:val="nil"/>
            </w:tcBorders>
            <w:shd w:val="clear" w:color="000000" w:fill="FFFFFF"/>
            <w:vAlign w:val="center"/>
          </w:tcPr>
          <w:p w14:paraId="3CDBB89F" w14:textId="77777777" w:rsidR="005A0998" w:rsidRPr="00226F56" w:rsidRDefault="005A0998" w:rsidP="005A0998">
            <w:pPr>
              <w:spacing w:after="0" w:line="240" w:lineRule="auto"/>
              <w:jc w:val="center"/>
              <w:rPr>
                <w:rFonts w:ascii="Calibri" w:eastAsia="Times New Roman" w:hAnsi="Calibri" w:cs="Calibri"/>
                <w:color w:val="000000"/>
                <w:sz w:val="18"/>
                <w:szCs w:val="18"/>
                <w:lang w:eastAsia="en-GB"/>
              </w:rPr>
            </w:pPr>
          </w:p>
        </w:tc>
        <w:tc>
          <w:tcPr>
            <w:tcW w:w="1170" w:type="dxa"/>
            <w:tcBorders>
              <w:left w:val="nil"/>
              <w:bottom w:val="single" w:sz="18" w:space="0" w:color="auto"/>
              <w:right w:val="nil"/>
            </w:tcBorders>
            <w:shd w:val="clear" w:color="000000" w:fill="FFFFFF"/>
            <w:noWrap/>
            <w:vAlign w:val="center"/>
            <w:hideMark/>
          </w:tcPr>
          <w:p w14:paraId="06B956C9" w14:textId="5FF10863"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w:t>
            </w:r>
          </w:p>
        </w:tc>
        <w:tc>
          <w:tcPr>
            <w:tcW w:w="1291" w:type="dxa"/>
            <w:tcBorders>
              <w:left w:val="nil"/>
              <w:bottom w:val="single" w:sz="18" w:space="0" w:color="auto"/>
              <w:right w:val="nil"/>
            </w:tcBorders>
            <w:shd w:val="clear" w:color="000000" w:fill="FFFFFF"/>
            <w:noWrap/>
            <w:vAlign w:val="center"/>
            <w:hideMark/>
          </w:tcPr>
          <w:p w14:paraId="0F43234E"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w:t>
            </w:r>
          </w:p>
        </w:tc>
        <w:tc>
          <w:tcPr>
            <w:tcW w:w="1006" w:type="dxa"/>
            <w:tcBorders>
              <w:left w:val="nil"/>
              <w:bottom w:val="single" w:sz="18" w:space="0" w:color="auto"/>
              <w:right w:val="nil"/>
            </w:tcBorders>
            <w:shd w:val="clear" w:color="000000" w:fill="FFFFFF"/>
            <w:vAlign w:val="center"/>
            <w:hideMark/>
          </w:tcPr>
          <w:p w14:paraId="1DAE295A"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w:t>
            </w:r>
          </w:p>
        </w:tc>
        <w:tc>
          <w:tcPr>
            <w:tcW w:w="1318" w:type="dxa"/>
            <w:tcBorders>
              <w:left w:val="nil"/>
              <w:bottom w:val="single" w:sz="18" w:space="0" w:color="auto"/>
              <w:right w:val="nil"/>
            </w:tcBorders>
            <w:shd w:val="clear" w:color="000000" w:fill="FFFFFF"/>
            <w:noWrap/>
            <w:vAlign w:val="center"/>
            <w:hideMark/>
          </w:tcPr>
          <w:p w14:paraId="3D751625" w14:textId="77777777" w:rsidR="005A0998" w:rsidRPr="00226F56" w:rsidRDefault="005A0998" w:rsidP="00364858">
            <w:pPr>
              <w:spacing w:after="0" w:line="240" w:lineRule="auto"/>
              <w:rPr>
                <w:rFonts w:ascii="Segoe UI" w:eastAsia="Times New Roman" w:hAnsi="Segoe UI" w:cs="Segoe UI"/>
                <w:color w:val="000000"/>
                <w:sz w:val="18"/>
                <w:szCs w:val="18"/>
                <w:lang w:eastAsia="en-GB"/>
              </w:rPr>
            </w:pPr>
            <w:r w:rsidRPr="00226F56">
              <w:rPr>
                <w:rFonts w:ascii="Segoe UI" w:eastAsia="Times New Roman" w:hAnsi="Segoe UI" w:cs="Segoe UI"/>
                <w:color w:val="000000"/>
                <w:sz w:val="18"/>
                <w:szCs w:val="18"/>
                <w:lang w:eastAsia="en-GB"/>
              </w:rPr>
              <w:t> </w:t>
            </w:r>
          </w:p>
        </w:tc>
        <w:tc>
          <w:tcPr>
            <w:tcW w:w="1212" w:type="dxa"/>
            <w:tcBorders>
              <w:left w:val="nil"/>
              <w:bottom w:val="single" w:sz="18" w:space="0" w:color="auto"/>
              <w:right w:val="nil"/>
            </w:tcBorders>
            <w:shd w:val="clear" w:color="000000" w:fill="FFFFFF"/>
            <w:vAlign w:val="center"/>
            <w:hideMark/>
          </w:tcPr>
          <w:p w14:paraId="4FDF68F9" w14:textId="77777777"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 </w:t>
            </w:r>
          </w:p>
        </w:tc>
        <w:tc>
          <w:tcPr>
            <w:tcW w:w="3023" w:type="dxa"/>
            <w:tcBorders>
              <w:top w:val="nil"/>
              <w:left w:val="nil"/>
              <w:bottom w:val="single" w:sz="18" w:space="0" w:color="auto"/>
              <w:right w:val="nil"/>
            </w:tcBorders>
            <w:shd w:val="clear" w:color="000000" w:fill="FFFFFF"/>
            <w:vAlign w:val="center"/>
            <w:hideMark/>
          </w:tcPr>
          <w:p w14:paraId="48CB0900" w14:textId="519E3689" w:rsidR="005A0998" w:rsidRPr="00226F56" w:rsidRDefault="005A0998" w:rsidP="00364858">
            <w:pPr>
              <w:spacing w:after="0" w:line="240" w:lineRule="auto"/>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Asymptomatic close contacts of incarcerated and detained persons with COVID-19 at the end of their 14-day isolation (Facility B)</w:t>
            </w:r>
          </w:p>
        </w:tc>
        <w:tc>
          <w:tcPr>
            <w:tcW w:w="977" w:type="dxa"/>
            <w:tcBorders>
              <w:top w:val="nil"/>
              <w:left w:val="nil"/>
              <w:bottom w:val="single" w:sz="18" w:space="0" w:color="auto"/>
              <w:right w:val="nil"/>
            </w:tcBorders>
            <w:shd w:val="clear" w:color="000000" w:fill="FFFFFF"/>
            <w:noWrap/>
            <w:vAlign w:val="center"/>
            <w:hideMark/>
          </w:tcPr>
          <w:p w14:paraId="30251819"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all</w:t>
            </w:r>
          </w:p>
        </w:tc>
        <w:tc>
          <w:tcPr>
            <w:tcW w:w="977" w:type="dxa"/>
            <w:tcBorders>
              <w:top w:val="nil"/>
              <w:left w:val="nil"/>
              <w:bottom w:val="single" w:sz="18" w:space="0" w:color="auto"/>
              <w:right w:val="nil"/>
            </w:tcBorders>
            <w:shd w:val="clear" w:color="000000" w:fill="FFFFFF"/>
            <w:vAlign w:val="center"/>
            <w:hideMark/>
          </w:tcPr>
          <w:p w14:paraId="1A1A3B6B" w14:textId="77777777" w:rsidR="005A0998" w:rsidRPr="00226F56" w:rsidRDefault="005A0998" w:rsidP="00364858">
            <w:pPr>
              <w:spacing w:after="0" w:line="240" w:lineRule="auto"/>
              <w:jc w:val="center"/>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RT-PCR</w:t>
            </w:r>
          </w:p>
        </w:tc>
        <w:tc>
          <w:tcPr>
            <w:tcW w:w="838" w:type="dxa"/>
            <w:tcBorders>
              <w:top w:val="nil"/>
              <w:left w:val="nil"/>
              <w:bottom w:val="single" w:sz="18" w:space="0" w:color="auto"/>
              <w:right w:val="nil"/>
            </w:tcBorders>
            <w:shd w:val="clear" w:color="000000" w:fill="FFFFFF"/>
            <w:vAlign w:val="center"/>
            <w:hideMark/>
          </w:tcPr>
          <w:p w14:paraId="7B664485"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Not listed</w:t>
            </w:r>
          </w:p>
        </w:tc>
        <w:tc>
          <w:tcPr>
            <w:tcW w:w="977" w:type="dxa"/>
            <w:tcBorders>
              <w:top w:val="nil"/>
              <w:left w:val="nil"/>
              <w:bottom w:val="single" w:sz="18" w:space="0" w:color="auto"/>
              <w:right w:val="nil"/>
            </w:tcBorders>
            <w:shd w:val="clear" w:color="000000" w:fill="FFFFFF"/>
            <w:noWrap/>
            <w:vAlign w:val="center"/>
            <w:hideMark/>
          </w:tcPr>
          <w:p w14:paraId="1D5F9B8E"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19</w:t>
            </w:r>
          </w:p>
        </w:tc>
        <w:tc>
          <w:tcPr>
            <w:tcW w:w="977" w:type="dxa"/>
            <w:tcBorders>
              <w:top w:val="nil"/>
              <w:left w:val="nil"/>
              <w:bottom w:val="single" w:sz="18" w:space="0" w:color="auto"/>
              <w:right w:val="nil"/>
            </w:tcBorders>
            <w:shd w:val="clear" w:color="000000" w:fill="FFFFFF"/>
            <w:noWrap/>
            <w:vAlign w:val="center"/>
            <w:hideMark/>
          </w:tcPr>
          <w:p w14:paraId="77DF462A"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19</w:t>
            </w:r>
          </w:p>
        </w:tc>
        <w:tc>
          <w:tcPr>
            <w:tcW w:w="1116" w:type="dxa"/>
            <w:tcBorders>
              <w:top w:val="nil"/>
              <w:left w:val="nil"/>
              <w:bottom w:val="single" w:sz="18" w:space="0" w:color="auto"/>
              <w:right w:val="nil"/>
            </w:tcBorders>
            <w:shd w:val="clear" w:color="000000" w:fill="FFFFFF"/>
            <w:noWrap/>
            <w:vAlign w:val="center"/>
            <w:hideMark/>
          </w:tcPr>
          <w:p w14:paraId="4B93A035" w14:textId="77777777" w:rsidR="005A0998" w:rsidRPr="00226F56" w:rsidRDefault="005A0998" w:rsidP="00364858">
            <w:pPr>
              <w:spacing w:after="0" w:line="240" w:lineRule="auto"/>
              <w:jc w:val="right"/>
              <w:rPr>
                <w:rFonts w:ascii="Calibri" w:eastAsia="Times New Roman" w:hAnsi="Calibri" w:cs="Calibri"/>
                <w:color w:val="000000"/>
                <w:sz w:val="18"/>
                <w:szCs w:val="18"/>
                <w:lang w:eastAsia="en-GB"/>
              </w:rPr>
            </w:pPr>
            <w:r w:rsidRPr="00226F56">
              <w:rPr>
                <w:rFonts w:ascii="Calibri" w:eastAsia="Times New Roman" w:hAnsi="Calibri" w:cs="Calibri"/>
                <w:color w:val="000000"/>
                <w:sz w:val="18"/>
                <w:szCs w:val="18"/>
                <w:lang w:eastAsia="en-GB"/>
              </w:rPr>
              <w:t>9</w:t>
            </w:r>
          </w:p>
        </w:tc>
      </w:tr>
    </w:tbl>
    <w:p w14:paraId="529C75CD" w14:textId="16F97AC5" w:rsidR="00364858" w:rsidRDefault="00364858" w:rsidP="001F31E3">
      <w:pPr>
        <w:sectPr w:rsidR="00364858" w:rsidSect="0028760E">
          <w:pgSz w:w="16838" w:h="11906" w:orient="landscape"/>
          <w:pgMar w:top="1440" w:right="1440" w:bottom="284" w:left="1440" w:header="709" w:footer="709" w:gutter="0"/>
          <w:cols w:space="708"/>
          <w:docGrid w:linePitch="360"/>
        </w:sectPr>
      </w:pPr>
    </w:p>
    <w:p w14:paraId="3FB55A12" w14:textId="4D3BD5C1" w:rsidR="001F31E3" w:rsidRDefault="000C40B1" w:rsidP="000C40B1">
      <w:pPr>
        <w:pStyle w:val="Heading2"/>
        <w:rPr>
          <w:rFonts w:asciiTheme="minorHAnsi" w:hAnsiTheme="minorHAnsi" w:cstheme="minorHAnsi"/>
          <w:sz w:val="24"/>
          <w:szCs w:val="24"/>
        </w:rPr>
      </w:pPr>
      <w:r w:rsidRPr="00A80249">
        <w:rPr>
          <w:rFonts w:asciiTheme="minorHAnsi" w:hAnsiTheme="minorHAnsi" w:cstheme="minorHAnsi"/>
          <w:sz w:val="24"/>
          <w:szCs w:val="24"/>
        </w:rPr>
        <w:lastRenderedPageBreak/>
        <w:t xml:space="preserve">Social Settings </w:t>
      </w:r>
    </w:p>
    <w:p w14:paraId="50D9D048" w14:textId="0B842BC0" w:rsidR="000C40B1" w:rsidRPr="000D1FB5" w:rsidRDefault="00A43827" w:rsidP="000C40B1">
      <w:pPr>
        <w:rPr>
          <w:b/>
          <w:bCs/>
          <w:sz w:val="20"/>
          <w:szCs w:val="20"/>
        </w:rPr>
      </w:pPr>
      <w:r w:rsidRPr="000D1FB5">
        <w:rPr>
          <w:b/>
          <w:bCs/>
          <w:sz w:val="20"/>
          <w:szCs w:val="20"/>
        </w:rPr>
        <w:t>Table 6</w:t>
      </w:r>
      <w:r w:rsidR="007A4C08" w:rsidRPr="000D1FB5">
        <w:rPr>
          <w:b/>
          <w:bCs/>
          <w:sz w:val="20"/>
          <w:szCs w:val="20"/>
        </w:rPr>
        <w:t xml:space="preserve">. Summary of studies reporting on </w:t>
      </w:r>
      <w:r w:rsidR="001135A2" w:rsidRPr="000D1FB5">
        <w:rPr>
          <w:b/>
          <w:bCs/>
          <w:sz w:val="20"/>
          <w:szCs w:val="20"/>
        </w:rPr>
        <w:t xml:space="preserve">contact investigations in </w:t>
      </w:r>
      <w:r w:rsidR="00767A49" w:rsidRPr="000D1FB5">
        <w:rPr>
          <w:b/>
          <w:bCs/>
          <w:sz w:val="20"/>
          <w:szCs w:val="20"/>
        </w:rPr>
        <w:t>different social settings</w:t>
      </w:r>
      <w:r w:rsidR="0057443A" w:rsidRPr="000D1FB5">
        <w:rPr>
          <w:b/>
          <w:bCs/>
          <w:sz w:val="20"/>
          <w:szCs w:val="20"/>
        </w:rPr>
        <w:t xml:space="preserve">. </w:t>
      </w:r>
      <w:r w:rsidR="0057443A" w:rsidRPr="000D1FB5">
        <w:rPr>
          <w:sz w:val="20"/>
          <w:szCs w:val="20"/>
        </w:rPr>
        <w:t>Where index cases were not broken down by exposure location the study level number of index cases is provided.</w:t>
      </w:r>
    </w:p>
    <w:tbl>
      <w:tblPr>
        <w:tblW w:w="16019" w:type="dxa"/>
        <w:tblInd w:w="-993" w:type="dxa"/>
        <w:tblLook w:val="04A0" w:firstRow="1" w:lastRow="0" w:firstColumn="1" w:lastColumn="0" w:noHBand="0" w:noVBand="1"/>
      </w:tblPr>
      <w:tblGrid>
        <w:gridCol w:w="1266"/>
        <w:gridCol w:w="1141"/>
        <w:gridCol w:w="1202"/>
        <w:gridCol w:w="888"/>
        <w:gridCol w:w="1664"/>
        <w:gridCol w:w="3603"/>
        <w:gridCol w:w="1182"/>
        <w:gridCol w:w="992"/>
        <w:gridCol w:w="958"/>
        <w:gridCol w:w="993"/>
        <w:gridCol w:w="1134"/>
        <w:gridCol w:w="996"/>
      </w:tblGrid>
      <w:tr w:rsidR="000F13C3" w:rsidRPr="00C46A5F" w14:paraId="5A609640" w14:textId="77777777" w:rsidTr="00775156">
        <w:trPr>
          <w:trHeight w:val="434"/>
        </w:trPr>
        <w:tc>
          <w:tcPr>
            <w:tcW w:w="1278" w:type="dxa"/>
            <w:tcBorders>
              <w:top w:val="single" w:sz="18" w:space="0" w:color="auto"/>
              <w:left w:val="nil"/>
              <w:bottom w:val="single" w:sz="18" w:space="0" w:color="auto"/>
              <w:right w:val="nil"/>
            </w:tcBorders>
            <w:shd w:val="clear" w:color="000000" w:fill="FFFFFF"/>
            <w:vAlign w:val="center"/>
          </w:tcPr>
          <w:p w14:paraId="3A8D84C7" w14:textId="509E0CF7" w:rsidR="00056E47" w:rsidRPr="00775156" w:rsidRDefault="00775156" w:rsidP="00775156">
            <w:pPr>
              <w:spacing w:after="0" w:line="240" w:lineRule="auto"/>
              <w:jc w:val="center"/>
              <w:rPr>
                <w:rFonts w:eastAsia="Times New Roman" w:cstheme="minorHAnsi"/>
                <w:b/>
                <w:bCs/>
                <w:color w:val="000000"/>
                <w:sz w:val="18"/>
                <w:szCs w:val="18"/>
                <w:lang w:eastAsia="en-GB"/>
              </w:rPr>
            </w:pPr>
            <w:r>
              <w:rPr>
                <w:rFonts w:eastAsia="Times New Roman" w:cstheme="minorHAnsi"/>
                <w:b/>
                <w:bCs/>
                <w:color w:val="000000"/>
                <w:sz w:val="18"/>
                <w:szCs w:val="18"/>
                <w:lang w:eastAsia="en-GB"/>
              </w:rPr>
              <w:t>Main text reference number</w:t>
            </w:r>
          </w:p>
        </w:tc>
        <w:tc>
          <w:tcPr>
            <w:tcW w:w="1141" w:type="dxa"/>
            <w:tcBorders>
              <w:top w:val="single" w:sz="18" w:space="0" w:color="auto"/>
              <w:left w:val="nil"/>
              <w:bottom w:val="single" w:sz="18" w:space="0" w:color="auto"/>
              <w:right w:val="nil"/>
            </w:tcBorders>
            <w:shd w:val="clear" w:color="000000" w:fill="FFFFFF"/>
            <w:vAlign w:val="center"/>
            <w:hideMark/>
          </w:tcPr>
          <w:p w14:paraId="08CA2FE6" w14:textId="32D899B5" w:rsidR="00056E47" w:rsidRPr="00775156" w:rsidRDefault="00056E47" w:rsidP="00E24C59">
            <w:pPr>
              <w:spacing w:after="0" w:line="240" w:lineRule="auto"/>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Author</w:t>
            </w:r>
          </w:p>
        </w:tc>
        <w:tc>
          <w:tcPr>
            <w:tcW w:w="1202" w:type="dxa"/>
            <w:tcBorders>
              <w:top w:val="single" w:sz="18" w:space="0" w:color="auto"/>
              <w:left w:val="nil"/>
              <w:bottom w:val="single" w:sz="18" w:space="0" w:color="auto"/>
              <w:right w:val="nil"/>
            </w:tcBorders>
            <w:shd w:val="clear" w:color="000000" w:fill="FFFFFF"/>
            <w:vAlign w:val="center"/>
            <w:hideMark/>
          </w:tcPr>
          <w:p w14:paraId="4F9C3962" w14:textId="77777777" w:rsidR="00056E47" w:rsidRPr="00775156" w:rsidRDefault="00056E47" w:rsidP="00E24C59">
            <w:pPr>
              <w:spacing w:after="0" w:line="240" w:lineRule="auto"/>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Region</w:t>
            </w:r>
          </w:p>
        </w:tc>
        <w:tc>
          <w:tcPr>
            <w:tcW w:w="888" w:type="dxa"/>
            <w:tcBorders>
              <w:top w:val="single" w:sz="18" w:space="0" w:color="auto"/>
              <w:left w:val="nil"/>
              <w:bottom w:val="single" w:sz="18" w:space="0" w:color="auto"/>
              <w:right w:val="nil"/>
            </w:tcBorders>
            <w:shd w:val="clear" w:color="000000" w:fill="FFFFFF"/>
            <w:vAlign w:val="center"/>
            <w:hideMark/>
          </w:tcPr>
          <w:p w14:paraId="37525299" w14:textId="77777777" w:rsidR="00056E47" w:rsidRPr="00775156" w:rsidRDefault="00056E47" w:rsidP="00E24C59">
            <w:pPr>
              <w:spacing w:after="0" w:line="240" w:lineRule="auto"/>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Country</w:t>
            </w:r>
          </w:p>
        </w:tc>
        <w:tc>
          <w:tcPr>
            <w:tcW w:w="1664" w:type="dxa"/>
            <w:tcBorders>
              <w:top w:val="single" w:sz="18" w:space="0" w:color="auto"/>
              <w:left w:val="nil"/>
              <w:bottom w:val="single" w:sz="18" w:space="0" w:color="auto"/>
              <w:right w:val="nil"/>
            </w:tcBorders>
            <w:shd w:val="clear" w:color="000000" w:fill="FFFFFF"/>
            <w:vAlign w:val="center"/>
            <w:hideMark/>
          </w:tcPr>
          <w:p w14:paraId="6C3783EE" w14:textId="77777777" w:rsidR="00056E47" w:rsidRPr="00775156" w:rsidRDefault="00056E47" w:rsidP="00E24C59">
            <w:pPr>
              <w:spacing w:after="0" w:line="240" w:lineRule="auto"/>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Study design</w:t>
            </w:r>
          </w:p>
        </w:tc>
        <w:tc>
          <w:tcPr>
            <w:tcW w:w="3684" w:type="dxa"/>
            <w:tcBorders>
              <w:top w:val="single" w:sz="18" w:space="0" w:color="auto"/>
              <w:left w:val="nil"/>
              <w:bottom w:val="single" w:sz="18" w:space="0" w:color="auto"/>
              <w:right w:val="nil"/>
            </w:tcBorders>
            <w:shd w:val="clear" w:color="000000" w:fill="FFFFFF"/>
            <w:vAlign w:val="center"/>
            <w:hideMark/>
          </w:tcPr>
          <w:p w14:paraId="28CD4530" w14:textId="77777777" w:rsidR="00056E47" w:rsidRPr="00775156" w:rsidRDefault="00056E47" w:rsidP="00E24C59">
            <w:pPr>
              <w:spacing w:after="0" w:line="240" w:lineRule="auto"/>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Contact definition</w:t>
            </w:r>
          </w:p>
        </w:tc>
        <w:tc>
          <w:tcPr>
            <w:tcW w:w="1182" w:type="dxa"/>
            <w:tcBorders>
              <w:top w:val="single" w:sz="18" w:space="0" w:color="auto"/>
              <w:left w:val="nil"/>
              <w:bottom w:val="single" w:sz="18" w:space="0" w:color="auto"/>
              <w:right w:val="nil"/>
            </w:tcBorders>
            <w:shd w:val="clear" w:color="000000" w:fill="FFFFFF"/>
            <w:vAlign w:val="center"/>
            <w:hideMark/>
          </w:tcPr>
          <w:p w14:paraId="65E40280" w14:textId="77777777" w:rsidR="00056E47" w:rsidRPr="00775156" w:rsidRDefault="00056E47" w:rsidP="00540114">
            <w:pPr>
              <w:spacing w:after="0" w:line="240" w:lineRule="auto"/>
              <w:jc w:val="center"/>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Testing strategy</w:t>
            </w:r>
          </w:p>
        </w:tc>
        <w:tc>
          <w:tcPr>
            <w:tcW w:w="992" w:type="dxa"/>
            <w:tcBorders>
              <w:top w:val="single" w:sz="18" w:space="0" w:color="auto"/>
              <w:left w:val="nil"/>
              <w:bottom w:val="single" w:sz="18" w:space="0" w:color="auto"/>
              <w:right w:val="nil"/>
            </w:tcBorders>
            <w:shd w:val="clear" w:color="000000" w:fill="FFFFFF"/>
            <w:vAlign w:val="center"/>
            <w:hideMark/>
          </w:tcPr>
          <w:p w14:paraId="7740CDF3" w14:textId="77777777" w:rsidR="00056E47" w:rsidRPr="00775156" w:rsidRDefault="00056E47" w:rsidP="00540114">
            <w:pPr>
              <w:spacing w:after="0" w:line="240" w:lineRule="auto"/>
              <w:jc w:val="center"/>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Testing method</w:t>
            </w:r>
          </w:p>
        </w:tc>
        <w:tc>
          <w:tcPr>
            <w:tcW w:w="869" w:type="dxa"/>
            <w:tcBorders>
              <w:top w:val="single" w:sz="18" w:space="0" w:color="auto"/>
              <w:left w:val="nil"/>
              <w:bottom w:val="single" w:sz="18" w:space="0" w:color="auto"/>
              <w:right w:val="nil"/>
            </w:tcBorders>
            <w:shd w:val="clear" w:color="000000" w:fill="FFFFFF"/>
            <w:vAlign w:val="center"/>
            <w:hideMark/>
          </w:tcPr>
          <w:p w14:paraId="0C29E13C" w14:textId="77777777" w:rsidR="00056E47" w:rsidRPr="00775156" w:rsidRDefault="00056E47" w:rsidP="00540114">
            <w:pPr>
              <w:spacing w:after="0" w:line="240" w:lineRule="auto"/>
              <w:jc w:val="right"/>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Index cases</w:t>
            </w:r>
          </w:p>
        </w:tc>
        <w:tc>
          <w:tcPr>
            <w:tcW w:w="993" w:type="dxa"/>
            <w:tcBorders>
              <w:top w:val="single" w:sz="18" w:space="0" w:color="auto"/>
              <w:left w:val="nil"/>
              <w:bottom w:val="single" w:sz="18" w:space="0" w:color="auto"/>
              <w:right w:val="nil"/>
            </w:tcBorders>
            <w:shd w:val="clear" w:color="000000" w:fill="FFFFFF"/>
            <w:vAlign w:val="center"/>
            <w:hideMark/>
          </w:tcPr>
          <w:p w14:paraId="3DB27B50" w14:textId="77777777" w:rsidR="00056E47" w:rsidRPr="00775156" w:rsidRDefault="00056E47" w:rsidP="00540114">
            <w:pPr>
              <w:spacing w:after="0" w:line="240" w:lineRule="auto"/>
              <w:jc w:val="right"/>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Contacts traced</w:t>
            </w:r>
          </w:p>
        </w:tc>
        <w:tc>
          <w:tcPr>
            <w:tcW w:w="1134" w:type="dxa"/>
            <w:tcBorders>
              <w:top w:val="single" w:sz="18" w:space="0" w:color="auto"/>
              <w:left w:val="nil"/>
              <w:bottom w:val="single" w:sz="18" w:space="0" w:color="auto"/>
              <w:right w:val="nil"/>
            </w:tcBorders>
            <w:shd w:val="clear" w:color="000000" w:fill="FFFFFF"/>
            <w:vAlign w:val="center"/>
            <w:hideMark/>
          </w:tcPr>
          <w:p w14:paraId="03316E9A" w14:textId="77777777" w:rsidR="00056E47" w:rsidRPr="00775156" w:rsidRDefault="00056E47" w:rsidP="00540114">
            <w:pPr>
              <w:spacing w:after="0" w:line="240" w:lineRule="auto"/>
              <w:jc w:val="right"/>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Contacts tested</w:t>
            </w:r>
          </w:p>
        </w:tc>
        <w:tc>
          <w:tcPr>
            <w:tcW w:w="992" w:type="dxa"/>
            <w:tcBorders>
              <w:top w:val="single" w:sz="18" w:space="0" w:color="auto"/>
              <w:left w:val="nil"/>
              <w:bottom w:val="single" w:sz="18" w:space="0" w:color="auto"/>
              <w:right w:val="nil"/>
            </w:tcBorders>
            <w:shd w:val="clear" w:color="000000" w:fill="FFFFFF"/>
            <w:vAlign w:val="center"/>
            <w:hideMark/>
          </w:tcPr>
          <w:p w14:paraId="1A6CC8D0" w14:textId="77777777" w:rsidR="00056E47" w:rsidRPr="00775156" w:rsidRDefault="00056E47" w:rsidP="00540114">
            <w:pPr>
              <w:spacing w:after="0" w:line="240" w:lineRule="auto"/>
              <w:jc w:val="right"/>
              <w:rPr>
                <w:rFonts w:eastAsia="Times New Roman" w:cstheme="minorHAnsi"/>
                <w:b/>
                <w:bCs/>
                <w:color w:val="000000"/>
                <w:sz w:val="18"/>
                <w:szCs w:val="18"/>
                <w:lang w:eastAsia="en-GB"/>
              </w:rPr>
            </w:pPr>
            <w:r w:rsidRPr="00775156">
              <w:rPr>
                <w:rFonts w:eastAsia="Times New Roman" w:cstheme="minorHAnsi"/>
                <w:b/>
                <w:bCs/>
                <w:color w:val="000000"/>
                <w:sz w:val="18"/>
                <w:szCs w:val="18"/>
                <w:lang w:eastAsia="en-GB"/>
              </w:rPr>
              <w:t>Secondary cases</w:t>
            </w:r>
          </w:p>
        </w:tc>
      </w:tr>
      <w:tr w:rsidR="004E7F1D" w:rsidRPr="00C46A5F" w14:paraId="586EF177" w14:textId="77777777" w:rsidTr="00775156">
        <w:trPr>
          <w:trHeight w:val="484"/>
        </w:trPr>
        <w:tc>
          <w:tcPr>
            <w:tcW w:w="1278" w:type="dxa"/>
            <w:tcBorders>
              <w:top w:val="single" w:sz="18" w:space="0" w:color="auto"/>
              <w:left w:val="nil"/>
              <w:bottom w:val="nil"/>
              <w:right w:val="nil"/>
            </w:tcBorders>
            <w:shd w:val="clear" w:color="000000" w:fill="FFFFFF"/>
            <w:vAlign w:val="center"/>
          </w:tcPr>
          <w:p w14:paraId="5CF6AB74" w14:textId="76F32695" w:rsidR="00056E47" w:rsidRPr="00775156" w:rsidRDefault="00ED69B5"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10</w:t>
            </w:r>
          </w:p>
        </w:tc>
        <w:tc>
          <w:tcPr>
            <w:tcW w:w="1141" w:type="dxa"/>
            <w:tcBorders>
              <w:top w:val="single" w:sz="18" w:space="0" w:color="auto"/>
              <w:left w:val="nil"/>
              <w:bottom w:val="nil"/>
              <w:right w:val="nil"/>
            </w:tcBorders>
            <w:shd w:val="clear" w:color="000000" w:fill="FFFFFF"/>
            <w:vAlign w:val="center"/>
            <w:hideMark/>
          </w:tcPr>
          <w:p w14:paraId="4670F90E" w14:textId="1CC4B4A6"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Bi et al</w:t>
            </w:r>
            <w:r w:rsidR="00775156">
              <w:rPr>
                <w:rFonts w:eastAsia="Times New Roman" w:cstheme="minorHAnsi"/>
                <w:color w:val="000000"/>
                <w:sz w:val="18"/>
                <w:szCs w:val="18"/>
                <w:lang w:eastAsia="en-GB"/>
              </w:rPr>
              <w:t xml:space="preserve"> </w:t>
            </w:r>
            <w:r w:rsidR="00775156">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{"citationItems":[{"id":"ITEM-1","itemData":{"DOI":"10.1016/S1473-3099(20)30287-5","ISBN":"1474-4457\r1473-3099","PMID":"32353347","abstract":"BACKGROUND: Rapid spread of severe acute respiratory syndrome coronavirus 2 (SARS-CoV-2) in Wuhan, China, prompted heightened surveillance in Shenzhen, China. The resulting data provide a rare opportunity to measure key metrics of disease course, transmission, and the impact of control measures. METHODS: 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 FINDINGS: 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vs population average of 6·6%). The observed reproductive number (R) was 0·4 (95% CI 0·3-0·5), with a mean serial interval of 6·3 days (95% CI 5·2-7·6). INTERPRETATION: Our data on cases as well as their infected and uninfected close contacts provide key insights into the epidemiology of SARS-CoV-2. This analysis shows that isolation and contact tracing reduce the time during which cases are infectious in the community, thereby reducing the R.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 FUNDING: Emergency Response Program of Harbin Institute of Technology, Emergency Response Program of Peng Cheng Laboratory, US Cente…","author":[{"dropping-particle":"","family":"Bi","given":"Qifang","non-dropping-particle":"","parse-names":false,"suffix":""},{"dropping-particle":"","family":"Wu","given":"Yongsheng","non-dropping-particle":"","parse-names":false,"suffix":""},{"dropping-particle":"","family":"Mei","given":"Shujiang","non-dropping-particle":"","parse-names":false,"suffix":""},{"dropping-particle":"","family":"Ye","given":"Chenfei","non-dropping-particle":"","parse-names":false,"suffix":""},{"dropping-particle":"","family":"Zou","given":"Xuan","non-dropping-particle":"","parse-names":false,"suffix":""},{"dropping-particle":"","family":"Zhang","given":"Zhen","non-dropping-particle":"","parse-names":false,"suffix":""},{"dropping-particle":"","family":"Liu","given":"Xiaojian","non-dropping-particle":"","parse-names":false,"suffix":""},{"dropping-particle":"","family":"Wei","given":"Lan","non-dropping-particle":"","parse-names":false,"suffix":""},{"dropping-particle":"","family":"Truelove","given":"Shaun A","non-dropping-particle":"","parse-names":false,"suffix":""},{"dropping-particle":"","family":"Zhang","given":"Tong","non-dropping-particle":"","parse-names":false,"suffix":""},{"dropping-particle":"","family":"Gao","given":"Wei","non-dropping-particle":"","parse-names":false,"suffix":""},{"dropping-particle":"","family":"Cheng","given":"Cong","non-dropping-particle":"","parse-names":false,"suffix":""},{"dropping-particle":"","family":"Tang","given":"Xiujuan","non-dropping-particle":"","parse-names":false,"suffix":""},{"dropping-particle":"","family":"Wu","given":"Xiaoliang","non-dropping-particle":"","parse-names":false,"suffix":""},{"dropping-particle":"","family":"Wu","given":"Yu","non-dropping-particle":"","parse-names":false,"suffix":""},{"dropping-particle":"","family":"Sun","given":"Binbin","non-dropping-particle":"","parse-names":false,"suffix":""},{"dropping-particle":"","family":"Huang","given":"Suli","non-dropping-particle":"","parse-names":false,"suffix":""},{"dropping-particle":"","family":"Sun","given":"Yu","non-dropping-particle":"","parse-names":false,"suffix":""},{"dropping-particle":"","family":"Zhang","given":"Juncen","non-dropping-particle":"","parse-names":false,"suffix":""},{"dropping-particle":"","family":"Ma","given":"Ting","non-dropping-particle":"","parse-names":false,"suffix":""},{"dropping-particle":"","family":"Lessler","given":"Justin","non-dropping-particle":"","parse-names":false,"suffix":""},{"dropping-particle":"","family":"Feng","given":"Tiejian","non-dropping-particle":"","parse-names":false,"suffix":""}],"container-title":"The Lancet. Infectious diseases","edition":"2020/04/27","id":"ITEM-1","issue":"8","issued":{"date-parts":[["2020"]]},"language":"eng","note":"32353347[pmid]\nPMC7185944[pmcid]\nS1473-3099(20)30287-5[PII]","page":"911-919","publisher":"Elsevier Ltd.","title":"Epidemiology and transmission of COVID-19 in 391 cases and 1286 of their close contacts in Shenzhen, China: a retrospective cohort study","type":"article-journal","volume":"20"},"uris":["http://www.mendeley.com/documents/?uuid=d9ff52aa-b3fc-4498-a591-264bdc48137b"]}],"mendeley":{"formattedCitation":"[24]","plainTextFormattedCitation":"[24]","previouslyFormattedCitation":"[26]"},"properties":{"noteIndex":0},"schema":"https://github.com/citation-style-language/schema/raw/master/csl-citation.json"}</w:instrText>
            </w:r>
            <w:r w:rsidR="00775156">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[24]</w:t>
            </w:r>
            <w:r w:rsidR="00775156">
              <w:rPr>
                <w:rFonts w:eastAsia="Times New Roman" w:cstheme="minorHAnsi"/>
                <w:color w:val="000000"/>
                <w:sz w:val="18"/>
                <w:szCs w:val="18"/>
                <w:lang w:eastAsia="en-GB"/>
              </w:rPr>
              <w:fldChar w:fldCharType="end"/>
            </w:r>
          </w:p>
        </w:tc>
        <w:tc>
          <w:tcPr>
            <w:tcW w:w="1202" w:type="dxa"/>
            <w:tcBorders>
              <w:top w:val="single" w:sz="18" w:space="0" w:color="auto"/>
              <w:left w:val="nil"/>
              <w:bottom w:val="nil"/>
              <w:right w:val="nil"/>
            </w:tcBorders>
            <w:shd w:val="clear" w:color="000000" w:fill="FFFFFF"/>
            <w:noWrap/>
            <w:vAlign w:val="center"/>
            <w:hideMark/>
          </w:tcPr>
          <w:p w14:paraId="770F65D3" w14:textId="77777777"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Shenzhen</w:t>
            </w:r>
          </w:p>
        </w:tc>
        <w:tc>
          <w:tcPr>
            <w:tcW w:w="888" w:type="dxa"/>
            <w:tcBorders>
              <w:top w:val="single" w:sz="18" w:space="0" w:color="auto"/>
              <w:left w:val="nil"/>
              <w:bottom w:val="nil"/>
              <w:right w:val="nil"/>
            </w:tcBorders>
            <w:shd w:val="clear" w:color="000000" w:fill="FFFFFF"/>
            <w:noWrap/>
            <w:vAlign w:val="center"/>
            <w:hideMark/>
          </w:tcPr>
          <w:p w14:paraId="24C24465" w14:textId="77777777"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China</w:t>
            </w:r>
          </w:p>
        </w:tc>
        <w:tc>
          <w:tcPr>
            <w:tcW w:w="1664" w:type="dxa"/>
            <w:tcBorders>
              <w:top w:val="single" w:sz="18" w:space="0" w:color="auto"/>
              <w:left w:val="nil"/>
              <w:bottom w:val="nil"/>
              <w:right w:val="nil"/>
            </w:tcBorders>
            <w:shd w:val="clear" w:color="000000" w:fill="FFFFFF"/>
            <w:vAlign w:val="center"/>
            <w:hideMark/>
          </w:tcPr>
          <w:p w14:paraId="4BC68A2B" w14:textId="77777777"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Surveillance and contact tracing</w:t>
            </w:r>
          </w:p>
        </w:tc>
        <w:tc>
          <w:tcPr>
            <w:tcW w:w="3684" w:type="dxa"/>
            <w:tcBorders>
              <w:top w:val="single" w:sz="18" w:space="0" w:color="auto"/>
              <w:left w:val="nil"/>
              <w:bottom w:val="single" w:sz="8" w:space="0" w:color="auto"/>
              <w:right w:val="nil"/>
            </w:tcBorders>
            <w:shd w:val="clear" w:color="000000" w:fill="FFFFFF"/>
            <w:vAlign w:val="center"/>
            <w:hideMark/>
          </w:tcPr>
          <w:p w14:paraId="1AAF654C" w14:textId="77777777" w:rsidR="00056E47" w:rsidRPr="00775156" w:rsidRDefault="00056E47" w:rsidP="00E24C59">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Travel:</w:t>
            </w:r>
            <w:r w:rsidRPr="00775156">
              <w:rPr>
                <w:rFonts w:eastAsia="Times New Roman" w:cstheme="minorHAnsi"/>
                <w:color w:val="000000"/>
                <w:sz w:val="18"/>
                <w:szCs w:val="18"/>
                <w:lang w:eastAsia="en-GB"/>
              </w:rPr>
              <w:t xml:space="preserve"> Travelled together with the index case 2 days before symptom onset</w:t>
            </w:r>
          </w:p>
        </w:tc>
        <w:tc>
          <w:tcPr>
            <w:tcW w:w="1182" w:type="dxa"/>
            <w:tcBorders>
              <w:top w:val="single" w:sz="18" w:space="0" w:color="auto"/>
              <w:left w:val="nil"/>
              <w:bottom w:val="single" w:sz="8" w:space="0" w:color="auto"/>
              <w:right w:val="nil"/>
            </w:tcBorders>
            <w:shd w:val="clear" w:color="000000" w:fill="FFFFFF"/>
            <w:vAlign w:val="center"/>
            <w:hideMark/>
          </w:tcPr>
          <w:p w14:paraId="55CDC7A2"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single" w:sz="18" w:space="0" w:color="auto"/>
              <w:left w:val="nil"/>
              <w:bottom w:val="single" w:sz="8" w:space="0" w:color="auto"/>
              <w:right w:val="nil"/>
            </w:tcBorders>
            <w:shd w:val="clear" w:color="000000" w:fill="FFFFFF"/>
            <w:vAlign w:val="center"/>
            <w:hideMark/>
          </w:tcPr>
          <w:p w14:paraId="52708670"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18" w:space="0" w:color="auto"/>
              <w:left w:val="nil"/>
              <w:bottom w:val="single" w:sz="8" w:space="0" w:color="auto"/>
              <w:right w:val="nil"/>
            </w:tcBorders>
            <w:shd w:val="clear" w:color="000000" w:fill="FFFFFF"/>
            <w:vAlign w:val="center"/>
            <w:hideMark/>
          </w:tcPr>
          <w:p w14:paraId="41E268CE"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391</w:t>
            </w:r>
          </w:p>
        </w:tc>
        <w:tc>
          <w:tcPr>
            <w:tcW w:w="993" w:type="dxa"/>
            <w:tcBorders>
              <w:top w:val="single" w:sz="18" w:space="0" w:color="auto"/>
              <w:left w:val="nil"/>
              <w:bottom w:val="single" w:sz="8" w:space="0" w:color="auto"/>
              <w:right w:val="nil"/>
            </w:tcBorders>
            <w:shd w:val="clear" w:color="000000" w:fill="FFFFFF"/>
            <w:vAlign w:val="center"/>
            <w:hideMark/>
          </w:tcPr>
          <w:p w14:paraId="25DB72D1"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318</w:t>
            </w:r>
          </w:p>
        </w:tc>
        <w:tc>
          <w:tcPr>
            <w:tcW w:w="1134" w:type="dxa"/>
            <w:tcBorders>
              <w:top w:val="single" w:sz="18" w:space="0" w:color="auto"/>
              <w:left w:val="nil"/>
              <w:bottom w:val="single" w:sz="8" w:space="0" w:color="auto"/>
              <w:right w:val="nil"/>
            </w:tcBorders>
            <w:shd w:val="clear" w:color="000000" w:fill="FFFFFF"/>
            <w:vAlign w:val="center"/>
            <w:hideMark/>
          </w:tcPr>
          <w:p w14:paraId="6ED07671"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318</w:t>
            </w:r>
          </w:p>
        </w:tc>
        <w:tc>
          <w:tcPr>
            <w:tcW w:w="992" w:type="dxa"/>
            <w:tcBorders>
              <w:top w:val="single" w:sz="18" w:space="0" w:color="auto"/>
              <w:left w:val="nil"/>
              <w:bottom w:val="single" w:sz="8" w:space="0" w:color="auto"/>
              <w:right w:val="nil"/>
            </w:tcBorders>
            <w:shd w:val="clear" w:color="000000" w:fill="FFFFFF"/>
            <w:vAlign w:val="center"/>
            <w:hideMark/>
          </w:tcPr>
          <w:p w14:paraId="4E5CC7EF"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18</w:t>
            </w:r>
          </w:p>
        </w:tc>
      </w:tr>
      <w:tr w:rsidR="000F13C3" w:rsidRPr="00C46A5F" w14:paraId="77BBF3F7" w14:textId="77777777" w:rsidTr="00775156">
        <w:trPr>
          <w:trHeight w:val="814"/>
        </w:trPr>
        <w:tc>
          <w:tcPr>
            <w:tcW w:w="1278" w:type="dxa"/>
            <w:tcBorders>
              <w:top w:val="nil"/>
              <w:left w:val="nil"/>
              <w:bottom w:val="single" w:sz="8" w:space="0" w:color="auto"/>
              <w:right w:val="nil"/>
            </w:tcBorders>
            <w:shd w:val="clear" w:color="000000" w:fill="FFFFFF"/>
            <w:vAlign w:val="center"/>
          </w:tcPr>
          <w:p w14:paraId="34B5DA3F"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nil"/>
              <w:left w:val="nil"/>
              <w:bottom w:val="single" w:sz="8" w:space="0" w:color="auto"/>
              <w:right w:val="nil"/>
            </w:tcBorders>
            <w:shd w:val="clear" w:color="000000" w:fill="FFFFFF"/>
            <w:vAlign w:val="center"/>
          </w:tcPr>
          <w:p w14:paraId="333253AC" w14:textId="11884B1A" w:rsidR="00056E47" w:rsidRPr="00775156" w:rsidRDefault="00056E47" w:rsidP="00E24C59">
            <w:pPr>
              <w:spacing w:after="0" w:line="240" w:lineRule="auto"/>
              <w:rPr>
                <w:rFonts w:eastAsia="Times New Roman" w:cstheme="minorHAnsi"/>
                <w:color w:val="000000"/>
                <w:sz w:val="18"/>
                <w:szCs w:val="18"/>
                <w:lang w:eastAsia="en-GB"/>
              </w:rPr>
            </w:pPr>
          </w:p>
        </w:tc>
        <w:tc>
          <w:tcPr>
            <w:tcW w:w="1202" w:type="dxa"/>
            <w:tcBorders>
              <w:top w:val="nil"/>
              <w:left w:val="nil"/>
              <w:bottom w:val="single" w:sz="8" w:space="0" w:color="auto"/>
              <w:right w:val="nil"/>
            </w:tcBorders>
            <w:shd w:val="clear" w:color="000000" w:fill="FFFFFF"/>
            <w:noWrap/>
            <w:vAlign w:val="center"/>
          </w:tcPr>
          <w:p w14:paraId="2CC0C77A" w14:textId="114F911D" w:rsidR="00056E47" w:rsidRPr="00775156" w:rsidRDefault="00056E47" w:rsidP="00E24C59">
            <w:pPr>
              <w:spacing w:after="0" w:line="240" w:lineRule="auto"/>
              <w:rPr>
                <w:rFonts w:eastAsia="Times New Roman" w:cstheme="minorHAnsi"/>
                <w:color w:val="000000"/>
                <w:sz w:val="18"/>
                <w:szCs w:val="18"/>
                <w:lang w:eastAsia="en-GB"/>
              </w:rPr>
            </w:pPr>
          </w:p>
        </w:tc>
        <w:tc>
          <w:tcPr>
            <w:tcW w:w="888" w:type="dxa"/>
            <w:tcBorders>
              <w:top w:val="nil"/>
              <w:left w:val="nil"/>
              <w:bottom w:val="single" w:sz="8" w:space="0" w:color="auto"/>
              <w:right w:val="nil"/>
            </w:tcBorders>
            <w:shd w:val="clear" w:color="000000" w:fill="FFFFFF"/>
            <w:noWrap/>
            <w:vAlign w:val="center"/>
          </w:tcPr>
          <w:p w14:paraId="7AB14C90" w14:textId="77CD129A" w:rsidR="00056E47" w:rsidRPr="00775156" w:rsidRDefault="00056E47" w:rsidP="00E24C59">
            <w:pPr>
              <w:spacing w:after="0" w:line="240" w:lineRule="auto"/>
              <w:rPr>
                <w:rFonts w:eastAsia="Times New Roman" w:cstheme="minorHAnsi"/>
                <w:color w:val="000000"/>
                <w:sz w:val="18"/>
                <w:szCs w:val="18"/>
                <w:lang w:eastAsia="en-GB"/>
              </w:rPr>
            </w:pPr>
          </w:p>
        </w:tc>
        <w:tc>
          <w:tcPr>
            <w:tcW w:w="1664" w:type="dxa"/>
            <w:tcBorders>
              <w:top w:val="nil"/>
              <w:left w:val="nil"/>
              <w:bottom w:val="single" w:sz="8" w:space="0" w:color="auto"/>
              <w:right w:val="nil"/>
            </w:tcBorders>
            <w:shd w:val="clear" w:color="000000" w:fill="FFFFFF"/>
            <w:vAlign w:val="center"/>
          </w:tcPr>
          <w:p w14:paraId="7ED327D2" w14:textId="37955AE7" w:rsidR="00056E47" w:rsidRPr="00775156" w:rsidRDefault="00056E47" w:rsidP="00E24C59">
            <w:pPr>
              <w:spacing w:after="0" w:line="240" w:lineRule="auto"/>
              <w:rPr>
                <w:rFonts w:eastAsia="Times New Roman" w:cstheme="minorHAnsi"/>
                <w:color w:val="000000"/>
                <w:sz w:val="18"/>
                <w:szCs w:val="18"/>
                <w:lang w:eastAsia="en-GB"/>
              </w:rPr>
            </w:pPr>
          </w:p>
        </w:tc>
        <w:tc>
          <w:tcPr>
            <w:tcW w:w="3684" w:type="dxa"/>
            <w:tcBorders>
              <w:top w:val="nil"/>
              <w:left w:val="nil"/>
              <w:bottom w:val="single" w:sz="8" w:space="0" w:color="auto"/>
              <w:right w:val="nil"/>
            </w:tcBorders>
            <w:shd w:val="clear" w:color="000000" w:fill="FFFFFF"/>
            <w:vAlign w:val="center"/>
            <w:hideMark/>
          </w:tcPr>
          <w:p w14:paraId="05AB98B5" w14:textId="77777777" w:rsidR="00056E47" w:rsidRPr="00775156" w:rsidRDefault="00056E47" w:rsidP="00E24C59">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Family and Friends:</w:t>
            </w:r>
            <w:r w:rsidRPr="00775156">
              <w:rPr>
                <w:rFonts w:eastAsia="Times New Roman" w:cstheme="minorHAnsi"/>
                <w:color w:val="000000"/>
                <w:sz w:val="18"/>
                <w:szCs w:val="18"/>
                <w:lang w:eastAsia="en-GB"/>
              </w:rPr>
              <w:t xml:space="preserve"> Socially interacted with the index case or shared a meal with an index case 2 days before symptom onset</w:t>
            </w:r>
          </w:p>
        </w:tc>
        <w:tc>
          <w:tcPr>
            <w:tcW w:w="1182" w:type="dxa"/>
            <w:tcBorders>
              <w:top w:val="nil"/>
              <w:left w:val="nil"/>
              <w:bottom w:val="single" w:sz="8" w:space="0" w:color="auto"/>
              <w:right w:val="nil"/>
            </w:tcBorders>
            <w:shd w:val="clear" w:color="000000" w:fill="FFFFFF"/>
            <w:vAlign w:val="center"/>
            <w:hideMark/>
          </w:tcPr>
          <w:p w14:paraId="230DFD25"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hideMark/>
          </w:tcPr>
          <w:p w14:paraId="6AB5406B"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467529C1"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391</w:t>
            </w:r>
          </w:p>
        </w:tc>
        <w:tc>
          <w:tcPr>
            <w:tcW w:w="993" w:type="dxa"/>
            <w:tcBorders>
              <w:top w:val="nil"/>
              <w:left w:val="nil"/>
              <w:bottom w:val="single" w:sz="8" w:space="0" w:color="auto"/>
              <w:right w:val="nil"/>
            </w:tcBorders>
            <w:shd w:val="clear" w:color="000000" w:fill="FFFFFF"/>
            <w:noWrap/>
            <w:vAlign w:val="center"/>
            <w:hideMark/>
          </w:tcPr>
          <w:p w14:paraId="17CFA5A3"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707</w:t>
            </w:r>
          </w:p>
        </w:tc>
        <w:tc>
          <w:tcPr>
            <w:tcW w:w="1134" w:type="dxa"/>
            <w:tcBorders>
              <w:top w:val="nil"/>
              <w:left w:val="nil"/>
              <w:bottom w:val="single" w:sz="8" w:space="0" w:color="auto"/>
              <w:right w:val="nil"/>
            </w:tcBorders>
            <w:shd w:val="clear" w:color="000000" w:fill="FFFFFF"/>
            <w:noWrap/>
            <w:vAlign w:val="center"/>
            <w:hideMark/>
          </w:tcPr>
          <w:p w14:paraId="14120D7F"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707</w:t>
            </w:r>
          </w:p>
        </w:tc>
        <w:tc>
          <w:tcPr>
            <w:tcW w:w="992" w:type="dxa"/>
            <w:tcBorders>
              <w:top w:val="nil"/>
              <w:left w:val="nil"/>
              <w:bottom w:val="single" w:sz="8" w:space="0" w:color="auto"/>
              <w:right w:val="nil"/>
            </w:tcBorders>
            <w:shd w:val="clear" w:color="000000" w:fill="FFFFFF"/>
            <w:noWrap/>
            <w:vAlign w:val="center"/>
            <w:hideMark/>
          </w:tcPr>
          <w:p w14:paraId="139C8C38"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61</w:t>
            </w:r>
          </w:p>
        </w:tc>
      </w:tr>
      <w:tr w:rsidR="004E7F1D" w:rsidRPr="00C46A5F" w14:paraId="20326731" w14:textId="77777777" w:rsidTr="00775156">
        <w:trPr>
          <w:trHeight w:val="812"/>
        </w:trPr>
        <w:tc>
          <w:tcPr>
            <w:tcW w:w="1278" w:type="dxa"/>
            <w:tcBorders>
              <w:top w:val="single" w:sz="8" w:space="0" w:color="auto"/>
              <w:left w:val="nil"/>
              <w:bottom w:val="single" w:sz="8" w:space="0" w:color="FFFFFF" w:themeColor="background1"/>
              <w:right w:val="nil"/>
            </w:tcBorders>
            <w:shd w:val="clear" w:color="000000" w:fill="FFFFFF"/>
          </w:tcPr>
          <w:p w14:paraId="33A39ECF" w14:textId="181BF618" w:rsidR="00056E47" w:rsidRPr="00775156" w:rsidRDefault="00ED69B5"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11</w:t>
            </w:r>
          </w:p>
        </w:tc>
        <w:tc>
          <w:tcPr>
            <w:tcW w:w="1141" w:type="dxa"/>
            <w:tcBorders>
              <w:top w:val="single" w:sz="8" w:space="0" w:color="auto"/>
              <w:left w:val="nil"/>
              <w:bottom w:val="single" w:sz="8" w:space="0" w:color="FFFFFF" w:themeColor="background1"/>
              <w:right w:val="nil"/>
            </w:tcBorders>
            <w:shd w:val="clear" w:color="000000" w:fill="FFFFFF"/>
            <w:hideMark/>
          </w:tcPr>
          <w:p w14:paraId="008B50B5" w14:textId="7B941523" w:rsidR="00056E47" w:rsidRPr="00775156" w:rsidRDefault="00056E47" w:rsidP="00FA2BD9">
            <w:pPr>
              <w:spacing w:after="0" w:line="240" w:lineRule="auto"/>
              <w:rPr>
                <w:rFonts w:eastAsia="Times New Roman" w:cstheme="minorHAnsi"/>
                <w:color w:val="000000"/>
                <w:sz w:val="18"/>
                <w:szCs w:val="18"/>
                <w:lang w:eastAsia="en-GB"/>
              </w:rPr>
            </w:pPr>
            <w:proofErr w:type="spellStart"/>
            <w:r w:rsidRPr="00775156">
              <w:rPr>
                <w:rFonts w:eastAsia="Times New Roman" w:cstheme="minorHAnsi"/>
                <w:color w:val="000000"/>
                <w:sz w:val="18"/>
                <w:szCs w:val="18"/>
                <w:lang w:eastAsia="en-GB"/>
              </w:rPr>
              <w:t>Bohmer</w:t>
            </w:r>
            <w:proofErr w:type="spellEnd"/>
            <w:r w:rsidRPr="00775156">
              <w:rPr>
                <w:rFonts w:eastAsia="Times New Roman" w:cstheme="minorHAnsi"/>
                <w:color w:val="000000"/>
                <w:sz w:val="18"/>
                <w:szCs w:val="18"/>
                <w:lang w:eastAsia="en-GB"/>
              </w:rPr>
              <w:t xml:space="preserve"> et al </w:t>
            </w:r>
            <w:r w:rsidR="00775156">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{"citationItems":[{"id":"ITEM-1","itemData":{"DOI":"10.1016/S1473-3099(20)30314-5","ISBN":"1474-4457\r1473-3099","PMID":"32422201","abstract":"BACKGROUND: In December, 2019, the newly identified severe acute respiratory syndrome coronavirus 2 (SARS-CoV-2) emerged in Wuhan, China, causing COVID-19, a respiratory disease presenting with fever, cough, and often pneumonia. WHO has set the strategic objective to interrupt spread of SARS-CoV-2 worldwide. An outbreak in Bavaria, Germany, starting at the end of January, 2020, provided the opportunity to study transmission events, incubation period, and secondary attack rates. METHODS: A case was defined as a person with SARS-CoV-2 infection confirmed by RT-PCR. Case interviews were done to describe timing of onset and nature of symptoms and to identify and classify contacts as high risk (had cumulative face-to-face contact with a confirmed case for ≥15 min, direct contact with secretions or body fluids of a patient with confirmed COVID-19, or, in the case of health-care workers, had worked within 2 m of a patient with confirmed COVID-19 without personal protective equipment) or low risk (all other contacts). High-risk contacts were ordered to stay at home in quarantine for 14 days and were actively followed up and monitored for symptoms, and low-risk contacts were tested upon self-reporting of symptoms. We defined fever and cough as specific symptoms, and defined a prodromal phase as the presence of non-specific symptoms for at least 1 day before the onset of specific symptoms. Whole genome sequencing was used to confirm epidemiological links and clarify transmission events where contact histories were ambiguous; integration with epidemiological data enabled precise reconstruction of exposure events and incubation periods. Secondary attack rates were calculated as the number of cases divided by the number of contacts, using Fisher's exact test for the 95% CIs. FINDINGS: Patient 0 was a Chinese resident who visited Germany for professional reasons. 16 subsequent cases, often with mild and non-specific symptoms, emerged in four transmission generations. Signature mutations in the viral genome occurred upon foundation of generation 2, as well as in one case pertaining to generation 4. The median incubation period was 4·0 days (IQR 2·3-4·3) and the median serial interval was 4·0 days (3·0-5·0). Transmission events were likely to have occurred presymptomatically for one case (possibly five more), at the day of symptom onset for four cases (possibly five more), and the remainder after the day of symptom onset or unknown. One or two cases resulted from conta…","author":[{"dropping-particle":"","family":"Böhmer","given":"Merle M","non-dropping-particle":"","parse-names":false,"suffix":""},{"dropping-particle":"","family":"Buchholz","given":"Udo","non-dropping-particle":"","parse-names":false,"suffix":""},{"dropping-particle":"","family":"Corman","given":"Victor M","non-dropping-particle":"","parse-names":false,"suffix":""},{"dropping-particle":"","family":"Hoch","given":"Martin","non-dropping-particle":"","parse-names":false,"suffix":""},{"dropping-particle":"","family":"Katz","given":"Katharina","non-dropping-particle":"","parse-names":false,"suffix":""},{"dropping-particle":"V","family":"Marosevic","given":"Durdica","non-dropping-particle":"","parse-names":false,"suffix":""},{"dropping-particle":"","family":"Böhm","given":"Stefanie","non-dropping-particle":"","parse-names":false,"suffix":""},{"dropping-particle":"","family":"Woudenberg","given":"Tom","non-dropping-particle":"","parse-names":false,"suffix":""},{"dropping-particle":"","family":"Ackermann","given":"Nikolaus","non-dropping-particle":"","parse-names":false,"suffix":""},{"dropping-particle":"","family":"Konrad","given":"Regina","non-dropping-particle":"","parse-names":false,"suffix":""},{"dropping-particle":"","family":"Eberle","given":"Ute","non-dropping-particle":"","parse-names":false,"suffix":""},{"dropping-particle":"","family":"Treis","given":"Bianca","non-dropping-particle":"","parse-names":false,"suffix":""},{"dropping-particle":"","family":"Dangel","given":"Alexandra","non-dropping-particle":"","parse-names":false,"suffix":""},{"dropping-particle":"","family":"Bengs","given":"Katja","non-dropping-particle":"","parse-names":false,"suffix":""},{"dropping-particle":"","family":"Fingerle","given":"Volker","non-dropping-particle":"","parse-names":false,"suffix":""},{"dropping-particle":"","family":"Berger","given":"Anja","non-dropping-particle":"","parse-names":false,"suffix":""},{"dropping-particle":"","family":"Hörmansdorfer","given":"Stefan","non-dropping-particle":"","parse-names":false,"suffix":""},{"dropping-particle":"","family":"Ippisch","given":"Siegfried","non-dropping-particle":"","parse-names":false,"suffix":""},{"dropping-particle":"","family":"Wicklein","given":"Bernd","non-dropping-particle":"","parse-names":false,"suffix":""},{"dropping-particle":"","family":"Grahl","given":"Andreas","non-dropping-particle":"","parse-names":false,"suffix":""},{"dropping-particle":"","family":"Pörtner","given":"Kirsten","non-dropping-particle":"","parse-names":false,"suffix":""},{"dropping-particle":"","family":"Muller","given":"Nadine","non-dropping-particle":"","parse-names":false,"suffix":""},{"dropping-particle":"","family":"Zeitlmann","given":"Nadine","non-dropping-particle":"","parse-names":false,"suffix":""},{"dropping-particle":"","family":"Boender","given":"T Sonia","non-dropping-particle":"","parse-names":false,"suffix":""},{"dropping-particle":"","family":"Cai","given":"Wei","non-dropping-particle":"","parse-names":false,"suffix":""},{"dropping-particle":"","family":"Reich","given":"Andreas","non-dropping-particle":"","parse-names":false,"suffix":""},{"dropping-particle":"","family":"An der Heiden","given":"Maria","non-dropping-particle":"","parse-names":false,"suffix":""},{"dropping-particle":"","family":"Rexroth","given":"Ute","non-dropping-particle":"","parse-names":false,"suffix":""},{"dropping-particle":"","family":"Hamouda","given":"Osamah","non-dropping-particle":"","parse-names":false,"suffix":""},{"dropping-particle":"","family":"Schneider","given":"Julia","non-dropping-particle":"","parse-names":false,"suffix":""},{"dropping-particle":"","family":"Veith","given":"Talitha","non-dropping-particle":"","parse-names":false,"suffix":""},{"dropping-particle":"","family":"Mühlemann","given":"Barbara","non-dropping-particle":"","parse-names":false,"suffix":""},{"dropping-particle":"","family":"Wölfel","given":"Roman","non-dropping-particle":"","parse-names":false,"suffix":""},{"dropping-particle":"","family":"Antwerpen","given":"Markus","non-dropping-particle":"","parse-names":false,"suffix":""},{"dropping-particle":"","family":"Walter","given":"Mathias","non-dropping-particle":"","parse-names":false,"suffix":""},{"dropping-particle":"","family":"Protzer","given":"Ulrike","non-dropping-particle":"","parse-names":false,"suffix":""},{"dropping-particle":"","family":"Liebl","given":"Bernhard","non-dropping-particle":"","parse-names":false,"suffix":""},{"dropping-particle":"","family":"Haas","given":"Walter","non-dropping-particle":"","parse-names":false,"suffix":""},{"dropping-particle":"","family":"Sing","given":"Andreas","non-dropping-particle":"","parse-names":false,"suffix":""},{"dropping-particle":"","family":"Drosten","given":"Christian","non-dropping-particle":"","parse-names":false,"suffix":""},{"dropping-particle":"","family":"Zapf","given":"Andreas","non-dropping-particle":"","parse-names":false,"suffix":""}],"container-title":"The Lancet. Infectious diseases","edition":"2020/05/15","id":"ITEM-1","issue":"8","issued":{"date-parts":[["2020"]]},"language":"eng","note":"32422201[pmid]\nPMC7228725[pmcid]\nS1473-3099(20)30314-5[PII]","page":"920-928","publisher":"Elsevier Ltd.","title":"Investigation of a COVID-19 outbreak in Germany resulting from a single travel-associated primary case: a case series","type":"article-journal","volume":"20"},"uris":["http://www.mendeley.com/documents/?uuid=4d8c40b8-ee69-496e-89da-71221888c618"]}],"mendeley":{"formattedCitation":"[25]","plainTextFormattedCitation":"[25]","previouslyFormattedCitation":"[27]"},"properties":{"noteIndex":0},"schema":"https://github.com/citation-style-language/schema/raw/master/csl-citation.json"}</w:instrText>
            </w:r>
            <w:r w:rsidR="00775156">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[25]</w:t>
            </w:r>
            <w:r w:rsidR="00775156">
              <w:rPr>
                <w:rFonts w:eastAsia="Times New Roman" w:cstheme="minorHAnsi"/>
                <w:color w:val="000000"/>
                <w:sz w:val="18"/>
                <w:szCs w:val="18"/>
                <w:lang w:eastAsia="en-GB"/>
              </w:rPr>
              <w:fldChar w:fldCharType="end"/>
            </w:r>
          </w:p>
        </w:tc>
        <w:tc>
          <w:tcPr>
            <w:tcW w:w="1202" w:type="dxa"/>
            <w:tcBorders>
              <w:top w:val="single" w:sz="8" w:space="0" w:color="auto"/>
              <w:left w:val="nil"/>
              <w:bottom w:val="single" w:sz="8" w:space="0" w:color="FFFFFF" w:themeColor="background1"/>
              <w:right w:val="nil"/>
            </w:tcBorders>
            <w:shd w:val="clear" w:color="000000" w:fill="FFFFFF"/>
            <w:hideMark/>
          </w:tcPr>
          <w:p w14:paraId="7BA3DA89" w14:textId="77777777" w:rsidR="00056E47" w:rsidRPr="00775156" w:rsidRDefault="00056E47" w:rsidP="00FA2BD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Bavaria</w:t>
            </w:r>
          </w:p>
        </w:tc>
        <w:tc>
          <w:tcPr>
            <w:tcW w:w="888" w:type="dxa"/>
            <w:tcBorders>
              <w:top w:val="single" w:sz="8" w:space="0" w:color="auto"/>
              <w:left w:val="nil"/>
              <w:bottom w:val="single" w:sz="8" w:space="0" w:color="FFFFFF" w:themeColor="background1"/>
              <w:right w:val="nil"/>
            </w:tcBorders>
            <w:shd w:val="clear" w:color="000000" w:fill="FFFFFF"/>
            <w:hideMark/>
          </w:tcPr>
          <w:p w14:paraId="5803AF1B" w14:textId="77777777" w:rsidR="00056E47" w:rsidRPr="00775156" w:rsidRDefault="00056E47" w:rsidP="00FA2BD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Germany </w:t>
            </w:r>
          </w:p>
        </w:tc>
        <w:tc>
          <w:tcPr>
            <w:tcW w:w="1664" w:type="dxa"/>
            <w:vMerge w:val="restart"/>
            <w:tcBorders>
              <w:top w:val="single" w:sz="8" w:space="0" w:color="auto"/>
              <w:left w:val="nil"/>
              <w:right w:val="nil"/>
            </w:tcBorders>
            <w:shd w:val="clear" w:color="000000" w:fill="FFFFFF"/>
            <w:hideMark/>
          </w:tcPr>
          <w:p w14:paraId="2061956C" w14:textId="77777777" w:rsidR="00056E47" w:rsidRPr="00775156" w:rsidRDefault="00056E47" w:rsidP="00FA2BD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Outbreak investigation and contact tracing </w:t>
            </w:r>
          </w:p>
        </w:tc>
        <w:tc>
          <w:tcPr>
            <w:tcW w:w="3684" w:type="dxa"/>
            <w:tcBorders>
              <w:top w:val="nil"/>
              <w:left w:val="nil"/>
              <w:bottom w:val="single" w:sz="8" w:space="0" w:color="auto"/>
              <w:right w:val="nil"/>
            </w:tcBorders>
            <w:shd w:val="clear" w:color="000000" w:fill="FFFFFF"/>
            <w:vAlign w:val="center"/>
            <w:hideMark/>
          </w:tcPr>
          <w:p w14:paraId="5AAE1850" w14:textId="77777777" w:rsidR="00056E47" w:rsidRPr="00775156" w:rsidRDefault="00056E47" w:rsidP="00E24C59">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Family and Friends:</w:t>
            </w:r>
            <w:r w:rsidRPr="00775156">
              <w:rPr>
                <w:rFonts w:eastAsia="Times New Roman" w:cstheme="minorHAnsi"/>
                <w:color w:val="000000"/>
                <w:sz w:val="18"/>
                <w:szCs w:val="18"/>
                <w:lang w:eastAsia="en-GB"/>
              </w:rPr>
              <w:t xml:space="preserve"> Family and friends having face-to-face contact with confirmed case for at least 15 minutes</w:t>
            </w:r>
            <w:r w:rsidRPr="00775156">
              <w:rPr>
                <w:rFonts w:eastAsia="Times New Roman" w:cstheme="minorHAnsi"/>
                <w:color w:val="000000"/>
                <w:sz w:val="18"/>
                <w:szCs w:val="18"/>
                <w:u w:val="single"/>
                <w:lang w:eastAsia="en-GB"/>
              </w:rPr>
              <w:t xml:space="preserve"> </w:t>
            </w:r>
          </w:p>
        </w:tc>
        <w:tc>
          <w:tcPr>
            <w:tcW w:w="1182" w:type="dxa"/>
            <w:tcBorders>
              <w:top w:val="nil"/>
              <w:left w:val="nil"/>
              <w:bottom w:val="single" w:sz="8" w:space="0" w:color="auto"/>
              <w:right w:val="nil"/>
            </w:tcBorders>
            <w:shd w:val="clear" w:color="000000" w:fill="FFFFFF"/>
            <w:noWrap/>
            <w:vAlign w:val="center"/>
            <w:hideMark/>
          </w:tcPr>
          <w:p w14:paraId="63E7AB39"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noWrap/>
            <w:vAlign w:val="center"/>
            <w:hideMark/>
          </w:tcPr>
          <w:p w14:paraId="49A094B4"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noWrap/>
            <w:vAlign w:val="center"/>
            <w:hideMark/>
          </w:tcPr>
          <w:p w14:paraId="3075A5EB"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16</w:t>
            </w:r>
          </w:p>
        </w:tc>
        <w:tc>
          <w:tcPr>
            <w:tcW w:w="993" w:type="dxa"/>
            <w:tcBorders>
              <w:top w:val="nil"/>
              <w:left w:val="nil"/>
              <w:bottom w:val="single" w:sz="8" w:space="0" w:color="auto"/>
              <w:right w:val="nil"/>
            </w:tcBorders>
            <w:shd w:val="clear" w:color="000000" w:fill="FFFFFF"/>
            <w:noWrap/>
            <w:vAlign w:val="center"/>
            <w:hideMark/>
          </w:tcPr>
          <w:p w14:paraId="2C6AEAC2"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217</w:t>
            </w:r>
          </w:p>
        </w:tc>
        <w:tc>
          <w:tcPr>
            <w:tcW w:w="1134" w:type="dxa"/>
            <w:tcBorders>
              <w:top w:val="nil"/>
              <w:left w:val="nil"/>
              <w:bottom w:val="single" w:sz="8" w:space="0" w:color="auto"/>
              <w:right w:val="nil"/>
            </w:tcBorders>
            <w:shd w:val="clear" w:color="000000" w:fill="FFFFFF"/>
            <w:noWrap/>
            <w:vAlign w:val="center"/>
            <w:hideMark/>
          </w:tcPr>
          <w:p w14:paraId="1CBCEBC5"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217</w:t>
            </w:r>
          </w:p>
        </w:tc>
        <w:tc>
          <w:tcPr>
            <w:tcW w:w="992" w:type="dxa"/>
            <w:tcBorders>
              <w:top w:val="nil"/>
              <w:left w:val="nil"/>
              <w:bottom w:val="single" w:sz="8" w:space="0" w:color="auto"/>
              <w:right w:val="nil"/>
            </w:tcBorders>
            <w:shd w:val="clear" w:color="000000" w:fill="FFFFFF"/>
            <w:noWrap/>
            <w:vAlign w:val="center"/>
            <w:hideMark/>
          </w:tcPr>
          <w:p w14:paraId="16ADAF7F"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11</w:t>
            </w:r>
          </w:p>
        </w:tc>
      </w:tr>
      <w:tr w:rsidR="004E7F1D" w:rsidRPr="00C46A5F" w14:paraId="5C506740" w14:textId="77777777" w:rsidTr="00775156">
        <w:trPr>
          <w:trHeight w:val="386"/>
        </w:trPr>
        <w:tc>
          <w:tcPr>
            <w:tcW w:w="1278" w:type="dxa"/>
            <w:tcBorders>
              <w:top w:val="single" w:sz="8" w:space="0" w:color="FFFFFF" w:themeColor="background1"/>
              <w:left w:val="nil"/>
              <w:bottom w:val="single" w:sz="8" w:space="0" w:color="auto"/>
              <w:right w:val="nil"/>
            </w:tcBorders>
            <w:shd w:val="clear" w:color="000000" w:fill="FFFFFF"/>
            <w:vAlign w:val="center"/>
          </w:tcPr>
          <w:p w14:paraId="1AE28395"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single" w:sz="8" w:space="0" w:color="FFFFFF" w:themeColor="background1"/>
              <w:left w:val="nil"/>
              <w:bottom w:val="single" w:sz="8" w:space="0" w:color="auto"/>
              <w:right w:val="nil"/>
            </w:tcBorders>
            <w:shd w:val="clear" w:color="000000" w:fill="FFFFFF"/>
            <w:vAlign w:val="center"/>
          </w:tcPr>
          <w:p w14:paraId="48AD844A" w14:textId="2362A862" w:rsidR="00056E47" w:rsidRPr="00775156" w:rsidRDefault="00056E47" w:rsidP="00E24C59">
            <w:pPr>
              <w:spacing w:after="0" w:line="240" w:lineRule="auto"/>
              <w:rPr>
                <w:rFonts w:eastAsia="Times New Roman" w:cstheme="minorHAnsi"/>
                <w:color w:val="000000"/>
                <w:sz w:val="18"/>
                <w:szCs w:val="18"/>
                <w:lang w:eastAsia="en-GB"/>
              </w:rPr>
            </w:pPr>
          </w:p>
        </w:tc>
        <w:tc>
          <w:tcPr>
            <w:tcW w:w="1202" w:type="dxa"/>
            <w:tcBorders>
              <w:top w:val="single" w:sz="8" w:space="0" w:color="FFFFFF" w:themeColor="background1"/>
              <w:left w:val="nil"/>
              <w:bottom w:val="single" w:sz="8" w:space="0" w:color="auto"/>
              <w:right w:val="nil"/>
            </w:tcBorders>
            <w:shd w:val="clear" w:color="000000" w:fill="FFFFFF"/>
            <w:vAlign w:val="center"/>
          </w:tcPr>
          <w:p w14:paraId="43B8DB48" w14:textId="3E699F00" w:rsidR="00056E47" w:rsidRPr="00775156" w:rsidRDefault="00056E47" w:rsidP="00E24C59">
            <w:pPr>
              <w:spacing w:after="0" w:line="240" w:lineRule="auto"/>
              <w:rPr>
                <w:rFonts w:eastAsia="Times New Roman" w:cstheme="minorHAnsi"/>
                <w:color w:val="000000"/>
                <w:sz w:val="18"/>
                <w:szCs w:val="18"/>
                <w:lang w:eastAsia="en-GB"/>
              </w:rPr>
            </w:pPr>
          </w:p>
        </w:tc>
        <w:tc>
          <w:tcPr>
            <w:tcW w:w="888" w:type="dxa"/>
            <w:tcBorders>
              <w:top w:val="single" w:sz="8" w:space="0" w:color="FFFFFF" w:themeColor="background1"/>
              <w:left w:val="nil"/>
              <w:bottom w:val="single" w:sz="8" w:space="0" w:color="auto"/>
              <w:right w:val="nil"/>
            </w:tcBorders>
            <w:shd w:val="clear" w:color="000000" w:fill="FFFFFF"/>
            <w:vAlign w:val="center"/>
          </w:tcPr>
          <w:p w14:paraId="25C12F2D" w14:textId="1B3E41A9" w:rsidR="00056E47" w:rsidRPr="00775156" w:rsidRDefault="00056E47" w:rsidP="00E24C59">
            <w:pPr>
              <w:spacing w:after="0" w:line="240" w:lineRule="auto"/>
              <w:rPr>
                <w:rFonts w:eastAsia="Times New Roman" w:cstheme="minorHAnsi"/>
                <w:color w:val="000000"/>
                <w:sz w:val="18"/>
                <w:szCs w:val="18"/>
                <w:lang w:eastAsia="en-GB"/>
              </w:rPr>
            </w:pPr>
          </w:p>
        </w:tc>
        <w:tc>
          <w:tcPr>
            <w:tcW w:w="1664" w:type="dxa"/>
            <w:vMerge/>
            <w:tcBorders>
              <w:left w:val="nil"/>
              <w:bottom w:val="single" w:sz="8" w:space="0" w:color="auto"/>
              <w:right w:val="nil"/>
            </w:tcBorders>
            <w:shd w:val="clear" w:color="000000" w:fill="FFFFFF"/>
            <w:vAlign w:val="center"/>
          </w:tcPr>
          <w:p w14:paraId="7F3B98E7" w14:textId="62CE3118" w:rsidR="00056E47" w:rsidRPr="00775156" w:rsidRDefault="00056E47" w:rsidP="00E24C59">
            <w:pPr>
              <w:spacing w:after="0" w:line="240" w:lineRule="auto"/>
              <w:rPr>
                <w:rFonts w:eastAsia="Times New Roman" w:cstheme="minorHAnsi"/>
                <w:color w:val="000000"/>
                <w:sz w:val="18"/>
                <w:szCs w:val="18"/>
                <w:lang w:eastAsia="en-GB"/>
              </w:rPr>
            </w:pPr>
          </w:p>
        </w:tc>
        <w:tc>
          <w:tcPr>
            <w:tcW w:w="3684" w:type="dxa"/>
            <w:tcBorders>
              <w:top w:val="single" w:sz="8" w:space="0" w:color="auto"/>
              <w:left w:val="nil"/>
              <w:bottom w:val="single" w:sz="8" w:space="0" w:color="auto"/>
              <w:right w:val="nil"/>
            </w:tcBorders>
            <w:shd w:val="clear" w:color="000000" w:fill="FFFFFF"/>
            <w:vAlign w:val="center"/>
            <w:hideMark/>
          </w:tcPr>
          <w:p w14:paraId="2C65C1AB" w14:textId="77777777"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"Low-risk" casual contacts</w:t>
            </w:r>
          </w:p>
        </w:tc>
        <w:tc>
          <w:tcPr>
            <w:tcW w:w="1182" w:type="dxa"/>
            <w:tcBorders>
              <w:top w:val="single" w:sz="8" w:space="0" w:color="auto"/>
              <w:left w:val="nil"/>
              <w:bottom w:val="single" w:sz="8" w:space="0" w:color="auto"/>
              <w:right w:val="nil"/>
            </w:tcBorders>
            <w:shd w:val="clear" w:color="000000" w:fill="FFFFFF"/>
            <w:noWrap/>
            <w:vAlign w:val="center"/>
            <w:hideMark/>
          </w:tcPr>
          <w:p w14:paraId="56C37863"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Symptomatic</w:t>
            </w:r>
          </w:p>
        </w:tc>
        <w:tc>
          <w:tcPr>
            <w:tcW w:w="992" w:type="dxa"/>
            <w:tcBorders>
              <w:top w:val="single" w:sz="8" w:space="0" w:color="auto"/>
              <w:left w:val="nil"/>
              <w:bottom w:val="single" w:sz="8" w:space="0" w:color="auto"/>
              <w:right w:val="nil"/>
            </w:tcBorders>
            <w:shd w:val="clear" w:color="000000" w:fill="FFFFFF"/>
            <w:noWrap/>
            <w:vAlign w:val="center"/>
            <w:hideMark/>
          </w:tcPr>
          <w:p w14:paraId="23EE61CE" w14:textId="3043B4E4" w:rsidR="00056E47" w:rsidRPr="00775156" w:rsidRDefault="00775156" w:rsidP="00540114">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noWrap/>
            <w:vAlign w:val="center"/>
            <w:hideMark/>
          </w:tcPr>
          <w:p w14:paraId="0B2AEEA3"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16 </w:t>
            </w:r>
          </w:p>
        </w:tc>
        <w:tc>
          <w:tcPr>
            <w:tcW w:w="993" w:type="dxa"/>
            <w:tcBorders>
              <w:top w:val="single" w:sz="8" w:space="0" w:color="auto"/>
              <w:left w:val="nil"/>
              <w:bottom w:val="single" w:sz="8" w:space="0" w:color="auto"/>
              <w:right w:val="nil"/>
            </w:tcBorders>
            <w:shd w:val="clear" w:color="000000" w:fill="FFFFFF"/>
            <w:noWrap/>
            <w:vAlign w:val="center"/>
            <w:hideMark/>
          </w:tcPr>
          <w:p w14:paraId="09118BAE"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108</w:t>
            </w:r>
          </w:p>
        </w:tc>
        <w:tc>
          <w:tcPr>
            <w:tcW w:w="1134" w:type="dxa"/>
            <w:tcBorders>
              <w:top w:val="single" w:sz="8" w:space="0" w:color="auto"/>
              <w:left w:val="nil"/>
              <w:bottom w:val="single" w:sz="8" w:space="0" w:color="auto"/>
              <w:right w:val="nil"/>
            </w:tcBorders>
            <w:shd w:val="clear" w:color="000000" w:fill="FFFFFF"/>
            <w:noWrap/>
            <w:vAlign w:val="center"/>
            <w:hideMark/>
          </w:tcPr>
          <w:p w14:paraId="012848FD"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0</w:t>
            </w:r>
          </w:p>
        </w:tc>
        <w:tc>
          <w:tcPr>
            <w:tcW w:w="992" w:type="dxa"/>
            <w:tcBorders>
              <w:top w:val="single" w:sz="8" w:space="0" w:color="auto"/>
              <w:left w:val="nil"/>
              <w:bottom w:val="single" w:sz="8" w:space="0" w:color="auto"/>
              <w:right w:val="nil"/>
            </w:tcBorders>
            <w:shd w:val="clear" w:color="000000" w:fill="FFFFFF"/>
            <w:noWrap/>
            <w:vAlign w:val="center"/>
            <w:hideMark/>
          </w:tcPr>
          <w:p w14:paraId="0184BCEC"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0</w:t>
            </w:r>
          </w:p>
        </w:tc>
      </w:tr>
      <w:tr w:rsidR="004E7F1D" w:rsidRPr="00C46A5F" w14:paraId="743824C8" w14:textId="77777777" w:rsidTr="00360185">
        <w:trPr>
          <w:trHeight w:val="472"/>
        </w:trPr>
        <w:tc>
          <w:tcPr>
            <w:tcW w:w="1278" w:type="dxa"/>
            <w:tcBorders>
              <w:top w:val="single" w:sz="8" w:space="0" w:color="auto"/>
              <w:left w:val="nil"/>
              <w:bottom w:val="nil"/>
              <w:right w:val="nil"/>
            </w:tcBorders>
            <w:shd w:val="clear" w:color="000000" w:fill="FFFFFF"/>
            <w:vAlign w:val="center"/>
          </w:tcPr>
          <w:p w14:paraId="7035DFAF" w14:textId="695986C4" w:rsidR="00056E47" w:rsidRPr="00775156" w:rsidRDefault="00646A5E"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31</w:t>
            </w:r>
          </w:p>
        </w:tc>
        <w:tc>
          <w:tcPr>
            <w:tcW w:w="1141" w:type="dxa"/>
            <w:tcBorders>
              <w:top w:val="single" w:sz="8" w:space="0" w:color="auto"/>
              <w:left w:val="nil"/>
              <w:bottom w:val="nil"/>
              <w:right w:val="nil"/>
            </w:tcBorders>
            <w:shd w:val="clear" w:color="000000" w:fill="FFFFFF"/>
            <w:vAlign w:val="center"/>
            <w:hideMark/>
          </w:tcPr>
          <w:p w14:paraId="1395EC76" w14:textId="03437362"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Chaw et al </w:t>
            </w:r>
            <w:r w:rsidR="00775156">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rsidR="00775156">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[18]</w:t>
            </w:r>
            <w:r w:rsidR="00775156">
              <w:rPr>
                <w:rFonts w:eastAsia="Times New Roman" w:cstheme="minorHAnsi"/>
                <w:color w:val="000000"/>
                <w:sz w:val="18"/>
                <w:szCs w:val="18"/>
                <w:lang w:eastAsia="en-GB"/>
              </w:rPr>
              <w:fldChar w:fldCharType="end"/>
            </w:r>
          </w:p>
        </w:tc>
        <w:tc>
          <w:tcPr>
            <w:tcW w:w="1202" w:type="dxa"/>
            <w:tcBorders>
              <w:top w:val="single" w:sz="8" w:space="0" w:color="auto"/>
              <w:left w:val="nil"/>
              <w:bottom w:val="nil"/>
              <w:right w:val="nil"/>
            </w:tcBorders>
            <w:shd w:val="clear" w:color="000000" w:fill="FFFFFF"/>
            <w:vAlign w:val="center"/>
            <w:hideMark/>
          </w:tcPr>
          <w:p w14:paraId="799D2CCD" w14:textId="77777777"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888" w:type="dxa"/>
            <w:tcBorders>
              <w:top w:val="single" w:sz="8" w:space="0" w:color="auto"/>
              <w:left w:val="nil"/>
              <w:bottom w:val="nil"/>
              <w:right w:val="nil"/>
            </w:tcBorders>
            <w:shd w:val="clear" w:color="000000" w:fill="FFFFFF"/>
            <w:vAlign w:val="center"/>
            <w:hideMark/>
          </w:tcPr>
          <w:p w14:paraId="1DCCAEAF" w14:textId="77777777"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Brunei </w:t>
            </w:r>
          </w:p>
        </w:tc>
        <w:tc>
          <w:tcPr>
            <w:tcW w:w="1664" w:type="dxa"/>
            <w:vMerge w:val="restart"/>
            <w:tcBorders>
              <w:top w:val="single" w:sz="8" w:space="0" w:color="auto"/>
              <w:left w:val="nil"/>
              <w:right w:val="nil"/>
            </w:tcBorders>
            <w:shd w:val="clear" w:color="000000" w:fill="FFFFFF"/>
            <w:hideMark/>
          </w:tcPr>
          <w:p w14:paraId="50562CF1" w14:textId="77777777" w:rsidR="00056E47" w:rsidRPr="00775156" w:rsidRDefault="00056E47" w:rsidP="00C46A5F">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Cluster investigation and contact tracing</w:t>
            </w:r>
          </w:p>
        </w:tc>
        <w:tc>
          <w:tcPr>
            <w:tcW w:w="3684" w:type="dxa"/>
            <w:tcBorders>
              <w:top w:val="single" w:sz="8" w:space="0" w:color="auto"/>
              <w:left w:val="nil"/>
              <w:bottom w:val="single" w:sz="8" w:space="0" w:color="auto"/>
              <w:right w:val="nil"/>
            </w:tcBorders>
            <w:shd w:val="clear" w:color="000000" w:fill="FFFFFF"/>
            <w:vAlign w:val="center"/>
            <w:hideMark/>
          </w:tcPr>
          <w:p w14:paraId="1506EA54" w14:textId="77777777" w:rsidR="00056E47" w:rsidRPr="00775156" w:rsidRDefault="00056E47" w:rsidP="00E24C59">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Family and Friends:</w:t>
            </w:r>
            <w:r w:rsidRPr="00775156">
              <w:rPr>
                <w:rFonts w:eastAsia="Times New Roman" w:cstheme="minorHAnsi"/>
                <w:color w:val="000000"/>
                <w:sz w:val="18"/>
                <w:szCs w:val="18"/>
                <w:lang w:eastAsia="en-GB"/>
              </w:rPr>
              <w:t xml:space="preserve"> Relatives living outside the household of an index case</w:t>
            </w:r>
          </w:p>
        </w:tc>
        <w:tc>
          <w:tcPr>
            <w:tcW w:w="1182" w:type="dxa"/>
            <w:tcBorders>
              <w:top w:val="nil"/>
              <w:left w:val="nil"/>
              <w:bottom w:val="single" w:sz="8" w:space="0" w:color="auto"/>
              <w:right w:val="nil"/>
            </w:tcBorders>
            <w:shd w:val="clear" w:color="000000" w:fill="FFFFFF"/>
            <w:noWrap/>
            <w:vAlign w:val="center"/>
            <w:hideMark/>
          </w:tcPr>
          <w:p w14:paraId="455844A6"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noWrap/>
            <w:vAlign w:val="center"/>
            <w:hideMark/>
          </w:tcPr>
          <w:p w14:paraId="664E6D9E"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noWrap/>
            <w:vAlign w:val="center"/>
            <w:hideMark/>
          </w:tcPr>
          <w:p w14:paraId="69D03404"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19</w:t>
            </w:r>
          </w:p>
        </w:tc>
        <w:tc>
          <w:tcPr>
            <w:tcW w:w="993" w:type="dxa"/>
            <w:tcBorders>
              <w:top w:val="nil"/>
              <w:left w:val="nil"/>
              <w:bottom w:val="single" w:sz="8" w:space="0" w:color="auto"/>
              <w:right w:val="nil"/>
            </w:tcBorders>
            <w:shd w:val="clear" w:color="000000" w:fill="FFFFFF"/>
            <w:vAlign w:val="center"/>
            <w:hideMark/>
          </w:tcPr>
          <w:p w14:paraId="736873B0"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144</w:t>
            </w:r>
          </w:p>
        </w:tc>
        <w:tc>
          <w:tcPr>
            <w:tcW w:w="1134" w:type="dxa"/>
            <w:tcBorders>
              <w:top w:val="nil"/>
              <w:left w:val="nil"/>
              <w:bottom w:val="single" w:sz="8" w:space="0" w:color="auto"/>
              <w:right w:val="nil"/>
            </w:tcBorders>
            <w:shd w:val="clear" w:color="000000" w:fill="FFFFFF"/>
            <w:vAlign w:val="center"/>
            <w:hideMark/>
          </w:tcPr>
          <w:p w14:paraId="092B18E8"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144</w:t>
            </w:r>
          </w:p>
        </w:tc>
        <w:tc>
          <w:tcPr>
            <w:tcW w:w="992" w:type="dxa"/>
            <w:tcBorders>
              <w:top w:val="nil"/>
              <w:left w:val="nil"/>
              <w:bottom w:val="single" w:sz="8" w:space="0" w:color="auto"/>
              <w:right w:val="nil"/>
            </w:tcBorders>
            <w:shd w:val="clear" w:color="000000" w:fill="FFFFFF"/>
            <w:vAlign w:val="center"/>
            <w:hideMark/>
          </w:tcPr>
          <w:p w14:paraId="55673A65"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w:t>
            </w:r>
          </w:p>
        </w:tc>
      </w:tr>
      <w:tr w:rsidR="004E7F1D" w:rsidRPr="00C46A5F" w14:paraId="0BA16902" w14:textId="77777777" w:rsidTr="00360185">
        <w:trPr>
          <w:trHeight w:val="566"/>
        </w:trPr>
        <w:tc>
          <w:tcPr>
            <w:tcW w:w="1278" w:type="dxa"/>
            <w:tcBorders>
              <w:top w:val="nil"/>
              <w:left w:val="nil"/>
              <w:bottom w:val="nil"/>
              <w:right w:val="nil"/>
            </w:tcBorders>
            <w:shd w:val="clear" w:color="000000" w:fill="FFFFFF"/>
            <w:vAlign w:val="center"/>
          </w:tcPr>
          <w:p w14:paraId="13ACEDC9"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nil"/>
              <w:left w:val="nil"/>
              <w:bottom w:val="nil"/>
              <w:right w:val="nil"/>
            </w:tcBorders>
            <w:shd w:val="clear" w:color="000000" w:fill="FFFFFF"/>
            <w:vAlign w:val="center"/>
          </w:tcPr>
          <w:p w14:paraId="28E802AC" w14:textId="0C96E3C6" w:rsidR="00056E47" w:rsidRPr="00775156" w:rsidRDefault="00056E47" w:rsidP="00E24C59">
            <w:pPr>
              <w:spacing w:after="0" w:line="240" w:lineRule="auto"/>
              <w:rPr>
                <w:rFonts w:eastAsia="Times New Roman" w:cstheme="minorHAnsi"/>
                <w:color w:val="000000"/>
                <w:sz w:val="18"/>
                <w:szCs w:val="18"/>
                <w:lang w:eastAsia="en-GB"/>
              </w:rPr>
            </w:pPr>
          </w:p>
        </w:tc>
        <w:tc>
          <w:tcPr>
            <w:tcW w:w="1202" w:type="dxa"/>
            <w:tcBorders>
              <w:top w:val="nil"/>
              <w:left w:val="nil"/>
              <w:bottom w:val="nil"/>
              <w:right w:val="nil"/>
            </w:tcBorders>
            <w:shd w:val="clear" w:color="000000" w:fill="FFFFFF"/>
            <w:vAlign w:val="center"/>
          </w:tcPr>
          <w:p w14:paraId="67BB3741" w14:textId="3A0B21D9" w:rsidR="00056E47" w:rsidRPr="00775156" w:rsidRDefault="00056E47" w:rsidP="00E24C59">
            <w:pPr>
              <w:spacing w:after="0" w:line="240" w:lineRule="auto"/>
              <w:rPr>
                <w:rFonts w:eastAsia="Times New Roman" w:cstheme="minorHAnsi"/>
                <w:color w:val="000000"/>
                <w:sz w:val="18"/>
                <w:szCs w:val="18"/>
                <w:lang w:eastAsia="en-GB"/>
              </w:rPr>
            </w:pPr>
          </w:p>
        </w:tc>
        <w:tc>
          <w:tcPr>
            <w:tcW w:w="888" w:type="dxa"/>
            <w:tcBorders>
              <w:top w:val="nil"/>
              <w:left w:val="nil"/>
              <w:bottom w:val="nil"/>
              <w:right w:val="nil"/>
            </w:tcBorders>
            <w:shd w:val="clear" w:color="000000" w:fill="FFFFFF"/>
            <w:vAlign w:val="center"/>
          </w:tcPr>
          <w:p w14:paraId="1443B05A" w14:textId="44B049C7" w:rsidR="00056E47" w:rsidRPr="00775156" w:rsidRDefault="00056E47" w:rsidP="00E24C59">
            <w:pPr>
              <w:spacing w:after="0" w:line="240" w:lineRule="auto"/>
              <w:rPr>
                <w:rFonts w:eastAsia="Times New Roman" w:cstheme="minorHAnsi"/>
                <w:color w:val="000000"/>
                <w:sz w:val="18"/>
                <w:szCs w:val="18"/>
                <w:lang w:eastAsia="en-GB"/>
              </w:rPr>
            </w:pPr>
          </w:p>
        </w:tc>
        <w:tc>
          <w:tcPr>
            <w:tcW w:w="1664" w:type="dxa"/>
            <w:vMerge/>
            <w:tcBorders>
              <w:left w:val="nil"/>
              <w:right w:val="nil"/>
            </w:tcBorders>
            <w:shd w:val="clear" w:color="000000" w:fill="FFFFFF"/>
            <w:vAlign w:val="center"/>
          </w:tcPr>
          <w:p w14:paraId="03D12A37" w14:textId="7341F711" w:rsidR="00056E47" w:rsidRPr="00775156" w:rsidRDefault="00056E47" w:rsidP="00E24C59">
            <w:pPr>
              <w:spacing w:after="0" w:line="240" w:lineRule="auto"/>
              <w:rPr>
                <w:rFonts w:eastAsia="Times New Roman" w:cstheme="minorHAnsi"/>
                <w:color w:val="000000"/>
                <w:sz w:val="18"/>
                <w:szCs w:val="18"/>
                <w:lang w:eastAsia="en-GB"/>
              </w:rPr>
            </w:pPr>
          </w:p>
        </w:tc>
        <w:tc>
          <w:tcPr>
            <w:tcW w:w="3684" w:type="dxa"/>
            <w:tcBorders>
              <w:top w:val="nil"/>
              <w:left w:val="nil"/>
              <w:bottom w:val="single" w:sz="8" w:space="0" w:color="auto"/>
              <w:right w:val="nil"/>
            </w:tcBorders>
            <w:shd w:val="clear" w:color="000000" w:fill="FFFFFF"/>
            <w:vAlign w:val="center"/>
            <w:hideMark/>
          </w:tcPr>
          <w:p w14:paraId="0A4D3855" w14:textId="77777777" w:rsidR="00056E47" w:rsidRPr="00775156" w:rsidRDefault="00056E47" w:rsidP="00E24C59">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Religious Event:</w:t>
            </w:r>
            <w:r w:rsidRPr="00775156">
              <w:rPr>
                <w:rFonts w:eastAsia="Times New Roman" w:cstheme="minorHAnsi"/>
                <w:color w:val="000000"/>
                <w:sz w:val="18"/>
                <w:szCs w:val="18"/>
                <w:lang w:eastAsia="en-GB"/>
              </w:rPr>
              <w:t xml:space="preserve"> Those who attended a local religious event in Brunei on March 5</w:t>
            </w:r>
          </w:p>
        </w:tc>
        <w:tc>
          <w:tcPr>
            <w:tcW w:w="1182" w:type="dxa"/>
            <w:tcBorders>
              <w:top w:val="nil"/>
              <w:left w:val="nil"/>
              <w:bottom w:val="single" w:sz="8" w:space="0" w:color="auto"/>
              <w:right w:val="nil"/>
            </w:tcBorders>
            <w:shd w:val="clear" w:color="000000" w:fill="FFFFFF"/>
            <w:noWrap/>
            <w:vAlign w:val="center"/>
            <w:hideMark/>
          </w:tcPr>
          <w:p w14:paraId="4F76B8C5"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noWrap/>
            <w:vAlign w:val="center"/>
            <w:hideMark/>
          </w:tcPr>
          <w:p w14:paraId="189B37A2"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noWrap/>
            <w:vAlign w:val="center"/>
            <w:hideMark/>
          </w:tcPr>
          <w:p w14:paraId="15B20211"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19</w:t>
            </w:r>
          </w:p>
        </w:tc>
        <w:tc>
          <w:tcPr>
            <w:tcW w:w="993" w:type="dxa"/>
            <w:tcBorders>
              <w:top w:val="nil"/>
              <w:left w:val="nil"/>
              <w:bottom w:val="single" w:sz="8" w:space="0" w:color="auto"/>
              <w:right w:val="nil"/>
            </w:tcBorders>
            <w:shd w:val="clear" w:color="000000" w:fill="FFFFFF"/>
            <w:noWrap/>
            <w:vAlign w:val="center"/>
            <w:hideMark/>
          </w:tcPr>
          <w:p w14:paraId="69061333"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54</w:t>
            </w:r>
          </w:p>
        </w:tc>
        <w:tc>
          <w:tcPr>
            <w:tcW w:w="1134" w:type="dxa"/>
            <w:tcBorders>
              <w:top w:val="nil"/>
              <w:left w:val="nil"/>
              <w:bottom w:val="single" w:sz="8" w:space="0" w:color="auto"/>
              <w:right w:val="nil"/>
            </w:tcBorders>
            <w:shd w:val="clear" w:color="000000" w:fill="FFFFFF"/>
            <w:noWrap/>
            <w:vAlign w:val="center"/>
            <w:hideMark/>
          </w:tcPr>
          <w:p w14:paraId="291B813E"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54</w:t>
            </w:r>
          </w:p>
        </w:tc>
        <w:tc>
          <w:tcPr>
            <w:tcW w:w="992" w:type="dxa"/>
            <w:tcBorders>
              <w:top w:val="nil"/>
              <w:left w:val="nil"/>
              <w:bottom w:val="single" w:sz="8" w:space="0" w:color="auto"/>
              <w:right w:val="nil"/>
            </w:tcBorders>
            <w:shd w:val="clear" w:color="000000" w:fill="FFFFFF"/>
            <w:noWrap/>
            <w:vAlign w:val="center"/>
            <w:hideMark/>
          </w:tcPr>
          <w:p w14:paraId="1F39E8B7"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8</w:t>
            </w:r>
          </w:p>
        </w:tc>
      </w:tr>
      <w:tr w:rsidR="004E7F1D" w:rsidRPr="00C46A5F" w14:paraId="49231669" w14:textId="77777777" w:rsidTr="00775156">
        <w:trPr>
          <w:trHeight w:val="548"/>
        </w:trPr>
        <w:tc>
          <w:tcPr>
            <w:tcW w:w="1278" w:type="dxa"/>
            <w:tcBorders>
              <w:top w:val="nil"/>
              <w:left w:val="nil"/>
              <w:bottom w:val="single" w:sz="8" w:space="0" w:color="auto"/>
              <w:right w:val="nil"/>
            </w:tcBorders>
            <w:shd w:val="clear" w:color="000000" w:fill="FFFFFF"/>
            <w:vAlign w:val="center"/>
          </w:tcPr>
          <w:p w14:paraId="0FBC8C9B"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nil"/>
              <w:left w:val="nil"/>
              <w:bottom w:val="single" w:sz="8" w:space="0" w:color="auto"/>
              <w:right w:val="nil"/>
            </w:tcBorders>
            <w:shd w:val="clear" w:color="000000" w:fill="FFFFFF"/>
            <w:vAlign w:val="center"/>
          </w:tcPr>
          <w:p w14:paraId="4A4631DD" w14:textId="5CC86AF8" w:rsidR="00056E47" w:rsidRPr="00775156" w:rsidRDefault="00056E47" w:rsidP="00E24C59">
            <w:pPr>
              <w:spacing w:after="0" w:line="240" w:lineRule="auto"/>
              <w:rPr>
                <w:rFonts w:eastAsia="Times New Roman" w:cstheme="minorHAnsi"/>
                <w:color w:val="000000"/>
                <w:sz w:val="18"/>
                <w:szCs w:val="18"/>
                <w:lang w:eastAsia="en-GB"/>
              </w:rPr>
            </w:pPr>
          </w:p>
        </w:tc>
        <w:tc>
          <w:tcPr>
            <w:tcW w:w="1202" w:type="dxa"/>
            <w:tcBorders>
              <w:top w:val="nil"/>
              <w:left w:val="nil"/>
              <w:bottom w:val="single" w:sz="8" w:space="0" w:color="auto"/>
              <w:right w:val="nil"/>
            </w:tcBorders>
            <w:shd w:val="clear" w:color="000000" w:fill="FFFFFF"/>
            <w:vAlign w:val="center"/>
          </w:tcPr>
          <w:p w14:paraId="01F3D7B6" w14:textId="21507A2F" w:rsidR="00056E47" w:rsidRPr="00775156" w:rsidRDefault="00056E47" w:rsidP="00E24C59">
            <w:pPr>
              <w:spacing w:after="0" w:line="240" w:lineRule="auto"/>
              <w:rPr>
                <w:rFonts w:eastAsia="Times New Roman" w:cstheme="minorHAnsi"/>
                <w:color w:val="000000"/>
                <w:sz w:val="18"/>
                <w:szCs w:val="18"/>
                <w:lang w:eastAsia="en-GB"/>
              </w:rPr>
            </w:pPr>
          </w:p>
        </w:tc>
        <w:tc>
          <w:tcPr>
            <w:tcW w:w="888" w:type="dxa"/>
            <w:tcBorders>
              <w:top w:val="nil"/>
              <w:left w:val="nil"/>
              <w:bottom w:val="single" w:sz="8" w:space="0" w:color="auto"/>
              <w:right w:val="nil"/>
            </w:tcBorders>
            <w:shd w:val="clear" w:color="000000" w:fill="FFFFFF"/>
            <w:vAlign w:val="center"/>
          </w:tcPr>
          <w:p w14:paraId="02A70E3A" w14:textId="2CFDD7E7" w:rsidR="00056E47" w:rsidRPr="00775156" w:rsidRDefault="00056E47" w:rsidP="00E24C59">
            <w:pPr>
              <w:spacing w:after="0" w:line="240" w:lineRule="auto"/>
              <w:rPr>
                <w:rFonts w:eastAsia="Times New Roman" w:cstheme="minorHAnsi"/>
                <w:color w:val="000000"/>
                <w:sz w:val="18"/>
                <w:szCs w:val="18"/>
                <w:lang w:eastAsia="en-GB"/>
              </w:rPr>
            </w:pPr>
          </w:p>
        </w:tc>
        <w:tc>
          <w:tcPr>
            <w:tcW w:w="1664" w:type="dxa"/>
            <w:vMerge/>
            <w:tcBorders>
              <w:left w:val="nil"/>
              <w:bottom w:val="single" w:sz="8" w:space="0" w:color="auto"/>
              <w:right w:val="nil"/>
            </w:tcBorders>
            <w:shd w:val="clear" w:color="000000" w:fill="FFFFFF"/>
            <w:vAlign w:val="center"/>
          </w:tcPr>
          <w:p w14:paraId="5DD987E2" w14:textId="1E25D8E0" w:rsidR="00056E47" w:rsidRPr="00775156" w:rsidRDefault="00056E47" w:rsidP="00E24C59">
            <w:pPr>
              <w:spacing w:after="0" w:line="240" w:lineRule="auto"/>
              <w:rPr>
                <w:rFonts w:eastAsia="Times New Roman" w:cstheme="minorHAnsi"/>
                <w:color w:val="000000"/>
                <w:sz w:val="18"/>
                <w:szCs w:val="18"/>
                <w:lang w:eastAsia="en-GB"/>
              </w:rPr>
            </w:pPr>
          </w:p>
        </w:tc>
        <w:tc>
          <w:tcPr>
            <w:tcW w:w="3684" w:type="dxa"/>
            <w:tcBorders>
              <w:top w:val="single" w:sz="4" w:space="0" w:color="auto"/>
              <w:left w:val="nil"/>
              <w:bottom w:val="single" w:sz="8" w:space="0" w:color="auto"/>
              <w:right w:val="nil"/>
            </w:tcBorders>
            <w:shd w:val="clear" w:color="000000" w:fill="FFFFFF"/>
            <w:vAlign w:val="center"/>
            <w:hideMark/>
          </w:tcPr>
          <w:p w14:paraId="7D3EDE82" w14:textId="77777777" w:rsidR="00056E47" w:rsidRPr="00775156" w:rsidRDefault="00056E47" w:rsidP="00E24C59">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Casual contacts: </w:t>
            </w:r>
            <w:r w:rsidRPr="00775156">
              <w:rPr>
                <w:rFonts w:eastAsia="Times New Roman" w:cstheme="minorHAnsi"/>
                <w:color w:val="000000"/>
                <w:sz w:val="18"/>
                <w:szCs w:val="18"/>
                <w:lang w:eastAsia="en-GB"/>
              </w:rPr>
              <w:t xml:space="preserve">Those who encountered an index case during travel or in social events.  </w:t>
            </w:r>
          </w:p>
        </w:tc>
        <w:tc>
          <w:tcPr>
            <w:tcW w:w="1182" w:type="dxa"/>
            <w:tcBorders>
              <w:top w:val="single" w:sz="4" w:space="0" w:color="auto"/>
              <w:left w:val="nil"/>
              <w:bottom w:val="single" w:sz="4" w:space="0" w:color="auto"/>
              <w:right w:val="nil"/>
            </w:tcBorders>
            <w:shd w:val="clear" w:color="000000" w:fill="FFFFFF"/>
            <w:noWrap/>
            <w:vAlign w:val="center"/>
            <w:hideMark/>
          </w:tcPr>
          <w:p w14:paraId="6FEB0B9F"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single" w:sz="4" w:space="0" w:color="auto"/>
              <w:left w:val="nil"/>
              <w:bottom w:val="single" w:sz="4" w:space="0" w:color="auto"/>
              <w:right w:val="nil"/>
            </w:tcBorders>
            <w:shd w:val="clear" w:color="000000" w:fill="FFFFFF"/>
            <w:noWrap/>
            <w:vAlign w:val="center"/>
            <w:hideMark/>
          </w:tcPr>
          <w:p w14:paraId="2729D045"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4" w:space="0" w:color="auto"/>
              <w:left w:val="nil"/>
              <w:bottom w:val="single" w:sz="4" w:space="0" w:color="auto"/>
              <w:right w:val="nil"/>
            </w:tcBorders>
            <w:shd w:val="clear" w:color="000000" w:fill="FFFFFF"/>
            <w:noWrap/>
            <w:vAlign w:val="center"/>
            <w:hideMark/>
          </w:tcPr>
          <w:p w14:paraId="0A27A423"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19</w:t>
            </w:r>
          </w:p>
        </w:tc>
        <w:tc>
          <w:tcPr>
            <w:tcW w:w="993" w:type="dxa"/>
            <w:tcBorders>
              <w:top w:val="single" w:sz="4" w:space="0" w:color="auto"/>
              <w:left w:val="nil"/>
              <w:bottom w:val="single" w:sz="4" w:space="0" w:color="auto"/>
              <w:right w:val="nil"/>
            </w:tcBorders>
            <w:shd w:val="clear" w:color="000000" w:fill="FFFFFF"/>
            <w:noWrap/>
            <w:vAlign w:val="center"/>
            <w:hideMark/>
          </w:tcPr>
          <w:p w14:paraId="2DD0879E"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445</w:t>
            </w:r>
          </w:p>
        </w:tc>
        <w:tc>
          <w:tcPr>
            <w:tcW w:w="1134" w:type="dxa"/>
            <w:tcBorders>
              <w:top w:val="single" w:sz="4" w:space="0" w:color="auto"/>
              <w:left w:val="nil"/>
              <w:bottom w:val="single" w:sz="4" w:space="0" w:color="auto"/>
              <w:right w:val="nil"/>
            </w:tcBorders>
            <w:shd w:val="clear" w:color="000000" w:fill="FFFFFF"/>
            <w:noWrap/>
            <w:vAlign w:val="center"/>
            <w:hideMark/>
          </w:tcPr>
          <w:p w14:paraId="33EF7504"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445</w:t>
            </w:r>
          </w:p>
        </w:tc>
        <w:tc>
          <w:tcPr>
            <w:tcW w:w="992" w:type="dxa"/>
            <w:tcBorders>
              <w:top w:val="single" w:sz="4" w:space="0" w:color="auto"/>
              <w:left w:val="nil"/>
              <w:bottom w:val="single" w:sz="4" w:space="0" w:color="auto"/>
              <w:right w:val="nil"/>
            </w:tcBorders>
            <w:shd w:val="clear" w:color="000000" w:fill="FFFFFF"/>
            <w:noWrap/>
            <w:vAlign w:val="center"/>
            <w:hideMark/>
          </w:tcPr>
          <w:p w14:paraId="0468F246"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4</w:t>
            </w:r>
          </w:p>
        </w:tc>
      </w:tr>
      <w:tr w:rsidR="004E7F1D" w:rsidRPr="00C46A5F" w14:paraId="72CE3CC3" w14:textId="77777777" w:rsidTr="00360185">
        <w:trPr>
          <w:trHeight w:val="241"/>
        </w:trPr>
        <w:tc>
          <w:tcPr>
            <w:tcW w:w="1278" w:type="dxa"/>
            <w:tcBorders>
              <w:top w:val="single" w:sz="8" w:space="0" w:color="auto"/>
              <w:left w:val="nil"/>
              <w:bottom w:val="nil"/>
              <w:right w:val="nil"/>
            </w:tcBorders>
            <w:shd w:val="clear" w:color="000000" w:fill="FFFFFF"/>
            <w:vAlign w:val="center"/>
          </w:tcPr>
          <w:p w14:paraId="3E6BAFA9" w14:textId="4B37BF08" w:rsidR="00056E47" w:rsidRPr="00775156" w:rsidRDefault="00775156"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3</w:t>
            </w:r>
            <w:r w:rsidR="00646A5E">
              <w:rPr>
                <w:rFonts w:eastAsia="Times New Roman" w:cstheme="minorHAnsi"/>
                <w:color w:val="000000"/>
                <w:sz w:val="18"/>
                <w:szCs w:val="18"/>
                <w:lang w:eastAsia="en-GB"/>
              </w:rPr>
              <w:t>9</w:t>
            </w:r>
          </w:p>
        </w:tc>
        <w:tc>
          <w:tcPr>
            <w:tcW w:w="1141" w:type="dxa"/>
            <w:tcBorders>
              <w:top w:val="single" w:sz="8" w:space="0" w:color="auto"/>
              <w:left w:val="nil"/>
              <w:bottom w:val="nil"/>
              <w:right w:val="nil"/>
            </w:tcBorders>
            <w:shd w:val="clear" w:color="000000" w:fill="FFFFFF"/>
            <w:vAlign w:val="center"/>
            <w:hideMark/>
          </w:tcPr>
          <w:p w14:paraId="621F8FB6" w14:textId="67998290"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Chen et al </w:t>
            </w:r>
            <w:r w:rsidR="00775156">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10.3760/cma.j.cn112338-20200304-00251","author":[{"dropping-particle":"","family":"Chen","given":"Yi","non-dropping-particle":"","parse-names":false,"suffix":""},{"dropping-particle":"","family":"Wang","given":"Aihong","non-dropping-particle":"","parse-names":false,"suffix":""},{"dropping-particle":"","family":"Yi","given":"Bo","non-dropping-particle":"","parse-names":false,"suffix":""},{"dropping-particle":"","family":"Ding","given":"Keqin","non-dropping-particle":"","parse-names":false,"suffix":""},{"dropping-particle":"","family":"Wang","given":"Haibo","non-dropping-particle":"","parse-names":false,"suffix":""},{"dropping-particle":"","family":"Wang","given":"Jianmei","non-dropping-particle":"","parse-names":false,"suffix":""},{"dropping-particle":"","family":"Shi","given":"Hongbo","non-dropping-particle":"","parse-names":false,"suffix":""},{"dropping-particle":"","family":"Wang","given":"Sijia","non-dropping-particle":"","parse-names":false,"suffix":""},{"dropping-particle":"","family":"Xu","given":"Guozhang","non-dropping-particle":"","parse-names":false,"suffix":""}],"container-title":"Chinese Journal of Epidemiology","id":"ITEM-1","issued":{"date-parts":[["2020"]]},"title":"Epidemiological analysis of infection among close contacts of novel coronavirus pneumonia in Ningbo","type":"article-journal","volume":"41"},"uris":["http://www.mendeley.com/documents/?uuid=978fb15b-8773-4e7b-a513-1fd6611718ea"]}],"mendeley":{"formattedCitation":"[28]","plainTextFormattedCitation":"[28]","previouslyFormattedCitation":"[30]"},"properties":{"noteIndex":0},"schema":"https://github.com/citation-style-language/schema/raw/master/csl-citation.json"}</w:instrText>
            </w:r>
            <w:r w:rsidR="00775156">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[28]</w:t>
            </w:r>
            <w:r w:rsidR="00775156">
              <w:rPr>
                <w:rFonts w:eastAsia="Times New Roman" w:cstheme="minorHAnsi"/>
                <w:color w:val="000000"/>
                <w:sz w:val="18"/>
                <w:szCs w:val="18"/>
                <w:lang w:eastAsia="en-GB"/>
              </w:rPr>
              <w:fldChar w:fldCharType="end"/>
            </w:r>
          </w:p>
        </w:tc>
        <w:tc>
          <w:tcPr>
            <w:tcW w:w="1202" w:type="dxa"/>
            <w:tcBorders>
              <w:top w:val="single" w:sz="8" w:space="0" w:color="auto"/>
              <w:left w:val="nil"/>
              <w:bottom w:val="nil"/>
              <w:right w:val="nil"/>
            </w:tcBorders>
            <w:shd w:val="clear" w:color="000000" w:fill="FFFFFF"/>
            <w:vAlign w:val="center"/>
            <w:hideMark/>
          </w:tcPr>
          <w:p w14:paraId="6FD92396" w14:textId="77777777"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Ningbo</w:t>
            </w:r>
          </w:p>
        </w:tc>
        <w:tc>
          <w:tcPr>
            <w:tcW w:w="888" w:type="dxa"/>
            <w:tcBorders>
              <w:top w:val="single" w:sz="8" w:space="0" w:color="auto"/>
              <w:left w:val="nil"/>
              <w:bottom w:val="nil"/>
              <w:right w:val="nil"/>
            </w:tcBorders>
            <w:shd w:val="clear" w:color="000000" w:fill="FFFFFF"/>
            <w:vAlign w:val="center"/>
            <w:hideMark/>
          </w:tcPr>
          <w:p w14:paraId="783735F6" w14:textId="77777777"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China</w:t>
            </w:r>
          </w:p>
        </w:tc>
        <w:tc>
          <w:tcPr>
            <w:tcW w:w="1664" w:type="dxa"/>
            <w:tcBorders>
              <w:top w:val="single" w:sz="8" w:space="0" w:color="auto"/>
              <w:left w:val="nil"/>
              <w:bottom w:val="nil"/>
              <w:right w:val="nil"/>
            </w:tcBorders>
            <w:shd w:val="clear" w:color="000000" w:fill="FFFFFF"/>
            <w:vAlign w:val="center"/>
            <w:hideMark/>
          </w:tcPr>
          <w:p w14:paraId="791E23F6" w14:textId="77777777" w:rsidR="00056E47" w:rsidRPr="00775156" w:rsidRDefault="00056E47" w:rsidP="00E24C59">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Surveillance and contract tracing</w:t>
            </w:r>
          </w:p>
        </w:tc>
        <w:tc>
          <w:tcPr>
            <w:tcW w:w="3684" w:type="dxa"/>
            <w:tcBorders>
              <w:top w:val="single" w:sz="8" w:space="0" w:color="auto"/>
              <w:left w:val="nil"/>
              <w:bottom w:val="single" w:sz="8" w:space="0" w:color="auto"/>
              <w:right w:val="nil"/>
            </w:tcBorders>
            <w:shd w:val="clear" w:color="000000" w:fill="FFFFFF"/>
            <w:vAlign w:val="center"/>
            <w:hideMark/>
          </w:tcPr>
          <w:p w14:paraId="14568F7A" w14:textId="77777777" w:rsidR="00056E47" w:rsidRPr="00775156" w:rsidRDefault="00056E47" w:rsidP="00E24C59">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Travel:</w:t>
            </w:r>
            <w:r w:rsidRPr="00775156">
              <w:rPr>
                <w:rFonts w:eastAsia="Times New Roman" w:cstheme="minorHAnsi"/>
                <w:color w:val="000000"/>
                <w:sz w:val="18"/>
                <w:szCs w:val="18"/>
                <w:lang w:eastAsia="en-GB"/>
              </w:rPr>
              <w:t xml:space="preserve"> Public transport</w:t>
            </w:r>
          </w:p>
        </w:tc>
        <w:tc>
          <w:tcPr>
            <w:tcW w:w="1182" w:type="dxa"/>
            <w:tcBorders>
              <w:top w:val="single" w:sz="4" w:space="0" w:color="auto"/>
              <w:left w:val="nil"/>
              <w:bottom w:val="single" w:sz="8" w:space="0" w:color="auto"/>
              <w:right w:val="nil"/>
            </w:tcBorders>
            <w:shd w:val="clear" w:color="000000" w:fill="FFFFFF"/>
            <w:noWrap/>
            <w:vAlign w:val="center"/>
            <w:hideMark/>
          </w:tcPr>
          <w:p w14:paraId="57CAFF94"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single" w:sz="4" w:space="0" w:color="auto"/>
              <w:left w:val="nil"/>
              <w:bottom w:val="single" w:sz="8" w:space="0" w:color="auto"/>
              <w:right w:val="nil"/>
            </w:tcBorders>
            <w:shd w:val="clear" w:color="000000" w:fill="FFFFFF"/>
            <w:noWrap/>
            <w:vAlign w:val="center"/>
            <w:hideMark/>
          </w:tcPr>
          <w:p w14:paraId="21BBBCD0"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4" w:space="0" w:color="auto"/>
              <w:left w:val="nil"/>
              <w:bottom w:val="single" w:sz="8" w:space="0" w:color="auto"/>
              <w:right w:val="nil"/>
            </w:tcBorders>
            <w:shd w:val="clear" w:color="000000" w:fill="FFFFFF"/>
            <w:noWrap/>
            <w:vAlign w:val="center"/>
            <w:hideMark/>
          </w:tcPr>
          <w:p w14:paraId="3A474E8E"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187</w:t>
            </w:r>
          </w:p>
        </w:tc>
        <w:tc>
          <w:tcPr>
            <w:tcW w:w="993" w:type="dxa"/>
            <w:tcBorders>
              <w:top w:val="single" w:sz="4" w:space="0" w:color="auto"/>
              <w:left w:val="nil"/>
              <w:bottom w:val="single" w:sz="8" w:space="0" w:color="auto"/>
              <w:right w:val="nil"/>
            </w:tcBorders>
            <w:shd w:val="clear" w:color="000000" w:fill="FFFFFF"/>
            <w:vAlign w:val="center"/>
            <w:hideMark/>
          </w:tcPr>
          <w:p w14:paraId="5C9D7301"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235</w:t>
            </w:r>
          </w:p>
        </w:tc>
        <w:tc>
          <w:tcPr>
            <w:tcW w:w="1134" w:type="dxa"/>
            <w:tcBorders>
              <w:top w:val="single" w:sz="4" w:space="0" w:color="auto"/>
              <w:left w:val="nil"/>
              <w:bottom w:val="single" w:sz="8" w:space="0" w:color="auto"/>
              <w:right w:val="nil"/>
            </w:tcBorders>
            <w:shd w:val="clear" w:color="000000" w:fill="FFFFFF"/>
            <w:vAlign w:val="center"/>
            <w:hideMark/>
          </w:tcPr>
          <w:p w14:paraId="1F51C9E7"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235</w:t>
            </w:r>
          </w:p>
        </w:tc>
        <w:tc>
          <w:tcPr>
            <w:tcW w:w="992" w:type="dxa"/>
            <w:tcBorders>
              <w:top w:val="single" w:sz="4" w:space="0" w:color="auto"/>
              <w:left w:val="nil"/>
              <w:bottom w:val="single" w:sz="8" w:space="0" w:color="auto"/>
              <w:right w:val="nil"/>
            </w:tcBorders>
            <w:shd w:val="clear" w:color="000000" w:fill="FFFFFF"/>
            <w:vAlign w:val="center"/>
            <w:hideMark/>
          </w:tcPr>
          <w:p w14:paraId="1FBB62E9"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28</w:t>
            </w:r>
          </w:p>
        </w:tc>
      </w:tr>
      <w:tr w:rsidR="004E7F1D" w:rsidRPr="00C46A5F" w14:paraId="5365AC6C" w14:textId="77777777" w:rsidTr="00360185">
        <w:trPr>
          <w:trHeight w:val="474"/>
        </w:trPr>
        <w:tc>
          <w:tcPr>
            <w:tcW w:w="1278" w:type="dxa"/>
            <w:tcBorders>
              <w:top w:val="nil"/>
              <w:left w:val="nil"/>
              <w:bottom w:val="nil"/>
              <w:right w:val="nil"/>
            </w:tcBorders>
            <w:shd w:val="clear" w:color="000000" w:fill="FFFFFF"/>
            <w:vAlign w:val="center"/>
          </w:tcPr>
          <w:p w14:paraId="5DFF8BBD"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nil"/>
              <w:left w:val="nil"/>
              <w:bottom w:val="nil"/>
              <w:right w:val="nil"/>
            </w:tcBorders>
            <w:shd w:val="clear" w:color="000000" w:fill="FFFFFF"/>
            <w:vAlign w:val="center"/>
          </w:tcPr>
          <w:p w14:paraId="6CFE06EA" w14:textId="28AF092B" w:rsidR="00056E47" w:rsidRPr="00775156" w:rsidRDefault="00056E47" w:rsidP="00E24C59">
            <w:pPr>
              <w:spacing w:after="0" w:line="240" w:lineRule="auto"/>
              <w:rPr>
                <w:rFonts w:eastAsia="Times New Roman" w:cstheme="minorHAnsi"/>
                <w:color w:val="000000"/>
                <w:sz w:val="18"/>
                <w:szCs w:val="18"/>
                <w:lang w:eastAsia="en-GB"/>
              </w:rPr>
            </w:pPr>
          </w:p>
        </w:tc>
        <w:tc>
          <w:tcPr>
            <w:tcW w:w="1202" w:type="dxa"/>
            <w:tcBorders>
              <w:top w:val="nil"/>
              <w:left w:val="nil"/>
              <w:bottom w:val="nil"/>
              <w:right w:val="nil"/>
            </w:tcBorders>
            <w:shd w:val="clear" w:color="000000" w:fill="FFFFFF"/>
            <w:vAlign w:val="center"/>
          </w:tcPr>
          <w:p w14:paraId="685C256F" w14:textId="3B6AECC5" w:rsidR="00056E47" w:rsidRPr="00775156" w:rsidRDefault="00056E47" w:rsidP="00E24C59">
            <w:pPr>
              <w:spacing w:after="0" w:line="240" w:lineRule="auto"/>
              <w:rPr>
                <w:rFonts w:eastAsia="Times New Roman" w:cstheme="minorHAnsi"/>
                <w:color w:val="000000"/>
                <w:sz w:val="18"/>
                <w:szCs w:val="18"/>
                <w:lang w:eastAsia="en-GB"/>
              </w:rPr>
            </w:pPr>
          </w:p>
        </w:tc>
        <w:tc>
          <w:tcPr>
            <w:tcW w:w="888" w:type="dxa"/>
            <w:tcBorders>
              <w:top w:val="nil"/>
              <w:left w:val="nil"/>
              <w:bottom w:val="nil"/>
              <w:right w:val="nil"/>
            </w:tcBorders>
            <w:shd w:val="clear" w:color="000000" w:fill="FFFFFF"/>
            <w:vAlign w:val="center"/>
          </w:tcPr>
          <w:p w14:paraId="3214F8DA" w14:textId="24B1287C" w:rsidR="00056E47" w:rsidRPr="00775156" w:rsidRDefault="00056E47" w:rsidP="00E24C59">
            <w:pPr>
              <w:spacing w:after="0" w:line="240" w:lineRule="auto"/>
              <w:rPr>
                <w:rFonts w:eastAsia="Times New Roman" w:cstheme="minorHAnsi"/>
                <w:color w:val="000000"/>
                <w:sz w:val="18"/>
                <w:szCs w:val="18"/>
                <w:lang w:eastAsia="en-GB"/>
              </w:rPr>
            </w:pPr>
          </w:p>
        </w:tc>
        <w:tc>
          <w:tcPr>
            <w:tcW w:w="1664" w:type="dxa"/>
            <w:tcBorders>
              <w:top w:val="nil"/>
              <w:left w:val="nil"/>
              <w:bottom w:val="nil"/>
              <w:right w:val="nil"/>
            </w:tcBorders>
            <w:shd w:val="clear" w:color="000000" w:fill="FFFFFF"/>
            <w:vAlign w:val="center"/>
          </w:tcPr>
          <w:p w14:paraId="699BA1C1" w14:textId="1DE63CA4" w:rsidR="00056E47" w:rsidRPr="00775156" w:rsidRDefault="00056E47" w:rsidP="00E24C59">
            <w:pPr>
              <w:spacing w:after="0" w:line="240" w:lineRule="auto"/>
              <w:rPr>
                <w:rFonts w:eastAsia="Times New Roman" w:cstheme="minorHAnsi"/>
                <w:color w:val="000000"/>
                <w:sz w:val="18"/>
                <w:szCs w:val="18"/>
                <w:lang w:eastAsia="en-GB"/>
              </w:rPr>
            </w:pPr>
          </w:p>
        </w:tc>
        <w:tc>
          <w:tcPr>
            <w:tcW w:w="3684" w:type="dxa"/>
            <w:tcBorders>
              <w:top w:val="nil"/>
              <w:left w:val="nil"/>
              <w:bottom w:val="single" w:sz="8" w:space="0" w:color="auto"/>
              <w:right w:val="nil"/>
            </w:tcBorders>
            <w:shd w:val="clear" w:color="000000" w:fill="FFFFFF"/>
            <w:vAlign w:val="center"/>
            <w:hideMark/>
          </w:tcPr>
          <w:p w14:paraId="12994BCC" w14:textId="77777777" w:rsidR="00056E47" w:rsidRPr="00775156" w:rsidRDefault="00056E47" w:rsidP="00E24C59">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Family and Friends:</w:t>
            </w:r>
            <w:r w:rsidRPr="009E09F8">
              <w:rPr>
                <w:rFonts w:eastAsia="Times New Roman" w:cstheme="minorHAnsi"/>
                <w:color w:val="000000"/>
                <w:sz w:val="18"/>
                <w:szCs w:val="18"/>
                <w:lang w:eastAsia="en-GB"/>
              </w:rPr>
              <w:t xml:space="preserve"> </w:t>
            </w:r>
            <w:r w:rsidRPr="00775156">
              <w:rPr>
                <w:rFonts w:eastAsia="Times New Roman" w:cstheme="minorHAnsi"/>
                <w:color w:val="000000"/>
                <w:sz w:val="18"/>
                <w:szCs w:val="18"/>
                <w:lang w:eastAsia="en-GB"/>
              </w:rPr>
              <w:t xml:space="preserve">gathering/ treating guests/ entertainment </w:t>
            </w:r>
          </w:p>
        </w:tc>
        <w:tc>
          <w:tcPr>
            <w:tcW w:w="1182" w:type="dxa"/>
            <w:tcBorders>
              <w:top w:val="nil"/>
              <w:left w:val="nil"/>
              <w:bottom w:val="single" w:sz="8" w:space="0" w:color="auto"/>
              <w:right w:val="nil"/>
            </w:tcBorders>
            <w:shd w:val="clear" w:color="000000" w:fill="FFFFFF"/>
            <w:noWrap/>
            <w:vAlign w:val="center"/>
            <w:hideMark/>
          </w:tcPr>
          <w:p w14:paraId="1DFD8D0E"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noWrap/>
            <w:vAlign w:val="center"/>
            <w:hideMark/>
          </w:tcPr>
          <w:p w14:paraId="2319118D"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noWrap/>
            <w:vAlign w:val="center"/>
            <w:hideMark/>
          </w:tcPr>
          <w:p w14:paraId="13C3224C"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187</w:t>
            </w:r>
          </w:p>
        </w:tc>
        <w:tc>
          <w:tcPr>
            <w:tcW w:w="993" w:type="dxa"/>
            <w:tcBorders>
              <w:top w:val="nil"/>
              <w:left w:val="nil"/>
              <w:bottom w:val="single" w:sz="8" w:space="0" w:color="auto"/>
              <w:right w:val="nil"/>
            </w:tcBorders>
            <w:shd w:val="clear" w:color="000000" w:fill="FFFFFF"/>
            <w:noWrap/>
            <w:vAlign w:val="center"/>
            <w:hideMark/>
          </w:tcPr>
          <w:p w14:paraId="40076971"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724</w:t>
            </w:r>
          </w:p>
        </w:tc>
        <w:tc>
          <w:tcPr>
            <w:tcW w:w="1134" w:type="dxa"/>
            <w:tcBorders>
              <w:top w:val="nil"/>
              <w:left w:val="nil"/>
              <w:bottom w:val="single" w:sz="8" w:space="0" w:color="auto"/>
              <w:right w:val="nil"/>
            </w:tcBorders>
            <w:shd w:val="clear" w:color="000000" w:fill="FFFFFF"/>
            <w:noWrap/>
            <w:vAlign w:val="center"/>
            <w:hideMark/>
          </w:tcPr>
          <w:p w14:paraId="7764F7DA"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724</w:t>
            </w:r>
          </w:p>
        </w:tc>
        <w:tc>
          <w:tcPr>
            <w:tcW w:w="992" w:type="dxa"/>
            <w:tcBorders>
              <w:top w:val="nil"/>
              <w:left w:val="nil"/>
              <w:bottom w:val="single" w:sz="8" w:space="0" w:color="auto"/>
              <w:right w:val="nil"/>
            </w:tcBorders>
            <w:shd w:val="clear" w:color="000000" w:fill="FFFFFF"/>
            <w:noWrap/>
            <w:vAlign w:val="center"/>
            <w:hideMark/>
          </w:tcPr>
          <w:p w14:paraId="7785644C"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52</w:t>
            </w:r>
          </w:p>
        </w:tc>
      </w:tr>
      <w:tr w:rsidR="000F13C3" w:rsidRPr="00C46A5F" w14:paraId="4FAFF19B" w14:textId="77777777" w:rsidTr="00360185">
        <w:trPr>
          <w:trHeight w:val="694"/>
        </w:trPr>
        <w:tc>
          <w:tcPr>
            <w:tcW w:w="1278" w:type="dxa"/>
            <w:tcBorders>
              <w:top w:val="nil"/>
              <w:left w:val="nil"/>
              <w:bottom w:val="single" w:sz="8" w:space="0" w:color="auto"/>
              <w:right w:val="nil"/>
            </w:tcBorders>
            <w:shd w:val="clear" w:color="000000" w:fill="FFFFFF"/>
            <w:vAlign w:val="center"/>
          </w:tcPr>
          <w:p w14:paraId="6943B8C9"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nil"/>
              <w:left w:val="nil"/>
              <w:bottom w:val="single" w:sz="8" w:space="0" w:color="auto"/>
              <w:right w:val="nil"/>
            </w:tcBorders>
            <w:shd w:val="clear" w:color="000000" w:fill="FFFFFF"/>
            <w:vAlign w:val="center"/>
          </w:tcPr>
          <w:p w14:paraId="7E948BF7" w14:textId="1E818122" w:rsidR="00056E47" w:rsidRPr="00775156" w:rsidRDefault="00056E47" w:rsidP="00E24C59">
            <w:pPr>
              <w:spacing w:after="0" w:line="240" w:lineRule="auto"/>
              <w:rPr>
                <w:rFonts w:eastAsia="Times New Roman" w:cstheme="minorHAnsi"/>
                <w:color w:val="000000"/>
                <w:sz w:val="18"/>
                <w:szCs w:val="18"/>
                <w:lang w:eastAsia="en-GB"/>
              </w:rPr>
            </w:pPr>
          </w:p>
        </w:tc>
        <w:tc>
          <w:tcPr>
            <w:tcW w:w="1202" w:type="dxa"/>
            <w:tcBorders>
              <w:top w:val="nil"/>
              <w:left w:val="nil"/>
              <w:bottom w:val="single" w:sz="8" w:space="0" w:color="auto"/>
              <w:right w:val="nil"/>
            </w:tcBorders>
            <w:shd w:val="clear" w:color="000000" w:fill="FFFFFF"/>
            <w:vAlign w:val="center"/>
          </w:tcPr>
          <w:p w14:paraId="23CA6FAE" w14:textId="430BA048" w:rsidR="00056E47" w:rsidRPr="00775156" w:rsidRDefault="00056E47" w:rsidP="00E24C59">
            <w:pPr>
              <w:spacing w:after="0" w:line="240" w:lineRule="auto"/>
              <w:rPr>
                <w:rFonts w:eastAsia="Times New Roman" w:cstheme="minorHAnsi"/>
                <w:color w:val="000000"/>
                <w:sz w:val="18"/>
                <w:szCs w:val="18"/>
                <w:lang w:eastAsia="en-GB"/>
              </w:rPr>
            </w:pPr>
          </w:p>
        </w:tc>
        <w:tc>
          <w:tcPr>
            <w:tcW w:w="888" w:type="dxa"/>
            <w:tcBorders>
              <w:top w:val="nil"/>
              <w:left w:val="nil"/>
              <w:bottom w:val="single" w:sz="8" w:space="0" w:color="auto"/>
              <w:right w:val="nil"/>
            </w:tcBorders>
            <w:shd w:val="clear" w:color="000000" w:fill="FFFFFF"/>
            <w:vAlign w:val="center"/>
          </w:tcPr>
          <w:p w14:paraId="282B1DE2" w14:textId="74001AA8" w:rsidR="00056E47" w:rsidRPr="00775156" w:rsidRDefault="00056E47" w:rsidP="00E24C59">
            <w:pPr>
              <w:spacing w:after="0" w:line="240" w:lineRule="auto"/>
              <w:rPr>
                <w:rFonts w:eastAsia="Times New Roman" w:cstheme="minorHAnsi"/>
                <w:color w:val="000000"/>
                <w:sz w:val="18"/>
                <w:szCs w:val="18"/>
                <w:lang w:eastAsia="en-GB"/>
              </w:rPr>
            </w:pPr>
          </w:p>
        </w:tc>
        <w:tc>
          <w:tcPr>
            <w:tcW w:w="1664" w:type="dxa"/>
            <w:tcBorders>
              <w:top w:val="nil"/>
              <w:left w:val="nil"/>
              <w:bottom w:val="single" w:sz="8" w:space="0" w:color="auto"/>
              <w:right w:val="nil"/>
            </w:tcBorders>
            <w:shd w:val="clear" w:color="000000" w:fill="FFFFFF"/>
            <w:vAlign w:val="center"/>
          </w:tcPr>
          <w:p w14:paraId="19263F5F" w14:textId="705124DD" w:rsidR="00056E47" w:rsidRPr="00775156" w:rsidRDefault="00056E47" w:rsidP="00E24C59">
            <w:pPr>
              <w:spacing w:after="0" w:line="240" w:lineRule="auto"/>
              <w:rPr>
                <w:rFonts w:eastAsia="Times New Roman" w:cstheme="minorHAnsi"/>
                <w:color w:val="000000"/>
                <w:sz w:val="18"/>
                <w:szCs w:val="18"/>
                <w:lang w:eastAsia="en-GB"/>
              </w:rPr>
            </w:pPr>
          </w:p>
        </w:tc>
        <w:tc>
          <w:tcPr>
            <w:tcW w:w="3684" w:type="dxa"/>
            <w:tcBorders>
              <w:top w:val="nil"/>
              <w:left w:val="nil"/>
              <w:bottom w:val="single" w:sz="8" w:space="0" w:color="auto"/>
              <w:right w:val="nil"/>
            </w:tcBorders>
            <w:shd w:val="clear" w:color="000000" w:fill="FFFFFF"/>
            <w:vAlign w:val="center"/>
            <w:hideMark/>
          </w:tcPr>
          <w:p w14:paraId="6B59D1F0" w14:textId="77777777" w:rsidR="00056E47" w:rsidRPr="00775156" w:rsidRDefault="00056E47" w:rsidP="00E24C59">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Casual contacts: </w:t>
            </w:r>
            <w:r w:rsidRPr="00775156">
              <w:rPr>
                <w:rFonts w:eastAsia="Times New Roman" w:cstheme="minorHAnsi"/>
                <w:color w:val="000000"/>
                <w:sz w:val="18"/>
                <w:szCs w:val="18"/>
                <w:lang w:eastAsia="en-GB"/>
              </w:rPr>
              <w:t xml:space="preserve">General population, being in the same building or environment, short </w:t>
            </w:r>
            <w:proofErr w:type="gramStart"/>
            <w:r w:rsidRPr="00775156">
              <w:rPr>
                <w:rFonts w:eastAsia="Times New Roman" w:cstheme="minorHAnsi"/>
                <w:color w:val="000000"/>
                <w:sz w:val="18"/>
                <w:szCs w:val="18"/>
                <w:lang w:eastAsia="en-GB"/>
              </w:rPr>
              <w:t>talk</w:t>
            </w:r>
            <w:proofErr w:type="gramEnd"/>
            <w:r w:rsidRPr="00775156">
              <w:rPr>
                <w:rFonts w:eastAsia="Times New Roman" w:cstheme="minorHAnsi"/>
                <w:color w:val="000000"/>
                <w:sz w:val="18"/>
                <w:szCs w:val="18"/>
                <w:lang w:eastAsia="en-GB"/>
              </w:rPr>
              <w:t xml:space="preserve"> or task </w:t>
            </w:r>
          </w:p>
        </w:tc>
        <w:tc>
          <w:tcPr>
            <w:tcW w:w="1182" w:type="dxa"/>
            <w:tcBorders>
              <w:top w:val="nil"/>
              <w:left w:val="nil"/>
              <w:bottom w:val="single" w:sz="8" w:space="0" w:color="auto"/>
              <w:right w:val="nil"/>
            </w:tcBorders>
            <w:shd w:val="clear" w:color="000000" w:fill="FFFFFF"/>
            <w:noWrap/>
            <w:vAlign w:val="center"/>
            <w:hideMark/>
          </w:tcPr>
          <w:p w14:paraId="6FD7C764"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noWrap/>
            <w:vAlign w:val="center"/>
            <w:hideMark/>
          </w:tcPr>
          <w:p w14:paraId="4409340D" w14:textId="77777777" w:rsidR="00056E47" w:rsidRPr="00775156" w:rsidRDefault="00056E47" w:rsidP="00540114">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noWrap/>
            <w:vAlign w:val="center"/>
            <w:hideMark/>
          </w:tcPr>
          <w:p w14:paraId="301E9FC7"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187</w:t>
            </w:r>
          </w:p>
        </w:tc>
        <w:tc>
          <w:tcPr>
            <w:tcW w:w="993" w:type="dxa"/>
            <w:tcBorders>
              <w:top w:val="nil"/>
              <w:left w:val="nil"/>
              <w:bottom w:val="single" w:sz="8" w:space="0" w:color="auto"/>
              <w:right w:val="nil"/>
            </w:tcBorders>
            <w:shd w:val="clear" w:color="000000" w:fill="FFFFFF"/>
            <w:noWrap/>
            <w:vAlign w:val="center"/>
            <w:hideMark/>
          </w:tcPr>
          <w:p w14:paraId="21E472F5"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565</w:t>
            </w:r>
          </w:p>
        </w:tc>
        <w:tc>
          <w:tcPr>
            <w:tcW w:w="1134" w:type="dxa"/>
            <w:tcBorders>
              <w:top w:val="nil"/>
              <w:left w:val="nil"/>
              <w:bottom w:val="single" w:sz="8" w:space="0" w:color="auto"/>
              <w:right w:val="nil"/>
            </w:tcBorders>
            <w:shd w:val="clear" w:color="000000" w:fill="FFFFFF"/>
            <w:noWrap/>
            <w:vAlign w:val="center"/>
            <w:hideMark/>
          </w:tcPr>
          <w:p w14:paraId="541AD66D"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565</w:t>
            </w:r>
          </w:p>
        </w:tc>
        <w:tc>
          <w:tcPr>
            <w:tcW w:w="992" w:type="dxa"/>
            <w:tcBorders>
              <w:top w:val="nil"/>
              <w:left w:val="nil"/>
              <w:bottom w:val="single" w:sz="8" w:space="0" w:color="auto"/>
              <w:right w:val="nil"/>
            </w:tcBorders>
            <w:shd w:val="clear" w:color="000000" w:fill="FFFFFF"/>
            <w:noWrap/>
            <w:vAlign w:val="center"/>
            <w:hideMark/>
          </w:tcPr>
          <w:p w14:paraId="24A100FF" w14:textId="77777777" w:rsidR="00056E47" w:rsidRPr="00775156" w:rsidRDefault="00056E47" w:rsidP="00540114">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10</w:t>
            </w:r>
          </w:p>
        </w:tc>
      </w:tr>
      <w:tr w:rsidR="004E7F1D" w:rsidRPr="00C46A5F" w14:paraId="061D17E3" w14:textId="77777777" w:rsidTr="00775156">
        <w:trPr>
          <w:trHeight w:val="548"/>
        </w:trPr>
        <w:tc>
          <w:tcPr>
            <w:tcW w:w="1278" w:type="dxa"/>
            <w:tcBorders>
              <w:top w:val="single" w:sz="8" w:space="0" w:color="auto"/>
              <w:left w:val="nil"/>
              <w:bottom w:val="single" w:sz="4" w:space="0" w:color="auto"/>
              <w:right w:val="nil"/>
            </w:tcBorders>
            <w:shd w:val="clear" w:color="000000" w:fill="FFFFFF"/>
            <w:vAlign w:val="center"/>
          </w:tcPr>
          <w:p w14:paraId="31D1A160" w14:textId="72C0F5E5" w:rsidR="00056E47" w:rsidRPr="00775156" w:rsidRDefault="00A5565E"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33</w:t>
            </w:r>
          </w:p>
        </w:tc>
        <w:tc>
          <w:tcPr>
            <w:tcW w:w="1141" w:type="dxa"/>
            <w:tcBorders>
              <w:top w:val="single" w:sz="8" w:space="0" w:color="auto"/>
              <w:left w:val="nil"/>
              <w:bottom w:val="single" w:sz="4" w:space="0" w:color="auto"/>
              <w:right w:val="nil"/>
            </w:tcBorders>
            <w:shd w:val="clear" w:color="000000" w:fill="FFFFFF"/>
            <w:noWrap/>
            <w:vAlign w:val="center"/>
          </w:tcPr>
          <w:p w14:paraId="15F7A7F3" w14:textId="1F169219" w:rsidR="00056E47" w:rsidRPr="00775156" w:rsidRDefault="00056E47" w:rsidP="003D1E7F">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Cheng et al</w:t>
            </w:r>
            <w:r w:rsidR="00775156">
              <w:rPr>
                <w:rFonts w:eastAsia="Times New Roman" w:cstheme="minorHAnsi"/>
                <w:color w:val="000000"/>
                <w:sz w:val="18"/>
                <w:szCs w:val="18"/>
                <w:lang w:eastAsia="en-GB"/>
              </w:rPr>
              <w:t xml:space="preserve"> </w:t>
            </w:r>
            <w:r w:rsidR="00775156">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{"citationItems":[{"id":"ITEM-1","itemData":{"DOI":"10.1001/jamainternmed.2020.2020","ISBN":"2168-6106","abstract":"The dynamics of coronavirus disease 2019 (COVID-19) transmissibility are yet to be fully understood. Better understanding of the transmission dynamics is important for the development and evaluation of effective control policies.To delineate the transmission dynamics of COVID-19 and evaluate the transmission risk at different exposure window periods before and after symptom onset.This prospective case-ascertained study in Taiwan included laboratory-confirmed cases of COVID-19 and their contacts. The study period was from January 15 to March 18, 2020. All close contacts were quarantined at home for 14 days after their last exposure to the index case. During the quarantine period, any relevant symptoms (fever, cough, or other respiratory symptoms) of contacts triggered a COVID-19 test. The final follow-up date was April 2, 2020.Secondary clinical attack rate (considering symptomatic cases only) for different exposure time windows of the index cases and for different exposure settings (such as household, family, and health care).We enrolled 100 confirmed patients, with a median age of 44 years (range, 11-88 years), including 56 men and 44 women. Among their 2761 close contacts, there were 22 paired index-secondary cases. The overall secondary clinical attack rate was 0.7% (95% CI, 0.4%-1.0%). The attack rate was higher among the 1818 contacts whose exposure to index cases started within 5 days of symptom onset (1.0% [95% CI, 0.6%-1.6%]) compared with those who were exposed later (0 cases from 852 contacts; 95% CI, 0%-0.4%). The 299 contacts with exclusive presymptomatic exposures were also at risk (attack rate, 0.7% [95% CI, 0.2%-2.4%]). The attack rate was higher among household (4.6% [95% CI, 2.3%-9.3%]) and nonhousehold (5.3% [95% CI, 2.1%-12.8%]) family contacts than that in health care or other settings. The attack rates were higher among those aged 40 to 59 years (1.1% [95% CI, 0.6%-2.1%]) and those aged 60 years and older (0.9% [95% CI, 0.3%-2.6%]).In this study, high transmissibility of COVID-19 before and immediately after symptom onset suggests that finding and isolating symptomatic patients alone may not suffice to contain the epidemic, and more generalized measures may be required, such as social distancing.","author":[{"dropping-particle":"","family":"Cheng","given":"Hao-Yuan","non-dropping-particle":"","parse-names":false,"suffix":""},{"dropping-particle":"","family":"Jian","given":"Shu-Wan","non-dropping-particle":"","parse-names":false,"suffix":""},{"dropping-particle":"","family":"Liu","given":"Ding-Ping","non-dropping-particle":"","parse-names":false,"suffix":""},{"dropping-particle":"","family":"Ng","given":"Ta-Chou","non-dropping-particle":"","parse-names":false,"suffix":""},{"dropping-particle":"","family":"Huang","given":"Wan-Ting","non-dropping-particle":"","parse-names":false,"suffix":""},{"dropping-particle":"","family":"Lin","given":"Hsien-Ho","non-dropping-particle":"","parse-names":false,"suffix":""},{"dropping-particle":"","family":"Team","given":"for the Taiwan COVID-19 Outbreak Investigation","non-dropping-particle":"","parse-names":false,"suffix":""}],"container-title":"JAMA Internal Medicine","id":"ITEM-1","issued":{"date-parts":[["2020"]]},"title":"Contact Tracing Assessment of COVID-19 Transmission Dynamics in Taiwan and Risk at Different Exposure Periods Before and After Symptom Onset","type":"article-journal"},"uris":["http://www.mendeley.com/documents/?uuid=6284de53-4a95-43df-904f-87721ab687d2"]}],"mendeley":{"formattedCitation":"[29]","plainTextFormattedCitation":"[29]","previouslyFormattedCitation":"[31]"},"properties":{"noteIndex":0},"schema":"https://github.com/citation-style-language/schema/raw/master/csl-citation.json"}</w:instrText>
            </w:r>
            <w:r w:rsidR="00775156">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[29]</w:t>
            </w:r>
            <w:r w:rsidR="00775156">
              <w:rPr>
                <w:rFonts w:eastAsia="Times New Roman" w:cstheme="minorHAnsi"/>
                <w:color w:val="000000"/>
                <w:sz w:val="18"/>
                <w:szCs w:val="18"/>
                <w:lang w:eastAsia="en-GB"/>
              </w:rPr>
              <w:fldChar w:fldCharType="end"/>
            </w:r>
          </w:p>
        </w:tc>
        <w:tc>
          <w:tcPr>
            <w:tcW w:w="1202" w:type="dxa"/>
            <w:tcBorders>
              <w:top w:val="single" w:sz="8" w:space="0" w:color="auto"/>
              <w:left w:val="nil"/>
              <w:bottom w:val="single" w:sz="4" w:space="0" w:color="auto"/>
              <w:right w:val="nil"/>
            </w:tcBorders>
            <w:shd w:val="clear" w:color="000000" w:fill="FFFFFF"/>
            <w:vAlign w:val="center"/>
          </w:tcPr>
          <w:p w14:paraId="58F2C9A7" w14:textId="39EE36BF" w:rsidR="00056E47" w:rsidRPr="00775156" w:rsidRDefault="00056E47" w:rsidP="003D1E7F">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888" w:type="dxa"/>
            <w:tcBorders>
              <w:top w:val="single" w:sz="8" w:space="0" w:color="auto"/>
              <w:left w:val="nil"/>
              <w:bottom w:val="single" w:sz="4" w:space="0" w:color="auto"/>
              <w:right w:val="nil"/>
            </w:tcBorders>
            <w:shd w:val="clear" w:color="000000" w:fill="FFFFFF"/>
            <w:noWrap/>
            <w:vAlign w:val="center"/>
          </w:tcPr>
          <w:p w14:paraId="752EE43B" w14:textId="02B70CD1" w:rsidR="00056E47" w:rsidRPr="00775156" w:rsidRDefault="00056E47" w:rsidP="003D1E7F">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Taiwan</w:t>
            </w:r>
          </w:p>
        </w:tc>
        <w:tc>
          <w:tcPr>
            <w:tcW w:w="1664" w:type="dxa"/>
            <w:tcBorders>
              <w:top w:val="single" w:sz="8" w:space="0" w:color="auto"/>
              <w:left w:val="nil"/>
              <w:bottom w:val="single" w:sz="4" w:space="0" w:color="auto"/>
              <w:right w:val="nil"/>
            </w:tcBorders>
            <w:shd w:val="clear" w:color="000000" w:fill="FFFFFF"/>
            <w:vAlign w:val="center"/>
          </w:tcPr>
          <w:p w14:paraId="22F6A019" w14:textId="43734FB8" w:rsidR="00056E47" w:rsidRPr="00775156" w:rsidRDefault="00056E47" w:rsidP="003D1E7F">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Surveillance and contact tracing </w:t>
            </w:r>
          </w:p>
        </w:tc>
        <w:tc>
          <w:tcPr>
            <w:tcW w:w="3684" w:type="dxa"/>
            <w:tcBorders>
              <w:top w:val="single" w:sz="8" w:space="0" w:color="auto"/>
              <w:left w:val="nil"/>
              <w:bottom w:val="single" w:sz="8" w:space="0" w:color="auto"/>
              <w:right w:val="nil"/>
            </w:tcBorders>
            <w:shd w:val="clear" w:color="000000" w:fill="FFFFFF"/>
            <w:vAlign w:val="center"/>
          </w:tcPr>
          <w:p w14:paraId="6A68B1E0" w14:textId="2A59E7AB" w:rsidR="00056E47" w:rsidRPr="00775156" w:rsidRDefault="00056E47" w:rsidP="003D1E7F">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Family and Friends: </w:t>
            </w:r>
            <w:r w:rsidRPr="00775156">
              <w:rPr>
                <w:rFonts w:eastAsia="Times New Roman" w:cstheme="minorHAnsi"/>
                <w:color w:val="000000"/>
                <w:sz w:val="18"/>
                <w:szCs w:val="18"/>
                <w:lang w:eastAsia="en-GB"/>
              </w:rPr>
              <w:t>Relatives living outside the household of an index case</w:t>
            </w:r>
          </w:p>
        </w:tc>
        <w:tc>
          <w:tcPr>
            <w:tcW w:w="1182" w:type="dxa"/>
            <w:tcBorders>
              <w:top w:val="single" w:sz="8" w:space="0" w:color="auto"/>
              <w:left w:val="nil"/>
              <w:bottom w:val="single" w:sz="8" w:space="0" w:color="auto"/>
              <w:right w:val="nil"/>
            </w:tcBorders>
            <w:shd w:val="clear" w:color="000000" w:fill="FFFFFF"/>
            <w:noWrap/>
            <w:vAlign w:val="center"/>
          </w:tcPr>
          <w:p w14:paraId="4D7CD390" w14:textId="255D38E6" w:rsidR="00056E47" w:rsidRPr="00775156" w:rsidRDefault="00056E47" w:rsidP="003D1E7F">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Symptomatic</w:t>
            </w:r>
          </w:p>
        </w:tc>
        <w:tc>
          <w:tcPr>
            <w:tcW w:w="992" w:type="dxa"/>
            <w:tcBorders>
              <w:top w:val="single" w:sz="8" w:space="0" w:color="auto"/>
              <w:left w:val="nil"/>
              <w:bottom w:val="single" w:sz="8" w:space="0" w:color="auto"/>
              <w:right w:val="nil"/>
            </w:tcBorders>
            <w:shd w:val="clear" w:color="000000" w:fill="FFFFFF"/>
            <w:vAlign w:val="center"/>
          </w:tcPr>
          <w:p w14:paraId="48CD1873" w14:textId="6CED7223" w:rsidR="00056E47" w:rsidRPr="00775156" w:rsidRDefault="00056E47" w:rsidP="003D1E7F">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vAlign w:val="center"/>
          </w:tcPr>
          <w:p w14:paraId="7F2FC525" w14:textId="02B4E9B6" w:rsidR="00056E47" w:rsidRPr="00775156" w:rsidRDefault="00056E47" w:rsidP="003D1E7F">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100</w:t>
            </w:r>
          </w:p>
        </w:tc>
        <w:tc>
          <w:tcPr>
            <w:tcW w:w="993" w:type="dxa"/>
            <w:tcBorders>
              <w:top w:val="single" w:sz="8" w:space="0" w:color="auto"/>
              <w:left w:val="nil"/>
              <w:bottom w:val="single" w:sz="8" w:space="0" w:color="auto"/>
              <w:right w:val="nil"/>
            </w:tcBorders>
            <w:shd w:val="clear" w:color="000000" w:fill="FFFFFF"/>
            <w:noWrap/>
            <w:vAlign w:val="center"/>
          </w:tcPr>
          <w:p w14:paraId="66AB26AF" w14:textId="7176A9FB" w:rsidR="00056E47" w:rsidRPr="00775156" w:rsidRDefault="00056E47" w:rsidP="003D1E7F">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76</w:t>
            </w:r>
          </w:p>
        </w:tc>
        <w:tc>
          <w:tcPr>
            <w:tcW w:w="1134" w:type="dxa"/>
            <w:tcBorders>
              <w:top w:val="single" w:sz="8" w:space="0" w:color="auto"/>
              <w:left w:val="nil"/>
              <w:bottom w:val="single" w:sz="8" w:space="0" w:color="auto"/>
              <w:right w:val="nil"/>
            </w:tcBorders>
            <w:shd w:val="clear" w:color="000000" w:fill="FFFFFF"/>
            <w:noWrap/>
            <w:vAlign w:val="center"/>
          </w:tcPr>
          <w:p w14:paraId="4EF7E65C" w14:textId="7063EB3C" w:rsidR="00056E47" w:rsidRPr="00775156" w:rsidRDefault="00056E47" w:rsidP="003D1E7F">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992" w:type="dxa"/>
            <w:tcBorders>
              <w:top w:val="single" w:sz="8" w:space="0" w:color="auto"/>
              <w:left w:val="nil"/>
              <w:bottom w:val="single" w:sz="8" w:space="0" w:color="auto"/>
              <w:right w:val="nil"/>
            </w:tcBorders>
            <w:shd w:val="clear" w:color="000000" w:fill="FFFFFF"/>
            <w:noWrap/>
            <w:vAlign w:val="center"/>
          </w:tcPr>
          <w:p w14:paraId="174D28A6" w14:textId="444440AD" w:rsidR="00056E47" w:rsidRPr="00775156" w:rsidRDefault="00056E47" w:rsidP="003D1E7F">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w:t>
            </w:r>
          </w:p>
        </w:tc>
      </w:tr>
      <w:tr w:rsidR="004E7F1D" w:rsidRPr="00C46A5F" w14:paraId="470001FA" w14:textId="77777777" w:rsidTr="005D20E9">
        <w:trPr>
          <w:trHeight w:val="406"/>
        </w:trPr>
        <w:tc>
          <w:tcPr>
            <w:tcW w:w="1278" w:type="dxa"/>
            <w:tcBorders>
              <w:top w:val="single" w:sz="4" w:space="0" w:color="auto"/>
              <w:left w:val="nil"/>
              <w:bottom w:val="nil"/>
              <w:right w:val="nil"/>
            </w:tcBorders>
            <w:shd w:val="clear" w:color="000000" w:fill="FFFFFF"/>
            <w:vAlign w:val="center"/>
          </w:tcPr>
          <w:p w14:paraId="5B0A04C3" w14:textId="6611EDAD" w:rsidR="00056E47" w:rsidRPr="00775156" w:rsidRDefault="0081581D"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72</w:t>
            </w:r>
          </w:p>
        </w:tc>
        <w:tc>
          <w:tcPr>
            <w:tcW w:w="1141" w:type="dxa"/>
            <w:tcBorders>
              <w:top w:val="single" w:sz="4" w:space="0" w:color="auto"/>
              <w:left w:val="nil"/>
              <w:bottom w:val="nil"/>
              <w:right w:val="nil"/>
            </w:tcBorders>
            <w:shd w:val="clear" w:color="000000" w:fill="FFFFFF"/>
            <w:noWrap/>
            <w:vAlign w:val="center"/>
            <w:hideMark/>
          </w:tcPr>
          <w:p w14:paraId="2CBCDA19" w14:textId="093214CB" w:rsidR="00056E47" w:rsidRPr="00775156" w:rsidRDefault="00056E47" w:rsidP="00714C0E">
            <w:pPr>
              <w:spacing w:after="0" w:line="240" w:lineRule="auto"/>
              <w:rPr>
                <w:rFonts w:eastAsia="Times New Roman" w:cstheme="minorHAnsi"/>
                <w:color w:val="000000"/>
                <w:sz w:val="18"/>
                <w:szCs w:val="18"/>
                <w:lang w:eastAsia="en-GB"/>
              </w:rPr>
            </w:pPr>
            <w:proofErr w:type="spellStart"/>
            <w:r w:rsidRPr="00775156">
              <w:rPr>
                <w:rFonts w:eastAsia="Times New Roman" w:cstheme="minorHAnsi"/>
                <w:color w:val="000000"/>
                <w:sz w:val="18"/>
                <w:szCs w:val="18"/>
                <w:lang w:eastAsia="en-GB"/>
              </w:rPr>
              <w:t>Danis</w:t>
            </w:r>
            <w:proofErr w:type="spellEnd"/>
            <w:r w:rsidRPr="00775156">
              <w:rPr>
                <w:rFonts w:eastAsia="Times New Roman" w:cstheme="minorHAnsi"/>
                <w:color w:val="000000"/>
                <w:sz w:val="18"/>
                <w:szCs w:val="18"/>
                <w:lang w:eastAsia="en-GB"/>
              </w:rPr>
              <w:t xml:space="preserve"> et al</w:t>
            </w:r>
            <w:r w:rsidR="00775156">
              <w:rPr>
                <w:rFonts w:eastAsia="Times New Roman" w:cstheme="minorHAnsi"/>
                <w:color w:val="000000"/>
                <w:sz w:val="18"/>
                <w:szCs w:val="18"/>
                <w:lang w:eastAsia="en-GB"/>
              </w:rPr>
              <w:t xml:space="preserve"> </w:t>
            </w:r>
            <w:r w:rsidR="00775156">
              <w:rPr>
                <w:rFonts w:eastAsia="Times New Roman" w:cstheme="minorHAnsi"/>
                <w:color w:val="000000"/>
                <w:sz w:val="18"/>
                <w:szCs w:val="18"/>
                <w:lang w:eastAsia="en-GB"/>
              </w:rPr>
              <w:fldChar w:fldCharType="begin" w:fldLock="1"/>
            </w:r>
            <w:r w:rsidR="0004151B">
              <w:rPr>
                <w:rFonts w:eastAsia="Times New Roman" w:cstheme="minorHAnsi"/>
                <w:color w:val="000000"/>
                <w:sz w:val="18"/>
                <w:szCs w:val="18"/>
                <w:lang w:eastAsia="en-GB"/>
              </w:rPr>
              <w:instrText>ADDIN CSL_CITATION {"citationItems":[{"id":"ITEM-1","itemData":{"DOI":"10.1093/cid/ciaa424","ISBN":"1058-4838","abstract":"On 7 February 2020, French Health authorities were informed of a confirmed case of severe acute respiratory syndrome coronavirus 2 (SARS-CoV-2) in an Englishman infected in Singapore who had recently stayed in a chalet in the French Alps. We conducted an investigation to identify secondary cases and interrupt transmission.We defined as a confirmed case a person linked to the chalet with a positive reverse-transcription polymerase chain reaction sample for SARS-CoV-2.The index case stayed 4 days in the chalet with 10 English tourists and a family of 5 French residents; SARS-CoV-2 was detected in 5 individuals in France, 6 in England (including the index case), and 1 in Spain (overall attack rate in the chalet: 75%). One pediatric case, with picornavirus and influenza A coinfection, visited 3 different schools while symptomatic. One case was asymptomatic, with similar viral load as that of a symptomatic case. Seven days after the first cases were diagnosed, 1 tertiary case was detected in a symptomatic patient with from the chalet a positive endotracheal aspirate; all previous and concurrent nasopharyngeal specimens were negative. Additionally, 172 contacts were monitored; all contacts tested for SARS-CoV-2 (N = 73) were negative.The occurrence in this cluster of 1 asymptomatic case with similar viral load as a symptomatic patient suggests transmission potential of asymptomatic individuals. The fact that an infected child did not transmit the disease despite close interactions within schools suggests potential different transmission dynamics in children. Finally, the dissociation between upper and lower respiratory tract results underscores the need for close monitoring of the clinical evolution of suspected cases of coronavirus disease 2019.","author":[{"dropping-particle":"","family":"Danis","given":"Kostas","non-dropping-particle":"","parse-names":false,"suffix":""},{"dropping-particle":"","family":"Epaulard","given":"Olivier","non-dropping-particle":"","parse-names":false,"suffix":""},{"dropping-particle":"","family":"Bénet","given":"Thomas","non-dropping-particle":"","parse-names":false,"suffix":""},{"dropping-particle":"","family":"Gaymard","given":"Alexandre","non-dropping-particle":"","parse-names":false,"suffix":""},{"dropping-particle":"","family":"Campoy","given":"Séphora","non-dropping-particle":"","parse-names":false,"suffix":""},{"dropping-particle":"","family":"Botelho-Nevers","given":"Elisabeth","non-dropping-particle":"","parse-names":false,"suffix":""},{"dropping-particle":"","family":"Bouscambert-Duchamp","given":"Maude","non-dropping-particle":"","parse-names":false,"suffix":""},{"dropping-particle":"","family":"Spaccaferri","given":"Guillaume","non-dropping-particle":"","parse-names":false,"suffix":""},{"dropping-particle":"","family":"Ader","given":"Florence","non-dropping-particle":"","parse-names":false,"suffix":""},{"dropping-particle":"","family":"Mailles","given":"Alexandra","non-dropping-particle":"","parse-names":false,"suffix":""},{"dropping-particle":"","family":"Boudalaa","given":"Zoubida","non-dropping-particle":"","parse-names":false,"suffix":""},{"dropping-particle":"","family":"Tolsma","given":"Violaine","non-dropping-particle":"","parse-names":false,"suffix":""},{"dropping-particle":"","family":"Berra","given":"Julien","non-dropping-particle":"","parse-names":false,"suffix":""},{"dropping-particle":"","family":"Vaux","given":"Sophie","non-dropping-particle":"","parse-names":false,"suffix":""},{"dropping-particle":"","family":"Forestier","given":"Emmanuel","non-dropping-particle":"","parse-names":false,"suffix":""},{"dropping-particle":"","family":"Landelle","given":"Caroline","non-dropping-particle":"","parse-names":false,"suffix":""},{"dropping-particle":"","family":"Fougere","given":"Erica","non-dropping-particle":"","parse-names":false,"suffix":""},{"dropping-particle":"","family":"Thabuis","given":"Alexandra","non-dropping-particle":"","parse-names":false,"suffix":""},{"dropping-particle":"","family":"Berthelot","given":"Philippe","non-dropping-particle":"","parse-names":false,"suffix":""},{"dropping-particle":"","family":"Veil","given":"Raphael","non-dropping-particle":"","parse-names":false,"suffix":""},{"dropping-particle":"","family":"Levy-Bruhl","given":"Daniel","non-dropping-particle":"","parse-names":false,"suffix":""},{"dropping-particle":"","family":"Chidiac","given":"Christian","non-dropping-particle":"","parse-names":false,"suffix":""},{"dropping-particle":"","family":"Lina","given":"Bruno","non-dropping-particle":"","parse-names":false,"suffix":""},{"dropping-particle":"","family":"Coignard","given":"Bruno","non-dropping-particle":"","parse-names":false,"suffix":""},{"dropping-particle":"","family":"Saura","given":"Christine","non-dropping-particle":"","parse-names":false,"suffix":""},{"dropping-particle":"","family":"Team","given":"Investigation","non-dropping-particle":"","parse-names":false,"suffix":""}],"container-title":"Clinical Infectious Diseases","id":"ITEM-1","issue":"15","issued":{"date-parts":[["2020"]]},"page":"825-832","title":"Cluster of Coronavirus Disease 2019 (COVID-19) in the French Alps, February 2020","type":"article-journal","volume":"71"},"uris":["http://www.mendeley.com/documents/?uuid=02721fe3-1db3-481d-b7f9-3d6ecca2703f"]}],"mendeley":{"formattedCitation":"[5]","plainTextFormattedCitation":"[5]","previouslyFormattedCitation":"[5]"},"properties":{"noteIndex":0},"schema":"https://github.com/citation-style-language/schema/raw/master/csl-citation.json"}</w:instrText>
            </w:r>
            <w:r w:rsidR="00775156">
              <w:rPr>
                <w:rFonts w:eastAsia="Times New Roman" w:cstheme="minorHAnsi"/>
                <w:color w:val="000000"/>
                <w:sz w:val="18"/>
                <w:szCs w:val="18"/>
                <w:lang w:eastAsia="en-GB"/>
              </w:rPr>
              <w:fldChar w:fldCharType="separate"/>
            </w:r>
            <w:r w:rsidR="00B058AB" w:rsidRPr="00B058AB">
              <w:rPr>
                <w:rFonts w:eastAsia="Times New Roman" w:cstheme="minorHAnsi"/>
                <w:noProof/>
                <w:color w:val="000000"/>
                <w:sz w:val="18"/>
                <w:szCs w:val="18"/>
                <w:lang w:eastAsia="en-GB"/>
              </w:rPr>
              <w:t>[5]</w:t>
            </w:r>
            <w:r w:rsidR="00775156">
              <w:rPr>
                <w:rFonts w:eastAsia="Times New Roman" w:cstheme="minorHAnsi"/>
                <w:color w:val="000000"/>
                <w:sz w:val="18"/>
                <w:szCs w:val="18"/>
                <w:lang w:eastAsia="en-GB"/>
              </w:rPr>
              <w:fldChar w:fldCharType="end"/>
            </w:r>
          </w:p>
        </w:tc>
        <w:tc>
          <w:tcPr>
            <w:tcW w:w="1202" w:type="dxa"/>
            <w:tcBorders>
              <w:top w:val="single" w:sz="4" w:space="0" w:color="auto"/>
              <w:left w:val="nil"/>
              <w:bottom w:val="nil"/>
              <w:right w:val="nil"/>
            </w:tcBorders>
            <w:shd w:val="clear" w:color="000000" w:fill="FFFFFF"/>
            <w:vAlign w:val="center"/>
            <w:hideMark/>
          </w:tcPr>
          <w:p w14:paraId="6407C440"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Les </w:t>
            </w:r>
            <w:proofErr w:type="spellStart"/>
            <w:r w:rsidRPr="00775156">
              <w:rPr>
                <w:rFonts w:eastAsia="Times New Roman" w:cstheme="minorHAnsi"/>
                <w:color w:val="000000"/>
                <w:sz w:val="18"/>
                <w:szCs w:val="18"/>
                <w:lang w:eastAsia="en-GB"/>
              </w:rPr>
              <w:t>Contamines-Montjoie</w:t>
            </w:r>
            <w:proofErr w:type="spellEnd"/>
          </w:p>
        </w:tc>
        <w:tc>
          <w:tcPr>
            <w:tcW w:w="888" w:type="dxa"/>
            <w:tcBorders>
              <w:top w:val="single" w:sz="4" w:space="0" w:color="auto"/>
              <w:left w:val="nil"/>
              <w:bottom w:val="nil"/>
              <w:right w:val="nil"/>
            </w:tcBorders>
            <w:shd w:val="clear" w:color="000000" w:fill="FFFFFF"/>
            <w:noWrap/>
            <w:vAlign w:val="center"/>
            <w:hideMark/>
          </w:tcPr>
          <w:p w14:paraId="1900BCEB"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France</w:t>
            </w:r>
          </w:p>
        </w:tc>
        <w:tc>
          <w:tcPr>
            <w:tcW w:w="1664" w:type="dxa"/>
            <w:vMerge w:val="restart"/>
            <w:tcBorders>
              <w:top w:val="single" w:sz="4" w:space="0" w:color="auto"/>
              <w:left w:val="nil"/>
              <w:right w:val="nil"/>
            </w:tcBorders>
            <w:shd w:val="clear" w:color="000000" w:fill="FFFFFF"/>
            <w:hideMark/>
          </w:tcPr>
          <w:p w14:paraId="4C5C4BE7"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Outbreak investigation and contact tracing </w:t>
            </w:r>
          </w:p>
        </w:tc>
        <w:tc>
          <w:tcPr>
            <w:tcW w:w="3684" w:type="dxa"/>
            <w:tcBorders>
              <w:top w:val="single" w:sz="8" w:space="0" w:color="auto"/>
              <w:left w:val="nil"/>
              <w:bottom w:val="single" w:sz="8" w:space="0" w:color="auto"/>
              <w:right w:val="nil"/>
            </w:tcBorders>
            <w:shd w:val="clear" w:color="000000" w:fill="FFFFFF"/>
            <w:vAlign w:val="center"/>
            <w:hideMark/>
          </w:tcPr>
          <w:p w14:paraId="0BD8B02B"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Holiday: </w:t>
            </w:r>
            <w:r w:rsidRPr="00775156">
              <w:rPr>
                <w:rFonts w:eastAsia="Times New Roman" w:cstheme="minorHAnsi"/>
                <w:color w:val="000000"/>
                <w:sz w:val="18"/>
                <w:szCs w:val="18"/>
                <w:lang w:eastAsia="en-GB"/>
              </w:rPr>
              <w:t>Resided in the same chalet as an index case</w:t>
            </w:r>
          </w:p>
        </w:tc>
        <w:tc>
          <w:tcPr>
            <w:tcW w:w="1182" w:type="dxa"/>
            <w:tcBorders>
              <w:top w:val="single" w:sz="8" w:space="0" w:color="auto"/>
              <w:left w:val="nil"/>
              <w:bottom w:val="single" w:sz="8" w:space="0" w:color="auto"/>
              <w:right w:val="nil"/>
            </w:tcBorders>
            <w:shd w:val="clear" w:color="000000" w:fill="FFFFFF"/>
            <w:noWrap/>
            <w:vAlign w:val="center"/>
            <w:hideMark/>
          </w:tcPr>
          <w:p w14:paraId="12EB0D88"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vAlign w:val="center"/>
            <w:hideMark/>
          </w:tcPr>
          <w:p w14:paraId="5E72DED0"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vAlign w:val="center"/>
            <w:hideMark/>
          </w:tcPr>
          <w:p w14:paraId="77DACB8B"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w:t>
            </w:r>
          </w:p>
        </w:tc>
        <w:tc>
          <w:tcPr>
            <w:tcW w:w="993" w:type="dxa"/>
            <w:tcBorders>
              <w:top w:val="single" w:sz="8" w:space="0" w:color="auto"/>
              <w:left w:val="nil"/>
              <w:bottom w:val="single" w:sz="8" w:space="0" w:color="auto"/>
              <w:right w:val="nil"/>
            </w:tcBorders>
            <w:shd w:val="clear" w:color="000000" w:fill="FFFFFF"/>
            <w:noWrap/>
            <w:vAlign w:val="center"/>
            <w:hideMark/>
          </w:tcPr>
          <w:p w14:paraId="1FBF889C"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15</w:t>
            </w:r>
          </w:p>
        </w:tc>
        <w:tc>
          <w:tcPr>
            <w:tcW w:w="1134" w:type="dxa"/>
            <w:tcBorders>
              <w:top w:val="single" w:sz="8" w:space="0" w:color="auto"/>
              <w:left w:val="nil"/>
              <w:bottom w:val="single" w:sz="8" w:space="0" w:color="auto"/>
              <w:right w:val="nil"/>
            </w:tcBorders>
            <w:shd w:val="clear" w:color="000000" w:fill="FFFFFF"/>
            <w:noWrap/>
            <w:vAlign w:val="center"/>
            <w:hideMark/>
          </w:tcPr>
          <w:p w14:paraId="11E89EEB"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15</w:t>
            </w:r>
          </w:p>
        </w:tc>
        <w:tc>
          <w:tcPr>
            <w:tcW w:w="992" w:type="dxa"/>
            <w:tcBorders>
              <w:top w:val="single" w:sz="8" w:space="0" w:color="auto"/>
              <w:left w:val="nil"/>
              <w:bottom w:val="single" w:sz="8" w:space="0" w:color="auto"/>
              <w:right w:val="nil"/>
            </w:tcBorders>
            <w:shd w:val="clear" w:color="000000" w:fill="FFFFFF"/>
            <w:noWrap/>
            <w:vAlign w:val="center"/>
            <w:hideMark/>
          </w:tcPr>
          <w:p w14:paraId="24255379"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11</w:t>
            </w:r>
          </w:p>
        </w:tc>
      </w:tr>
      <w:tr w:rsidR="004E7F1D" w:rsidRPr="00C46A5F" w14:paraId="56E3CA6A" w14:textId="77777777" w:rsidTr="00775156">
        <w:trPr>
          <w:trHeight w:val="515"/>
        </w:trPr>
        <w:tc>
          <w:tcPr>
            <w:tcW w:w="1278" w:type="dxa"/>
            <w:tcBorders>
              <w:top w:val="nil"/>
              <w:left w:val="nil"/>
              <w:bottom w:val="nil"/>
              <w:right w:val="nil"/>
            </w:tcBorders>
            <w:shd w:val="clear" w:color="000000" w:fill="FFFFFF"/>
            <w:vAlign w:val="center"/>
          </w:tcPr>
          <w:p w14:paraId="69B6EFEE"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nil"/>
              <w:left w:val="nil"/>
              <w:bottom w:val="nil"/>
              <w:right w:val="nil"/>
            </w:tcBorders>
            <w:shd w:val="clear" w:color="000000" w:fill="FFFFFF"/>
            <w:noWrap/>
            <w:vAlign w:val="center"/>
          </w:tcPr>
          <w:p w14:paraId="6658B66D" w14:textId="244AEEC6" w:rsidR="00056E47" w:rsidRPr="00775156" w:rsidRDefault="00056E47" w:rsidP="00714C0E">
            <w:pPr>
              <w:spacing w:after="0" w:line="240" w:lineRule="auto"/>
              <w:rPr>
                <w:rFonts w:eastAsia="Times New Roman" w:cstheme="minorHAnsi"/>
                <w:color w:val="000000"/>
                <w:sz w:val="18"/>
                <w:szCs w:val="18"/>
                <w:lang w:eastAsia="en-GB"/>
              </w:rPr>
            </w:pPr>
          </w:p>
        </w:tc>
        <w:tc>
          <w:tcPr>
            <w:tcW w:w="1202" w:type="dxa"/>
            <w:tcBorders>
              <w:left w:val="nil"/>
              <w:bottom w:val="nil"/>
              <w:right w:val="nil"/>
            </w:tcBorders>
            <w:shd w:val="clear" w:color="000000" w:fill="FFFFFF"/>
            <w:vAlign w:val="center"/>
          </w:tcPr>
          <w:p w14:paraId="745B4EEF" w14:textId="1AB8B79A" w:rsidR="00056E47" w:rsidRPr="00775156" w:rsidRDefault="00056E47" w:rsidP="00714C0E">
            <w:pPr>
              <w:spacing w:after="0" w:line="240" w:lineRule="auto"/>
              <w:rPr>
                <w:rFonts w:eastAsia="Times New Roman" w:cstheme="minorHAnsi"/>
                <w:color w:val="000000"/>
                <w:sz w:val="18"/>
                <w:szCs w:val="18"/>
                <w:lang w:eastAsia="en-GB"/>
              </w:rPr>
            </w:pPr>
          </w:p>
        </w:tc>
        <w:tc>
          <w:tcPr>
            <w:tcW w:w="888" w:type="dxa"/>
            <w:tcBorders>
              <w:top w:val="nil"/>
              <w:left w:val="nil"/>
              <w:bottom w:val="nil"/>
              <w:right w:val="nil"/>
            </w:tcBorders>
            <w:shd w:val="clear" w:color="000000" w:fill="FFFFFF"/>
            <w:noWrap/>
            <w:vAlign w:val="center"/>
          </w:tcPr>
          <w:p w14:paraId="6DF010C5" w14:textId="59CCA3E7" w:rsidR="00056E47" w:rsidRPr="00775156" w:rsidRDefault="00056E47" w:rsidP="00714C0E">
            <w:pPr>
              <w:spacing w:after="0" w:line="240" w:lineRule="auto"/>
              <w:rPr>
                <w:rFonts w:eastAsia="Times New Roman" w:cstheme="minorHAnsi"/>
                <w:color w:val="000000"/>
                <w:sz w:val="18"/>
                <w:szCs w:val="18"/>
                <w:lang w:eastAsia="en-GB"/>
              </w:rPr>
            </w:pPr>
          </w:p>
        </w:tc>
        <w:tc>
          <w:tcPr>
            <w:tcW w:w="1664" w:type="dxa"/>
            <w:vMerge/>
            <w:tcBorders>
              <w:left w:val="nil"/>
              <w:right w:val="nil"/>
            </w:tcBorders>
            <w:shd w:val="clear" w:color="000000" w:fill="FFFFFF"/>
            <w:vAlign w:val="center"/>
          </w:tcPr>
          <w:p w14:paraId="2DC04FC7" w14:textId="153CD539" w:rsidR="00056E47" w:rsidRPr="00775156" w:rsidRDefault="00056E47" w:rsidP="00714C0E">
            <w:pPr>
              <w:spacing w:after="0" w:line="240" w:lineRule="auto"/>
              <w:rPr>
                <w:rFonts w:eastAsia="Times New Roman" w:cstheme="minorHAnsi"/>
                <w:color w:val="000000"/>
                <w:sz w:val="18"/>
                <w:szCs w:val="18"/>
                <w:lang w:eastAsia="en-GB"/>
              </w:rPr>
            </w:pPr>
          </w:p>
        </w:tc>
        <w:tc>
          <w:tcPr>
            <w:tcW w:w="3684" w:type="dxa"/>
            <w:tcBorders>
              <w:top w:val="nil"/>
              <w:left w:val="nil"/>
              <w:bottom w:val="single" w:sz="8" w:space="0" w:color="auto"/>
              <w:right w:val="nil"/>
            </w:tcBorders>
            <w:shd w:val="clear" w:color="000000" w:fill="FFFFFF"/>
            <w:vAlign w:val="center"/>
            <w:hideMark/>
          </w:tcPr>
          <w:p w14:paraId="45C142A9"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Sports: </w:t>
            </w:r>
            <w:r w:rsidRPr="00775156">
              <w:rPr>
                <w:rFonts w:eastAsia="Times New Roman" w:cstheme="minorHAnsi"/>
                <w:color w:val="000000"/>
                <w:sz w:val="18"/>
                <w:szCs w:val="18"/>
                <w:lang w:eastAsia="en-GB"/>
              </w:rPr>
              <w:t>Attended the same ski school as index case</w:t>
            </w:r>
          </w:p>
        </w:tc>
        <w:tc>
          <w:tcPr>
            <w:tcW w:w="1182" w:type="dxa"/>
            <w:tcBorders>
              <w:top w:val="nil"/>
              <w:left w:val="nil"/>
              <w:bottom w:val="single" w:sz="8" w:space="0" w:color="auto"/>
              <w:right w:val="nil"/>
            </w:tcBorders>
            <w:shd w:val="clear" w:color="000000" w:fill="FFFFFF"/>
            <w:noWrap/>
            <w:vAlign w:val="center"/>
            <w:hideMark/>
          </w:tcPr>
          <w:p w14:paraId="22271E2B"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Symptomatic</w:t>
            </w:r>
          </w:p>
        </w:tc>
        <w:tc>
          <w:tcPr>
            <w:tcW w:w="992" w:type="dxa"/>
            <w:tcBorders>
              <w:top w:val="nil"/>
              <w:left w:val="nil"/>
              <w:bottom w:val="single" w:sz="8" w:space="0" w:color="auto"/>
              <w:right w:val="nil"/>
            </w:tcBorders>
            <w:shd w:val="clear" w:color="000000" w:fill="FFFFFF"/>
            <w:noWrap/>
            <w:vAlign w:val="center"/>
            <w:hideMark/>
          </w:tcPr>
          <w:p w14:paraId="51BD2A1E"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NA</w:t>
            </w:r>
          </w:p>
        </w:tc>
        <w:tc>
          <w:tcPr>
            <w:tcW w:w="869" w:type="dxa"/>
            <w:tcBorders>
              <w:top w:val="nil"/>
              <w:left w:val="nil"/>
              <w:bottom w:val="single" w:sz="8" w:space="0" w:color="auto"/>
              <w:right w:val="nil"/>
            </w:tcBorders>
            <w:shd w:val="clear" w:color="000000" w:fill="FFFFFF"/>
            <w:noWrap/>
            <w:vAlign w:val="center"/>
            <w:hideMark/>
          </w:tcPr>
          <w:p w14:paraId="61059A36"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w:t>
            </w:r>
          </w:p>
        </w:tc>
        <w:tc>
          <w:tcPr>
            <w:tcW w:w="993" w:type="dxa"/>
            <w:tcBorders>
              <w:top w:val="nil"/>
              <w:left w:val="nil"/>
              <w:bottom w:val="single" w:sz="8" w:space="0" w:color="auto"/>
              <w:right w:val="nil"/>
            </w:tcBorders>
            <w:shd w:val="clear" w:color="000000" w:fill="FFFFFF"/>
            <w:noWrap/>
            <w:vAlign w:val="center"/>
            <w:hideMark/>
          </w:tcPr>
          <w:p w14:paraId="2EF9F73D"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16</w:t>
            </w:r>
          </w:p>
        </w:tc>
        <w:tc>
          <w:tcPr>
            <w:tcW w:w="1134" w:type="dxa"/>
            <w:tcBorders>
              <w:top w:val="nil"/>
              <w:left w:val="nil"/>
              <w:bottom w:val="single" w:sz="8" w:space="0" w:color="auto"/>
              <w:right w:val="nil"/>
            </w:tcBorders>
            <w:shd w:val="clear" w:color="000000" w:fill="FFFFFF"/>
            <w:noWrap/>
            <w:vAlign w:val="center"/>
            <w:hideMark/>
          </w:tcPr>
          <w:p w14:paraId="468EAF09"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0</w:t>
            </w:r>
          </w:p>
        </w:tc>
        <w:tc>
          <w:tcPr>
            <w:tcW w:w="992" w:type="dxa"/>
            <w:tcBorders>
              <w:top w:val="nil"/>
              <w:left w:val="nil"/>
              <w:bottom w:val="single" w:sz="8" w:space="0" w:color="auto"/>
              <w:right w:val="nil"/>
            </w:tcBorders>
            <w:shd w:val="clear" w:color="000000" w:fill="FFFFFF"/>
            <w:noWrap/>
            <w:vAlign w:val="center"/>
            <w:hideMark/>
          </w:tcPr>
          <w:p w14:paraId="6ADDB7DF"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0</w:t>
            </w:r>
          </w:p>
        </w:tc>
      </w:tr>
      <w:tr w:rsidR="004E7F1D" w:rsidRPr="00C46A5F" w14:paraId="4FF9474B" w14:textId="77777777" w:rsidTr="00775156">
        <w:trPr>
          <w:trHeight w:val="976"/>
        </w:trPr>
        <w:tc>
          <w:tcPr>
            <w:tcW w:w="1278" w:type="dxa"/>
            <w:tcBorders>
              <w:top w:val="nil"/>
              <w:left w:val="nil"/>
              <w:bottom w:val="single" w:sz="4" w:space="0" w:color="auto"/>
              <w:right w:val="nil"/>
            </w:tcBorders>
            <w:shd w:val="clear" w:color="000000" w:fill="FFFFFF"/>
            <w:vAlign w:val="center"/>
          </w:tcPr>
          <w:p w14:paraId="49DF313A"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nil"/>
              <w:left w:val="nil"/>
              <w:bottom w:val="single" w:sz="4" w:space="0" w:color="auto"/>
              <w:right w:val="nil"/>
            </w:tcBorders>
            <w:shd w:val="clear" w:color="000000" w:fill="FFFFFF"/>
            <w:noWrap/>
            <w:vAlign w:val="center"/>
          </w:tcPr>
          <w:p w14:paraId="7BD92DA1" w14:textId="11B78E6A" w:rsidR="00056E47" w:rsidRPr="00775156" w:rsidRDefault="00056E47" w:rsidP="00714C0E">
            <w:pPr>
              <w:spacing w:after="0" w:line="240" w:lineRule="auto"/>
              <w:rPr>
                <w:rFonts w:eastAsia="Times New Roman" w:cstheme="minorHAnsi"/>
                <w:color w:val="000000"/>
                <w:sz w:val="18"/>
                <w:szCs w:val="18"/>
                <w:lang w:eastAsia="en-GB"/>
              </w:rPr>
            </w:pPr>
          </w:p>
        </w:tc>
        <w:tc>
          <w:tcPr>
            <w:tcW w:w="1202" w:type="dxa"/>
            <w:tcBorders>
              <w:left w:val="nil"/>
              <w:bottom w:val="single" w:sz="4" w:space="0" w:color="auto"/>
              <w:right w:val="nil"/>
            </w:tcBorders>
            <w:shd w:val="clear" w:color="000000" w:fill="FFFFFF"/>
            <w:vAlign w:val="center"/>
          </w:tcPr>
          <w:p w14:paraId="55B8739F" w14:textId="36CE4E9F" w:rsidR="00056E47" w:rsidRPr="00775156" w:rsidRDefault="00056E47" w:rsidP="00714C0E">
            <w:pPr>
              <w:spacing w:after="0" w:line="240" w:lineRule="auto"/>
              <w:rPr>
                <w:rFonts w:eastAsia="Times New Roman" w:cstheme="minorHAnsi"/>
                <w:color w:val="000000"/>
                <w:sz w:val="18"/>
                <w:szCs w:val="18"/>
                <w:lang w:eastAsia="en-GB"/>
              </w:rPr>
            </w:pPr>
          </w:p>
        </w:tc>
        <w:tc>
          <w:tcPr>
            <w:tcW w:w="888" w:type="dxa"/>
            <w:tcBorders>
              <w:top w:val="nil"/>
              <w:left w:val="nil"/>
              <w:bottom w:val="single" w:sz="4" w:space="0" w:color="auto"/>
              <w:right w:val="nil"/>
            </w:tcBorders>
            <w:shd w:val="clear" w:color="000000" w:fill="FFFFFF"/>
            <w:noWrap/>
            <w:vAlign w:val="center"/>
          </w:tcPr>
          <w:p w14:paraId="2038779A" w14:textId="4B632D51" w:rsidR="00056E47" w:rsidRPr="00775156" w:rsidRDefault="00056E47" w:rsidP="00714C0E">
            <w:pPr>
              <w:spacing w:after="0" w:line="240" w:lineRule="auto"/>
              <w:rPr>
                <w:rFonts w:eastAsia="Times New Roman" w:cstheme="minorHAnsi"/>
                <w:color w:val="000000"/>
                <w:sz w:val="18"/>
                <w:szCs w:val="18"/>
                <w:lang w:eastAsia="en-GB"/>
              </w:rPr>
            </w:pPr>
          </w:p>
        </w:tc>
        <w:tc>
          <w:tcPr>
            <w:tcW w:w="1664" w:type="dxa"/>
            <w:vMerge/>
            <w:tcBorders>
              <w:left w:val="nil"/>
              <w:bottom w:val="single" w:sz="4" w:space="0" w:color="auto"/>
              <w:right w:val="nil"/>
            </w:tcBorders>
            <w:shd w:val="clear" w:color="000000" w:fill="FFFFFF"/>
            <w:vAlign w:val="center"/>
          </w:tcPr>
          <w:p w14:paraId="31510472" w14:textId="2B0DCC4B" w:rsidR="00056E47" w:rsidRPr="00775156" w:rsidRDefault="00056E47" w:rsidP="00714C0E">
            <w:pPr>
              <w:spacing w:after="0" w:line="240" w:lineRule="auto"/>
              <w:rPr>
                <w:rFonts w:eastAsia="Times New Roman" w:cstheme="minorHAnsi"/>
                <w:color w:val="000000"/>
                <w:sz w:val="18"/>
                <w:szCs w:val="18"/>
                <w:lang w:eastAsia="en-GB"/>
              </w:rPr>
            </w:pPr>
          </w:p>
        </w:tc>
        <w:tc>
          <w:tcPr>
            <w:tcW w:w="3684" w:type="dxa"/>
            <w:tcBorders>
              <w:top w:val="nil"/>
              <w:left w:val="nil"/>
              <w:bottom w:val="single" w:sz="4" w:space="0" w:color="auto"/>
              <w:right w:val="nil"/>
            </w:tcBorders>
            <w:shd w:val="clear" w:color="000000" w:fill="FFFFFF"/>
            <w:vAlign w:val="center"/>
            <w:hideMark/>
          </w:tcPr>
          <w:p w14:paraId="0C24576B"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Casual contacts: </w:t>
            </w:r>
            <w:r w:rsidRPr="00775156">
              <w:rPr>
                <w:rFonts w:eastAsia="Times New Roman" w:cstheme="minorHAnsi"/>
                <w:color w:val="000000"/>
                <w:sz w:val="18"/>
                <w:szCs w:val="18"/>
                <w:lang w:eastAsia="en-GB"/>
              </w:rPr>
              <w:t>Contacts of an index case including apartment staff and cleaners, staff in shops and restaurants, and passengers in 4 buses and 3 airplanes.</w:t>
            </w:r>
          </w:p>
        </w:tc>
        <w:tc>
          <w:tcPr>
            <w:tcW w:w="1182" w:type="dxa"/>
            <w:tcBorders>
              <w:top w:val="nil"/>
              <w:left w:val="nil"/>
              <w:bottom w:val="single" w:sz="4" w:space="0" w:color="auto"/>
              <w:right w:val="nil"/>
            </w:tcBorders>
            <w:shd w:val="clear" w:color="000000" w:fill="FFFFFF"/>
            <w:noWrap/>
            <w:vAlign w:val="center"/>
            <w:hideMark/>
          </w:tcPr>
          <w:p w14:paraId="693A5AB7"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Symptomatic</w:t>
            </w:r>
          </w:p>
        </w:tc>
        <w:tc>
          <w:tcPr>
            <w:tcW w:w="992" w:type="dxa"/>
            <w:tcBorders>
              <w:top w:val="nil"/>
              <w:left w:val="nil"/>
              <w:bottom w:val="single" w:sz="4" w:space="0" w:color="auto"/>
              <w:right w:val="nil"/>
            </w:tcBorders>
            <w:shd w:val="clear" w:color="000000" w:fill="FFFFFF"/>
            <w:vAlign w:val="center"/>
            <w:hideMark/>
          </w:tcPr>
          <w:p w14:paraId="7EB71D2E"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4" w:space="0" w:color="auto"/>
              <w:right w:val="nil"/>
            </w:tcBorders>
            <w:shd w:val="clear" w:color="000000" w:fill="FFFFFF"/>
            <w:vAlign w:val="center"/>
            <w:hideMark/>
          </w:tcPr>
          <w:p w14:paraId="51E773D5"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11</w:t>
            </w:r>
          </w:p>
        </w:tc>
        <w:tc>
          <w:tcPr>
            <w:tcW w:w="993" w:type="dxa"/>
            <w:tcBorders>
              <w:top w:val="nil"/>
              <w:left w:val="nil"/>
              <w:bottom w:val="single" w:sz="4" w:space="0" w:color="auto"/>
              <w:right w:val="nil"/>
            </w:tcBorders>
            <w:shd w:val="clear" w:color="000000" w:fill="FFFFFF"/>
            <w:noWrap/>
            <w:vAlign w:val="center"/>
            <w:hideMark/>
          </w:tcPr>
          <w:p w14:paraId="3753919D"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64</w:t>
            </w:r>
          </w:p>
        </w:tc>
        <w:tc>
          <w:tcPr>
            <w:tcW w:w="1134" w:type="dxa"/>
            <w:tcBorders>
              <w:top w:val="nil"/>
              <w:left w:val="nil"/>
              <w:bottom w:val="single" w:sz="4" w:space="0" w:color="auto"/>
              <w:right w:val="nil"/>
            </w:tcBorders>
            <w:shd w:val="clear" w:color="000000" w:fill="FFFFFF"/>
            <w:noWrap/>
            <w:vAlign w:val="center"/>
            <w:hideMark/>
          </w:tcPr>
          <w:p w14:paraId="1C0608B5"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12</w:t>
            </w:r>
          </w:p>
        </w:tc>
        <w:tc>
          <w:tcPr>
            <w:tcW w:w="992" w:type="dxa"/>
            <w:tcBorders>
              <w:top w:val="nil"/>
              <w:left w:val="nil"/>
              <w:bottom w:val="single" w:sz="4" w:space="0" w:color="auto"/>
              <w:right w:val="nil"/>
            </w:tcBorders>
            <w:shd w:val="clear" w:color="000000" w:fill="FFFFFF"/>
            <w:noWrap/>
            <w:vAlign w:val="center"/>
            <w:hideMark/>
          </w:tcPr>
          <w:p w14:paraId="2E88C4F9"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0</w:t>
            </w:r>
          </w:p>
        </w:tc>
      </w:tr>
      <w:tr w:rsidR="004E7F1D" w:rsidRPr="00C46A5F" w14:paraId="25956606" w14:textId="77777777" w:rsidTr="00775156">
        <w:trPr>
          <w:trHeight w:val="615"/>
        </w:trPr>
        <w:tc>
          <w:tcPr>
            <w:tcW w:w="1278" w:type="dxa"/>
            <w:tcBorders>
              <w:top w:val="single" w:sz="4" w:space="0" w:color="auto"/>
              <w:left w:val="nil"/>
              <w:bottom w:val="single" w:sz="8" w:space="0" w:color="auto"/>
              <w:right w:val="nil"/>
            </w:tcBorders>
            <w:shd w:val="clear" w:color="000000" w:fill="FFFFFF"/>
            <w:vAlign w:val="center"/>
          </w:tcPr>
          <w:p w14:paraId="27B47F6A"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single" w:sz="4" w:space="0" w:color="auto"/>
              <w:left w:val="nil"/>
              <w:bottom w:val="single" w:sz="8" w:space="0" w:color="auto"/>
              <w:right w:val="nil"/>
            </w:tcBorders>
            <w:shd w:val="clear" w:color="000000" w:fill="FFFFFF"/>
            <w:noWrap/>
          </w:tcPr>
          <w:p w14:paraId="7FFE110D" w14:textId="490BEF27" w:rsidR="00056E47" w:rsidRPr="00775156" w:rsidRDefault="00056E47" w:rsidP="00C22C26">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Draper et al </w:t>
            </w:r>
            <w:r w:rsidR="00775156">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{"citationItems":[{"id":"ITEM-1","itemData":{"DOI":"10.33321/cdi.2020.44.53","ISSN":"22096051","PMID":"32615916","abstract":"The Northern Territory (NT) Centre for Disease Control (CDC) undertook contact tracing of all notified cases of coronavirus disease 2019 (COVID-19) within the Territory. There were 28 cases of COVID-19 notified in the NT between 1 March and 30 April 2020. In total 527 people were identified as close contacts over the same period; 493 were successfully contacted; 445 were located in the NT and were subsequently quarantined and monitored for disease symptoms daily for 14 days after contact with a confirmed COVID-19 case. Of these 445 close contacts, 4 tested positive for COVID-19 after developing symptoms; 2/46 contacts who were cruise ship passengers (4.3%, 95% CI 0.5-14.8%) and 2/51 household contacts (3.9%, 95% CI 0.5-13.5%). None of the 326 aircraft passengers or 4 healthcare workers who were being monitored in the NT as close contacts became cases.","author":[{"dropping-particle":"","family":"Draper","given":"Anthony Dk","non-dropping-particle":"","parse-names":false,"suffix":""},{"dropping-particle":"","family":"Dempsey","given":"Karen E.","non-dropping-particle":"","parse-names":false,"suffix":""},{"dropping-particle":"","family":"Boyd","given":"Rowena H.","non-dropping-particle":"","parse-names":false,"suffix":""},{"dropping-particle":"","family":"Childs","given":"Emma M.","non-dropping-particle":"","parse-names":false,"suffix":""},{"dropping-particle":"","family":"Black","given":"Hayley M.","non-dropping-particle":"","parse-names":false,"suffix":""},{"dropping-particle":"","family":"Francis","given":"Laura A.","non-dropping-particle":"","parse-names":false,"suffix":""},{"dropping-particle":"","family":"Markey","given":"Peter G.","non-dropping-particle":"","parse-names":false,"suffix":""},{"dropping-particle":"","family":"Krause","given":"Vicki L.","non-dropping-particle":"","parse-names":false,"suffix":""}],"container-title":"Communicable diseases intelligence (2018)","id":"ITEM-1","issued":{"date-parts":[["2020","7","2"]]},"publisher":"NLM (Medline)","title":"The first 2 months of COVID-19 contact tracing in the Northern Territory of Australia, March-April 2020","type":"article-journal","volume":"44"},"uris":["http://www.mendeley.com/documents/?uuid=c132361d-0779-3507-8e95-3025717d99c8"]}],"mendeley":{"formattedCitation":"[33]","plainTextFormattedCitation":"[33]","previouslyFormattedCitation":"[35]"},"properties":{"noteIndex":0},"schema":"https://github.com/citation-style-language/schema/raw/master/csl-citation.json"}</w:instrText>
            </w:r>
            <w:r w:rsidR="00775156">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[33]</w:t>
            </w:r>
            <w:r w:rsidR="00775156">
              <w:rPr>
                <w:rFonts w:eastAsia="Times New Roman" w:cstheme="minorHAnsi"/>
                <w:color w:val="000000"/>
                <w:sz w:val="18"/>
                <w:szCs w:val="18"/>
                <w:lang w:eastAsia="en-GB"/>
              </w:rPr>
              <w:fldChar w:fldCharType="end"/>
            </w:r>
          </w:p>
        </w:tc>
        <w:tc>
          <w:tcPr>
            <w:tcW w:w="1202" w:type="dxa"/>
            <w:tcBorders>
              <w:top w:val="single" w:sz="4" w:space="0" w:color="auto"/>
              <w:left w:val="nil"/>
              <w:bottom w:val="single" w:sz="8" w:space="0" w:color="auto"/>
              <w:right w:val="nil"/>
            </w:tcBorders>
            <w:shd w:val="clear" w:color="000000" w:fill="FFFFFF"/>
            <w:noWrap/>
          </w:tcPr>
          <w:p w14:paraId="50E11E5A" w14:textId="3002D197" w:rsidR="00056E47" w:rsidRPr="00775156" w:rsidRDefault="00056E47" w:rsidP="00C22C26">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Northern Territory</w:t>
            </w:r>
          </w:p>
        </w:tc>
        <w:tc>
          <w:tcPr>
            <w:tcW w:w="888" w:type="dxa"/>
            <w:tcBorders>
              <w:top w:val="single" w:sz="4" w:space="0" w:color="auto"/>
              <w:left w:val="nil"/>
              <w:bottom w:val="single" w:sz="8" w:space="0" w:color="auto"/>
              <w:right w:val="nil"/>
            </w:tcBorders>
            <w:shd w:val="clear" w:color="000000" w:fill="FFFFFF"/>
            <w:noWrap/>
          </w:tcPr>
          <w:p w14:paraId="67563BA2" w14:textId="259C14FC" w:rsidR="00056E47" w:rsidRPr="00775156" w:rsidRDefault="00056E47" w:rsidP="00C22C26">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Australia</w:t>
            </w:r>
          </w:p>
        </w:tc>
        <w:tc>
          <w:tcPr>
            <w:tcW w:w="1664" w:type="dxa"/>
            <w:tcBorders>
              <w:top w:val="single" w:sz="4" w:space="0" w:color="auto"/>
              <w:left w:val="nil"/>
              <w:bottom w:val="single" w:sz="8" w:space="0" w:color="auto"/>
              <w:right w:val="nil"/>
            </w:tcBorders>
            <w:shd w:val="clear" w:color="000000" w:fill="FFFFFF"/>
            <w:noWrap/>
          </w:tcPr>
          <w:p w14:paraId="723AA6FE" w14:textId="28E13911" w:rsidR="00056E47" w:rsidRPr="00775156" w:rsidRDefault="00056E47" w:rsidP="00C22C26">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Surveillance and contact tracing</w:t>
            </w:r>
          </w:p>
        </w:tc>
        <w:tc>
          <w:tcPr>
            <w:tcW w:w="3684" w:type="dxa"/>
            <w:tcBorders>
              <w:top w:val="single" w:sz="4" w:space="0" w:color="auto"/>
              <w:left w:val="nil"/>
              <w:bottom w:val="single" w:sz="8" w:space="0" w:color="auto"/>
              <w:right w:val="nil"/>
            </w:tcBorders>
            <w:shd w:val="clear" w:color="000000" w:fill="FFFFFF"/>
            <w:vAlign w:val="center"/>
          </w:tcPr>
          <w:p w14:paraId="4F2542C0" w14:textId="6D6982A9"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u w:val="single"/>
                <w:lang w:eastAsia="en-GB"/>
              </w:rPr>
              <w:t xml:space="preserve">Travel: </w:t>
            </w:r>
            <w:r w:rsidRPr="00775156">
              <w:rPr>
                <w:rFonts w:cstheme="minorHAnsi"/>
                <w:sz w:val="18"/>
                <w:szCs w:val="18"/>
              </w:rPr>
              <w:t>Aircraft close contacts included passengers seated in the same row as, or in the two rows in front of or behind, an infectious case. If the case was a crew member, the passengers in the area in which the crew member worked were classified as close contacts.</w:t>
            </w:r>
          </w:p>
        </w:tc>
        <w:tc>
          <w:tcPr>
            <w:tcW w:w="1182" w:type="dxa"/>
            <w:tcBorders>
              <w:top w:val="single" w:sz="4" w:space="0" w:color="auto"/>
              <w:left w:val="nil"/>
              <w:bottom w:val="single" w:sz="8" w:space="0" w:color="auto"/>
              <w:right w:val="nil"/>
            </w:tcBorders>
            <w:shd w:val="clear" w:color="000000" w:fill="FFFFFF"/>
            <w:noWrap/>
            <w:vAlign w:val="center"/>
          </w:tcPr>
          <w:p w14:paraId="637EAFEA" w14:textId="0A163BB2"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Symptomatic</w:t>
            </w:r>
          </w:p>
        </w:tc>
        <w:tc>
          <w:tcPr>
            <w:tcW w:w="992" w:type="dxa"/>
            <w:tcBorders>
              <w:top w:val="single" w:sz="4" w:space="0" w:color="auto"/>
              <w:left w:val="nil"/>
              <w:bottom w:val="single" w:sz="8" w:space="0" w:color="auto"/>
              <w:right w:val="nil"/>
            </w:tcBorders>
            <w:shd w:val="clear" w:color="000000" w:fill="FFFFFF"/>
            <w:vAlign w:val="center"/>
          </w:tcPr>
          <w:p w14:paraId="0E2FA0FE" w14:textId="7E02093E"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4" w:space="0" w:color="auto"/>
              <w:left w:val="nil"/>
              <w:bottom w:val="single" w:sz="8" w:space="0" w:color="auto"/>
              <w:right w:val="nil"/>
            </w:tcBorders>
            <w:shd w:val="clear" w:color="000000" w:fill="FFFFFF"/>
            <w:vAlign w:val="center"/>
          </w:tcPr>
          <w:p w14:paraId="543FE2D9" w14:textId="2E45CB43"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28</w:t>
            </w:r>
          </w:p>
        </w:tc>
        <w:tc>
          <w:tcPr>
            <w:tcW w:w="993" w:type="dxa"/>
            <w:tcBorders>
              <w:top w:val="single" w:sz="4" w:space="0" w:color="auto"/>
              <w:left w:val="nil"/>
              <w:bottom w:val="single" w:sz="8" w:space="0" w:color="auto"/>
              <w:right w:val="nil"/>
            </w:tcBorders>
            <w:shd w:val="clear" w:color="000000" w:fill="FFFFFF"/>
            <w:vAlign w:val="center"/>
          </w:tcPr>
          <w:p w14:paraId="31EE8FFA" w14:textId="2C2BA912"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389</w:t>
            </w:r>
          </w:p>
        </w:tc>
        <w:tc>
          <w:tcPr>
            <w:tcW w:w="1134" w:type="dxa"/>
            <w:tcBorders>
              <w:top w:val="single" w:sz="4" w:space="0" w:color="auto"/>
              <w:left w:val="nil"/>
              <w:bottom w:val="single" w:sz="8" w:space="0" w:color="auto"/>
              <w:right w:val="nil"/>
            </w:tcBorders>
            <w:shd w:val="clear" w:color="000000" w:fill="FFFFFF"/>
            <w:vAlign w:val="center"/>
          </w:tcPr>
          <w:p w14:paraId="281627F0" w14:textId="4EEE41D2"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992" w:type="dxa"/>
            <w:tcBorders>
              <w:top w:val="single" w:sz="4" w:space="0" w:color="auto"/>
              <w:left w:val="nil"/>
              <w:bottom w:val="single" w:sz="8" w:space="0" w:color="auto"/>
              <w:right w:val="nil"/>
            </w:tcBorders>
            <w:shd w:val="clear" w:color="000000" w:fill="FFFFFF"/>
            <w:vAlign w:val="center"/>
          </w:tcPr>
          <w:p w14:paraId="7506EBEA" w14:textId="2201EB9C"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0</w:t>
            </w:r>
          </w:p>
        </w:tc>
      </w:tr>
      <w:tr w:rsidR="004E7F1D" w:rsidRPr="00C46A5F" w14:paraId="57E65214" w14:textId="77777777" w:rsidTr="00775156">
        <w:trPr>
          <w:trHeight w:val="615"/>
        </w:trPr>
        <w:tc>
          <w:tcPr>
            <w:tcW w:w="1278" w:type="dxa"/>
            <w:tcBorders>
              <w:top w:val="single" w:sz="4" w:space="0" w:color="auto"/>
              <w:left w:val="nil"/>
              <w:bottom w:val="single" w:sz="8" w:space="0" w:color="auto"/>
              <w:right w:val="nil"/>
            </w:tcBorders>
            <w:shd w:val="clear" w:color="000000" w:fill="FFFFFF"/>
            <w:vAlign w:val="center"/>
          </w:tcPr>
          <w:p w14:paraId="35C6927F"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single" w:sz="4" w:space="0" w:color="auto"/>
              <w:left w:val="nil"/>
              <w:bottom w:val="single" w:sz="8" w:space="0" w:color="auto"/>
              <w:right w:val="nil"/>
            </w:tcBorders>
            <w:shd w:val="clear" w:color="000000" w:fill="FFFFFF"/>
            <w:noWrap/>
            <w:vAlign w:val="center"/>
            <w:hideMark/>
          </w:tcPr>
          <w:p w14:paraId="2930E2FC" w14:textId="59889124" w:rsidR="00056E47" w:rsidRPr="00775156" w:rsidRDefault="00056E47" w:rsidP="00714C0E">
            <w:pPr>
              <w:spacing w:after="0" w:line="240" w:lineRule="auto"/>
              <w:rPr>
                <w:rFonts w:eastAsia="Times New Roman" w:cstheme="minorHAnsi"/>
                <w:color w:val="000000"/>
                <w:sz w:val="18"/>
                <w:szCs w:val="18"/>
                <w:lang w:eastAsia="en-GB"/>
              </w:rPr>
            </w:pPr>
            <w:proofErr w:type="spellStart"/>
            <w:r w:rsidRPr="00775156">
              <w:rPr>
                <w:rFonts w:eastAsia="Times New Roman" w:cstheme="minorHAnsi"/>
                <w:color w:val="000000"/>
                <w:sz w:val="18"/>
                <w:szCs w:val="18"/>
                <w:lang w:eastAsia="en-GB"/>
              </w:rPr>
              <w:t>Hamner</w:t>
            </w:r>
            <w:proofErr w:type="spellEnd"/>
            <w:r w:rsidRPr="00775156">
              <w:rPr>
                <w:rFonts w:eastAsia="Times New Roman" w:cstheme="minorHAnsi"/>
                <w:color w:val="000000"/>
                <w:sz w:val="18"/>
                <w:szCs w:val="18"/>
                <w:lang w:eastAsia="en-GB"/>
              </w:rPr>
              <w:t xml:space="preserve"> et al</w:t>
            </w:r>
            <w:r w:rsidR="00775156">
              <w:rPr>
                <w:rFonts w:eastAsia="Times New Roman" w:cstheme="minorHAnsi"/>
                <w:color w:val="000000"/>
                <w:sz w:val="18"/>
                <w:szCs w:val="18"/>
                <w:lang w:eastAsia="en-GB"/>
              </w:rPr>
              <w:t xml:space="preserve"> </w:t>
            </w:r>
            <w:r w:rsidR="00775156">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http://dx.doi.org/10.15585/mmwr.mm6919e6external","author":[{"dropping-particle":"","family":"Hamner","given":"L","non-dropping-particle":"","parse-names":false,"suffix":""},{"dropping-particle":"","family":"Dubbel","given":"P","non-dropping-particle":"","parse-names":false,"suffix":""},{"dropping-particle":"","family":"Capron","given":"I","non-dropping-particle":"","parse-names":false,"suffix":""},{"dropping-particle":"","family":"Ross","given":"A","non-dropping-particle":"","parse-names":false,"suffix":""},{"dropping-particle":"","family":"Jordan","given":"A","non-dropping-particle":"","parse-names":false,"suffix":""},{"dropping-particle":"","family":"Lee","given":"J","non-dropping-particle":"","parse-names":false,"suffix":""},{"dropping-particle":"","family":"Lynn","given":"J","non-dropping-particle":"","parse-names":false,"suffix":""},{"dropping-particle":"","family":"Ball","given":"A","non-dropping-particle":"","parse-names":false,"suffix":""},{"dropping-particle":"","family":"Narwal","given":"S","non-dropping-particle":"","parse-names":false,"suffix":""},{"dropping-particle":"","family":"Russell","given":"S","non-dropping-particle":"","parse-names":false,"suffix":""},{"dropping-particle":"","family":"Patrick","given":"D","non-dropping-particle":"","parse-names":false,"suffix":""},{"dropping-particle":"","family":"Leibrand","given":"H","non-dropping-particle":"","parse-names":false,"suffix":""}],"container-title":"MMWR Morb Mortal Wkly Rep","id":"ITEM-1","issued":{"date-parts":[["2020"]]},"number-of-pages":"606-610","title":"High SARS-CoV-2 Attack Rate Following Exposure at a Choir Practice — Skagit County, Washington, March 2020","type":"report","volume":"69"},"uris":["http://www.mendeley.com/documents/?uuid=75bfb857-ee7e-4d47-8cce-7b816bfdd0e3"]}],"mendeley":{"formattedCitation":"[87]","plainTextFormattedCitation":"[87]","previouslyFormattedCitation":"[89]"},"properties":{"noteIndex":0},"schema":"https://github.com/citation-style-language/schema/raw/master/csl-citation.json"}</w:instrText>
            </w:r>
            <w:r w:rsidR="00775156">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[87]</w:t>
            </w:r>
            <w:r w:rsidR="00775156">
              <w:rPr>
                <w:rFonts w:eastAsia="Times New Roman" w:cstheme="minorHAnsi"/>
                <w:color w:val="000000"/>
                <w:sz w:val="18"/>
                <w:szCs w:val="18"/>
                <w:lang w:eastAsia="en-GB"/>
              </w:rPr>
              <w:fldChar w:fldCharType="end"/>
            </w:r>
          </w:p>
        </w:tc>
        <w:tc>
          <w:tcPr>
            <w:tcW w:w="1202" w:type="dxa"/>
            <w:tcBorders>
              <w:top w:val="single" w:sz="4" w:space="0" w:color="auto"/>
              <w:left w:val="nil"/>
              <w:bottom w:val="single" w:sz="8" w:space="0" w:color="auto"/>
              <w:right w:val="nil"/>
            </w:tcBorders>
            <w:shd w:val="clear" w:color="000000" w:fill="FFFFFF"/>
            <w:noWrap/>
            <w:vAlign w:val="center"/>
            <w:hideMark/>
          </w:tcPr>
          <w:p w14:paraId="5380B61C"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Washington</w:t>
            </w:r>
          </w:p>
        </w:tc>
        <w:tc>
          <w:tcPr>
            <w:tcW w:w="888" w:type="dxa"/>
            <w:tcBorders>
              <w:top w:val="single" w:sz="4" w:space="0" w:color="auto"/>
              <w:left w:val="nil"/>
              <w:bottom w:val="single" w:sz="8" w:space="0" w:color="auto"/>
              <w:right w:val="nil"/>
            </w:tcBorders>
            <w:shd w:val="clear" w:color="000000" w:fill="FFFFFF"/>
            <w:noWrap/>
            <w:vAlign w:val="center"/>
            <w:hideMark/>
          </w:tcPr>
          <w:p w14:paraId="0BD744D7"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USA</w:t>
            </w:r>
          </w:p>
        </w:tc>
        <w:tc>
          <w:tcPr>
            <w:tcW w:w="1664" w:type="dxa"/>
            <w:tcBorders>
              <w:top w:val="single" w:sz="4" w:space="0" w:color="auto"/>
              <w:left w:val="nil"/>
              <w:bottom w:val="single" w:sz="8" w:space="0" w:color="auto"/>
              <w:right w:val="nil"/>
            </w:tcBorders>
            <w:shd w:val="clear" w:color="000000" w:fill="FFFFFF"/>
            <w:noWrap/>
            <w:vAlign w:val="center"/>
            <w:hideMark/>
          </w:tcPr>
          <w:p w14:paraId="5C789876"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Outbreak investigation</w:t>
            </w:r>
          </w:p>
        </w:tc>
        <w:tc>
          <w:tcPr>
            <w:tcW w:w="3684" w:type="dxa"/>
            <w:tcBorders>
              <w:top w:val="single" w:sz="4" w:space="0" w:color="auto"/>
              <w:left w:val="nil"/>
              <w:bottom w:val="single" w:sz="8" w:space="0" w:color="auto"/>
              <w:right w:val="nil"/>
            </w:tcBorders>
            <w:shd w:val="clear" w:color="000000" w:fill="FFFFFF"/>
            <w:vAlign w:val="center"/>
            <w:hideMark/>
          </w:tcPr>
          <w:p w14:paraId="197DD517"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Religious Event:</w:t>
            </w:r>
            <w:r w:rsidRPr="00775156">
              <w:rPr>
                <w:rFonts w:eastAsia="Times New Roman" w:cstheme="minorHAnsi"/>
                <w:color w:val="000000"/>
                <w:sz w:val="18"/>
                <w:szCs w:val="18"/>
                <w:lang w:eastAsia="en-GB"/>
              </w:rPr>
              <w:t xml:space="preserve"> Attending a choir practice with a confirmed case</w:t>
            </w:r>
          </w:p>
        </w:tc>
        <w:tc>
          <w:tcPr>
            <w:tcW w:w="1182" w:type="dxa"/>
            <w:tcBorders>
              <w:top w:val="single" w:sz="4" w:space="0" w:color="auto"/>
              <w:left w:val="nil"/>
              <w:bottom w:val="single" w:sz="8" w:space="0" w:color="auto"/>
              <w:right w:val="nil"/>
            </w:tcBorders>
            <w:shd w:val="clear" w:color="000000" w:fill="FFFFFF"/>
            <w:noWrap/>
            <w:vAlign w:val="center"/>
            <w:hideMark/>
          </w:tcPr>
          <w:p w14:paraId="0B648E41"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Symptomatic</w:t>
            </w:r>
          </w:p>
        </w:tc>
        <w:tc>
          <w:tcPr>
            <w:tcW w:w="992" w:type="dxa"/>
            <w:tcBorders>
              <w:top w:val="single" w:sz="4" w:space="0" w:color="auto"/>
              <w:left w:val="nil"/>
              <w:bottom w:val="single" w:sz="8" w:space="0" w:color="auto"/>
              <w:right w:val="nil"/>
            </w:tcBorders>
            <w:shd w:val="clear" w:color="000000" w:fill="FFFFFF"/>
            <w:vAlign w:val="center"/>
            <w:hideMark/>
          </w:tcPr>
          <w:p w14:paraId="2BB1FE40"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4" w:space="0" w:color="auto"/>
              <w:left w:val="nil"/>
              <w:bottom w:val="single" w:sz="8" w:space="0" w:color="auto"/>
              <w:right w:val="nil"/>
            </w:tcBorders>
            <w:shd w:val="clear" w:color="000000" w:fill="FFFFFF"/>
            <w:vAlign w:val="center"/>
            <w:hideMark/>
          </w:tcPr>
          <w:p w14:paraId="66739E49"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w:t>
            </w:r>
          </w:p>
        </w:tc>
        <w:tc>
          <w:tcPr>
            <w:tcW w:w="993" w:type="dxa"/>
            <w:tcBorders>
              <w:top w:val="single" w:sz="4" w:space="0" w:color="auto"/>
              <w:left w:val="nil"/>
              <w:bottom w:val="single" w:sz="8" w:space="0" w:color="auto"/>
              <w:right w:val="nil"/>
            </w:tcBorders>
            <w:shd w:val="clear" w:color="000000" w:fill="FFFFFF"/>
            <w:vAlign w:val="center"/>
            <w:hideMark/>
          </w:tcPr>
          <w:p w14:paraId="7C8C49D5"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60</w:t>
            </w:r>
          </w:p>
        </w:tc>
        <w:tc>
          <w:tcPr>
            <w:tcW w:w="1134" w:type="dxa"/>
            <w:tcBorders>
              <w:top w:val="single" w:sz="4" w:space="0" w:color="auto"/>
              <w:left w:val="nil"/>
              <w:bottom w:val="single" w:sz="8" w:space="0" w:color="auto"/>
              <w:right w:val="nil"/>
            </w:tcBorders>
            <w:shd w:val="clear" w:color="000000" w:fill="FFFFFF"/>
            <w:vAlign w:val="center"/>
            <w:hideMark/>
          </w:tcPr>
          <w:p w14:paraId="2CF95F20"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992" w:type="dxa"/>
            <w:tcBorders>
              <w:top w:val="single" w:sz="4" w:space="0" w:color="auto"/>
              <w:left w:val="nil"/>
              <w:bottom w:val="single" w:sz="8" w:space="0" w:color="auto"/>
              <w:right w:val="nil"/>
            </w:tcBorders>
            <w:shd w:val="clear" w:color="000000" w:fill="FFFFFF"/>
            <w:vAlign w:val="center"/>
            <w:hideMark/>
          </w:tcPr>
          <w:p w14:paraId="75C31415"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32</w:t>
            </w:r>
          </w:p>
        </w:tc>
      </w:tr>
      <w:tr w:rsidR="000F13C3" w:rsidRPr="00C46A5F" w14:paraId="6D1E0597" w14:textId="77777777" w:rsidTr="00775156">
        <w:trPr>
          <w:trHeight w:val="831"/>
        </w:trPr>
        <w:tc>
          <w:tcPr>
            <w:tcW w:w="1278" w:type="dxa"/>
            <w:tcBorders>
              <w:top w:val="single" w:sz="8" w:space="0" w:color="auto"/>
              <w:left w:val="nil"/>
              <w:bottom w:val="single" w:sz="8" w:space="0" w:color="auto"/>
              <w:right w:val="nil"/>
            </w:tcBorders>
            <w:shd w:val="clear" w:color="000000" w:fill="FFFFFF"/>
            <w:vAlign w:val="center"/>
          </w:tcPr>
          <w:p w14:paraId="5BE9F129" w14:textId="31F9E81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single" w:sz="8" w:space="0" w:color="auto"/>
              <w:left w:val="nil"/>
              <w:bottom w:val="single" w:sz="8" w:space="0" w:color="auto"/>
              <w:right w:val="nil"/>
            </w:tcBorders>
            <w:shd w:val="clear" w:color="000000" w:fill="FFFFFF"/>
            <w:noWrap/>
            <w:vAlign w:val="center"/>
            <w:hideMark/>
          </w:tcPr>
          <w:p w14:paraId="39E7AB33" w14:textId="33FEA77A"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Huang et al </w:t>
            </w:r>
            <w:r w:rsidR="00DE4ED5">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{"citationItems":[{"id":"ITEM-1","itemData":{"DOI":"10.1016/j.jinf.2020.03.006","ISBN":"0163-4453 (Print)\r0163-4453","PMID":"32283156","abstract":"BACKGROUND: The outbreak of coronavirus-disease-2019 (COVID-19) has rapidly spread to many places outside Wuhan. Previous studies on COVID-19 mostly included older hospitalized-adults. Little information on infectivity among and characteristics of youngsters with COVID-19 is available. METHODS: A cluster of 22 close-contacts of a 22-year-old male (Patient-Index) including youngsters with laboratory-confirmed COVID-19 and hospitalized close-contacts testing negative for severe-acute-respiratory-syndrome-coronavirus-2 (SARS-CoV-2) in Anhui Province, China was prospectively-traced. RESULTS: Since January 23, 2020, we enrolled a cluster of eight youngsters with COVID-19 (median age [range], 22 [16-23] years; six males) originating from Patient-Index returning from Wuhan to Hefei on January 19. Patient-Index visited his 16-year-old female cousin in the evening on his return, and met 15 previous classmates in a get-together on January 21. He reported being totally asymptomatic and were described by all his contacts as healthy on January 19-21. His very first symptoms were itchy eyes and fever developed at noon and in the afternoon on January 22, respectively. Seven youngsters (his cousin and six classmates) became infected with COVID-19 after a-few-hour-contact with Patient-Index. None of the patients and contacts had visited Wuhan (except Patient-Index), or had any exposure to wet-markets, wild-animals, or medical-institutes within three months. For affected youngsters, the median incubation-period was 2 days (range, 1-4). The median serial-interval was 1 day (range, 0-4). Half or more of the eight COVID-19-infected youngsters had fever, cough, sputum production, nasal congestion, and fatigue on admission. All patients had mild conditions. Six patients developed pneumonia (all mild; one bilateral) on admission. As of February 20, four patients were discharged. CONCLUSIONS: SARS-CoV-2-infection presented strong infectivity during the incubation-period with rapid transmission in this cluster of youngsters outside Wuhan. COVID-19 developed in these youngsters had fast onset and various nonspecific atypical manifestations, and were much milder than in older patients as previously reported.","author":[{"dropping-particle":"","family":"Huang","given":"L","non-dropping-particle":"","parse-names":false,"suffix":""},{"dropping-particle":"","family":"Zhang","given":"X","non-dropping-particle":"","parse-names":false,"suffix":""},{"dropping-particle":"","family":"Zhang","given":"X","non-dropping-particle":"","parse-names":false,"suffix":""},{"dropping-particle":"","family":"Wei","given":"Z","non-dropping-particle":"","parse-names":false,"suffix":""},{"dropping-particle":"","family":"Zhang","given":"L","non-dropping-particle":"","parse-names":false,"suffix":""},{"dropping-particle":"","family":"Xu","given":"J","non-dropping-particle":"","parse-names":false,"suffix":""},{"dropping-particle":"","family":"Liang","given":"P","non-dropping-particle":"","parse-names":false,"suffix":""},{"dropping-particle":"","family":"Xu","given":"Y","non-dropping-particle":"","parse-names":false,"suffix":""},{"dropping-particle":"","family":"Zhang","given":"C","non-dropping-particle":"","parse-names":false,"suffix":""},{"dropping-particle":"","family":"Xu","given":"A","non-dropping-particle":"","parse-names":false,"suffix":""}],"container-title":"J Infect","edition":"2020/04/14","id":"ITEM-1","issue":"6","issued":{"date-parts":[["2020"]]},"language":"eng","note":"1532-2742\nHuang, Lei\nZhang, Xiuwen\nZhang, Xinyue\nWei, Zhijian\nZhang, Lingli\nXu, Jingjing\nLiang, Peipei\nXu, Yuanhong\nZhang, Chengyuan\nXu, Aman\nJournal Article\nResearch Support, Non-U.S. Gov't\nJ Infect. 2020 Jun;80(6):e1-e13. doi: 10.1016/j.jinf.2020.03.006. Epub 2020 Apr 10.","page":"e1-e13","title":"Rapid asymptomatic transmission of COVID-19 during the incubation period demonstrating strong infectivity in a cluster of youngsters aged 16-23 years outside Wuhan and characteristics of young patients with COVID-19: A prospective contact-tracing study","type":"article-journal","volume":"80"},"uris":["http://www.mendeley.com/documents/?uuid=3f2681af-c588-461d-9948-d6e510f0197d"]}],"mendeley":{"formattedCitation":"[21]","plainTextFormattedCitation":"[21]","previouslyFormattedCitation":"[23]"},"properties":{"noteIndex":0},"schema":"https://github.com/citation-style-language/schema/raw/master/csl-citation.json"}</w:instrText>
            </w:r>
            <w:r w:rsidR="00DE4ED5">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[21]</w:t>
            </w:r>
            <w:r w:rsidR="00DE4ED5">
              <w:rPr>
                <w:rFonts w:eastAsia="Times New Roman" w:cstheme="minorHAnsi"/>
                <w:color w:val="000000"/>
                <w:sz w:val="18"/>
                <w:szCs w:val="18"/>
                <w:lang w:eastAsia="en-GB"/>
              </w:rPr>
              <w:fldChar w:fldCharType="end"/>
            </w:r>
          </w:p>
        </w:tc>
        <w:tc>
          <w:tcPr>
            <w:tcW w:w="1202" w:type="dxa"/>
            <w:tcBorders>
              <w:top w:val="single" w:sz="8" w:space="0" w:color="auto"/>
              <w:left w:val="nil"/>
              <w:bottom w:val="single" w:sz="8" w:space="0" w:color="auto"/>
              <w:right w:val="nil"/>
            </w:tcBorders>
            <w:shd w:val="clear" w:color="000000" w:fill="FFFFFF"/>
            <w:noWrap/>
            <w:vAlign w:val="center"/>
            <w:hideMark/>
          </w:tcPr>
          <w:p w14:paraId="079F8684"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Anhui</w:t>
            </w:r>
          </w:p>
        </w:tc>
        <w:tc>
          <w:tcPr>
            <w:tcW w:w="888" w:type="dxa"/>
            <w:tcBorders>
              <w:top w:val="single" w:sz="8" w:space="0" w:color="auto"/>
              <w:left w:val="nil"/>
              <w:bottom w:val="single" w:sz="8" w:space="0" w:color="auto"/>
              <w:right w:val="nil"/>
            </w:tcBorders>
            <w:shd w:val="clear" w:color="000000" w:fill="FFFFFF"/>
            <w:noWrap/>
            <w:vAlign w:val="center"/>
            <w:hideMark/>
          </w:tcPr>
          <w:p w14:paraId="0DF83845"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China</w:t>
            </w:r>
          </w:p>
        </w:tc>
        <w:tc>
          <w:tcPr>
            <w:tcW w:w="1664" w:type="dxa"/>
            <w:tcBorders>
              <w:top w:val="single" w:sz="8" w:space="0" w:color="auto"/>
              <w:left w:val="nil"/>
              <w:bottom w:val="single" w:sz="8" w:space="0" w:color="auto"/>
              <w:right w:val="nil"/>
            </w:tcBorders>
            <w:shd w:val="clear" w:color="000000" w:fill="FFFFFF"/>
            <w:vAlign w:val="center"/>
            <w:hideMark/>
          </w:tcPr>
          <w:p w14:paraId="06935908"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Surveillance and contact tracing </w:t>
            </w:r>
          </w:p>
        </w:tc>
        <w:tc>
          <w:tcPr>
            <w:tcW w:w="3684" w:type="dxa"/>
            <w:tcBorders>
              <w:top w:val="single" w:sz="8" w:space="0" w:color="auto"/>
              <w:left w:val="nil"/>
              <w:bottom w:val="single" w:sz="8" w:space="0" w:color="auto"/>
              <w:right w:val="nil"/>
            </w:tcBorders>
            <w:shd w:val="clear" w:color="000000" w:fill="FFFFFF"/>
            <w:vAlign w:val="center"/>
            <w:hideMark/>
          </w:tcPr>
          <w:p w14:paraId="5DCB3097"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Family and Friends: </w:t>
            </w:r>
            <w:r w:rsidRPr="00775156">
              <w:rPr>
                <w:rFonts w:eastAsia="Times New Roman" w:cstheme="minorHAnsi"/>
                <w:color w:val="000000"/>
                <w:sz w:val="18"/>
                <w:szCs w:val="18"/>
                <w:lang w:eastAsia="en-GB"/>
              </w:rPr>
              <w:t xml:space="preserve">Sharing a dinner/ karaoke/ social get-together with the index case </w:t>
            </w:r>
          </w:p>
        </w:tc>
        <w:tc>
          <w:tcPr>
            <w:tcW w:w="1182" w:type="dxa"/>
            <w:tcBorders>
              <w:top w:val="single" w:sz="8" w:space="0" w:color="auto"/>
              <w:left w:val="nil"/>
              <w:bottom w:val="single" w:sz="8" w:space="0" w:color="auto"/>
              <w:right w:val="nil"/>
            </w:tcBorders>
            <w:shd w:val="clear" w:color="000000" w:fill="FFFFFF"/>
            <w:noWrap/>
            <w:vAlign w:val="center"/>
            <w:hideMark/>
          </w:tcPr>
          <w:p w14:paraId="571402E5"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noWrap/>
            <w:vAlign w:val="center"/>
            <w:hideMark/>
          </w:tcPr>
          <w:p w14:paraId="35BFF691"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noWrap/>
            <w:vAlign w:val="center"/>
            <w:hideMark/>
          </w:tcPr>
          <w:p w14:paraId="2062D751"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w:t>
            </w:r>
          </w:p>
        </w:tc>
        <w:tc>
          <w:tcPr>
            <w:tcW w:w="993" w:type="dxa"/>
            <w:tcBorders>
              <w:top w:val="single" w:sz="8" w:space="0" w:color="auto"/>
              <w:left w:val="nil"/>
              <w:bottom w:val="single" w:sz="8" w:space="0" w:color="auto"/>
              <w:right w:val="nil"/>
            </w:tcBorders>
            <w:shd w:val="clear" w:color="000000" w:fill="FFFFFF"/>
            <w:noWrap/>
            <w:vAlign w:val="center"/>
            <w:hideMark/>
          </w:tcPr>
          <w:p w14:paraId="0AEB1293"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17</w:t>
            </w:r>
          </w:p>
        </w:tc>
        <w:tc>
          <w:tcPr>
            <w:tcW w:w="1134" w:type="dxa"/>
            <w:tcBorders>
              <w:top w:val="single" w:sz="8" w:space="0" w:color="auto"/>
              <w:left w:val="nil"/>
              <w:bottom w:val="single" w:sz="8" w:space="0" w:color="auto"/>
              <w:right w:val="nil"/>
            </w:tcBorders>
            <w:shd w:val="clear" w:color="000000" w:fill="FFFFFF"/>
            <w:noWrap/>
            <w:vAlign w:val="center"/>
            <w:hideMark/>
          </w:tcPr>
          <w:p w14:paraId="77344433"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17</w:t>
            </w:r>
          </w:p>
        </w:tc>
        <w:tc>
          <w:tcPr>
            <w:tcW w:w="992" w:type="dxa"/>
            <w:tcBorders>
              <w:top w:val="single" w:sz="8" w:space="0" w:color="auto"/>
              <w:left w:val="nil"/>
              <w:bottom w:val="single" w:sz="8" w:space="0" w:color="auto"/>
              <w:right w:val="nil"/>
            </w:tcBorders>
            <w:shd w:val="clear" w:color="000000" w:fill="FFFFFF"/>
            <w:noWrap/>
            <w:vAlign w:val="center"/>
            <w:hideMark/>
          </w:tcPr>
          <w:p w14:paraId="2B295E93"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7</w:t>
            </w:r>
          </w:p>
        </w:tc>
      </w:tr>
      <w:tr w:rsidR="000F13C3" w:rsidRPr="00C46A5F" w14:paraId="4FC0BF92" w14:textId="77777777" w:rsidTr="00775156">
        <w:trPr>
          <w:trHeight w:val="894"/>
        </w:trPr>
        <w:tc>
          <w:tcPr>
            <w:tcW w:w="1278" w:type="dxa"/>
            <w:tcBorders>
              <w:top w:val="nil"/>
              <w:left w:val="nil"/>
              <w:bottom w:val="single" w:sz="4" w:space="0" w:color="auto"/>
              <w:right w:val="nil"/>
            </w:tcBorders>
            <w:shd w:val="clear" w:color="000000" w:fill="FFFFFF"/>
            <w:vAlign w:val="center"/>
          </w:tcPr>
          <w:p w14:paraId="25C90473"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nil"/>
              <w:left w:val="nil"/>
              <w:bottom w:val="single" w:sz="4" w:space="0" w:color="auto"/>
              <w:right w:val="nil"/>
            </w:tcBorders>
            <w:shd w:val="clear" w:color="000000" w:fill="FFFFFF"/>
            <w:noWrap/>
            <w:vAlign w:val="center"/>
            <w:hideMark/>
          </w:tcPr>
          <w:p w14:paraId="33C96A0B" w14:textId="1CA2693D"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James et al </w:t>
            </w:r>
            <w:r w:rsidR="00DE4ED5">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{"citationItems":[{"id":"ITEM-1","itemData":{"DOI":"10.15585/mmwr.mm6920e2","ISBN":"0149-2195","PMID":"32437338","abstract":"On March 16, 2020, the day that national social distancing guidelines were released (1), the Arkansas Department of Health (ADH) was notified of two cases of coronavirus disease 2019 (COVID-19) from a rural county of approximately 25,000 persons; these cases were the first identified in this county. The two cases occurred in a husband and wife; the husband is the pastor at a local church (church A). The couple (the index cases) attended church-related events during March 6-8, and developed nonspecific respiratory symptoms and fever on March 10 (wife) and 11 (husband). Before his symptoms had developed, the husband attended a Bible study group on March 11. Including the index cases, 35 confirmed COVID-19 cases occurred among 92 (38%) persons who attended events held at church A during March 6-11; three patients died. The age-specific attack rates among persons aged ≤18 years, 19-64 years, and ≥65 years were 6.3%, 59.4%, and 50.0%, respectively. During contact tracing, at least 26 additional persons with confirmed COVID-19 cases were identified among community members who reported contact with church A attendees and likely were infected by them; one of the additional persons was hospitalized and subsequently died. This outbreak highlights the potential for widespread transmission of SARS-CoV-2, the virus that causes COVID-19, both at group gatherings during church events and within the broader community. These findings underscore the opportunity for faith-based organizations to prevent COVID-19 by following local authorities' guidance and the U.S. Government's Guidelines: Opening Up America Again (2) regarding modification of activities to prevent virus transmission during the COVID-19 pandemic.","author":[{"dropping-particle":"","family":"James","given":"A","non-dropping-particle":"","parse-names":false,"suffix":""},{"dropping-particle":"","family":"Eagle","given":"L","non-dropping-particle":"","parse-names":false,"suffix":""},{"dropping-particle":"","family":"Phillips","given":"C","non-dropping-particle":"","parse-names":false,"suffix":""},{"dropping-particle":"","family":"Hedges","given":"D S","non-dropping-particle":"","parse-names":false,"suffix":""},{"dropping-particle":"","family":"Bodenhamer","given":"C","non-dropping-particle":"","parse-names":false,"suffix":""},{"dropping-particle":"","family":"Brown","given":"R","non-dropping-particle":"","parse-names":false,"suffix":""},{"dropping-particle":"","family":"Wheeler","given":"J G","non-dropping-particle":"","parse-names":false,"suffix":""},{"dropping-particle":"","family":"Kirking","given":"H","non-dropping-particle":"","parse-names":false,"suffix":""}],"container-title":"MMWR Morb Mortal Wkly Rep","edition":"2020/05/22","id":"ITEM-1","issue":"20","issued":{"date-parts":[["2020"]]},"language":"eng","note":"1545-861x\nJames, Allison\nEagle, Lesli\nPhillips, Cassandra\nHedges, D Stephen\nBodenhamer, Cathie\nBrown, Robin\nWheeler, J Gary\nKirking, Hannah\nJournal Article\nUnited States\nMMWR Morb Mortal Wkly Rep. 2020 May 22;69(20):632-635. doi: 10.15585/mmwr.mm6920e2.","page":"632-635","title":"High COVID-19 Attack Rate Among Attendees at Events at a Church - Arkansas, March 2020","type":"article-journal","volume":"69"},"uris":["http://www.mendeley.com/documents/?uuid=f13b3c82-b0c7-414b-a537-ce325281b870"]}],"mendeley":{"formattedCitation":"[88]","plainTextFormattedCitation":"[88]","previouslyFormattedCitation":"[90]"},"properties":{"noteIndex":0},"schema":"https://github.com/citation-style-language/schema/raw/master/csl-citation.json"}</w:instrText>
            </w:r>
            <w:r w:rsidR="00DE4ED5">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[88]</w:t>
            </w:r>
            <w:r w:rsidR="00DE4ED5">
              <w:rPr>
                <w:rFonts w:eastAsia="Times New Roman" w:cstheme="minorHAnsi"/>
                <w:color w:val="000000"/>
                <w:sz w:val="18"/>
                <w:szCs w:val="18"/>
                <w:lang w:eastAsia="en-GB"/>
              </w:rPr>
              <w:fldChar w:fldCharType="end"/>
            </w:r>
          </w:p>
        </w:tc>
        <w:tc>
          <w:tcPr>
            <w:tcW w:w="1202" w:type="dxa"/>
            <w:tcBorders>
              <w:top w:val="nil"/>
              <w:left w:val="nil"/>
              <w:bottom w:val="single" w:sz="4" w:space="0" w:color="auto"/>
              <w:right w:val="nil"/>
            </w:tcBorders>
            <w:shd w:val="clear" w:color="000000" w:fill="FFFFFF"/>
            <w:noWrap/>
            <w:vAlign w:val="center"/>
            <w:hideMark/>
          </w:tcPr>
          <w:p w14:paraId="50F5E8F5"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Arkansas</w:t>
            </w:r>
          </w:p>
        </w:tc>
        <w:tc>
          <w:tcPr>
            <w:tcW w:w="888" w:type="dxa"/>
            <w:tcBorders>
              <w:top w:val="nil"/>
              <w:left w:val="nil"/>
              <w:bottom w:val="single" w:sz="4" w:space="0" w:color="auto"/>
              <w:right w:val="nil"/>
            </w:tcBorders>
            <w:shd w:val="clear" w:color="000000" w:fill="FFFFFF"/>
            <w:noWrap/>
            <w:vAlign w:val="center"/>
            <w:hideMark/>
          </w:tcPr>
          <w:p w14:paraId="04F6EB5B"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USA</w:t>
            </w:r>
          </w:p>
        </w:tc>
        <w:tc>
          <w:tcPr>
            <w:tcW w:w="1664" w:type="dxa"/>
            <w:tcBorders>
              <w:top w:val="nil"/>
              <w:left w:val="nil"/>
              <w:bottom w:val="single" w:sz="4" w:space="0" w:color="auto"/>
              <w:right w:val="nil"/>
            </w:tcBorders>
            <w:shd w:val="clear" w:color="000000" w:fill="FFFFFF"/>
            <w:vAlign w:val="center"/>
            <w:hideMark/>
          </w:tcPr>
          <w:p w14:paraId="0FAFA833"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Contact tracing investigation</w:t>
            </w:r>
          </w:p>
        </w:tc>
        <w:tc>
          <w:tcPr>
            <w:tcW w:w="3684" w:type="dxa"/>
            <w:tcBorders>
              <w:top w:val="nil"/>
              <w:left w:val="nil"/>
              <w:bottom w:val="single" w:sz="4" w:space="0" w:color="auto"/>
              <w:right w:val="nil"/>
            </w:tcBorders>
            <w:shd w:val="clear" w:color="000000" w:fill="FFFFFF"/>
            <w:vAlign w:val="center"/>
            <w:hideMark/>
          </w:tcPr>
          <w:p w14:paraId="60D47176"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Religious Event: </w:t>
            </w:r>
            <w:r w:rsidRPr="00775156">
              <w:rPr>
                <w:rFonts w:eastAsia="Times New Roman" w:cstheme="minorHAnsi"/>
                <w:color w:val="000000"/>
                <w:sz w:val="18"/>
                <w:szCs w:val="18"/>
                <w:lang w:eastAsia="en-GB"/>
              </w:rPr>
              <w:t>Attended a bible study group and other church related events with confirmed cases (pastor and wife)</w:t>
            </w:r>
          </w:p>
        </w:tc>
        <w:tc>
          <w:tcPr>
            <w:tcW w:w="1182" w:type="dxa"/>
            <w:tcBorders>
              <w:top w:val="nil"/>
              <w:left w:val="nil"/>
              <w:bottom w:val="single" w:sz="4" w:space="0" w:color="auto"/>
              <w:right w:val="nil"/>
            </w:tcBorders>
            <w:shd w:val="clear" w:color="000000" w:fill="FFFFFF"/>
            <w:noWrap/>
            <w:vAlign w:val="center"/>
            <w:hideMark/>
          </w:tcPr>
          <w:p w14:paraId="511199E7"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symptomatic</w:t>
            </w:r>
          </w:p>
        </w:tc>
        <w:tc>
          <w:tcPr>
            <w:tcW w:w="992" w:type="dxa"/>
            <w:tcBorders>
              <w:top w:val="nil"/>
              <w:left w:val="nil"/>
              <w:bottom w:val="single" w:sz="4" w:space="0" w:color="auto"/>
              <w:right w:val="nil"/>
            </w:tcBorders>
            <w:shd w:val="clear" w:color="000000" w:fill="FFFFFF"/>
            <w:noWrap/>
            <w:vAlign w:val="center"/>
            <w:hideMark/>
          </w:tcPr>
          <w:p w14:paraId="2B4A0B2F"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4" w:space="0" w:color="auto"/>
              <w:right w:val="nil"/>
            </w:tcBorders>
            <w:shd w:val="clear" w:color="000000" w:fill="FFFFFF"/>
            <w:noWrap/>
            <w:vAlign w:val="center"/>
            <w:hideMark/>
          </w:tcPr>
          <w:p w14:paraId="529BE2DD"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w:t>
            </w:r>
          </w:p>
        </w:tc>
        <w:tc>
          <w:tcPr>
            <w:tcW w:w="993" w:type="dxa"/>
            <w:tcBorders>
              <w:top w:val="nil"/>
              <w:left w:val="nil"/>
              <w:bottom w:val="single" w:sz="4" w:space="0" w:color="auto"/>
              <w:right w:val="nil"/>
            </w:tcBorders>
            <w:shd w:val="clear" w:color="000000" w:fill="FFFFFF"/>
            <w:noWrap/>
            <w:vAlign w:val="center"/>
            <w:hideMark/>
          </w:tcPr>
          <w:p w14:paraId="415B1B7E"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90</w:t>
            </w:r>
          </w:p>
        </w:tc>
        <w:tc>
          <w:tcPr>
            <w:tcW w:w="1134" w:type="dxa"/>
            <w:tcBorders>
              <w:top w:val="nil"/>
              <w:left w:val="nil"/>
              <w:bottom w:val="single" w:sz="4" w:space="0" w:color="auto"/>
              <w:right w:val="nil"/>
            </w:tcBorders>
            <w:shd w:val="clear" w:color="000000" w:fill="FFFFFF"/>
            <w:noWrap/>
            <w:vAlign w:val="center"/>
            <w:hideMark/>
          </w:tcPr>
          <w:p w14:paraId="5F3A7721"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45</w:t>
            </w:r>
          </w:p>
        </w:tc>
        <w:tc>
          <w:tcPr>
            <w:tcW w:w="992" w:type="dxa"/>
            <w:tcBorders>
              <w:top w:val="nil"/>
              <w:left w:val="nil"/>
              <w:bottom w:val="single" w:sz="4" w:space="0" w:color="auto"/>
              <w:right w:val="nil"/>
            </w:tcBorders>
            <w:shd w:val="clear" w:color="000000" w:fill="FFFFFF"/>
            <w:noWrap/>
            <w:vAlign w:val="center"/>
            <w:hideMark/>
          </w:tcPr>
          <w:p w14:paraId="60F91C54"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33</w:t>
            </w:r>
          </w:p>
        </w:tc>
      </w:tr>
      <w:tr w:rsidR="004E7F1D" w:rsidRPr="00C46A5F" w14:paraId="1F96057A" w14:textId="77777777" w:rsidTr="005D20E9">
        <w:trPr>
          <w:trHeight w:val="772"/>
        </w:trPr>
        <w:tc>
          <w:tcPr>
            <w:tcW w:w="1278" w:type="dxa"/>
            <w:tcBorders>
              <w:top w:val="single" w:sz="4" w:space="0" w:color="auto"/>
              <w:left w:val="nil"/>
              <w:bottom w:val="single" w:sz="8" w:space="0" w:color="auto"/>
              <w:right w:val="nil"/>
            </w:tcBorders>
            <w:shd w:val="clear" w:color="000000" w:fill="FFFFFF"/>
            <w:vAlign w:val="center"/>
          </w:tcPr>
          <w:p w14:paraId="40069385" w14:textId="59BF6981" w:rsidR="00056E47" w:rsidRPr="00775156" w:rsidRDefault="009F1DD8"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47</w:t>
            </w:r>
          </w:p>
        </w:tc>
        <w:tc>
          <w:tcPr>
            <w:tcW w:w="1141" w:type="dxa"/>
            <w:tcBorders>
              <w:top w:val="single" w:sz="4" w:space="0" w:color="auto"/>
              <w:left w:val="nil"/>
              <w:bottom w:val="single" w:sz="8" w:space="0" w:color="auto"/>
              <w:right w:val="nil"/>
            </w:tcBorders>
            <w:shd w:val="clear" w:color="000000" w:fill="FFFFFF"/>
            <w:noWrap/>
            <w:vAlign w:val="center"/>
            <w:hideMark/>
          </w:tcPr>
          <w:p w14:paraId="308223F3" w14:textId="4A76A8C2"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Jang et al</w:t>
            </w:r>
            <w:r w:rsidR="00DE4ED5">
              <w:rPr>
                <w:rFonts w:eastAsia="Times New Roman" w:cstheme="minorHAnsi"/>
                <w:color w:val="000000"/>
                <w:sz w:val="18"/>
                <w:szCs w:val="18"/>
                <w:lang w:eastAsia="en-GB"/>
              </w:rPr>
              <w:t xml:space="preserve"> </w:t>
            </w:r>
            <w:r w:rsidR="00DE4ED5">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{"citationItems":[{"id":"ITEM-1","itemData":{"DOI":"10.3201/eid2608.200633","ISBN":"1080-6040 (Print)\r1080-6040","PMID":"32412896","abstract":"During 24 days in Cheonan, South Korea, 112 persons were infected with severe acute respiratory syndrome coronavirus 2 associated with fitness dance classes at 12 sports facilities. Intense physical exercise in densely populated sports facilities could increase risk for infection. Vigorous exercise in confined spaces should be minimized during outbreaks.","author":[{"dropping-particle":"","family":"Jang","given":"S","non-dropping-particle":"","parse-names":false,"suffix":""},{"dropping-particle":"","family":"Han","given":"S H","non-dropping-particle":"","parse-names":false,"suffix":""},{"dropping-particle":"","family":"Rhee","given":"J Y","non-dropping-particle":"","parse-names":false,"suffix":""}],"container-title":"Emerg Infect Dis","edition":"2020/05/16","id":"ITEM-1","issue":"8","issued":{"date-parts":[["2020"]]},"language":"eng","note":"1080-6059\nJang, Sukbin\nHan, Si Hyun\nRhee, Ji-Young\nJournal Article\nEmerg Infect Dis. 2020 Aug;26(8):1917-1920. doi: 10.3201/eid2608.200633. Epub 2020 May 15.","page":"1917-1920","title":"Cluster of Coronavirus Disease Associated with Fitness Dance Classes, South Korea","type":"article-journal","volume":"26"},"uris":["http://www.mendeley.com/documents/?uuid=b5b630d4-88fe-4e1d-b296-2dac6153ff26"]}],"mendeley":{"formattedCitation":"[19]","plainTextFormattedCitation":"[19]","previouslyFormattedCitation":"[21]"},"properties":{"noteIndex":0},"schema":"https://github.com/citation-style-language/schema/raw/master/csl-citation.json"}</w:instrText>
            </w:r>
            <w:r w:rsidR="00DE4ED5">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[19]</w:t>
            </w:r>
            <w:r w:rsidR="00DE4ED5">
              <w:rPr>
                <w:rFonts w:eastAsia="Times New Roman" w:cstheme="minorHAnsi"/>
                <w:color w:val="000000"/>
                <w:sz w:val="18"/>
                <w:szCs w:val="18"/>
                <w:lang w:eastAsia="en-GB"/>
              </w:rPr>
              <w:fldChar w:fldCharType="end"/>
            </w:r>
          </w:p>
        </w:tc>
        <w:tc>
          <w:tcPr>
            <w:tcW w:w="1202" w:type="dxa"/>
            <w:tcBorders>
              <w:top w:val="single" w:sz="4" w:space="0" w:color="auto"/>
              <w:left w:val="nil"/>
              <w:bottom w:val="single" w:sz="8" w:space="0" w:color="auto"/>
              <w:right w:val="nil"/>
            </w:tcBorders>
            <w:shd w:val="clear" w:color="000000" w:fill="FFFFFF"/>
            <w:noWrap/>
            <w:vAlign w:val="center"/>
            <w:hideMark/>
          </w:tcPr>
          <w:p w14:paraId="0BA9E7F0"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Cheonan</w:t>
            </w:r>
          </w:p>
        </w:tc>
        <w:tc>
          <w:tcPr>
            <w:tcW w:w="888" w:type="dxa"/>
            <w:tcBorders>
              <w:top w:val="single" w:sz="4" w:space="0" w:color="auto"/>
              <w:left w:val="nil"/>
              <w:bottom w:val="single" w:sz="8" w:space="0" w:color="auto"/>
              <w:right w:val="nil"/>
            </w:tcBorders>
            <w:shd w:val="clear" w:color="000000" w:fill="FFFFFF"/>
            <w:noWrap/>
            <w:vAlign w:val="center"/>
            <w:hideMark/>
          </w:tcPr>
          <w:p w14:paraId="1033A0AE"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South Korea</w:t>
            </w:r>
          </w:p>
        </w:tc>
        <w:tc>
          <w:tcPr>
            <w:tcW w:w="1664" w:type="dxa"/>
            <w:tcBorders>
              <w:top w:val="single" w:sz="4" w:space="0" w:color="auto"/>
              <w:left w:val="nil"/>
              <w:bottom w:val="single" w:sz="8" w:space="0" w:color="auto"/>
              <w:right w:val="nil"/>
            </w:tcBorders>
            <w:shd w:val="clear" w:color="000000" w:fill="FFFFFF"/>
            <w:vAlign w:val="center"/>
            <w:hideMark/>
          </w:tcPr>
          <w:p w14:paraId="27A7F96C"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Outbreak investigation and contact tracing</w:t>
            </w:r>
          </w:p>
        </w:tc>
        <w:tc>
          <w:tcPr>
            <w:tcW w:w="3684" w:type="dxa"/>
            <w:tcBorders>
              <w:top w:val="single" w:sz="4" w:space="0" w:color="auto"/>
              <w:left w:val="nil"/>
              <w:bottom w:val="single" w:sz="8" w:space="0" w:color="auto"/>
              <w:right w:val="nil"/>
            </w:tcBorders>
            <w:shd w:val="clear" w:color="000000" w:fill="FFFFFF"/>
            <w:vAlign w:val="center"/>
            <w:hideMark/>
          </w:tcPr>
          <w:p w14:paraId="72185F46"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Sports:</w:t>
            </w:r>
            <w:r w:rsidRPr="00775156">
              <w:rPr>
                <w:rFonts w:eastAsia="Times New Roman" w:cstheme="minorHAnsi"/>
                <w:color w:val="000000"/>
                <w:sz w:val="18"/>
                <w:szCs w:val="18"/>
                <w:lang w:eastAsia="en-GB"/>
              </w:rPr>
              <w:t xml:space="preserve"> Students of 6 exercise instructors, who were confirmed cases, teaching 12 fitness dance classes</w:t>
            </w:r>
          </w:p>
        </w:tc>
        <w:tc>
          <w:tcPr>
            <w:tcW w:w="1182" w:type="dxa"/>
            <w:tcBorders>
              <w:top w:val="single" w:sz="4" w:space="0" w:color="auto"/>
              <w:left w:val="nil"/>
              <w:bottom w:val="single" w:sz="8" w:space="0" w:color="auto"/>
              <w:right w:val="nil"/>
            </w:tcBorders>
            <w:shd w:val="clear" w:color="000000" w:fill="FFFFFF"/>
            <w:noWrap/>
            <w:vAlign w:val="center"/>
            <w:hideMark/>
          </w:tcPr>
          <w:p w14:paraId="2C0C05BB"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symptomatic</w:t>
            </w:r>
          </w:p>
        </w:tc>
        <w:tc>
          <w:tcPr>
            <w:tcW w:w="992" w:type="dxa"/>
            <w:tcBorders>
              <w:top w:val="single" w:sz="4" w:space="0" w:color="auto"/>
              <w:left w:val="nil"/>
              <w:bottom w:val="single" w:sz="8" w:space="0" w:color="auto"/>
              <w:right w:val="nil"/>
            </w:tcBorders>
            <w:shd w:val="clear" w:color="000000" w:fill="FFFFFF"/>
            <w:noWrap/>
            <w:vAlign w:val="center"/>
            <w:hideMark/>
          </w:tcPr>
          <w:p w14:paraId="64448FCD"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4" w:space="0" w:color="auto"/>
              <w:left w:val="nil"/>
              <w:bottom w:val="single" w:sz="8" w:space="0" w:color="auto"/>
              <w:right w:val="nil"/>
            </w:tcBorders>
            <w:shd w:val="clear" w:color="000000" w:fill="FFFFFF"/>
            <w:noWrap/>
            <w:vAlign w:val="center"/>
            <w:hideMark/>
          </w:tcPr>
          <w:p w14:paraId="354DA682"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6</w:t>
            </w:r>
          </w:p>
        </w:tc>
        <w:tc>
          <w:tcPr>
            <w:tcW w:w="993" w:type="dxa"/>
            <w:tcBorders>
              <w:top w:val="single" w:sz="4" w:space="0" w:color="auto"/>
              <w:left w:val="nil"/>
              <w:bottom w:val="single" w:sz="8" w:space="0" w:color="auto"/>
              <w:right w:val="nil"/>
            </w:tcBorders>
            <w:shd w:val="clear" w:color="000000" w:fill="FFFFFF"/>
            <w:noWrap/>
            <w:vAlign w:val="center"/>
            <w:hideMark/>
          </w:tcPr>
          <w:p w14:paraId="7EF98671"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217</w:t>
            </w:r>
          </w:p>
        </w:tc>
        <w:tc>
          <w:tcPr>
            <w:tcW w:w="1134" w:type="dxa"/>
            <w:tcBorders>
              <w:top w:val="single" w:sz="4" w:space="0" w:color="auto"/>
              <w:left w:val="nil"/>
              <w:bottom w:val="single" w:sz="8" w:space="0" w:color="auto"/>
              <w:right w:val="nil"/>
            </w:tcBorders>
            <w:shd w:val="clear" w:color="000000" w:fill="FFFFFF"/>
            <w:noWrap/>
            <w:vAlign w:val="center"/>
            <w:hideMark/>
          </w:tcPr>
          <w:p w14:paraId="45A78640"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57</w:t>
            </w:r>
          </w:p>
        </w:tc>
        <w:tc>
          <w:tcPr>
            <w:tcW w:w="992" w:type="dxa"/>
            <w:tcBorders>
              <w:top w:val="single" w:sz="4" w:space="0" w:color="auto"/>
              <w:left w:val="nil"/>
              <w:bottom w:val="single" w:sz="8" w:space="0" w:color="auto"/>
              <w:right w:val="nil"/>
            </w:tcBorders>
            <w:shd w:val="clear" w:color="000000" w:fill="FFFFFF"/>
            <w:noWrap/>
            <w:vAlign w:val="center"/>
            <w:hideMark/>
          </w:tcPr>
          <w:p w14:paraId="46D61FFD"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57</w:t>
            </w:r>
          </w:p>
        </w:tc>
      </w:tr>
      <w:tr w:rsidR="000F13C3" w:rsidRPr="00C46A5F" w14:paraId="1E88A158" w14:textId="77777777" w:rsidTr="005D20E9">
        <w:trPr>
          <w:trHeight w:val="688"/>
        </w:trPr>
        <w:tc>
          <w:tcPr>
            <w:tcW w:w="1278" w:type="dxa"/>
            <w:tcBorders>
              <w:top w:val="nil"/>
              <w:left w:val="nil"/>
              <w:bottom w:val="single" w:sz="8" w:space="0" w:color="auto"/>
              <w:right w:val="nil"/>
            </w:tcBorders>
            <w:shd w:val="clear" w:color="000000" w:fill="FFFFFF"/>
            <w:vAlign w:val="center"/>
          </w:tcPr>
          <w:p w14:paraId="03E91DAC" w14:textId="1F3F6649" w:rsidR="00056E47" w:rsidRPr="00775156" w:rsidRDefault="0035231A"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37</w:t>
            </w:r>
          </w:p>
        </w:tc>
        <w:tc>
          <w:tcPr>
            <w:tcW w:w="1141" w:type="dxa"/>
            <w:tcBorders>
              <w:top w:val="nil"/>
              <w:left w:val="nil"/>
              <w:bottom w:val="single" w:sz="8" w:space="0" w:color="auto"/>
              <w:right w:val="nil"/>
            </w:tcBorders>
            <w:shd w:val="clear" w:color="000000" w:fill="FFFFFF"/>
            <w:noWrap/>
            <w:vAlign w:val="center"/>
            <w:hideMark/>
          </w:tcPr>
          <w:p w14:paraId="595CE79F" w14:textId="3314926D"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Jing et al</w:t>
            </w:r>
            <w:r w:rsidR="00DE4ED5">
              <w:rPr>
                <w:rFonts w:eastAsia="Times New Roman" w:cstheme="minorHAnsi"/>
                <w:color w:val="000000"/>
                <w:sz w:val="18"/>
                <w:szCs w:val="18"/>
                <w:lang w:eastAsia="en-GB"/>
              </w:rPr>
              <w:t xml:space="preserve"> </w:t>
            </w:r>
            <w:r w:rsidR="00DE4ED5">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ISBN":"1473-3099","author":[{"dropping-particle":"","family":"Jing","given":"Qin-Long","non-dropping-particle":"","parse-names":false,"suffix":""},{"dropping-particle":"","family":"Liu","given":"Ming-Jin","non-dropping-particle":"","parse-names":false,"suffix":""},{"dropping-particle":"","family":"Zhang","given":"Zhou-Bin","non-dropping-particle":"","parse-names":false,"suffix":""},{"dropping-particle":"","family":"Fang","given":"Li-Qun","non-dropping-particle":"","parse-names":false,"suffix":""},{"dropping-particle":"","family":"Yuan","given":"Jun","non-dropping-particle":"","parse-names":false,"suffix":""},{"dropping-particle":"","family":"Zhang","given":"An-Ran","non-dropping-particle":"","parse-names":false,"suffix":""},{"dropping-particle":"","family":"Dean","given":"Natalie E","non-dropping-particle":"","parse-names":false,"suffix":""},{"dropping-particle":"","family":"Luo","given":"Lei","non-dropping-particle":"","parse-names":false,"suffix":""},{"dropping-particle":"","family":"Ma","given":"Meng-Meng","non-dropping-particle":"","parse-names":false,"suffix":""},{"dropping-particle":"","family":"Longini","given":"Ira","non-dropping-particle":"","parse-names":false,"suffix":""}],"container-title":"The Lancet Infectious Diseases","id":"ITEM-1","issued":{"date-parts":[["2020"]]},"title":"Household secondary attack rate of COVID-19 and associated determinants in Guangzhou, China: a retrospective cohort study","type":"article-journal"},"uris":["http://www.mendeley.com/documents/?uuid=bf18fc7e-31b3-490c-a428-7aeea8d8096a"]}],"mendeley":{"formattedCitation":"[38]","plainTextFormattedCitation":"[38]","previouslyFormattedCitation":"[40]"},"properties":{"noteIndex":0},"schema":"https://github.com/citation-style-language/schema/raw/master/csl-citation.json"}</w:instrText>
            </w:r>
            <w:r w:rsidR="00DE4ED5">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[38]</w:t>
            </w:r>
            <w:r w:rsidR="00DE4ED5">
              <w:rPr>
                <w:rFonts w:eastAsia="Times New Roman" w:cstheme="minorHAnsi"/>
                <w:color w:val="000000"/>
                <w:sz w:val="18"/>
                <w:szCs w:val="18"/>
                <w:lang w:eastAsia="en-GB"/>
              </w:rPr>
              <w:fldChar w:fldCharType="end"/>
            </w:r>
            <w:r w:rsidRPr="00775156">
              <w:rPr>
                <w:rFonts w:eastAsia="Times New Roman" w:cstheme="minorHAnsi"/>
                <w:color w:val="000000"/>
                <w:sz w:val="18"/>
                <w:szCs w:val="18"/>
                <w:lang w:eastAsia="en-GB"/>
              </w:rPr>
              <w:t xml:space="preserve"> </w:t>
            </w:r>
          </w:p>
        </w:tc>
        <w:tc>
          <w:tcPr>
            <w:tcW w:w="1202" w:type="dxa"/>
            <w:tcBorders>
              <w:top w:val="nil"/>
              <w:left w:val="nil"/>
              <w:bottom w:val="single" w:sz="8" w:space="0" w:color="auto"/>
              <w:right w:val="nil"/>
            </w:tcBorders>
            <w:shd w:val="clear" w:color="000000" w:fill="FFFFFF"/>
            <w:vAlign w:val="center"/>
            <w:hideMark/>
          </w:tcPr>
          <w:p w14:paraId="5C2E917B"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Guangzhou</w:t>
            </w:r>
          </w:p>
        </w:tc>
        <w:tc>
          <w:tcPr>
            <w:tcW w:w="888" w:type="dxa"/>
            <w:tcBorders>
              <w:top w:val="nil"/>
              <w:left w:val="nil"/>
              <w:bottom w:val="single" w:sz="8" w:space="0" w:color="auto"/>
              <w:right w:val="nil"/>
            </w:tcBorders>
            <w:shd w:val="clear" w:color="000000" w:fill="FFFFFF"/>
            <w:vAlign w:val="center"/>
            <w:hideMark/>
          </w:tcPr>
          <w:p w14:paraId="019009E8"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China</w:t>
            </w:r>
          </w:p>
        </w:tc>
        <w:tc>
          <w:tcPr>
            <w:tcW w:w="1664" w:type="dxa"/>
            <w:tcBorders>
              <w:top w:val="nil"/>
              <w:left w:val="nil"/>
              <w:bottom w:val="single" w:sz="8" w:space="0" w:color="auto"/>
              <w:right w:val="nil"/>
            </w:tcBorders>
            <w:shd w:val="clear" w:color="000000" w:fill="FFFFFF"/>
            <w:vAlign w:val="center"/>
            <w:hideMark/>
          </w:tcPr>
          <w:p w14:paraId="0DD8C42E"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Retrospective contact investigation</w:t>
            </w:r>
          </w:p>
        </w:tc>
        <w:tc>
          <w:tcPr>
            <w:tcW w:w="3684" w:type="dxa"/>
            <w:tcBorders>
              <w:top w:val="nil"/>
              <w:left w:val="nil"/>
              <w:bottom w:val="single" w:sz="8" w:space="0" w:color="auto"/>
              <w:right w:val="nil"/>
            </w:tcBorders>
            <w:shd w:val="clear" w:color="000000" w:fill="FFFFFF"/>
            <w:vAlign w:val="center"/>
            <w:hideMark/>
          </w:tcPr>
          <w:p w14:paraId="4FEAC358"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Family and Friends:</w:t>
            </w:r>
            <w:r w:rsidRPr="00775156">
              <w:rPr>
                <w:rFonts w:eastAsia="Times New Roman" w:cstheme="minorHAnsi"/>
                <w:color w:val="000000"/>
                <w:sz w:val="18"/>
                <w:szCs w:val="18"/>
                <w:lang w:eastAsia="en-GB"/>
              </w:rPr>
              <w:t xml:space="preserve"> family members not living at the same residential address as an index case </w:t>
            </w:r>
          </w:p>
        </w:tc>
        <w:tc>
          <w:tcPr>
            <w:tcW w:w="1182" w:type="dxa"/>
            <w:tcBorders>
              <w:top w:val="nil"/>
              <w:left w:val="nil"/>
              <w:bottom w:val="single" w:sz="8" w:space="0" w:color="auto"/>
              <w:right w:val="nil"/>
            </w:tcBorders>
            <w:shd w:val="clear" w:color="000000" w:fill="FFFFFF"/>
            <w:vAlign w:val="center"/>
            <w:hideMark/>
          </w:tcPr>
          <w:p w14:paraId="7C54F9DE"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hideMark/>
          </w:tcPr>
          <w:p w14:paraId="6302BB93"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7AE2CF0A"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215</w:t>
            </w:r>
          </w:p>
        </w:tc>
        <w:tc>
          <w:tcPr>
            <w:tcW w:w="993" w:type="dxa"/>
            <w:tcBorders>
              <w:top w:val="nil"/>
              <w:left w:val="nil"/>
              <w:bottom w:val="single" w:sz="8" w:space="0" w:color="auto"/>
              <w:right w:val="nil"/>
            </w:tcBorders>
            <w:shd w:val="clear" w:color="000000" w:fill="FFFFFF"/>
            <w:noWrap/>
            <w:vAlign w:val="center"/>
            <w:hideMark/>
          </w:tcPr>
          <w:p w14:paraId="6A2DAE43"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1,314</w:t>
            </w:r>
          </w:p>
        </w:tc>
        <w:tc>
          <w:tcPr>
            <w:tcW w:w="1134" w:type="dxa"/>
            <w:tcBorders>
              <w:top w:val="nil"/>
              <w:left w:val="nil"/>
              <w:bottom w:val="single" w:sz="8" w:space="0" w:color="auto"/>
              <w:right w:val="nil"/>
            </w:tcBorders>
            <w:shd w:val="clear" w:color="000000" w:fill="FFFFFF"/>
            <w:noWrap/>
            <w:vAlign w:val="center"/>
            <w:hideMark/>
          </w:tcPr>
          <w:p w14:paraId="75833573"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1314</w:t>
            </w:r>
          </w:p>
        </w:tc>
        <w:tc>
          <w:tcPr>
            <w:tcW w:w="992" w:type="dxa"/>
            <w:tcBorders>
              <w:top w:val="nil"/>
              <w:left w:val="nil"/>
              <w:bottom w:val="single" w:sz="8" w:space="0" w:color="auto"/>
              <w:right w:val="nil"/>
            </w:tcBorders>
            <w:shd w:val="clear" w:color="000000" w:fill="FFFFFF"/>
            <w:noWrap/>
            <w:vAlign w:val="center"/>
            <w:hideMark/>
          </w:tcPr>
          <w:p w14:paraId="45A6794F"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31</w:t>
            </w:r>
          </w:p>
        </w:tc>
      </w:tr>
      <w:tr w:rsidR="004E7F1D" w:rsidRPr="00C46A5F" w14:paraId="48D373F7" w14:textId="77777777" w:rsidTr="009E09F8">
        <w:trPr>
          <w:trHeight w:val="390"/>
        </w:trPr>
        <w:tc>
          <w:tcPr>
            <w:tcW w:w="1278" w:type="dxa"/>
            <w:tcBorders>
              <w:top w:val="single" w:sz="8" w:space="0" w:color="auto"/>
              <w:left w:val="nil"/>
              <w:right w:val="nil"/>
            </w:tcBorders>
            <w:shd w:val="clear" w:color="000000" w:fill="FFFFFF"/>
            <w:vAlign w:val="center"/>
          </w:tcPr>
          <w:p w14:paraId="2F75544E"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single" w:sz="8" w:space="0" w:color="auto"/>
              <w:left w:val="nil"/>
              <w:right w:val="nil"/>
            </w:tcBorders>
            <w:shd w:val="clear" w:color="000000" w:fill="FFFFFF"/>
            <w:vAlign w:val="center"/>
          </w:tcPr>
          <w:p w14:paraId="695A22AA" w14:textId="7A735441" w:rsidR="00056E47" w:rsidRPr="00775156" w:rsidRDefault="00056E47" w:rsidP="00714C0E">
            <w:pPr>
              <w:spacing w:after="0" w:line="240" w:lineRule="auto"/>
              <w:rPr>
                <w:rFonts w:eastAsia="Times New Roman" w:cstheme="minorHAnsi"/>
                <w:color w:val="000000"/>
                <w:sz w:val="18"/>
                <w:szCs w:val="18"/>
                <w:lang w:eastAsia="en-GB"/>
              </w:rPr>
            </w:pPr>
            <w:proofErr w:type="spellStart"/>
            <w:r w:rsidRPr="00775156">
              <w:rPr>
                <w:rFonts w:eastAsia="Times New Roman" w:cstheme="minorHAnsi"/>
                <w:color w:val="000000"/>
                <w:sz w:val="18"/>
                <w:szCs w:val="18"/>
                <w:lang w:eastAsia="en-GB"/>
              </w:rPr>
              <w:t>Laxminaraya</w:t>
            </w:r>
            <w:proofErr w:type="spellEnd"/>
            <w:r w:rsidRPr="00775156">
              <w:rPr>
                <w:rFonts w:eastAsia="Times New Roman" w:cstheme="minorHAnsi"/>
                <w:color w:val="000000"/>
                <w:sz w:val="18"/>
                <w:szCs w:val="18"/>
                <w:lang w:eastAsia="en-GB"/>
              </w:rPr>
              <w:t xml:space="preserve"> et al </w:t>
            </w:r>
            <w:r w:rsidR="00DE4ED5">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ISSN":"0036-8075","author":[{"dropping-particle":"","family":"Laxminarayan","given":"Ramanan","non-dropping-particle":"","parse-names":false,"suffix":""},{"dropping-particle":"","family":"Wahl","given":"Brian","non-dropping-particle":"","parse-names":false,"suffix":""},{"dropping-particle":"","family":"Dudala","given":"Shankar Reddy","non-dropping-particle":"","parse-names":false,"suffix":""},{"dropping-particle":"","family":"Gopal","given":"K","non-dropping-particle":"","parse-names":false,"suffix":""},{"dropping-particle":"","family":"Mohan","given":"Chandra","non-dropping-particle":"","parse-names":false,"suffix":""},{"dropping-particle":"","family":"Neelima","given":"S","non-dropping-particle":"","parse-names":false,"suffix":""},{"dropping-particle":"","family":"Reddy","given":"K S Jawahar","non-dropping-particle":"","parse-names":false,"suffix":""},{"dropping-particle":"","family":"Radhakrishnan","given":"J","non-dropping-particle":"","parse-names":false,"suffix":""},{"dropping-particle":"","family":"Lewnard","given":"Joseph A","non-dropping-particle":"","parse-names":false,"suffix":""}],"container-title":"Science","id":"ITEM-1","issued":{"date-parts":[["2020"]]},"publisher":"American Association for the Advancement of Science","title":"Epidemiology and transmission dynamics of COVID-19 in two Indian states","type":"article-journal"},"uris":["http://www.mendeley.com/documents/?uuid=50bc64e2-786a-4312-9153-40afe2ff1157"]}],"mendeley":{"formattedCitation":"[39]","plainTextFormattedCitation":"[39]","previouslyFormattedCitation":"[41]"},"properties":{"noteIndex":0},"schema":"https://github.com/citation-style-language/schema/raw/master/csl-citation.json"}</w:instrText>
            </w:r>
            <w:r w:rsidR="00DE4ED5">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[39]</w:t>
            </w:r>
            <w:r w:rsidR="00DE4ED5">
              <w:rPr>
                <w:rFonts w:eastAsia="Times New Roman" w:cstheme="minorHAnsi"/>
                <w:color w:val="000000"/>
                <w:sz w:val="18"/>
                <w:szCs w:val="18"/>
                <w:lang w:eastAsia="en-GB"/>
              </w:rPr>
              <w:fldChar w:fldCharType="end"/>
            </w:r>
          </w:p>
        </w:tc>
        <w:tc>
          <w:tcPr>
            <w:tcW w:w="1202" w:type="dxa"/>
            <w:tcBorders>
              <w:top w:val="single" w:sz="8" w:space="0" w:color="auto"/>
              <w:left w:val="nil"/>
              <w:right w:val="nil"/>
            </w:tcBorders>
            <w:shd w:val="clear" w:color="000000" w:fill="FFFFFF"/>
            <w:noWrap/>
            <w:vAlign w:val="center"/>
          </w:tcPr>
          <w:p w14:paraId="41F0CC2B" w14:textId="21D2BFE0"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Tamil Nadu and Andhra Pradesh</w:t>
            </w:r>
          </w:p>
        </w:tc>
        <w:tc>
          <w:tcPr>
            <w:tcW w:w="888" w:type="dxa"/>
            <w:tcBorders>
              <w:top w:val="single" w:sz="8" w:space="0" w:color="auto"/>
              <w:left w:val="nil"/>
              <w:right w:val="nil"/>
            </w:tcBorders>
            <w:shd w:val="clear" w:color="000000" w:fill="FFFFFF"/>
            <w:noWrap/>
            <w:vAlign w:val="center"/>
          </w:tcPr>
          <w:p w14:paraId="4DD5637D" w14:textId="2D17AAED"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India</w:t>
            </w:r>
          </w:p>
        </w:tc>
        <w:tc>
          <w:tcPr>
            <w:tcW w:w="1664" w:type="dxa"/>
            <w:tcBorders>
              <w:top w:val="single" w:sz="8" w:space="0" w:color="auto"/>
              <w:left w:val="nil"/>
              <w:right w:val="nil"/>
            </w:tcBorders>
            <w:shd w:val="clear" w:color="000000" w:fill="FFFFFF"/>
            <w:vAlign w:val="center"/>
          </w:tcPr>
          <w:p w14:paraId="0E569266" w14:textId="00050292"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Surveillance and contact tracing </w:t>
            </w:r>
          </w:p>
        </w:tc>
        <w:tc>
          <w:tcPr>
            <w:tcW w:w="3684" w:type="dxa"/>
            <w:tcBorders>
              <w:top w:val="single" w:sz="8" w:space="0" w:color="auto"/>
              <w:left w:val="nil"/>
              <w:bottom w:val="single" w:sz="8" w:space="0" w:color="auto"/>
              <w:right w:val="nil"/>
            </w:tcBorders>
            <w:shd w:val="clear" w:color="000000" w:fill="FFFFFF"/>
            <w:vAlign w:val="center"/>
          </w:tcPr>
          <w:p w14:paraId="2A3AFA52" w14:textId="5EB6DA8F"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Travel: </w:t>
            </w:r>
          </w:p>
        </w:tc>
        <w:tc>
          <w:tcPr>
            <w:tcW w:w="1182" w:type="dxa"/>
            <w:tcBorders>
              <w:top w:val="single" w:sz="8" w:space="0" w:color="auto"/>
              <w:left w:val="nil"/>
              <w:bottom w:val="single" w:sz="8" w:space="0" w:color="auto"/>
              <w:right w:val="nil"/>
            </w:tcBorders>
            <w:shd w:val="clear" w:color="000000" w:fill="FFFFFF"/>
            <w:vAlign w:val="center"/>
          </w:tcPr>
          <w:p w14:paraId="33A1D629" w14:textId="10B5CC41"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subset</w:t>
            </w:r>
          </w:p>
        </w:tc>
        <w:tc>
          <w:tcPr>
            <w:tcW w:w="992" w:type="dxa"/>
            <w:tcBorders>
              <w:top w:val="single" w:sz="8" w:space="0" w:color="auto"/>
              <w:left w:val="nil"/>
              <w:bottom w:val="single" w:sz="8" w:space="0" w:color="auto"/>
              <w:right w:val="nil"/>
            </w:tcBorders>
            <w:shd w:val="clear" w:color="000000" w:fill="FFFFFF"/>
            <w:vAlign w:val="center"/>
          </w:tcPr>
          <w:p w14:paraId="62A1A97A" w14:textId="4F6984CC"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vAlign w:val="center"/>
          </w:tcPr>
          <w:p w14:paraId="6EEF8B34" w14:textId="389747B9"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8</w:t>
            </w:r>
          </w:p>
        </w:tc>
        <w:tc>
          <w:tcPr>
            <w:tcW w:w="993" w:type="dxa"/>
            <w:tcBorders>
              <w:top w:val="single" w:sz="8" w:space="0" w:color="auto"/>
              <w:left w:val="nil"/>
              <w:bottom w:val="single" w:sz="8" w:space="0" w:color="auto"/>
              <w:right w:val="nil"/>
            </w:tcBorders>
            <w:shd w:val="clear" w:color="000000" w:fill="FFFFFF"/>
            <w:vAlign w:val="center"/>
          </w:tcPr>
          <w:p w14:paraId="76BC3A94" w14:textId="74796F04"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78</w:t>
            </w:r>
          </w:p>
        </w:tc>
        <w:tc>
          <w:tcPr>
            <w:tcW w:w="1134" w:type="dxa"/>
            <w:tcBorders>
              <w:top w:val="single" w:sz="8" w:space="0" w:color="auto"/>
              <w:left w:val="nil"/>
              <w:bottom w:val="single" w:sz="8" w:space="0" w:color="auto"/>
              <w:right w:val="nil"/>
            </w:tcBorders>
            <w:shd w:val="clear" w:color="000000" w:fill="FFFFFF"/>
            <w:vAlign w:val="center"/>
          </w:tcPr>
          <w:p w14:paraId="2E20472A" w14:textId="1D2FAE6B"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992" w:type="dxa"/>
            <w:tcBorders>
              <w:top w:val="single" w:sz="8" w:space="0" w:color="auto"/>
              <w:left w:val="nil"/>
              <w:bottom w:val="single" w:sz="8" w:space="0" w:color="auto"/>
              <w:right w:val="nil"/>
            </w:tcBorders>
            <w:shd w:val="clear" w:color="000000" w:fill="FFFFFF"/>
            <w:vAlign w:val="center"/>
          </w:tcPr>
          <w:p w14:paraId="2756D26D" w14:textId="2863917D"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63</w:t>
            </w:r>
          </w:p>
        </w:tc>
      </w:tr>
      <w:tr w:rsidR="004E7F1D" w:rsidRPr="00C46A5F" w14:paraId="40893525" w14:textId="77777777" w:rsidTr="00775156">
        <w:trPr>
          <w:trHeight w:val="515"/>
        </w:trPr>
        <w:tc>
          <w:tcPr>
            <w:tcW w:w="1278" w:type="dxa"/>
            <w:tcBorders>
              <w:left w:val="nil"/>
              <w:bottom w:val="single" w:sz="8" w:space="0" w:color="auto"/>
              <w:right w:val="nil"/>
            </w:tcBorders>
            <w:shd w:val="clear" w:color="000000" w:fill="FFFFFF"/>
            <w:vAlign w:val="center"/>
          </w:tcPr>
          <w:p w14:paraId="395BA31F"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left w:val="nil"/>
              <w:bottom w:val="single" w:sz="8" w:space="0" w:color="auto"/>
              <w:right w:val="nil"/>
            </w:tcBorders>
            <w:shd w:val="clear" w:color="000000" w:fill="FFFFFF"/>
            <w:vAlign w:val="center"/>
          </w:tcPr>
          <w:p w14:paraId="180D5B55" w14:textId="56709D9E" w:rsidR="00056E47" w:rsidRPr="00775156" w:rsidRDefault="00056E47" w:rsidP="00714C0E">
            <w:pPr>
              <w:spacing w:after="0" w:line="240" w:lineRule="auto"/>
              <w:rPr>
                <w:rFonts w:eastAsia="Times New Roman" w:cstheme="minorHAnsi"/>
                <w:color w:val="000000"/>
                <w:sz w:val="18"/>
                <w:szCs w:val="18"/>
                <w:lang w:eastAsia="en-GB"/>
              </w:rPr>
            </w:pPr>
          </w:p>
        </w:tc>
        <w:tc>
          <w:tcPr>
            <w:tcW w:w="1202" w:type="dxa"/>
            <w:tcBorders>
              <w:left w:val="nil"/>
              <w:bottom w:val="single" w:sz="8" w:space="0" w:color="auto"/>
              <w:right w:val="nil"/>
            </w:tcBorders>
            <w:shd w:val="clear" w:color="000000" w:fill="FFFFFF"/>
            <w:noWrap/>
            <w:vAlign w:val="center"/>
          </w:tcPr>
          <w:p w14:paraId="5375978E" w14:textId="77777777" w:rsidR="00056E47" w:rsidRPr="00775156" w:rsidRDefault="00056E47" w:rsidP="00714C0E">
            <w:pPr>
              <w:spacing w:after="0" w:line="240" w:lineRule="auto"/>
              <w:rPr>
                <w:rFonts w:eastAsia="Times New Roman" w:cstheme="minorHAnsi"/>
                <w:color w:val="000000"/>
                <w:sz w:val="18"/>
                <w:szCs w:val="18"/>
                <w:lang w:eastAsia="en-GB"/>
              </w:rPr>
            </w:pPr>
          </w:p>
        </w:tc>
        <w:tc>
          <w:tcPr>
            <w:tcW w:w="888" w:type="dxa"/>
            <w:tcBorders>
              <w:left w:val="nil"/>
              <w:bottom w:val="single" w:sz="8" w:space="0" w:color="auto"/>
              <w:right w:val="nil"/>
            </w:tcBorders>
            <w:shd w:val="clear" w:color="000000" w:fill="FFFFFF"/>
            <w:noWrap/>
            <w:vAlign w:val="center"/>
          </w:tcPr>
          <w:p w14:paraId="61440DF5" w14:textId="77777777" w:rsidR="00056E47" w:rsidRPr="00775156" w:rsidRDefault="00056E47" w:rsidP="00714C0E">
            <w:pPr>
              <w:spacing w:after="0" w:line="240" w:lineRule="auto"/>
              <w:rPr>
                <w:rFonts w:eastAsia="Times New Roman" w:cstheme="minorHAnsi"/>
                <w:color w:val="000000"/>
                <w:sz w:val="18"/>
                <w:szCs w:val="18"/>
                <w:lang w:eastAsia="en-GB"/>
              </w:rPr>
            </w:pPr>
          </w:p>
        </w:tc>
        <w:tc>
          <w:tcPr>
            <w:tcW w:w="1664" w:type="dxa"/>
            <w:tcBorders>
              <w:left w:val="nil"/>
              <w:bottom w:val="single" w:sz="8" w:space="0" w:color="auto"/>
              <w:right w:val="nil"/>
            </w:tcBorders>
            <w:shd w:val="clear" w:color="000000" w:fill="FFFFFF"/>
            <w:vAlign w:val="center"/>
          </w:tcPr>
          <w:p w14:paraId="0AD85503" w14:textId="77777777" w:rsidR="00056E47" w:rsidRPr="00775156" w:rsidRDefault="00056E47" w:rsidP="00714C0E">
            <w:pPr>
              <w:spacing w:after="0" w:line="240" w:lineRule="auto"/>
              <w:rPr>
                <w:rFonts w:eastAsia="Times New Roman" w:cstheme="minorHAnsi"/>
                <w:color w:val="000000"/>
                <w:sz w:val="18"/>
                <w:szCs w:val="18"/>
                <w:lang w:eastAsia="en-GB"/>
              </w:rPr>
            </w:pPr>
          </w:p>
        </w:tc>
        <w:tc>
          <w:tcPr>
            <w:tcW w:w="3684" w:type="dxa"/>
            <w:tcBorders>
              <w:top w:val="nil"/>
              <w:left w:val="nil"/>
              <w:bottom w:val="single" w:sz="8" w:space="0" w:color="auto"/>
              <w:right w:val="nil"/>
            </w:tcBorders>
            <w:shd w:val="clear" w:color="000000" w:fill="FFFFFF"/>
            <w:vAlign w:val="center"/>
          </w:tcPr>
          <w:p w14:paraId="284201DF" w14:textId="520665AC"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Combined casual contacts: </w:t>
            </w:r>
          </w:p>
        </w:tc>
        <w:tc>
          <w:tcPr>
            <w:tcW w:w="1182" w:type="dxa"/>
            <w:tcBorders>
              <w:top w:val="nil"/>
              <w:left w:val="nil"/>
              <w:bottom w:val="single" w:sz="8" w:space="0" w:color="auto"/>
              <w:right w:val="nil"/>
            </w:tcBorders>
            <w:shd w:val="clear" w:color="000000" w:fill="FFFFFF"/>
            <w:vAlign w:val="center"/>
          </w:tcPr>
          <w:p w14:paraId="074EA12E" w14:textId="003105FD"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subset</w:t>
            </w:r>
          </w:p>
        </w:tc>
        <w:tc>
          <w:tcPr>
            <w:tcW w:w="992" w:type="dxa"/>
            <w:tcBorders>
              <w:top w:val="nil"/>
              <w:left w:val="nil"/>
              <w:bottom w:val="single" w:sz="8" w:space="0" w:color="auto"/>
              <w:right w:val="nil"/>
            </w:tcBorders>
            <w:shd w:val="clear" w:color="000000" w:fill="FFFFFF"/>
            <w:vAlign w:val="center"/>
          </w:tcPr>
          <w:p w14:paraId="6E8A1B07" w14:textId="13517F8F"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tcPr>
          <w:p w14:paraId="433BDA06" w14:textId="53C823F3"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596</w:t>
            </w:r>
          </w:p>
        </w:tc>
        <w:tc>
          <w:tcPr>
            <w:tcW w:w="993" w:type="dxa"/>
            <w:tcBorders>
              <w:top w:val="nil"/>
              <w:left w:val="nil"/>
              <w:bottom w:val="single" w:sz="8" w:space="0" w:color="auto"/>
              <w:right w:val="nil"/>
            </w:tcBorders>
            <w:shd w:val="clear" w:color="000000" w:fill="FFFFFF"/>
            <w:vAlign w:val="center"/>
          </w:tcPr>
          <w:p w14:paraId="6A27E308" w14:textId="3DC83590"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9628</w:t>
            </w:r>
          </w:p>
        </w:tc>
        <w:tc>
          <w:tcPr>
            <w:tcW w:w="1134" w:type="dxa"/>
            <w:tcBorders>
              <w:top w:val="nil"/>
              <w:left w:val="nil"/>
              <w:bottom w:val="single" w:sz="8" w:space="0" w:color="auto"/>
              <w:right w:val="nil"/>
            </w:tcBorders>
            <w:shd w:val="clear" w:color="000000" w:fill="FFFFFF"/>
            <w:vAlign w:val="center"/>
          </w:tcPr>
          <w:p w14:paraId="173D955B" w14:textId="7310A0D4"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992" w:type="dxa"/>
            <w:tcBorders>
              <w:top w:val="nil"/>
              <w:left w:val="nil"/>
              <w:bottom w:val="single" w:sz="8" w:space="0" w:color="auto"/>
              <w:right w:val="nil"/>
            </w:tcBorders>
            <w:shd w:val="clear" w:color="000000" w:fill="FFFFFF"/>
            <w:vAlign w:val="center"/>
          </w:tcPr>
          <w:p w14:paraId="309789AB" w14:textId="49A155D5"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249</w:t>
            </w:r>
          </w:p>
        </w:tc>
      </w:tr>
      <w:tr w:rsidR="004E7F1D" w:rsidRPr="00C46A5F" w14:paraId="305DFE46" w14:textId="77777777" w:rsidTr="00775156">
        <w:trPr>
          <w:trHeight w:val="537"/>
        </w:trPr>
        <w:tc>
          <w:tcPr>
            <w:tcW w:w="1278" w:type="dxa"/>
            <w:tcBorders>
              <w:top w:val="single" w:sz="8" w:space="0" w:color="auto"/>
              <w:left w:val="nil"/>
              <w:right w:val="nil"/>
            </w:tcBorders>
            <w:shd w:val="clear" w:color="000000" w:fill="FFFFFF"/>
            <w:vAlign w:val="center"/>
          </w:tcPr>
          <w:p w14:paraId="2F919C7D" w14:textId="5E43D1FD" w:rsidR="00056E47" w:rsidRPr="00775156" w:rsidRDefault="0080122D"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4</w:t>
            </w:r>
            <w:r w:rsidR="0035231A">
              <w:rPr>
                <w:rFonts w:eastAsia="Times New Roman" w:cstheme="minorHAnsi"/>
                <w:color w:val="000000"/>
                <w:sz w:val="18"/>
                <w:szCs w:val="18"/>
                <w:lang w:eastAsia="en-GB"/>
              </w:rPr>
              <w:t>5</w:t>
            </w:r>
          </w:p>
        </w:tc>
        <w:tc>
          <w:tcPr>
            <w:tcW w:w="1141" w:type="dxa"/>
            <w:tcBorders>
              <w:top w:val="single" w:sz="8" w:space="0" w:color="auto"/>
              <w:left w:val="nil"/>
              <w:right w:val="nil"/>
            </w:tcBorders>
            <w:shd w:val="clear" w:color="000000" w:fill="FFFFFF"/>
            <w:vAlign w:val="center"/>
          </w:tcPr>
          <w:p w14:paraId="0CE548EB" w14:textId="0EEEBF86"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Liu et al</w:t>
            </w:r>
            <w:r w:rsidR="00295BDC">
              <w:rPr>
                <w:rFonts w:eastAsia="Times New Roman" w:cstheme="minorHAnsi"/>
                <w:color w:val="000000"/>
                <w:sz w:val="18"/>
                <w:szCs w:val="18"/>
                <w:lang w:eastAsia="en-GB"/>
              </w:rPr>
              <w:t xml:space="preserve"> </w:t>
            </w:r>
            <w:r w:rsidR="00AC58EC">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{"citationItems":[{"id":"ITEM-1","itemData":{"DOI":"10.1080/22221751.2020.1787799","ISSN":"null","abstract":"ABSTRACT This study aimed to estimate the attack rates, and identify the risk factors of COVID-19 infection. Based on a retrospective cohort study, we investigated 11,580 contacts of COVID-19 cases in Guangdong Province from 10 January to 15 March 2020. All contacts were tested by RT-PCR to detect their infection of SARS-COV-2. Attack rates by characteristics were calculated. Logistic regression was used to estimate the risk factors of infection for COVID-19. A total of 515 of 11,580 contacts were identified to be infected with SARS-COV-2. Compared to young adults aged 20?29 years, the infected risk was higher in children (RR: 2.59, 95%CI: 1.79?3.76), and old people aged 60?69 years (RR: 5.29, 95%CI: 3.76?7.46). Females also had higher infected risk (RR: 1.66, 95%CI: 1.39?2.00). People having close relationship with index cases encountered higher infected risk (RR for spouse: 20.68, 95%CI: 14.28?29.95; RR for non-spouse family members: 9.55, 95%CI: 6.73?13.55; RR for close relatives: 5.90, 95%CI: 4.06?8.59). Moreover, contacts exposed to index case in symptomatic period (RR: 2.15, 95%CI: 1.67?2.79), with critically severe symptoms (RR: 1.61, 95%CI: 1.00?2.57), with symptoms of dizzy (RR: 1.58, 95%CI: 1.08?2.30), myalgia (RR: 1.49, 95%CI: 1.15?1.94), and chill (RR: 1.42, 95%CI: 1.05?1.92) had higher infected risks. Children, old people, females, and family members are susceptible of COVID-19 infection, while index cases in the incubation period had lower contagiousness. Our findings will be helpful for developing targeted prevention and control strategies to combat the worldwide pandemic.","author":[{"dropping-particle":"","family":"Liu","given":"Tao","non-dropping-particle":"","parse-names":false,"suffix":""},{"dropping-particle":"","family":"Liang","given":"Wenjia","non-dropping-particle":"","parse-names":false,"suffix":""},{"dropping-particle":"","family":"Zhong","given":"Haojie","non-dropping-particle":"","parse-names":false,"suffix":""},{"dropping-particle":"","family":"He","given":"Jianfeng","non-dropping-particle":"","parse-names":false,"suffix":""},{"dropping-particle":"","family":"Chen","given":"Zihui","non-dropping-particle":"","parse-names":false,"suffix":""},{"dropping-particle":"","family":"He","given":"Guanhao","non-dropping-particle":"","parse-names":false,"suffix":""},{"dropping-particle":"","family":"Song","given":"Tie","non-dropping-particle":"","parse-names":false,"suffix":""},{"dropping-particle":"","family":"Chen","given":"Shaowei","non-dropping-particle":"","parse-names":false,"suffix":""},{"dropping-particle":"","family":"Wang","given":"Ping","non-dropping-particle":"","parse-names":false,"suffix":""},{"dropping-particle":"","family":"Li","given":"Jialing","non-dropping-particle":"","parse-names":false,"suffix":""},{"dropping-particle":"","family":"Lan","given":"Yunhua","non-dropping-particle":"","parse-names":false,"suffix":""},{"dropping-particle":"","family":"Cheng","given":"Mingji","non-dropping-particle":"","parse-names":false,"suffix":""},{"dropping-particle":"","family":"Huang","given":"Jinxu","non-dropping-particle":"","parse-names":false,"suffix":""},{"dropping-particle":"","family":"Niu","given":"Jiwei","non-dropping-particle":"","parse-names":false,"suffix":""},{"dropping-particle":"","family":"Xia","given":"Liang","non-dropping-particle":"","parse-names":false,"suffix":""},{"dropping-particle":"","family":"Xiao","given":"Jianpeng","non-dropping-particle":"","parse-names":false,"suffix":""},{"dropping-particle":"","family":"Hu","given":"Jianxiong","non-dropping-particle":"","parse-names":false,"suffix":""},{"dropping-particle":"","family":"Lin","given":"Lifeng","non-dropping-particle":"","parse-names":false,"suffix":""},{"dropping-particle":"","family":"Huang","given":"Qiong","non-dropping-particle":"","parse-names":false,"suffix":""},{"dropping-particle":"","family":"Rong","given":"Zuhua","non-dropping-particle":"","parse-names":false,"suffix":""},{"dropping-particle":"","family":"Deng","given":"Aiping","non-dropping-particle":"","parse-names":false,"suffix":""},{"dropping-particle":"","family":"Zeng","given":"Weilin","non-dropping-particle":"","parse-names":false,"suffix":""},{"dropping-particle":"","family":"Li","given":"Jiansen","non-dropping-particle":"","parse-names":false,"suffix":""},{"dropping-particle":"","family":"Li","given":"Xing","non-dropping-particle":"","parse-names":false,"suffix":""},{"dropping-particle":"","family":"Tan","given":"Xiaohua","non-dropping-particle":"","parse-names":false,"suffix":""},{"dropping-particle":"","family":"Kang","given":"Min","non-dropping-particle":"","parse-names":false,"suffix":""},{"dropping-particle":"","family":"Guo","given":"Lingchuan","non-dropping-particle":"","parse-names":false,"suffix":""},{"dropping-particle":"","family":"Zhu","given":"Zhihua","non-dropping-particle":"","parse-names":false,"suffix":""},{"dropping-particle":"","family":"Gong","given":"Dexin","non-dropping-particle":"","parse-names":false,"suffix":""},{"dropping-particle":"","family":"Chen","given":"Guimin","non-dropping-particle":"","parse-names":false,"suffix":""},{"dropping-particle":"","family":"Dong","given":"Moran","non-dropping-particle":"","parse-names":false,"suffix":""},{"dropping-particle":"","family":"Ma","given":"Wenjun","non-dropping-particle":"","parse-names":false,"suffix":""}],"container-title":"Emerging Microbes &amp; Infections","id":"ITEM-1","issue":"1","issued":{"date-parts":[["2020","1","1"]]},"note":"doi: 10.1080/22221751.2020.1787799","page":"1546-1553","publisher":"Taylor &amp; Francis","title":"Risk factors associated with COVID-19 infection: a retrospective cohort study based on contacts tracing","type":"article-journal","volume":"9"},"uris":["http://www.mendeley.com/documents/?uuid=af5b1337-2142-47fe-acea-12f5067889f7"]}],"mendeley":{"formattedCitation":"[75]","plainTextFormattedCitation":"[75]","previouslyFormattedCitation":"[77]"},"properties":{"noteIndex":0},"schema":"https://github.com/citation-style-language/schema/raw/master/csl-citation.json"}</w:instrText>
            </w:r>
            <w:r w:rsidR="00AC58EC">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[75]</w:t>
            </w:r>
            <w:r w:rsidR="00AC58EC">
              <w:rPr>
                <w:rFonts w:eastAsia="Times New Roman" w:cstheme="minorHAnsi"/>
                <w:color w:val="000000"/>
                <w:sz w:val="18"/>
                <w:szCs w:val="18"/>
                <w:lang w:eastAsia="en-GB"/>
              </w:rPr>
              <w:fldChar w:fldCharType="end"/>
            </w:r>
          </w:p>
        </w:tc>
        <w:tc>
          <w:tcPr>
            <w:tcW w:w="1202" w:type="dxa"/>
            <w:tcBorders>
              <w:top w:val="single" w:sz="8" w:space="0" w:color="auto"/>
              <w:left w:val="nil"/>
              <w:right w:val="nil"/>
            </w:tcBorders>
            <w:shd w:val="clear" w:color="000000" w:fill="FFFFFF"/>
            <w:noWrap/>
            <w:vAlign w:val="center"/>
          </w:tcPr>
          <w:p w14:paraId="532B1FCF" w14:textId="573A902D"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Guangdong</w:t>
            </w:r>
          </w:p>
        </w:tc>
        <w:tc>
          <w:tcPr>
            <w:tcW w:w="888" w:type="dxa"/>
            <w:tcBorders>
              <w:top w:val="single" w:sz="8" w:space="0" w:color="auto"/>
              <w:left w:val="nil"/>
              <w:right w:val="nil"/>
            </w:tcBorders>
            <w:shd w:val="clear" w:color="000000" w:fill="FFFFFF"/>
            <w:noWrap/>
            <w:vAlign w:val="center"/>
          </w:tcPr>
          <w:p w14:paraId="38702A22" w14:textId="7CB9EEC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China</w:t>
            </w:r>
          </w:p>
        </w:tc>
        <w:tc>
          <w:tcPr>
            <w:tcW w:w="1664" w:type="dxa"/>
            <w:tcBorders>
              <w:top w:val="single" w:sz="8" w:space="0" w:color="auto"/>
              <w:left w:val="nil"/>
              <w:right w:val="nil"/>
            </w:tcBorders>
            <w:shd w:val="clear" w:color="000000" w:fill="FFFFFF"/>
            <w:vAlign w:val="center"/>
          </w:tcPr>
          <w:p w14:paraId="420D1D56" w14:textId="040A3FBC"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Surveillance and contact tracing </w:t>
            </w:r>
          </w:p>
        </w:tc>
        <w:tc>
          <w:tcPr>
            <w:tcW w:w="3684" w:type="dxa"/>
            <w:tcBorders>
              <w:top w:val="nil"/>
              <w:left w:val="nil"/>
              <w:bottom w:val="single" w:sz="8" w:space="0" w:color="auto"/>
              <w:right w:val="nil"/>
            </w:tcBorders>
            <w:shd w:val="clear" w:color="000000" w:fill="FFFFFF"/>
            <w:vAlign w:val="center"/>
          </w:tcPr>
          <w:p w14:paraId="0C2B54EC" w14:textId="454FFCDF"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u w:val="single"/>
                <w:lang w:eastAsia="en-GB"/>
              </w:rPr>
              <w:t xml:space="preserve">Combined casual contacts: </w:t>
            </w:r>
            <w:r w:rsidRPr="00775156">
              <w:rPr>
                <w:rFonts w:eastAsia="Times New Roman" w:cstheme="minorHAnsi"/>
                <w:color w:val="000000"/>
                <w:sz w:val="18"/>
                <w:szCs w:val="18"/>
                <w:lang w:eastAsia="en-GB"/>
              </w:rPr>
              <w:t>social activity contacts</w:t>
            </w:r>
          </w:p>
        </w:tc>
        <w:tc>
          <w:tcPr>
            <w:tcW w:w="1182" w:type="dxa"/>
            <w:tcBorders>
              <w:top w:val="nil"/>
              <w:left w:val="nil"/>
              <w:bottom w:val="single" w:sz="8" w:space="0" w:color="auto"/>
              <w:right w:val="nil"/>
            </w:tcBorders>
            <w:shd w:val="clear" w:color="000000" w:fill="FFFFFF"/>
            <w:vAlign w:val="center"/>
          </w:tcPr>
          <w:p w14:paraId="75658BB1" w14:textId="1CE21A6F"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tcPr>
          <w:p w14:paraId="53ACFAB6" w14:textId="719AF5EF"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tcPr>
          <w:p w14:paraId="2E1B0A3C" w14:textId="0BCF62B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1158</w:t>
            </w:r>
          </w:p>
        </w:tc>
        <w:tc>
          <w:tcPr>
            <w:tcW w:w="993" w:type="dxa"/>
            <w:tcBorders>
              <w:top w:val="nil"/>
              <w:left w:val="nil"/>
              <w:bottom w:val="single" w:sz="8" w:space="0" w:color="auto"/>
              <w:right w:val="nil"/>
            </w:tcBorders>
            <w:shd w:val="clear" w:color="000000" w:fill="FFFFFF"/>
            <w:vAlign w:val="center"/>
          </w:tcPr>
          <w:p w14:paraId="5E646BC6" w14:textId="48BEB43E"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3344</w:t>
            </w:r>
          </w:p>
        </w:tc>
        <w:tc>
          <w:tcPr>
            <w:tcW w:w="1134" w:type="dxa"/>
            <w:tcBorders>
              <w:top w:val="nil"/>
              <w:left w:val="nil"/>
              <w:bottom w:val="single" w:sz="8" w:space="0" w:color="auto"/>
              <w:right w:val="nil"/>
            </w:tcBorders>
            <w:shd w:val="clear" w:color="000000" w:fill="FFFFFF"/>
            <w:vAlign w:val="center"/>
          </w:tcPr>
          <w:p w14:paraId="4D876BD0" w14:textId="497BB5C8"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3344</w:t>
            </w:r>
          </w:p>
        </w:tc>
        <w:tc>
          <w:tcPr>
            <w:tcW w:w="992" w:type="dxa"/>
            <w:tcBorders>
              <w:top w:val="nil"/>
              <w:left w:val="nil"/>
              <w:bottom w:val="single" w:sz="8" w:space="0" w:color="auto"/>
              <w:right w:val="nil"/>
            </w:tcBorders>
            <w:shd w:val="clear" w:color="000000" w:fill="FFFFFF"/>
            <w:vAlign w:val="center"/>
          </w:tcPr>
          <w:p w14:paraId="5F3FDF14" w14:textId="7C413D6C"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41</w:t>
            </w:r>
          </w:p>
        </w:tc>
      </w:tr>
      <w:tr w:rsidR="004E7F1D" w:rsidRPr="00C46A5F" w14:paraId="577B3AA4" w14:textId="77777777" w:rsidTr="00775156">
        <w:trPr>
          <w:trHeight w:val="558"/>
        </w:trPr>
        <w:tc>
          <w:tcPr>
            <w:tcW w:w="1278" w:type="dxa"/>
            <w:tcBorders>
              <w:left w:val="nil"/>
              <w:bottom w:val="single" w:sz="8" w:space="0" w:color="FFFFFF" w:themeColor="background1"/>
              <w:right w:val="nil"/>
            </w:tcBorders>
            <w:shd w:val="clear" w:color="000000" w:fill="FFFFFF"/>
            <w:vAlign w:val="center"/>
          </w:tcPr>
          <w:p w14:paraId="4947866E"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left w:val="nil"/>
              <w:bottom w:val="single" w:sz="8" w:space="0" w:color="FFFFFF" w:themeColor="background1"/>
              <w:right w:val="nil"/>
            </w:tcBorders>
            <w:shd w:val="clear" w:color="000000" w:fill="FFFFFF"/>
            <w:vAlign w:val="center"/>
          </w:tcPr>
          <w:p w14:paraId="6226749E" w14:textId="052A77EE" w:rsidR="00056E47" w:rsidRPr="00775156" w:rsidRDefault="00056E47" w:rsidP="00714C0E">
            <w:pPr>
              <w:spacing w:after="0" w:line="240" w:lineRule="auto"/>
              <w:rPr>
                <w:rFonts w:eastAsia="Times New Roman" w:cstheme="minorHAnsi"/>
                <w:color w:val="000000"/>
                <w:sz w:val="18"/>
                <w:szCs w:val="18"/>
                <w:lang w:eastAsia="en-GB"/>
              </w:rPr>
            </w:pPr>
          </w:p>
        </w:tc>
        <w:tc>
          <w:tcPr>
            <w:tcW w:w="1202" w:type="dxa"/>
            <w:tcBorders>
              <w:left w:val="nil"/>
              <w:bottom w:val="single" w:sz="8" w:space="0" w:color="FFFFFF" w:themeColor="background1"/>
              <w:right w:val="nil"/>
            </w:tcBorders>
            <w:shd w:val="clear" w:color="000000" w:fill="FFFFFF"/>
            <w:noWrap/>
            <w:vAlign w:val="center"/>
          </w:tcPr>
          <w:p w14:paraId="7854AEFB" w14:textId="77777777" w:rsidR="00056E47" w:rsidRPr="00775156" w:rsidRDefault="00056E47" w:rsidP="00714C0E">
            <w:pPr>
              <w:spacing w:after="0" w:line="240" w:lineRule="auto"/>
              <w:rPr>
                <w:rFonts w:eastAsia="Times New Roman" w:cstheme="minorHAnsi"/>
                <w:color w:val="000000"/>
                <w:sz w:val="18"/>
                <w:szCs w:val="18"/>
                <w:lang w:eastAsia="en-GB"/>
              </w:rPr>
            </w:pPr>
          </w:p>
        </w:tc>
        <w:tc>
          <w:tcPr>
            <w:tcW w:w="888" w:type="dxa"/>
            <w:tcBorders>
              <w:left w:val="nil"/>
              <w:bottom w:val="single" w:sz="8" w:space="0" w:color="FFFFFF" w:themeColor="background1"/>
              <w:right w:val="nil"/>
            </w:tcBorders>
            <w:shd w:val="clear" w:color="000000" w:fill="FFFFFF"/>
            <w:noWrap/>
            <w:vAlign w:val="center"/>
          </w:tcPr>
          <w:p w14:paraId="63C9CE5D" w14:textId="77777777" w:rsidR="00056E47" w:rsidRPr="00775156" w:rsidRDefault="00056E47" w:rsidP="00714C0E">
            <w:pPr>
              <w:spacing w:after="0" w:line="240" w:lineRule="auto"/>
              <w:rPr>
                <w:rFonts w:eastAsia="Times New Roman" w:cstheme="minorHAnsi"/>
                <w:color w:val="000000"/>
                <w:sz w:val="18"/>
                <w:szCs w:val="18"/>
                <w:lang w:eastAsia="en-GB"/>
              </w:rPr>
            </w:pPr>
          </w:p>
        </w:tc>
        <w:tc>
          <w:tcPr>
            <w:tcW w:w="1664" w:type="dxa"/>
            <w:tcBorders>
              <w:left w:val="nil"/>
              <w:bottom w:val="single" w:sz="8" w:space="0" w:color="FFFFFF" w:themeColor="background1"/>
              <w:right w:val="nil"/>
            </w:tcBorders>
            <w:shd w:val="clear" w:color="000000" w:fill="FFFFFF"/>
            <w:vAlign w:val="center"/>
          </w:tcPr>
          <w:p w14:paraId="4FFEB74D" w14:textId="77777777" w:rsidR="00056E47" w:rsidRPr="00775156" w:rsidRDefault="00056E47" w:rsidP="00714C0E">
            <w:pPr>
              <w:spacing w:after="0" w:line="240" w:lineRule="auto"/>
              <w:rPr>
                <w:rFonts w:eastAsia="Times New Roman" w:cstheme="minorHAnsi"/>
                <w:color w:val="000000"/>
                <w:sz w:val="18"/>
                <w:szCs w:val="18"/>
                <w:lang w:eastAsia="en-GB"/>
              </w:rPr>
            </w:pPr>
          </w:p>
        </w:tc>
        <w:tc>
          <w:tcPr>
            <w:tcW w:w="3684" w:type="dxa"/>
            <w:tcBorders>
              <w:top w:val="nil"/>
              <w:left w:val="nil"/>
              <w:bottom w:val="single" w:sz="8" w:space="0" w:color="auto"/>
              <w:right w:val="nil"/>
            </w:tcBorders>
            <w:shd w:val="clear" w:color="000000" w:fill="FFFFFF"/>
            <w:vAlign w:val="center"/>
          </w:tcPr>
          <w:p w14:paraId="79CAE5ED" w14:textId="60D74350"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u w:val="single"/>
                <w:lang w:eastAsia="en-GB"/>
              </w:rPr>
              <w:t xml:space="preserve">Travel: </w:t>
            </w:r>
            <w:r w:rsidRPr="00775156">
              <w:rPr>
                <w:rFonts w:eastAsia="Times New Roman" w:cstheme="minorHAnsi"/>
                <w:color w:val="000000"/>
                <w:sz w:val="18"/>
                <w:szCs w:val="18"/>
                <w:lang w:eastAsia="en-GB"/>
              </w:rPr>
              <w:t xml:space="preserve">flight, train, public transportation, and private car </w:t>
            </w:r>
          </w:p>
        </w:tc>
        <w:tc>
          <w:tcPr>
            <w:tcW w:w="1182" w:type="dxa"/>
            <w:tcBorders>
              <w:top w:val="nil"/>
              <w:left w:val="nil"/>
              <w:bottom w:val="single" w:sz="8" w:space="0" w:color="auto"/>
              <w:right w:val="nil"/>
            </w:tcBorders>
            <w:shd w:val="clear" w:color="000000" w:fill="FFFFFF"/>
            <w:vAlign w:val="center"/>
          </w:tcPr>
          <w:p w14:paraId="77E3B6F2" w14:textId="3A1A71F8"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tcPr>
          <w:p w14:paraId="75EE59DF" w14:textId="1D582732"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tcPr>
          <w:p w14:paraId="53FAB8DF" w14:textId="37A5BADC"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1158</w:t>
            </w:r>
          </w:p>
        </w:tc>
        <w:tc>
          <w:tcPr>
            <w:tcW w:w="993" w:type="dxa"/>
            <w:tcBorders>
              <w:top w:val="nil"/>
              <w:left w:val="nil"/>
              <w:bottom w:val="single" w:sz="8" w:space="0" w:color="auto"/>
              <w:right w:val="nil"/>
            </w:tcBorders>
            <w:shd w:val="clear" w:color="000000" w:fill="FFFFFF"/>
            <w:vAlign w:val="center"/>
          </w:tcPr>
          <w:p w14:paraId="54931C66" w14:textId="0973AB73"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2038</w:t>
            </w:r>
          </w:p>
        </w:tc>
        <w:tc>
          <w:tcPr>
            <w:tcW w:w="1134" w:type="dxa"/>
            <w:tcBorders>
              <w:top w:val="nil"/>
              <w:left w:val="nil"/>
              <w:bottom w:val="single" w:sz="8" w:space="0" w:color="auto"/>
              <w:right w:val="nil"/>
            </w:tcBorders>
            <w:shd w:val="clear" w:color="000000" w:fill="FFFFFF"/>
            <w:vAlign w:val="center"/>
          </w:tcPr>
          <w:p w14:paraId="2AB569A5" w14:textId="600F9CBF"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2038</w:t>
            </w:r>
          </w:p>
        </w:tc>
        <w:tc>
          <w:tcPr>
            <w:tcW w:w="992" w:type="dxa"/>
            <w:tcBorders>
              <w:top w:val="nil"/>
              <w:left w:val="nil"/>
              <w:bottom w:val="single" w:sz="8" w:space="0" w:color="auto"/>
              <w:right w:val="nil"/>
            </w:tcBorders>
            <w:shd w:val="clear" w:color="000000" w:fill="FFFFFF"/>
            <w:vAlign w:val="center"/>
          </w:tcPr>
          <w:p w14:paraId="0CA2AAB3" w14:textId="0535DAF9"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31</w:t>
            </w:r>
          </w:p>
        </w:tc>
      </w:tr>
      <w:tr w:rsidR="004E7F1D" w:rsidRPr="00C46A5F" w14:paraId="1E24638D" w14:textId="77777777" w:rsidTr="00D9380C">
        <w:trPr>
          <w:trHeight w:val="535"/>
        </w:trPr>
        <w:tc>
          <w:tcPr>
            <w:tcW w:w="1278" w:type="dxa"/>
            <w:tcBorders>
              <w:top w:val="single" w:sz="8" w:space="0" w:color="auto"/>
              <w:left w:val="nil"/>
              <w:bottom w:val="single" w:sz="8" w:space="0" w:color="FFFFFF" w:themeColor="background1"/>
              <w:right w:val="nil"/>
            </w:tcBorders>
            <w:shd w:val="clear" w:color="000000" w:fill="FFFFFF"/>
            <w:vAlign w:val="center"/>
          </w:tcPr>
          <w:p w14:paraId="7320EE7E" w14:textId="6ADBBE16" w:rsidR="00056E47" w:rsidRPr="00775156" w:rsidRDefault="0035231A"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30</w:t>
            </w:r>
          </w:p>
        </w:tc>
        <w:tc>
          <w:tcPr>
            <w:tcW w:w="1141" w:type="dxa"/>
            <w:tcBorders>
              <w:top w:val="single" w:sz="8" w:space="0" w:color="auto"/>
              <w:left w:val="nil"/>
              <w:bottom w:val="single" w:sz="8" w:space="0" w:color="FFFFFF" w:themeColor="background1"/>
              <w:right w:val="nil"/>
            </w:tcBorders>
            <w:shd w:val="clear" w:color="000000" w:fill="FFFFFF"/>
            <w:vAlign w:val="center"/>
            <w:hideMark/>
          </w:tcPr>
          <w:p w14:paraId="7AA2780B" w14:textId="0B8726E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Luo et al </w:t>
            </w:r>
            <w:r w:rsidR="00702F9E">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{"citationItems":[{"id":"ITEM-1","itemData":{"DOI":"10.1101/2020.03.24.20042606","abstract":"Background Rapid spread of SARS-CoV-2 in Wuhan prompted heightened surveillance in Guangzhou and elsewhere in China. Modes of contact and risk of transmission among close contacts have not been well estimated. Methods We included 4950 closes contacts from Guangzhou, and extracted data including modes of contact, laboratory testing, clinical characteristics of confirmed cases and source cases. We used logistic regression analysis to explore the risk factors associated with infection of close contacts. Results Among 4950 closes contacts, the median age was 38.0 years, and males accounted for 50.2% (2484). During quarantine period, 129 cases (2.6%) were diagnosed, with 8 asymptomatic (6.2%), 49 mild (38.0%), and 5 (3.9%) severe to critical cases. The sensitivity of throat swab was 71.32% and 92.19% at first to second PCR test. Among different modes of contact, household contacts were the most dangerous in catching with infection of COVID-19, with an incidence of 10.2%. As the increase of age for close contacts and severity of source cases, the incidence of COVID-19 presented an increasing trend from 1.8% (0-17 years) to 4.2% (60 or over years), and from 0.33% for asymptomatic, 3.3% for mild, to 6.2% for severe and critical source cases, respectively. Manifestation of expectoration in source cases was also highly associated with an increased risk of infection in their close contacts (13.6%). Secondary cases were in general clinically milder and were less likely to have common symptoms than those of source cases. Conclusions In conclusion, the proportion of asymptomatic and mild infections account for almost half of the confirmed cases among close contacts. The household contacts were the main transmission mode, and clinically more severe cases were more likely to pass the infection to their close contacts. Generally, the secondary cases were clinically milder than those of source cases.Competing Interest StatementThe authors have declared no competing interest.Funding StatementSupported by the Project Supported by Guangdong Province Higher Vocational Colleges &amp;amp; Schools Pearl River Scholar Funded Scheme (2019), the Construction of High-level University of Guangdong (G619339521 and G618339167), and the Zhejiang University special scientific research fund for COVID-19 prevention and control (K920330111). Author DeclarationsAll relevant ethical guidelines have been followed; any necessary IRB and/or ethics committee approvals have been obtained and details …","author":[{"dropping-particle":"","family":"Luo","given":"Lei","non-dropping-particle":"","parse-names":false,"suffix":""},{"dropping-particle":"","family":"Liu","given":"Dan","non-dropping-particle":"","parse-names":false,"suffix":""},{"dropping-particle":"","family":"Liao","given":"Xin-long","non-dropping-particle":"","parse-names":false,"suffix":""},{"dropping-particle":"","family":"Wu","given":"Xian-bo","non-dropping-particle":"","parse-names":false,"suffix":""},{"dropping-particle":"","family":"Jing","given":"Qin-long","non-dropping-particle":"","parse-names":false,"suffix":""},{"dropping-particle":"","family":"Zheng","given":"Jia-zhen","non-dropping-particle":"","parse-names":false,"suffix":""},{"dropping-particle":"","family":"Liu","given":"Fang-hua","non-dropping-particle":"","parse-names":false,"suffix":""},{"dropping-particle":"","family":"Yang","given":"Shi-gui","non-dropping-particle":"","parse-names":false,"suffix":""},{"dropping-particle":"","family":"Bi","given":"Bi","non-dropping-particle":"","parse-names":false,"suffix":""},{"dropping-particle":"","family":"Li","given":"Zhi-hao","non-dropping-particle":"","parse-names":false,"suffix":""},{"dropping-particle":"","family":"Liu","given":"Jian-ping","non-dropping-particle":"","parse-names":false,"suffix":""},{"dropping-particle":"","family":"Song","given":"Wei-qi","non-dropping-particle":"","parse-names":false,"suffix":""},{"dropping-particle":"","family":"Zhu","given":"Wei","non-dropping-particle":"","parse-names":false,"suffix":""},{"dropping-particle":"","family":"Wang","given":"Zheng-he","non-dropping-particle":"","parse-names":false,"suffix":""},{"dropping-particle":"","family":"Zhang","given":"Xi-ru","non-dropping-particle":"","parse-names":false,"suffix":""},{"dropping-particle":"","family":"Chen","given":"Pei-liang","non-dropping-particle":"","parse-names":false,"suffix":""},{"dropping-particle":"","family":"Liu","given":"Hua-min","non-dropping-particle":"","parse-names":false,"suffix":""},{"dropping-particle":"","family":"Cheng","given":"Xin","non-dropping-particle":"","parse-names":false,"suffix":""},{"dropping-particle":"","family":"Cai","given":"Miao-chun","non-dropping-particle":"","parse-names":false,"suffix":""},{"dropping-particle":"","family":"Huang","given":"Qing-mei","non-dropping-particle":"","parse-names":false,"suffix":""},{"dropping-particle":"","family":"Yang","given":"Pei","non-dropping-particle":"","parse-names":false,"suffix":""},{"dropping-particle":"","family":"Yang","given":"Xin-fen","non-dropping-particle":"","parse-names":false,"suffix":""},{"dropping-particle":"","family":"Huang","given":"Zhi-gang","non-dropping-particle":"","parse-names":false,"suffix":""},{"dropping-particle":"","family":"Tang","given":"Jin-ling","non-dropping-particle":"","parse-names":false,"suffix":""},{"dropping-particle":"","family":"Ma","given":"Yu","non-dropping-particle":"","parse-names":false,"suffix":""},{"dropping-particle":"","family":"Mao","given":"Chen","non-dropping-particle":"","parse-names":false,"suffix":""}],"container-title":"medRxiv","id":"ITEM-1","issued":{"date-parts":[["2020"]]},"page":"2020.03.24.20042606","title":"Modes of contact and risk of transmission in COVID-19 among close contacts","type":"article-journal"},"uris":["http://www.mendeley.com/documents/?uuid=49eec9d5-e019-473d-9f47-a00aa14a65ec"]}],"mendeley":{"formattedCitation":"[43]","plainTextFormattedCitation":"[43]","previouslyFormattedCitation":"[45]"},"properties":{"noteIndex":0},"schema":"https://github.com/citation-style-language/schema/raw/master/csl-citation.json"}</w:instrText>
            </w:r>
            <w:r w:rsidR="00702F9E">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[43]</w:t>
            </w:r>
            <w:r w:rsidR="00702F9E">
              <w:rPr>
                <w:rFonts w:eastAsia="Times New Roman" w:cstheme="minorHAnsi"/>
                <w:color w:val="000000"/>
                <w:sz w:val="18"/>
                <w:szCs w:val="18"/>
                <w:lang w:eastAsia="en-GB"/>
              </w:rPr>
              <w:fldChar w:fldCharType="end"/>
            </w:r>
          </w:p>
        </w:tc>
        <w:tc>
          <w:tcPr>
            <w:tcW w:w="1202" w:type="dxa"/>
            <w:tcBorders>
              <w:top w:val="single" w:sz="8" w:space="0" w:color="auto"/>
              <w:left w:val="nil"/>
              <w:bottom w:val="single" w:sz="8" w:space="0" w:color="FFFFFF" w:themeColor="background1"/>
              <w:right w:val="nil"/>
            </w:tcBorders>
            <w:shd w:val="clear" w:color="000000" w:fill="FFFFFF"/>
            <w:noWrap/>
            <w:vAlign w:val="center"/>
            <w:hideMark/>
          </w:tcPr>
          <w:p w14:paraId="45E43E59"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Guangzhou</w:t>
            </w:r>
          </w:p>
        </w:tc>
        <w:tc>
          <w:tcPr>
            <w:tcW w:w="888" w:type="dxa"/>
            <w:tcBorders>
              <w:top w:val="single" w:sz="8" w:space="0" w:color="auto"/>
              <w:left w:val="nil"/>
              <w:bottom w:val="single" w:sz="8" w:space="0" w:color="FFFFFF" w:themeColor="background1"/>
              <w:right w:val="nil"/>
            </w:tcBorders>
            <w:shd w:val="clear" w:color="000000" w:fill="FFFFFF"/>
            <w:noWrap/>
            <w:vAlign w:val="center"/>
            <w:hideMark/>
          </w:tcPr>
          <w:p w14:paraId="6038BC04"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China</w:t>
            </w:r>
          </w:p>
        </w:tc>
        <w:tc>
          <w:tcPr>
            <w:tcW w:w="1664" w:type="dxa"/>
            <w:tcBorders>
              <w:top w:val="single" w:sz="8" w:space="0" w:color="auto"/>
              <w:left w:val="nil"/>
              <w:bottom w:val="single" w:sz="8" w:space="0" w:color="FFFFFF" w:themeColor="background1"/>
              <w:right w:val="nil"/>
            </w:tcBorders>
            <w:shd w:val="clear" w:color="000000" w:fill="FFFFFF"/>
            <w:vAlign w:val="center"/>
            <w:hideMark/>
          </w:tcPr>
          <w:p w14:paraId="7B91BD91"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Surveillance and contract tracing</w:t>
            </w:r>
          </w:p>
        </w:tc>
        <w:tc>
          <w:tcPr>
            <w:tcW w:w="3684" w:type="dxa"/>
            <w:tcBorders>
              <w:top w:val="nil"/>
              <w:left w:val="nil"/>
              <w:bottom w:val="single" w:sz="8" w:space="0" w:color="auto"/>
              <w:right w:val="nil"/>
            </w:tcBorders>
            <w:shd w:val="clear" w:color="000000" w:fill="FFFFFF"/>
            <w:vAlign w:val="center"/>
            <w:hideMark/>
          </w:tcPr>
          <w:p w14:paraId="212254E5"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Travel:</w:t>
            </w:r>
            <w:r w:rsidRPr="00775156">
              <w:rPr>
                <w:rFonts w:eastAsia="Times New Roman" w:cstheme="minorHAnsi"/>
                <w:color w:val="000000"/>
                <w:sz w:val="18"/>
                <w:szCs w:val="18"/>
                <w:lang w:eastAsia="en-GB"/>
              </w:rPr>
              <w:t xml:space="preserve"> Individuals travelling in the same car, airplane, or train as a confirmed case</w:t>
            </w:r>
          </w:p>
        </w:tc>
        <w:tc>
          <w:tcPr>
            <w:tcW w:w="1182" w:type="dxa"/>
            <w:tcBorders>
              <w:top w:val="nil"/>
              <w:left w:val="nil"/>
              <w:bottom w:val="single" w:sz="8" w:space="0" w:color="auto"/>
              <w:right w:val="nil"/>
            </w:tcBorders>
            <w:shd w:val="clear" w:color="000000" w:fill="FFFFFF"/>
            <w:vAlign w:val="center"/>
            <w:hideMark/>
          </w:tcPr>
          <w:p w14:paraId="3D1F9A5A"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hideMark/>
          </w:tcPr>
          <w:p w14:paraId="00713B47"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12FBB856"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347</w:t>
            </w:r>
          </w:p>
        </w:tc>
        <w:tc>
          <w:tcPr>
            <w:tcW w:w="993" w:type="dxa"/>
            <w:tcBorders>
              <w:top w:val="nil"/>
              <w:left w:val="nil"/>
              <w:bottom w:val="single" w:sz="8" w:space="0" w:color="auto"/>
              <w:right w:val="nil"/>
            </w:tcBorders>
            <w:shd w:val="clear" w:color="000000" w:fill="FFFFFF"/>
            <w:vAlign w:val="center"/>
            <w:hideMark/>
          </w:tcPr>
          <w:p w14:paraId="5DDB6ECB"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818</w:t>
            </w:r>
          </w:p>
        </w:tc>
        <w:tc>
          <w:tcPr>
            <w:tcW w:w="1134" w:type="dxa"/>
            <w:tcBorders>
              <w:top w:val="nil"/>
              <w:left w:val="nil"/>
              <w:bottom w:val="single" w:sz="8" w:space="0" w:color="auto"/>
              <w:right w:val="nil"/>
            </w:tcBorders>
            <w:shd w:val="clear" w:color="000000" w:fill="FFFFFF"/>
            <w:vAlign w:val="center"/>
            <w:hideMark/>
          </w:tcPr>
          <w:p w14:paraId="463645E3"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818</w:t>
            </w:r>
          </w:p>
        </w:tc>
        <w:tc>
          <w:tcPr>
            <w:tcW w:w="992" w:type="dxa"/>
            <w:tcBorders>
              <w:top w:val="nil"/>
              <w:left w:val="nil"/>
              <w:bottom w:val="single" w:sz="8" w:space="0" w:color="auto"/>
              <w:right w:val="nil"/>
            </w:tcBorders>
            <w:shd w:val="clear" w:color="000000" w:fill="FFFFFF"/>
            <w:vAlign w:val="center"/>
            <w:hideMark/>
          </w:tcPr>
          <w:p w14:paraId="2B23F96C"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w:t>
            </w:r>
          </w:p>
        </w:tc>
      </w:tr>
      <w:tr w:rsidR="004E7F1D" w:rsidRPr="00C46A5F" w14:paraId="796681B2" w14:textId="77777777" w:rsidTr="00775156">
        <w:trPr>
          <w:trHeight w:val="562"/>
        </w:trPr>
        <w:tc>
          <w:tcPr>
            <w:tcW w:w="1278" w:type="dxa"/>
            <w:tcBorders>
              <w:top w:val="single" w:sz="8" w:space="0" w:color="FFFFFF" w:themeColor="background1"/>
              <w:left w:val="nil"/>
              <w:bottom w:val="single" w:sz="8" w:space="0" w:color="auto"/>
              <w:right w:val="nil"/>
            </w:tcBorders>
            <w:shd w:val="clear" w:color="000000" w:fill="FFFFFF"/>
            <w:vAlign w:val="center"/>
          </w:tcPr>
          <w:p w14:paraId="15312557"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single" w:sz="8" w:space="0" w:color="FFFFFF" w:themeColor="background1"/>
              <w:left w:val="nil"/>
              <w:bottom w:val="single" w:sz="8" w:space="0" w:color="auto"/>
              <w:right w:val="nil"/>
            </w:tcBorders>
            <w:shd w:val="clear" w:color="000000" w:fill="FFFFFF"/>
            <w:vAlign w:val="center"/>
          </w:tcPr>
          <w:p w14:paraId="750BDE5A" w14:textId="70E4D0F4" w:rsidR="00056E47" w:rsidRPr="00775156" w:rsidRDefault="00056E47" w:rsidP="00714C0E">
            <w:pPr>
              <w:spacing w:after="0" w:line="240" w:lineRule="auto"/>
              <w:rPr>
                <w:rFonts w:eastAsia="Times New Roman" w:cstheme="minorHAnsi"/>
                <w:color w:val="000000"/>
                <w:sz w:val="18"/>
                <w:szCs w:val="18"/>
                <w:lang w:eastAsia="en-GB"/>
              </w:rPr>
            </w:pPr>
          </w:p>
        </w:tc>
        <w:tc>
          <w:tcPr>
            <w:tcW w:w="1202" w:type="dxa"/>
            <w:tcBorders>
              <w:top w:val="single" w:sz="8" w:space="0" w:color="FFFFFF" w:themeColor="background1"/>
              <w:left w:val="nil"/>
              <w:bottom w:val="single" w:sz="8" w:space="0" w:color="auto"/>
              <w:right w:val="nil"/>
            </w:tcBorders>
            <w:shd w:val="clear" w:color="000000" w:fill="FFFFFF"/>
            <w:noWrap/>
            <w:vAlign w:val="center"/>
          </w:tcPr>
          <w:p w14:paraId="635E237F" w14:textId="17B4450A" w:rsidR="00056E47" w:rsidRPr="00775156" w:rsidRDefault="00056E47" w:rsidP="00714C0E">
            <w:pPr>
              <w:spacing w:after="0" w:line="240" w:lineRule="auto"/>
              <w:rPr>
                <w:rFonts w:eastAsia="Times New Roman" w:cstheme="minorHAnsi"/>
                <w:color w:val="000000"/>
                <w:sz w:val="18"/>
                <w:szCs w:val="18"/>
                <w:lang w:eastAsia="en-GB"/>
              </w:rPr>
            </w:pPr>
          </w:p>
        </w:tc>
        <w:tc>
          <w:tcPr>
            <w:tcW w:w="888" w:type="dxa"/>
            <w:tcBorders>
              <w:top w:val="single" w:sz="8" w:space="0" w:color="FFFFFF" w:themeColor="background1"/>
              <w:left w:val="nil"/>
              <w:bottom w:val="single" w:sz="8" w:space="0" w:color="auto"/>
              <w:right w:val="nil"/>
            </w:tcBorders>
            <w:shd w:val="clear" w:color="000000" w:fill="FFFFFF"/>
            <w:noWrap/>
            <w:vAlign w:val="center"/>
          </w:tcPr>
          <w:p w14:paraId="2D84A245" w14:textId="1609F979" w:rsidR="00056E47" w:rsidRPr="00775156" w:rsidRDefault="00056E47" w:rsidP="00714C0E">
            <w:pPr>
              <w:spacing w:after="0" w:line="240" w:lineRule="auto"/>
              <w:rPr>
                <w:rFonts w:eastAsia="Times New Roman" w:cstheme="minorHAnsi"/>
                <w:color w:val="000000"/>
                <w:sz w:val="18"/>
                <w:szCs w:val="18"/>
                <w:lang w:eastAsia="en-GB"/>
              </w:rPr>
            </w:pPr>
          </w:p>
        </w:tc>
        <w:tc>
          <w:tcPr>
            <w:tcW w:w="1664" w:type="dxa"/>
            <w:tcBorders>
              <w:top w:val="single" w:sz="8" w:space="0" w:color="FFFFFF" w:themeColor="background1"/>
              <w:left w:val="nil"/>
              <w:bottom w:val="single" w:sz="8" w:space="0" w:color="auto"/>
              <w:right w:val="nil"/>
            </w:tcBorders>
            <w:shd w:val="clear" w:color="000000" w:fill="FFFFFF"/>
            <w:vAlign w:val="center"/>
          </w:tcPr>
          <w:p w14:paraId="5451F074" w14:textId="4D1E149F" w:rsidR="00056E47" w:rsidRPr="00775156" w:rsidRDefault="00056E47" w:rsidP="00714C0E">
            <w:pPr>
              <w:spacing w:after="0" w:line="240" w:lineRule="auto"/>
              <w:rPr>
                <w:rFonts w:eastAsia="Times New Roman" w:cstheme="minorHAnsi"/>
                <w:color w:val="000000"/>
                <w:sz w:val="18"/>
                <w:szCs w:val="18"/>
                <w:lang w:eastAsia="en-GB"/>
              </w:rPr>
            </w:pPr>
          </w:p>
        </w:tc>
        <w:tc>
          <w:tcPr>
            <w:tcW w:w="3684" w:type="dxa"/>
            <w:tcBorders>
              <w:top w:val="nil"/>
              <w:left w:val="nil"/>
              <w:bottom w:val="single" w:sz="8" w:space="0" w:color="auto"/>
              <w:right w:val="nil"/>
            </w:tcBorders>
            <w:shd w:val="clear" w:color="000000" w:fill="FFFFFF"/>
            <w:vAlign w:val="center"/>
            <w:hideMark/>
          </w:tcPr>
          <w:p w14:paraId="6682859A"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Casual contacts:</w:t>
            </w:r>
            <w:r w:rsidRPr="00775156">
              <w:rPr>
                <w:rFonts w:eastAsia="Times New Roman" w:cstheme="minorHAnsi"/>
                <w:color w:val="000000"/>
                <w:sz w:val="18"/>
                <w:szCs w:val="18"/>
                <w:lang w:eastAsia="en-GB"/>
              </w:rPr>
              <w:t xml:space="preserve"> Other social contacts of a confirmed case</w:t>
            </w:r>
          </w:p>
        </w:tc>
        <w:tc>
          <w:tcPr>
            <w:tcW w:w="1182" w:type="dxa"/>
            <w:tcBorders>
              <w:top w:val="nil"/>
              <w:left w:val="nil"/>
              <w:bottom w:val="single" w:sz="8" w:space="0" w:color="auto"/>
              <w:right w:val="nil"/>
            </w:tcBorders>
            <w:shd w:val="clear" w:color="000000" w:fill="FFFFFF"/>
            <w:noWrap/>
            <w:vAlign w:val="center"/>
            <w:hideMark/>
          </w:tcPr>
          <w:p w14:paraId="384C61A0"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hideMark/>
          </w:tcPr>
          <w:p w14:paraId="654A1A8E"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66E994D9"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347</w:t>
            </w:r>
          </w:p>
        </w:tc>
        <w:tc>
          <w:tcPr>
            <w:tcW w:w="993" w:type="dxa"/>
            <w:tcBorders>
              <w:top w:val="nil"/>
              <w:left w:val="nil"/>
              <w:bottom w:val="single" w:sz="8" w:space="0" w:color="auto"/>
              <w:right w:val="nil"/>
            </w:tcBorders>
            <w:shd w:val="clear" w:color="000000" w:fill="FFFFFF"/>
            <w:noWrap/>
            <w:vAlign w:val="center"/>
            <w:hideMark/>
          </w:tcPr>
          <w:p w14:paraId="2A002BD0"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875</w:t>
            </w:r>
          </w:p>
        </w:tc>
        <w:tc>
          <w:tcPr>
            <w:tcW w:w="1134" w:type="dxa"/>
            <w:tcBorders>
              <w:top w:val="nil"/>
              <w:left w:val="nil"/>
              <w:bottom w:val="single" w:sz="8" w:space="0" w:color="auto"/>
              <w:right w:val="nil"/>
            </w:tcBorders>
            <w:shd w:val="clear" w:color="000000" w:fill="FFFFFF"/>
            <w:noWrap/>
            <w:vAlign w:val="center"/>
            <w:hideMark/>
          </w:tcPr>
          <w:p w14:paraId="639DA260"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875</w:t>
            </w:r>
          </w:p>
        </w:tc>
        <w:tc>
          <w:tcPr>
            <w:tcW w:w="992" w:type="dxa"/>
            <w:tcBorders>
              <w:top w:val="nil"/>
              <w:left w:val="nil"/>
              <w:bottom w:val="single" w:sz="8" w:space="0" w:color="auto"/>
              <w:right w:val="nil"/>
            </w:tcBorders>
            <w:shd w:val="clear" w:color="000000" w:fill="FFFFFF"/>
            <w:noWrap/>
            <w:vAlign w:val="center"/>
            <w:hideMark/>
          </w:tcPr>
          <w:p w14:paraId="316B3895"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11</w:t>
            </w:r>
          </w:p>
        </w:tc>
      </w:tr>
      <w:tr w:rsidR="000F13C3" w:rsidRPr="00C46A5F" w14:paraId="0C97B24B" w14:textId="77777777" w:rsidTr="00D96235">
        <w:trPr>
          <w:trHeight w:val="1237"/>
        </w:trPr>
        <w:tc>
          <w:tcPr>
            <w:tcW w:w="1278" w:type="dxa"/>
            <w:tcBorders>
              <w:top w:val="single" w:sz="8" w:space="0" w:color="auto"/>
              <w:left w:val="nil"/>
              <w:bottom w:val="nil"/>
              <w:right w:val="nil"/>
            </w:tcBorders>
            <w:shd w:val="clear" w:color="000000" w:fill="FFFFFF"/>
          </w:tcPr>
          <w:p w14:paraId="09A5D163" w14:textId="6F1458EE" w:rsidR="00056E47" w:rsidRPr="00775156" w:rsidRDefault="0022413A" w:rsidP="00D96235">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73</w:t>
            </w:r>
          </w:p>
        </w:tc>
        <w:tc>
          <w:tcPr>
            <w:tcW w:w="2343" w:type="dxa"/>
            <w:gridSpan w:val="2"/>
            <w:tcBorders>
              <w:top w:val="single" w:sz="8" w:space="0" w:color="auto"/>
              <w:left w:val="nil"/>
              <w:bottom w:val="nil"/>
              <w:right w:val="nil"/>
            </w:tcBorders>
            <w:shd w:val="clear" w:color="000000" w:fill="FFFFFF"/>
            <w:noWrap/>
            <w:hideMark/>
          </w:tcPr>
          <w:p w14:paraId="6C8A7423" w14:textId="5C0CAC31"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Pavli et al </w:t>
            </w:r>
            <w:r w:rsidR="0080122D">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10.1093/jtm/taaa102","ISBN":"1708-8305","author":[{"dropping-particle":"","family":"Pavli","given":"Androula","non-dropping-particle":"","parse-names":false,"suffix":""},{"dropping-particle":"","family":"Smeti","given":"Paraskevi","non-dropping-particle":"","parse-names":false,"suffix":""},{"dropping-particle":"","family":"Papadima","given":"Kalliopi","non-dropping-particle":"","parse-names":false,"suffix":""},{"dropping-particle":"","family":"Andreopoulou","given":"Anastasia","non-dropping-particle":"","parse-names":false,"suffix":""},{"dropping-particle":"","family":"Hadjianastasiou","given":"Sofia","non-dropping-particle":"","parse-names":false,"suffix":""},{"dropping-particle":"","family":"Triantafillou","given":"Eleni","non-dropping-particle":"","parse-names":false,"suffix":""},{"dropping-particle":"","family":"Vakali","given":"Annita","non-dropping-particle":"","parse-names":false,"suffix":""},{"dropping-particle":"","family":"Kefaloudi","given":"Chrysovalantou","non-dropping-particle":"","parse-names":false,"suffix":""},{"dropping-particle":"","family":"Pervanidou","given":"Danai","non-dropping-particle":"","parse-names":false,"suffix":""},{"dropping-particle":"","family":"Gogos","given":"Charalambos","non-dropping-particle":"","parse-names":false,"suffix":""},{"dropping-particle":"","family":"Maltezou","given":"Helena C","non-dropping-particle":"","parse-names":false,"suffix":""}],"container-title":"Journal of Travel Medicine","id":"ITEM-1","issued":{"date-parts":[["2020"]]},"title":"A cluster of COVID-19 in pilgrims to Israel","type":"article-journal"},"uris":["http://www.mendeley.com/documents/?uuid=e40b2dce-3aba-4cd7-8f00-2be4fffc7147"]}],"mendeley":{"formattedCitation":"[17]","plainTextFormattedCitation":"[17]","previouslyFormattedCitation":"[19]"},"properties":{"noteIndex":0},"schema":"https://github.com/citation-style-language/schema/raw/master/csl-citation.json"}</w:instrText>
            </w:r>
            <w:r w:rsidR="0080122D">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[17]</w:t>
            </w:r>
            <w:r w:rsidR="0080122D">
              <w:rPr>
                <w:rFonts w:eastAsia="Times New Roman" w:cstheme="minorHAnsi"/>
                <w:color w:val="000000"/>
                <w:sz w:val="18"/>
                <w:szCs w:val="18"/>
                <w:lang w:eastAsia="en-GB"/>
              </w:rPr>
              <w:fldChar w:fldCharType="end"/>
            </w:r>
          </w:p>
        </w:tc>
        <w:tc>
          <w:tcPr>
            <w:tcW w:w="888" w:type="dxa"/>
            <w:tcBorders>
              <w:top w:val="single" w:sz="8" w:space="0" w:color="auto"/>
              <w:left w:val="nil"/>
              <w:bottom w:val="nil"/>
              <w:right w:val="nil"/>
            </w:tcBorders>
            <w:shd w:val="clear" w:color="000000" w:fill="FFFFFF"/>
            <w:hideMark/>
          </w:tcPr>
          <w:p w14:paraId="169640E7" w14:textId="11E42ED8" w:rsidR="00056E47" w:rsidRPr="00775156" w:rsidRDefault="00056E47" w:rsidP="0080122D">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w:t>
            </w:r>
            <w:r w:rsidR="0080122D">
              <w:rPr>
                <w:rFonts w:eastAsia="Times New Roman" w:cstheme="minorHAnsi"/>
                <w:color w:val="000000"/>
                <w:sz w:val="18"/>
                <w:szCs w:val="18"/>
                <w:lang w:eastAsia="en-GB"/>
              </w:rPr>
              <w:t>Greece / Israel</w:t>
            </w:r>
          </w:p>
        </w:tc>
        <w:tc>
          <w:tcPr>
            <w:tcW w:w="1664" w:type="dxa"/>
            <w:tcBorders>
              <w:top w:val="single" w:sz="8" w:space="0" w:color="auto"/>
              <w:left w:val="nil"/>
              <w:bottom w:val="nil"/>
              <w:right w:val="nil"/>
            </w:tcBorders>
            <w:shd w:val="clear" w:color="000000" w:fill="FFFFFF"/>
            <w:hideMark/>
          </w:tcPr>
          <w:p w14:paraId="1D449DD6"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Surveillance and contact tracing </w:t>
            </w:r>
          </w:p>
        </w:tc>
        <w:tc>
          <w:tcPr>
            <w:tcW w:w="3684" w:type="dxa"/>
            <w:tcBorders>
              <w:top w:val="nil"/>
              <w:left w:val="nil"/>
              <w:bottom w:val="single" w:sz="8" w:space="0" w:color="auto"/>
              <w:right w:val="nil"/>
            </w:tcBorders>
            <w:shd w:val="clear" w:color="000000" w:fill="FFFFFF"/>
            <w:vAlign w:val="center"/>
            <w:hideMark/>
          </w:tcPr>
          <w:p w14:paraId="6C67CBE5"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Religious Event: </w:t>
            </w:r>
            <w:r w:rsidRPr="00775156">
              <w:rPr>
                <w:rFonts w:eastAsia="Times New Roman" w:cstheme="minorHAnsi"/>
                <w:color w:val="000000"/>
                <w:sz w:val="18"/>
                <w:szCs w:val="18"/>
                <w:lang w:eastAsia="en-GB"/>
              </w:rPr>
              <w:t>Transportation in the same bus/residing in the same hotels/religious rituals/ recreational activities as confirmed cases in a group of Christian pilgrims returning to Greece from Jerusalem.</w:t>
            </w:r>
          </w:p>
        </w:tc>
        <w:tc>
          <w:tcPr>
            <w:tcW w:w="1182" w:type="dxa"/>
            <w:tcBorders>
              <w:top w:val="nil"/>
              <w:left w:val="nil"/>
              <w:bottom w:val="single" w:sz="8" w:space="0" w:color="auto"/>
              <w:right w:val="nil"/>
            </w:tcBorders>
            <w:shd w:val="clear" w:color="000000" w:fill="FFFFFF"/>
            <w:noWrap/>
            <w:vAlign w:val="center"/>
            <w:hideMark/>
          </w:tcPr>
          <w:p w14:paraId="6505F006"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vAlign w:val="center"/>
            <w:hideMark/>
          </w:tcPr>
          <w:p w14:paraId="2FD5FC4F"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vAlign w:val="center"/>
            <w:hideMark/>
          </w:tcPr>
          <w:p w14:paraId="3F3D2C47"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993" w:type="dxa"/>
            <w:tcBorders>
              <w:top w:val="nil"/>
              <w:left w:val="nil"/>
              <w:bottom w:val="single" w:sz="8" w:space="0" w:color="auto"/>
              <w:right w:val="nil"/>
            </w:tcBorders>
            <w:shd w:val="clear" w:color="000000" w:fill="FFFFFF"/>
            <w:noWrap/>
            <w:vAlign w:val="center"/>
            <w:hideMark/>
          </w:tcPr>
          <w:p w14:paraId="28D887DF"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53</w:t>
            </w:r>
          </w:p>
        </w:tc>
        <w:tc>
          <w:tcPr>
            <w:tcW w:w="1134" w:type="dxa"/>
            <w:tcBorders>
              <w:top w:val="nil"/>
              <w:left w:val="nil"/>
              <w:bottom w:val="single" w:sz="8" w:space="0" w:color="auto"/>
              <w:right w:val="nil"/>
            </w:tcBorders>
            <w:shd w:val="clear" w:color="000000" w:fill="FFFFFF"/>
            <w:noWrap/>
            <w:vAlign w:val="center"/>
            <w:hideMark/>
          </w:tcPr>
          <w:p w14:paraId="15E134F4"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53</w:t>
            </w:r>
          </w:p>
        </w:tc>
        <w:tc>
          <w:tcPr>
            <w:tcW w:w="992" w:type="dxa"/>
            <w:tcBorders>
              <w:top w:val="nil"/>
              <w:left w:val="nil"/>
              <w:bottom w:val="single" w:sz="8" w:space="0" w:color="auto"/>
              <w:right w:val="nil"/>
            </w:tcBorders>
            <w:shd w:val="clear" w:color="000000" w:fill="FFFFFF"/>
            <w:noWrap/>
            <w:vAlign w:val="center"/>
            <w:hideMark/>
          </w:tcPr>
          <w:p w14:paraId="7BB93E4B"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48</w:t>
            </w:r>
          </w:p>
        </w:tc>
      </w:tr>
      <w:tr w:rsidR="000F13C3" w:rsidRPr="00C46A5F" w14:paraId="02FED7CA" w14:textId="77777777" w:rsidTr="00D9380C">
        <w:trPr>
          <w:trHeight w:val="570"/>
        </w:trPr>
        <w:tc>
          <w:tcPr>
            <w:tcW w:w="1278" w:type="dxa"/>
            <w:tcBorders>
              <w:top w:val="nil"/>
              <w:left w:val="nil"/>
              <w:bottom w:val="single" w:sz="8" w:space="0" w:color="auto"/>
              <w:right w:val="nil"/>
            </w:tcBorders>
            <w:shd w:val="clear" w:color="000000" w:fill="FFFFFF"/>
            <w:vAlign w:val="center"/>
          </w:tcPr>
          <w:p w14:paraId="49943523"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2343" w:type="dxa"/>
            <w:gridSpan w:val="2"/>
            <w:tcBorders>
              <w:top w:val="nil"/>
              <w:left w:val="nil"/>
              <w:bottom w:val="single" w:sz="8" w:space="0" w:color="auto"/>
              <w:right w:val="nil"/>
            </w:tcBorders>
            <w:shd w:val="clear" w:color="000000" w:fill="FFFFFF"/>
            <w:noWrap/>
            <w:vAlign w:val="center"/>
          </w:tcPr>
          <w:p w14:paraId="329FA237" w14:textId="56DBCEAA" w:rsidR="00056E47" w:rsidRPr="00775156" w:rsidRDefault="00056E47" w:rsidP="00714C0E">
            <w:pPr>
              <w:spacing w:after="0" w:line="240" w:lineRule="auto"/>
              <w:rPr>
                <w:rFonts w:eastAsia="Times New Roman" w:cstheme="minorHAnsi"/>
                <w:color w:val="000000"/>
                <w:sz w:val="18"/>
                <w:szCs w:val="18"/>
                <w:lang w:eastAsia="en-GB"/>
              </w:rPr>
            </w:pPr>
          </w:p>
        </w:tc>
        <w:tc>
          <w:tcPr>
            <w:tcW w:w="888" w:type="dxa"/>
            <w:tcBorders>
              <w:top w:val="nil"/>
              <w:left w:val="nil"/>
              <w:bottom w:val="single" w:sz="8" w:space="0" w:color="auto"/>
              <w:right w:val="nil"/>
            </w:tcBorders>
            <w:shd w:val="clear" w:color="000000" w:fill="FFFFFF"/>
            <w:vAlign w:val="center"/>
          </w:tcPr>
          <w:p w14:paraId="311EEFF3" w14:textId="01EF39A1" w:rsidR="00056E47" w:rsidRPr="00775156" w:rsidRDefault="00056E47" w:rsidP="00714C0E">
            <w:pPr>
              <w:spacing w:after="0" w:line="240" w:lineRule="auto"/>
              <w:rPr>
                <w:rFonts w:eastAsia="Times New Roman" w:cstheme="minorHAnsi"/>
                <w:color w:val="000000"/>
                <w:sz w:val="18"/>
                <w:szCs w:val="18"/>
                <w:lang w:eastAsia="en-GB"/>
              </w:rPr>
            </w:pPr>
          </w:p>
        </w:tc>
        <w:tc>
          <w:tcPr>
            <w:tcW w:w="1664" w:type="dxa"/>
            <w:tcBorders>
              <w:top w:val="nil"/>
              <w:left w:val="nil"/>
              <w:bottom w:val="single" w:sz="8" w:space="0" w:color="auto"/>
              <w:right w:val="nil"/>
            </w:tcBorders>
            <w:shd w:val="clear" w:color="000000" w:fill="FFFFFF"/>
            <w:vAlign w:val="center"/>
          </w:tcPr>
          <w:p w14:paraId="0AE7FA33" w14:textId="760A3DBC" w:rsidR="00056E47" w:rsidRPr="00775156" w:rsidRDefault="00056E47" w:rsidP="00714C0E">
            <w:pPr>
              <w:spacing w:after="0" w:line="240" w:lineRule="auto"/>
              <w:rPr>
                <w:rFonts w:eastAsia="Times New Roman" w:cstheme="minorHAnsi"/>
                <w:color w:val="000000"/>
                <w:sz w:val="18"/>
                <w:szCs w:val="18"/>
                <w:lang w:eastAsia="en-GB"/>
              </w:rPr>
            </w:pPr>
          </w:p>
        </w:tc>
        <w:tc>
          <w:tcPr>
            <w:tcW w:w="3684" w:type="dxa"/>
            <w:tcBorders>
              <w:top w:val="nil"/>
              <w:left w:val="nil"/>
              <w:bottom w:val="single" w:sz="8" w:space="0" w:color="auto"/>
              <w:right w:val="nil"/>
            </w:tcBorders>
            <w:shd w:val="clear" w:color="000000" w:fill="FFFFFF"/>
            <w:vAlign w:val="center"/>
            <w:hideMark/>
          </w:tcPr>
          <w:p w14:paraId="00761D7F"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Travel:</w:t>
            </w:r>
            <w:r w:rsidRPr="00775156">
              <w:rPr>
                <w:rFonts w:eastAsia="Times New Roman" w:cstheme="minorHAnsi"/>
                <w:color w:val="000000"/>
                <w:sz w:val="18"/>
                <w:szCs w:val="18"/>
                <w:lang w:eastAsia="en-GB"/>
              </w:rPr>
              <w:t xml:space="preserve"> Passengers and crew members of the same flight and a bus driver of the tour group</w:t>
            </w:r>
          </w:p>
        </w:tc>
        <w:tc>
          <w:tcPr>
            <w:tcW w:w="1182" w:type="dxa"/>
            <w:tcBorders>
              <w:top w:val="nil"/>
              <w:left w:val="nil"/>
              <w:bottom w:val="single" w:sz="8" w:space="0" w:color="auto"/>
              <w:right w:val="nil"/>
            </w:tcBorders>
            <w:shd w:val="clear" w:color="000000" w:fill="FFFFFF"/>
            <w:noWrap/>
            <w:vAlign w:val="center"/>
            <w:hideMark/>
          </w:tcPr>
          <w:p w14:paraId="4E562FA2"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unclear</w:t>
            </w:r>
          </w:p>
        </w:tc>
        <w:tc>
          <w:tcPr>
            <w:tcW w:w="992" w:type="dxa"/>
            <w:tcBorders>
              <w:top w:val="nil"/>
              <w:left w:val="nil"/>
              <w:bottom w:val="single" w:sz="8" w:space="0" w:color="auto"/>
              <w:right w:val="nil"/>
            </w:tcBorders>
            <w:shd w:val="clear" w:color="000000" w:fill="FFFFFF"/>
            <w:noWrap/>
            <w:vAlign w:val="center"/>
            <w:hideMark/>
          </w:tcPr>
          <w:p w14:paraId="5B6E30EB"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noWrap/>
            <w:vAlign w:val="center"/>
            <w:hideMark/>
          </w:tcPr>
          <w:p w14:paraId="2D578F39"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993" w:type="dxa"/>
            <w:tcBorders>
              <w:top w:val="nil"/>
              <w:left w:val="nil"/>
              <w:bottom w:val="single" w:sz="8" w:space="0" w:color="auto"/>
              <w:right w:val="nil"/>
            </w:tcBorders>
            <w:shd w:val="clear" w:color="000000" w:fill="FFFFFF"/>
            <w:vAlign w:val="center"/>
            <w:hideMark/>
          </w:tcPr>
          <w:p w14:paraId="131E4E1C" w14:textId="1670A104"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1134" w:type="dxa"/>
            <w:tcBorders>
              <w:top w:val="nil"/>
              <w:left w:val="nil"/>
              <w:bottom w:val="single" w:sz="8" w:space="0" w:color="auto"/>
              <w:right w:val="nil"/>
            </w:tcBorders>
            <w:shd w:val="clear" w:color="000000" w:fill="FFFFFF"/>
            <w:vAlign w:val="center"/>
            <w:hideMark/>
          </w:tcPr>
          <w:p w14:paraId="0CA737D4"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p>
        </w:tc>
        <w:tc>
          <w:tcPr>
            <w:tcW w:w="992" w:type="dxa"/>
            <w:tcBorders>
              <w:top w:val="nil"/>
              <w:left w:val="nil"/>
              <w:bottom w:val="single" w:sz="8" w:space="0" w:color="auto"/>
              <w:right w:val="nil"/>
            </w:tcBorders>
            <w:shd w:val="clear" w:color="000000" w:fill="FFFFFF"/>
            <w:noWrap/>
            <w:vAlign w:val="center"/>
            <w:hideMark/>
          </w:tcPr>
          <w:p w14:paraId="06158793"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6</w:t>
            </w:r>
          </w:p>
        </w:tc>
      </w:tr>
      <w:tr w:rsidR="000F13C3" w:rsidRPr="00C46A5F" w14:paraId="2B9D9ACE" w14:textId="77777777" w:rsidTr="009E09F8">
        <w:trPr>
          <w:trHeight w:val="540"/>
        </w:trPr>
        <w:tc>
          <w:tcPr>
            <w:tcW w:w="1278" w:type="dxa"/>
            <w:tcBorders>
              <w:top w:val="single" w:sz="8" w:space="0" w:color="auto"/>
              <w:left w:val="nil"/>
              <w:bottom w:val="single" w:sz="8" w:space="0" w:color="auto"/>
              <w:right w:val="nil"/>
            </w:tcBorders>
            <w:shd w:val="clear" w:color="000000" w:fill="FFFFFF"/>
            <w:vAlign w:val="center"/>
          </w:tcPr>
          <w:p w14:paraId="2368626F" w14:textId="3A05B42A" w:rsidR="00056E47" w:rsidRPr="00775156" w:rsidRDefault="0035231A"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13</w:t>
            </w:r>
          </w:p>
        </w:tc>
        <w:tc>
          <w:tcPr>
            <w:tcW w:w="1141" w:type="dxa"/>
            <w:tcBorders>
              <w:top w:val="single" w:sz="8" w:space="0" w:color="auto"/>
              <w:left w:val="nil"/>
              <w:bottom w:val="single" w:sz="8" w:space="0" w:color="auto"/>
              <w:right w:val="nil"/>
            </w:tcBorders>
            <w:shd w:val="clear" w:color="000000" w:fill="FFFFFF"/>
            <w:noWrap/>
            <w:vAlign w:val="center"/>
          </w:tcPr>
          <w:p w14:paraId="6EAFFDF6" w14:textId="38CE99FC"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Pollan et al </w:t>
            </w:r>
            <w:r w:rsidR="00D96235">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ISSN":"0140-6736","author":[{"dropping-particle":"","family":"Pollán","given":"Marina","non-dropping-particle":"","parse-names":false,"suffix":""},{"dropping-particle":"","family":"Pérez-Gómez","given":"Beatriz","non-dropping-particle":"","parse-names":false,"suffix":""},{"dropping-particle":"","family":"Pastor-Barriuso","given":"Roberto","non-dropping-particle":"","parse-names":false,"suffix":""},{"dropping-particle":"","family":"Oteo","given":"Jesús","non-dropping-particle":"","parse-names":false,"suffix":""},{"dropping-particle":"","family":"Hernán","given":"Miguel A","non-dropping-particle":"","parse-names":false,"suffix":""},{"dropping-particle":"","family":"Pérez-Olmeda","given":"Mayte","non-dropping-particle":"","parse-names":false,"suffix":""},{"dropping-particle":"","family":"Sanmartín","given":"Jose L","non-dropping-particle":"","parse-names":false,"suffix":""},{"dropping-particle":"","family":"Fernández-García","given":"Aurora","non-dropping-particle":"","parse-names":false,"suffix":""},{"dropping-particle":"","family":"Cruz","given":"Israel","non-dropping-particle":"","parse-names":false,"suffix":""},{"dropping-particle":"","family":"Larrea","given":"Nerea Fernández","non-dropping-particle":"de","parse-names":false,"suffix":""}],"container-title":"The Lancet","id":"ITEM-1","issue":"10250","issued":{"date-parts":[["2020"]]},"page":"535-544","publisher":"Elsevier","title":"Prevalence of SARS-CoV-2 in Spain (ENE-COVID): a nationwide, population-based seroepidemiological study","type":"article-journal","volume":"396"},"uris":["http://www.mendeley.com/documents/?uuid=94db7b8f-9534-4dab-8a72-9753c6041a80"]}],"mendeley":{"formattedCitation":"[46]","plainTextFormattedCitation":"[46]","previouslyFormattedCitation":"[48]"},"properties":{"noteIndex":0},"schema":"https://github.com/citation-style-language/schema/raw/master/csl-citation.json"}</w:instrText>
            </w:r>
            <w:r w:rsidR="00D96235">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[46]</w:t>
            </w:r>
            <w:r w:rsidR="00D96235">
              <w:rPr>
                <w:rFonts w:eastAsia="Times New Roman" w:cstheme="minorHAnsi"/>
                <w:color w:val="000000"/>
                <w:sz w:val="18"/>
                <w:szCs w:val="18"/>
                <w:lang w:eastAsia="en-GB"/>
              </w:rPr>
              <w:fldChar w:fldCharType="end"/>
            </w:r>
          </w:p>
        </w:tc>
        <w:tc>
          <w:tcPr>
            <w:tcW w:w="1202" w:type="dxa"/>
            <w:tcBorders>
              <w:top w:val="single" w:sz="8" w:space="0" w:color="auto"/>
              <w:left w:val="nil"/>
              <w:bottom w:val="single" w:sz="8" w:space="0" w:color="auto"/>
              <w:right w:val="nil"/>
            </w:tcBorders>
            <w:shd w:val="clear" w:color="000000" w:fill="FFFFFF"/>
            <w:noWrap/>
            <w:vAlign w:val="center"/>
          </w:tcPr>
          <w:p w14:paraId="70AEABF8" w14:textId="25412C00"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Nationwide</w:t>
            </w:r>
          </w:p>
        </w:tc>
        <w:tc>
          <w:tcPr>
            <w:tcW w:w="888" w:type="dxa"/>
            <w:tcBorders>
              <w:top w:val="single" w:sz="8" w:space="0" w:color="auto"/>
              <w:left w:val="nil"/>
              <w:bottom w:val="single" w:sz="8" w:space="0" w:color="auto"/>
              <w:right w:val="nil"/>
            </w:tcBorders>
            <w:shd w:val="clear" w:color="000000" w:fill="FFFFFF"/>
            <w:noWrap/>
            <w:vAlign w:val="center"/>
          </w:tcPr>
          <w:p w14:paraId="78082E9E" w14:textId="6C57D07F"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Spain</w:t>
            </w:r>
          </w:p>
        </w:tc>
        <w:tc>
          <w:tcPr>
            <w:tcW w:w="1664" w:type="dxa"/>
            <w:tcBorders>
              <w:top w:val="single" w:sz="8" w:space="0" w:color="auto"/>
              <w:left w:val="nil"/>
              <w:bottom w:val="single" w:sz="8" w:space="0" w:color="auto"/>
              <w:right w:val="nil"/>
            </w:tcBorders>
            <w:shd w:val="clear" w:color="000000" w:fill="FFFFFF"/>
            <w:vAlign w:val="center"/>
          </w:tcPr>
          <w:p w14:paraId="6CF16865" w14:textId="2845FFC2"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Serosurvey</w:t>
            </w:r>
          </w:p>
        </w:tc>
        <w:tc>
          <w:tcPr>
            <w:tcW w:w="3684" w:type="dxa"/>
            <w:tcBorders>
              <w:top w:val="single" w:sz="8" w:space="0" w:color="auto"/>
              <w:left w:val="nil"/>
              <w:bottom w:val="single" w:sz="8" w:space="0" w:color="auto"/>
              <w:right w:val="nil"/>
            </w:tcBorders>
            <w:shd w:val="clear" w:color="000000" w:fill="FFFFFF"/>
            <w:vAlign w:val="center"/>
          </w:tcPr>
          <w:p w14:paraId="043ED46B" w14:textId="6AC7CBFB"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u w:val="single"/>
                <w:lang w:eastAsia="en-GB"/>
              </w:rPr>
              <w:t xml:space="preserve">Family and friends: </w:t>
            </w:r>
            <w:r w:rsidRPr="00775156">
              <w:rPr>
                <w:rFonts w:eastAsia="Times New Roman" w:cstheme="minorHAnsi"/>
                <w:color w:val="000000"/>
                <w:sz w:val="18"/>
                <w:szCs w:val="18"/>
                <w:lang w:eastAsia="en-GB"/>
              </w:rPr>
              <w:t>non-cohabiting family member or friend</w:t>
            </w:r>
          </w:p>
        </w:tc>
        <w:tc>
          <w:tcPr>
            <w:tcW w:w="1182" w:type="dxa"/>
            <w:tcBorders>
              <w:top w:val="single" w:sz="8" w:space="0" w:color="auto"/>
              <w:left w:val="nil"/>
              <w:bottom w:val="single" w:sz="8" w:space="0" w:color="auto"/>
              <w:right w:val="nil"/>
            </w:tcBorders>
            <w:shd w:val="clear" w:color="000000" w:fill="FFFFFF"/>
            <w:noWrap/>
            <w:vAlign w:val="center"/>
          </w:tcPr>
          <w:p w14:paraId="7967CBBC" w14:textId="3232AB0C"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noWrap/>
            <w:vAlign w:val="center"/>
          </w:tcPr>
          <w:p w14:paraId="1DFFD459" w14:textId="5B48AC9C"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Serology</w:t>
            </w:r>
          </w:p>
        </w:tc>
        <w:tc>
          <w:tcPr>
            <w:tcW w:w="869" w:type="dxa"/>
            <w:tcBorders>
              <w:top w:val="single" w:sz="8" w:space="0" w:color="auto"/>
              <w:left w:val="nil"/>
              <w:bottom w:val="single" w:sz="8" w:space="0" w:color="auto"/>
              <w:right w:val="nil"/>
            </w:tcBorders>
            <w:shd w:val="clear" w:color="000000" w:fill="FFFFFF"/>
            <w:noWrap/>
            <w:vAlign w:val="center"/>
          </w:tcPr>
          <w:p w14:paraId="7A822748" w14:textId="323C6EA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not specified</w:t>
            </w:r>
            <w:r w:rsidR="000574F2">
              <w:rPr>
                <w:rFonts w:eastAsia="Times New Roman" w:cstheme="minorHAnsi"/>
                <w:color w:val="000000"/>
                <w:sz w:val="18"/>
                <w:szCs w:val="18"/>
                <w:lang w:eastAsia="en-GB"/>
              </w:rPr>
              <w:t>*</w:t>
            </w:r>
          </w:p>
        </w:tc>
        <w:tc>
          <w:tcPr>
            <w:tcW w:w="993" w:type="dxa"/>
            <w:tcBorders>
              <w:top w:val="single" w:sz="8" w:space="0" w:color="auto"/>
              <w:left w:val="nil"/>
              <w:bottom w:val="single" w:sz="8" w:space="0" w:color="auto"/>
              <w:right w:val="nil"/>
            </w:tcBorders>
            <w:shd w:val="clear" w:color="000000" w:fill="FFFFFF"/>
            <w:noWrap/>
            <w:vAlign w:val="center"/>
          </w:tcPr>
          <w:p w14:paraId="6E29E3E6" w14:textId="76503F79"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1284</w:t>
            </w:r>
          </w:p>
        </w:tc>
        <w:tc>
          <w:tcPr>
            <w:tcW w:w="1134" w:type="dxa"/>
            <w:tcBorders>
              <w:top w:val="single" w:sz="8" w:space="0" w:color="auto"/>
              <w:left w:val="nil"/>
              <w:bottom w:val="single" w:sz="8" w:space="0" w:color="auto"/>
              <w:right w:val="nil"/>
            </w:tcBorders>
            <w:shd w:val="clear" w:color="000000" w:fill="FFFFFF"/>
            <w:noWrap/>
            <w:vAlign w:val="center"/>
          </w:tcPr>
          <w:p w14:paraId="5818DA60" w14:textId="6E3E0583"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1284</w:t>
            </w:r>
          </w:p>
        </w:tc>
        <w:tc>
          <w:tcPr>
            <w:tcW w:w="992" w:type="dxa"/>
            <w:tcBorders>
              <w:top w:val="single" w:sz="8" w:space="0" w:color="auto"/>
              <w:left w:val="nil"/>
              <w:bottom w:val="single" w:sz="8" w:space="0" w:color="auto"/>
              <w:right w:val="nil"/>
            </w:tcBorders>
            <w:shd w:val="clear" w:color="000000" w:fill="FFFFFF"/>
            <w:noWrap/>
            <w:vAlign w:val="center"/>
          </w:tcPr>
          <w:p w14:paraId="4C7E7D66" w14:textId="45CC9B7A"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146</w:t>
            </w:r>
          </w:p>
        </w:tc>
      </w:tr>
      <w:tr w:rsidR="000F13C3" w:rsidRPr="00C46A5F" w14:paraId="739FC176" w14:textId="77777777" w:rsidTr="00775156">
        <w:trPr>
          <w:trHeight w:val="540"/>
        </w:trPr>
        <w:tc>
          <w:tcPr>
            <w:tcW w:w="1278" w:type="dxa"/>
            <w:tcBorders>
              <w:top w:val="single" w:sz="8" w:space="0" w:color="auto"/>
              <w:left w:val="nil"/>
              <w:bottom w:val="single" w:sz="8" w:space="0" w:color="auto"/>
              <w:right w:val="nil"/>
            </w:tcBorders>
            <w:shd w:val="clear" w:color="000000" w:fill="FFFFFF"/>
            <w:vAlign w:val="center"/>
          </w:tcPr>
          <w:p w14:paraId="5FB192B7" w14:textId="19012582" w:rsidR="00056E47" w:rsidRPr="00775156" w:rsidRDefault="0022413A"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74</w:t>
            </w:r>
          </w:p>
        </w:tc>
        <w:tc>
          <w:tcPr>
            <w:tcW w:w="1141" w:type="dxa"/>
            <w:tcBorders>
              <w:top w:val="single" w:sz="8" w:space="0" w:color="auto"/>
              <w:left w:val="nil"/>
              <w:bottom w:val="single" w:sz="8" w:space="0" w:color="auto"/>
              <w:right w:val="nil"/>
            </w:tcBorders>
            <w:shd w:val="clear" w:color="000000" w:fill="FFFFFF"/>
            <w:noWrap/>
            <w:vAlign w:val="center"/>
            <w:hideMark/>
          </w:tcPr>
          <w:p w14:paraId="05A91B81" w14:textId="3765DE2D"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Yusef et al </w:t>
            </w:r>
            <w:r w:rsidR="00D96235">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{"citationItems":[{"id":"ITEM-1","itemData":{"DOI":"10.3201/eid2609.201469","ISBN":"1080-6040","PMID":"32433907","abstract":"In March 2020, a wedding in Jordan led to a large outbreak of coronavirus disease (COVID-19). We collected data on 350 wedding attendees, 76 who of whom developed COVID-19. Our study shows high communicability of COVID-19 and the enormous risk for severe acute respiratory syndrome 2 virus transmission during mass gatherings.","author":[{"dropping-particle":"","family":"Yusef","given":"D","non-dropping-particle":"","parse-names":false,"suffix":""},{"dropping-particle":"","family":"Hayajneh","given":"W","non-dropping-particle":"","parse-names":false,"suffix":""},{"dropping-particle":"","family":"Awad","given":"S","non-dropping-particle":"","parse-names":false,"suffix":""},{"dropping-particle":"","family":"Momany","given":"S","non-dropping-particle":"","parse-names":false,"suffix":""},{"dropping-particle":"","family":"Khassawneh","given":"B","non-dropping-particle":"","parse-names":false,"suffix":""},{"dropping-particle":"","family":"Samrah","given":"S","non-dropping-particle":"","parse-names":false,"suffix":""},{"dropping-particle":"","family":"Obeidat","given":"B","non-dropping-particle":"","parse-names":false,"suffix":""},{"dropping-particle":"","family":"Raffee","given":"L","non-dropping-particle":"","parse-names":false,"suffix":""},{"dropping-particle":"","family":"Al-Faouri","given":"I","non-dropping-particle":"","parse-names":false,"suffix":""},{"dropping-particle":"","family":"Issa","given":"A B","non-dropping-particle":"","parse-names":false,"suffix":""},{"dropping-particle":"","family":"Zamel","given":"H","non-dropping-particle":"Al","parse-names":false,"suffix":""},{"dropping-particle":"","family":"Bataineh","given":"E","non-dropping-particle":"","parse-names":false,"suffix":""},{"dropping-particle":"","family":"Qdaisat","given":"R","non-dropping-particle":"","parse-names":false,"suffix":""}],"container-title":"Emerg Infect Dis","edition":"2020/05/21","id":"ITEM-1","issue":"9","issued":{"date-parts":[["2020"]]},"language":"eng","note":"1080-6059\nYusef, Dawood\nHayajneh, Wail\nAwad, Samah\nMomany, Suleiman\nKhassawneh, Basheer\nSamrah, Shaher\nObeidat, Basil\nRaffee, Liqaa\nAl-Faouri, Ibrahim\nIssa, Ali Bani\nAl Zamel, Heba\nBataineh, Enas\nQdaisat, Reem\nJournal Article\nUnited States\nEmerg Infect Dis. 2020 May 20;26(9). doi: 10.3201/eid2609.201469.","title":"Large Outbreak of Coronavirus Disease among Wedding Attendees, Jordan","type":"article-journal","volume":"26"},"uris":["http://www.mendeley.com/documents/?uuid=b06bd2ba-99d5-4380-973d-279391eeff34"]}],"mendeley":{"formattedCitation":"[20]","plainTextFormattedCitation":"[20]","previouslyFormattedCitation":"[22]"},"properties":{"noteIndex":0},"schema":"https://github.com/citation-style-language/schema/raw/master/csl-citation.json"}</w:instrText>
            </w:r>
            <w:r w:rsidR="00D96235">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[20]</w:t>
            </w:r>
            <w:r w:rsidR="00D96235">
              <w:rPr>
                <w:rFonts w:eastAsia="Times New Roman" w:cstheme="minorHAnsi"/>
                <w:color w:val="000000"/>
                <w:sz w:val="18"/>
                <w:szCs w:val="18"/>
                <w:lang w:eastAsia="en-GB"/>
              </w:rPr>
              <w:fldChar w:fldCharType="end"/>
            </w:r>
          </w:p>
        </w:tc>
        <w:tc>
          <w:tcPr>
            <w:tcW w:w="1202" w:type="dxa"/>
            <w:tcBorders>
              <w:top w:val="single" w:sz="8" w:space="0" w:color="auto"/>
              <w:left w:val="nil"/>
              <w:bottom w:val="single" w:sz="8" w:space="0" w:color="auto"/>
              <w:right w:val="nil"/>
            </w:tcBorders>
            <w:shd w:val="clear" w:color="000000" w:fill="FFFFFF"/>
            <w:noWrap/>
            <w:vAlign w:val="center"/>
            <w:hideMark/>
          </w:tcPr>
          <w:p w14:paraId="4390E368"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Irbid</w:t>
            </w:r>
          </w:p>
        </w:tc>
        <w:tc>
          <w:tcPr>
            <w:tcW w:w="888" w:type="dxa"/>
            <w:tcBorders>
              <w:top w:val="single" w:sz="8" w:space="0" w:color="auto"/>
              <w:left w:val="nil"/>
              <w:bottom w:val="single" w:sz="8" w:space="0" w:color="auto"/>
              <w:right w:val="nil"/>
            </w:tcBorders>
            <w:shd w:val="clear" w:color="000000" w:fill="FFFFFF"/>
            <w:noWrap/>
            <w:vAlign w:val="center"/>
            <w:hideMark/>
          </w:tcPr>
          <w:p w14:paraId="2870D874"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Jordan</w:t>
            </w:r>
          </w:p>
        </w:tc>
        <w:tc>
          <w:tcPr>
            <w:tcW w:w="1664" w:type="dxa"/>
            <w:tcBorders>
              <w:top w:val="single" w:sz="8" w:space="0" w:color="auto"/>
              <w:left w:val="nil"/>
              <w:bottom w:val="single" w:sz="8" w:space="0" w:color="auto"/>
              <w:right w:val="nil"/>
            </w:tcBorders>
            <w:shd w:val="clear" w:color="000000" w:fill="FFFFFF"/>
            <w:vAlign w:val="center"/>
            <w:hideMark/>
          </w:tcPr>
          <w:p w14:paraId="0C2C8FDE"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Outbreak investigation </w:t>
            </w:r>
          </w:p>
        </w:tc>
        <w:tc>
          <w:tcPr>
            <w:tcW w:w="3684" w:type="dxa"/>
            <w:tcBorders>
              <w:top w:val="single" w:sz="8" w:space="0" w:color="auto"/>
              <w:left w:val="nil"/>
              <w:bottom w:val="single" w:sz="8" w:space="0" w:color="auto"/>
              <w:right w:val="nil"/>
            </w:tcBorders>
            <w:shd w:val="clear" w:color="000000" w:fill="FFFFFF"/>
            <w:vAlign w:val="center"/>
            <w:hideMark/>
          </w:tcPr>
          <w:p w14:paraId="2497F431"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Religious Event:</w:t>
            </w:r>
            <w:r w:rsidRPr="00775156">
              <w:rPr>
                <w:rFonts w:eastAsia="Times New Roman" w:cstheme="minorHAnsi"/>
                <w:color w:val="000000"/>
                <w:sz w:val="18"/>
                <w:szCs w:val="18"/>
                <w:lang w:eastAsia="en-GB"/>
              </w:rPr>
              <w:t xml:space="preserve"> Wedding attendees after identification of an index case</w:t>
            </w:r>
          </w:p>
        </w:tc>
        <w:tc>
          <w:tcPr>
            <w:tcW w:w="1182" w:type="dxa"/>
            <w:tcBorders>
              <w:top w:val="single" w:sz="8" w:space="0" w:color="auto"/>
              <w:left w:val="nil"/>
              <w:bottom w:val="single" w:sz="8" w:space="0" w:color="auto"/>
              <w:right w:val="nil"/>
            </w:tcBorders>
            <w:shd w:val="clear" w:color="000000" w:fill="FFFFFF"/>
            <w:noWrap/>
            <w:vAlign w:val="center"/>
            <w:hideMark/>
          </w:tcPr>
          <w:p w14:paraId="747FCCA5"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noWrap/>
            <w:vAlign w:val="center"/>
            <w:hideMark/>
          </w:tcPr>
          <w:p w14:paraId="65DAD5C4"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8" w:space="0" w:color="auto"/>
              <w:left w:val="nil"/>
              <w:bottom w:val="single" w:sz="8" w:space="0" w:color="auto"/>
              <w:right w:val="nil"/>
            </w:tcBorders>
            <w:shd w:val="clear" w:color="000000" w:fill="FFFFFF"/>
            <w:noWrap/>
            <w:vAlign w:val="center"/>
            <w:hideMark/>
          </w:tcPr>
          <w:p w14:paraId="1747BBEA"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w:t>
            </w:r>
          </w:p>
        </w:tc>
        <w:tc>
          <w:tcPr>
            <w:tcW w:w="993" w:type="dxa"/>
            <w:tcBorders>
              <w:top w:val="single" w:sz="8" w:space="0" w:color="auto"/>
              <w:left w:val="nil"/>
              <w:bottom w:val="single" w:sz="8" w:space="0" w:color="auto"/>
              <w:right w:val="nil"/>
            </w:tcBorders>
            <w:shd w:val="clear" w:color="000000" w:fill="FFFFFF"/>
            <w:noWrap/>
            <w:vAlign w:val="center"/>
            <w:hideMark/>
          </w:tcPr>
          <w:p w14:paraId="3600AF37"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350</w:t>
            </w:r>
          </w:p>
        </w:tc>
        <w:tc>
          <w:tcPr>
            <w:tcW w:w="1134" w:type="dxa"/>
            <w:tcBorders>
              <w:top w:val="single" w:sz="8" w:space="0" w:color="auto"/>
              <w:left w:val="nil"/>
              <w:bottom w:val="single" w:sz="8" w:space="0" w:color="auto"/>
              <w:right w:val="nil"/>
            </w:tcBorders>
            <w:shd w:val="clear" w:color="000000" w:fill="FFFFFF"/>
            <w:noWrap/>
            <w:vAlign w:val="center"/>
            <w:hideMark/>
          </w:tcPr>
          <w:p w14:paraId="534E9517"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350</w:t>
            </w:r>
          </w:p>
        </w:tc>
        <w:tc>
          <w:tcPr>
            <w:tcW w:w="992" w:type="dxa"/>
            <w:tcBorders>
              <w:top w:val="single" w:sz="8" w:space="0" w:color="auto"/>
              <w:left w:val="nil"/>
              <w:bottom w:val="single" w:sz="8" w:space="0" w:color="auto"/>
              <w:right w:val="nil"/>
            </w:tcBorders>
            <w:shd w:val="clear" w:color="000000" w:fill="FFFFFF"/>
            <w:noWrap/>
            <w:vAlign w:val="center"/>
            <w:hideMark/>
          </w:tcPr>
          <w:p w14:paraId="08BA7178"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76</w:t>
            </w:r>
          </w:p>
        </w:tc>
      </w:tr>
      <w:tr w:rsidR="004E7F1D" w:rsidRPr="00C46A5F" w14:paraId="7E119E1C" w14:textId="77777777" w:rsidTr="009E09F8">
        <w:trPr>
          <w:trHeight w:val="429"/>
        </w:trPr>
        <w:tc>
          <w:tcPr>
            <w:tcW w:w="1278" w:type="dxa"/>
            <w:tcBorders>
              <w:top w:val="single" w:sz="8" w:space="0" w:color="auto"/>
              <w:left w:val="nil"/>
              <w:bottom w:val="single" w:sz="8" w:space="0" w:color="auto"/>
              <w:right w:val="nil"/>
            </w:tcBorders>
            <w:shd w:val="clear" w:color="000000" w:fill="FFFFFF"/>
            <w:vAlign w:val="center"/>
          </w:tcPr>
          <w:p w14:paraId="4746EA2E" w14:textId="55A29B21" w:rsidR="00056E47" w:rsidRPr="00775156" w:rsidRDefault="00406551"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1</w:t>
            </w:r>
            <w:r w:rsidR="00EA66D3">
              <w:rPr>
                <w:rFonts w:eastAsia="Times New Roman" w:cstheme="minorHAnsi"/>
                <w:color w:val="000000"/>
                <w:sz w:val="18"/>
                <w:szCs w:val="18"/>
                <w:lang w:eastAsia="en-GB"/>
              </w:rPr>
              <w:t>7</w:t>
            </w:r>
          </w:p>
        </w:tc>
        <w:tc>
          <w:tcPr>
            <w:tcW w:w="1141" w:type="dxa"/>
            <w:tcBorders>
              <w:top w:val="single" w:sz="8" w:space="0" w:color="auto"/>
              <w:left w:val="nil"/>
              <w:bottom w:val="single" w:sz="8" w:space="0" w:color="auto"/>
              <w:right w:val="nil"/>
            </w:tcBorders>
            <w:shd w:val="clear" w:color="000000" w:fill="FFFFFF"/>
            <w:noWrap/>
            <w:vAlign w:val="center"/>
          </w:tcPr>
          <w:p w14:paraId="025BAB7F" w14:textId="2DC50913"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Wang et al </w:t>
            </w:r>
            <w:r w:rsidR="00406551">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author":[{"dropping-particle":"","family":"Wang","given":"Xiaoli","non-dropping-particle":"","parse-names":false,"suffix":""},{"dropping-particle":"","family":"Pan","given":"Yang","non-dropping-particle":"","parse-names":false,"suffix":""},{"dropping-particle":"","family":"Zhang","given":"Daitao","non-dropping-particle":"","parse-names":false,"suffix":""},{"dropping-particle":"","family":"Chen","given":"Lijuan","non-dropping-particle":"","parse-names":false,"suffix":""},{"dropping-particle":"","family":"Jia","given":"Lei","non-dropping-particle":"","parse-names":false,"suffix":""},{"dropping-particle":"","family":"Li","given":"Xinyu","non-dropping-particle":"","parse-names":false,"suffix":""},{"dropping-particle":"","family":"Yang","given":"Peng","non-dropping-particle":"","parse-names":false,"suffix":""},{"dropping-particle":"","family":"Wang","given":"Quanyi","non-dropping-particle":"","parse-names":false,"suffix":""},{"dropping-particle":"","family":"Macintyre","given":"C Raina","non-dropping-particle":"","parse-names":false,"suffix":""}],"id":"ITEM-1","issued":{"date-parts":[["2020"]]},"title":"Basic epidemiological parameter values from data of real-world in mega-cities: the characteristics of COVID-19 in Beijing, China","type":"article-journal"},"uris":["http://www.mendeley.com/documents/?uuid=79de4249-ba7b-47a6-8e1f-ecf6925c046a"]}],"mendeley":{"formattedCitation":"[54]","plainTextFormattedCitation":"[54]","previouslyFormattedCitation":"[56]"},"properties":{"noteIndex":0},"schema":"https://github.com/citation-style-language/schema/raw/master/csl-citation.json"}</w:instrText>
            </w:r>
            <w:r w:rsidR="00406551">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[54]</w:t>
            </w:r>
            <w:r w:rsidR="00406551">
              <w:rPr>
                <w:rFonts w:eastAsia="Times New Roman" w:cstheme="minorHAnsi"/>
                <w:color w:val="000000"/>
                <w:sz w:val="18"/>
                <w:szCs w:val="18"/>
                <w:lang w:eastAsia="en-GB"/>
              </w:rPr>
              <w:fldChar w:fldCharType="end"/>
            </w:r>
          </w:p>
        </w:tc>
        <w:tc>
          <w:tcPr>
            <w:tcW w:w="1202" w:type="dxa"/>
            <w:tcBorders>
              <w:top w:val="single" w:sz="8" w:space="0" w:color="auto"/>
              <w:left w:val="nil"/>
              <w:bottom w:val="single" w:sz="8" w:space="0" w:color="auto"/>
              <w:right w:val="nil"/>
            </w:tcBorders>
            <w:shd w:val="clear" w:color="000000" w:fill="FFFFFF"/>
            <w:noWrap/>
            <w:vAlign w:val="center"/>
          </w:tcPr>
          <w:p w14:paraId="11CEE508" w14:textId="5E9AACF4"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Beijing</w:t>
            </w:r>
          </w:p>
        </w:tc>
        <w:tc>
          <w:tcPr>
            <w:tcW w:w="888" w:type="dxa"/>
            <w:tcBorders>
              <w:top w:val="single" w:sz="8" w:space="0" w:color="auto"/>
              <w:left w:val="nil"/>
              <w:bottom w:val="single" w:sz="8" w:space="0" w:color="auto"/>
              <w:right w:val="nil"/>
            </w:tcBorders>
            <w:shd w:val="clear" w:color="000000" w:fill="FFFFFF"/>
            <w:noWrap/>
            <w:vAlign w:val="center"/>
          </w:tcPr>
          <w:p w14:paraId="493518BC" w14:textId="3C832A7F"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China</w:t>
            </w:r>
          </w:p>
        </w:tc>
        <w:tc>
          <w:tcPr>
            <w:tcW w:w="1664" w:type="dxa"/>
            <w:tcBorders>
              <w:top w:val="single" w:sz="8" w:space="0" w:color="auto"/>
              <w:left w:val="nil"/>
              <w:bottom w:val="single" w:sz="8" w:space="0" w:color="auto"/>
              <w:right w:val="nil"/>
            </w:tcBorders>
            <w:shd w:val="clear" w:color="000000" w:fill="FFFFFF"/>
            <w:vAlign w:val="center"/>
          </w:tcPr>
          <w:p w14:paraId="1502B0F4" w14:textId="7D18A66B"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Surveillance and contact tracing </w:t>
            </w:r>
          </w:p>
        </w:tc>
        <w:tc>
          <w:tcPr>
            <w:tcW w:w="3684" w:type="dxa"/>
            <w:tcBorders>
              <w:top w:val="nil"/>
              <w:left w:val="nil"/>
              <w:bottom w:val="single" w:sz="8" w:space="0" w:color="auto"/>
              <w:right w:val="nil"/>
            </w:tcBorders>
            <w:shd w:val="clear" w:color="000000" w:fill="FFFFFF"/>
            <w:vAlign w:val="center"/>
          </w:tcPr>
          <w:p w14:paraId="234B2D26" w14:textId="60DEAC45"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u w:val="single"/>
                <w:lang w:eastAsia="en-GB"/>
              </w:rPr>
              <w:t>Casual contacts:</w:t>
            </w:r>
            <w:r w:rsidRPr="00635116">
              <w:rPr>
                <w:rFonts w:eastAsia="Times New Roman" w:cstheme="minorHAnsi"/>
                <w:color w:val="000000"/>
                <w:sz w:val="18"/>
                <w:szCs w:val="18"/>
                <w:lang w:eastAsia="en-GB"/>
              </w:rPr>
              <w:t xml:space="preserve"> </w:t>
            </w:r>
            <w:r w:rsidRPr="00775156">
              <w:rPr>
                <w:rFonts w:eastAsia="Times New Roman" w:cstheme="minorHAnsi"/>
                <w:color w:val="000000"/>
                <w:sz w:val="18"/>
                <w:szCs w:val="18"/>
                <w:lang w:eastAsia="en-GB"/>
              </w:rPr>
              <w:t xml:space="preserve">social contacts </w:t>
            </w:r>
          </w:p>
        </w:tc>
        <w:tc>
          <w:tcPr>
            <w:tcW w:w="1182" w:type="dxa"/>
            <w:tcBorders>
              <w:top w:val="nil"/>
              <w:left w:val="nil"/>
              <w:bottom w:val="single" w:sz="8" w:space="0" w:color="auto"/>
              <w:right w:val="nil"/>
            </w:tcBorders>
            <w:shd w:val="clear" w:color="000000" w:fill="FFFFFF"/>
            <w:noWrap/>
            <w:vAlign w:val="center"/>
          </w:tcPr>
          <w:p w14:paraId="160FE09A" w14:textId="67C0F3ED"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noWrap/>
            <w:vAlign w:val="center"/>
          </w:tcPr>
          <w:p w14:paraId="7A282698" w14:textId="5A7E2A5B"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noWrap/>
            <w:vAlign w:val="center"/>
          </w:tcPr>
          <w:p w14:paraId="715D8D53" w14:textId="4422C459"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602</w:t>
            </w:r>
          </w:p>
        </w:tc>
        <w:tc>
          <w:tcPr>
            <w:tcW w:w="993" w:type="dxa"/>
            <w:tcBorders>
              <w:top w:val="nil"/>
              <w:left w:val="nil"/>
              <w:bottom w:val="single" w:sz="8" w:space="0" w:color="auto"/>
              <w:right w:val="nil"/>
            </w:tcBorders>
            <w:shd w:val="clear" w:color="000000" w:fill="FFFFFF"/>
            <w:noWrap/>
            <w:vAlign w:val="center"/>
          </w:tcPr>
          <w:p w14:paraId="2D03AFF3" w14:textId="0FC071B0"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3363</w:t>
            </w:r>
          </w:p>
        </w:tc>
        <w:tc>
          <w:tcPr>
            <w:tcW w:w="1134" w:type="dxa"/>
            <w:tcBorders>
              <w:top w:val="nil"/>
              <w:left w:val="nil"/>
              <w:bottom w:val="single" w:sz="8" w:space="0" w:color="auto"/>
              <w:right w:val="nil"/>
            </w:tcBorders>
            <w:shd w:val="clear" w:color="000000" w:fill="FFFFFF"/>
            <w:noWrap/>
            <w:vAlign w:val="center"/>
          </w:tcPr>
          <w:p w14:paraId="0181CE6E" w14:textId="4A58FDDF"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3363</w:t>
            </w:r>
          </w:p>
        </w:tc>
        <w:tc>
          <w:tcPr>
            <w:tcW w:w="992" w:type="dxa"/>
            <w:tcBorders>
              <w:top w:val="nil"/>
              <w:left w:val="nil"/>
              <w:bottom w:val="single" w:sz="8" w:space="0" w:color="auto"/>
              <w:right w:val="nil"/>
            </w:tcBorders>
            <w:shd w:val="clear" w:color="000000" w:fill="FFFFFF"/>
            <w:noWrap/>
            <w:vAlign w:val="center"/>
          </w:tcPr>
          <w:p w14:paraId="6BD8FA92" w14:textId="31D8120C"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75</w:t>
            </w:r>
          </w:p>
        </w:tc>
      </w:tr>
      <w:tr w:rsidR="004E7F1D" w:rsidRPr="00C46A5F" w14:paraId="06D7295A" w14:textId="77777777" w:rsidTr="00775156">
        <w:trPr>
          <w:trHeight w:val="528"/>
        </w:trPr>
        <w:tc>
          <w:tcPr>
            <w:tcW w:w="1278" w:type="dxa"/>
            <w:tcBorders>
              <w:top w:val="single" w:sz="8" w:space="0" w:color="auto"/>
              <w:left w:val="nil"/>
              <w:bottom w:val="single" w:sz="4" w:space="0" w:color="auto"/>
              <w:right w:val="nil"/>
            </w:tcBorders>
            <w:shd w:val="clear" w:color="000000" w:fill="FFFFFF"/>
            <w:vAlign w:val="center"/>
          </w:tcPr>
          <w:p w14:paraId="54B94D36" w14:textId="3A4DA602" w:rsidR="00056E47" w:rsidRPr="00775156" w:rsidRDefault="005778CA"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2</w:t>
            </w:r>
            <w:r w:rsidR="00EA66D3">
              <w:rPr>
                <w:rFonts w:eastAsia="Times New Roman" w:cstheme="minorHAnsi"/>
                <w:color w:val="000000"/>
                <w:sz w:val="18"/>
                <w:szCs w:val="18"/>
                <w:lang w:eastAsia="en-GB"/>
              </w:rPr>
              <w:t>6</w:t>
            </w:r>
          </w:p>
        </w:tc>
        <w:tc>
          <w:tcPr>
            <w:tcW w:w="1141" w:type="dxa"/>
            <w:tcBorders>
              <w:top w:val="single" w:sz="8" w:space="0" w:color="auto"/>
              <w:left w:val="nil"/>
              <w:bottom w:val="single" w:sz="4" w:space="0" w:color="auto"/>
              <w:right w:val="nil"/>
            </w:tcBorders>
            <w:shd w:val="clear" w:color="000000" w:fill="FFFFFF"/>
            <w:noWrap/>
            <w:vAlign w:val="center"/>
            <w:hideMark/>
          </w:tcPr>
          <w:p w14:paraId="52CDC6E6" w14:textId="219B47D6"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Zhang et al</w:t>
            </w:r>
            <w:r w:rsidR="005778CA">
              <w:rPr>
                <w:rFonts w:eastAsia="Times New Roman" w:cstheme="minorHAnsi"/>
                <w:color w:val="000000"/>
                <w:sz w:val="18"/>
                <w:szCs w:val="18"/>
                <w:lang w:eastAsia="en-GB"/>
              </w:rPr>
              <w:t xml:space="preserve"> </w:t>
            </w:r>
            <w:r w:rsidR="005778CA">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{"citationItems":[{"id":"ITEM-1","itemData":{"DOI":"10.1126/science.abb8001","abstract":"The coronavirus 2019 (COVID-19) pandemic has brought tighter restrictions on the daily lives of millions of people, but we do not yet understand what measures are the most effective. Zhang et al. modeled virus transmission in Wuhan, China, in February 2020, investigating the effects of interventions ranging from patient management to social isolation. Age-mixing patterns were estimated by contact surveys conducted in Wuhan and Shanghai at the beginning of February 2020. Once people reduced their average daily contacts from 14 to 20 down to 2, transmission rapidly fell below the epidemic threshold. The model also showed that preemptive school closures helped to reduce transmission, although alone they would not prevent a COVID-19 outbreak. Limiting human mixing to within households appeared to be the most effective measure.Science, this issue p. 1481Intense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 Although proactive school closures cannot interrupt transmission on their own, they can reduce peak incidence by 40 to 60% and delay the epidemic.","author":[{"dropping-particle":"","family":"Zhang","given":"Juanjuan","non-dropping-particle":"","parse-names":false,"suffix":""},{"dropping-particle":"","family":"Litvinova","given":"Maria","non-dropping-particle":"","parse-names":false,"suffix":""},{"dropping-particle":"","family":"Liang","given":"Yuxia","non-dropping-particle":"","parse-names":false,"suffix":""},{"dropping-particle":"","family":"Wang","given":"Yan","non-dropping-particle":"","parse-names":false,"suffix":""},{"dropping-particle":"","family":"Wang","given":"Wei","non-dropping-particle":"","parse-names":false,"suffix":""},{"dropping-particle":"","family":"Zhao","given":"Shanlu","non-dropping-particle":"","parse-names":false,"suffix":""},{"dropping-particle":"","family":"Wu","given":"Qianhui","non-dropping-particle":"","parse-names":false,"suffix":""},{"dropping-particle":"","family":"Merler","given":"Stefano","non-dropping-particle":"","parse-names":false,"suffix":""},{"dropping-particle":"","family":"Viboud","given":"Cécile","non-dropping-particle":"","parse-names":false,"suffix":""},{"dropping-particle":"","family":"Vespignani","given":"Alessandro","non-dropping-particle":"","parse-names":false,"suffix":""},{"dropping-particle":"","family":"Ajelli","given":"Marco","non-dropping-particle":"","parse-names":false,"suffix":""},{"dropping-particle":"","family":"Yu","given":"Hongjie","non-dropping-particle":"","parse-names":false,"suffix":""}],"container-title":"Science","id":"ITEM-1","issue":"6498","issued":{"date-parts":[["2020"]]},"page":"1481-1486","title":"Changes in contact patterns shape the dynamics of the COVID-19 outbreak in China","type":"article-journal","volume":"368"},"uris":["http://www.mendeley.com/documents/?uuid=b9300627-c650-42e9-83b0-3a26afbc8c23"]}],"mendeley":{"formattedCitation":"[63]","plainTextFormattedCitation":"[63]","previouslyFormattedCitation":"[65]"},"properties":{"noteIndex":0},"schema":"https://github.com/citation-style-language/schema/raw/master/csl-citation.json"}</w:instrText>
            </w:r>
            <w:r w:rsidR="005778CA">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[63]</w:t>
            </w:r>
            <w:r w:rsidR="005778CA">
              <w:rPr>
                <w:rFonts w:eastAsia="Times New Roman" w:cstheme="minorHAnsi"/>
                <w:color w:val="000000"/>
                <w:sz w:val="18"/>
                <w:szCs w:val="18"/>
                <w:lang w:eastAsia="en-GB"/>
              </w:rPr>
              <w:fldChar w:fldCharType="end"/>
            </w:r>
          </w:p>
        </w:tc>
        <w:tc>
          <w:tcPr>
            <w:tcW w:w="1202" w:type="dxa"/>
            <w:tcBorders>
              <w:top w:val="single" w:sz="8" w:space="0" w:color="auto"/>
              <w:left w:val="nil"/>
              <w:bottom w:val="single" w:sz="4" w:space="0" w:color="auto"/>
              <w:right w:val="nil"/>
            </w:tcBorders>
            <w:shd w:val="clear" w:color="000000" w:fill="FFFFFF"/>
            <w:noWrap/>
            <w:vAlign w:val="center"/>
            <w:hideMark/>
          </w:tcPr>
          <w:p w14:paraId="3B544949"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Hunan</w:t>
            </w:r>
          </w:p>
        </w:tc>
        <w:tc>
          <w:tcPr>
            <w:tcW w:w="888" w:type="dxa"/>
            <w:tcBorders>
              <w:top w:val="single" w:sz="8" w:space="0" w:color="auto"/>
              <w:left w:val="nil"/>
              <w:bottom w:val="single" w:sz="4" w:space="0" w:color="auto"/>
              <w:right w:val="nil"/>
            </w:tcBorders>
            <w:shd w:val="clear" w:color="000000" w:fill="FFFFFF"/>
            <w:noWrap/>
            <w:vAlign w:val="center"/>
            <w:hideMark/>
          </w:tcPr>
          <w:p w14:paraId="2B8C464B"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China</w:t>
            </w:r>
          </w:p>
        </w:tc>
        <w:tc>
          <w:tcPr>
            <w:tcW w:w="1664" w:type="dxa"/>
            <w:tcBorders>
              <w:top w:val="single" w:sz="8" w:space="0" w:color="auto"/>
              <w:left w:val="nil"/>
              <w:bottom w:val="single" w:sz="4" w:space="0" w:color="auto"/>
              <w:right w:val="nil"/>
            </w:tcBorders>
            <w:shd w:val="clear" w:color="000000" w:fill="FFFFFF"/>
            <w:vAlign w:val="center"/>
            <w:hideMark/>
          </w:tcPr>
          <w:p w14:paraId="3F717DBE"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 xml:space="preserve">Surveillance and contact tracing </w:t>
            </w:r>
          </w:p>
        </w:tc>
        <w:tc>
          <w:tcPr>
            <w:tcW w:w="3684" w:type="dxa"/>
            <w:tcBorders>
              <w:top w:val="nil"/>
              <w:left w:val="nil"/>
              <w:bottom w:val="single" w:sz="8" w:space="0" w:color="auto"/>
              <w:right w:val="nil"/>
            </w:tcBorders>
            <w:shd w:val="clear" w:color="000000" w:fill="FFFFFF"/>
            <w:vAlign w:val="center"/>
            <w:hideMark/>
          </w:tcPr>
          <w:p w14:paraId="7FF1BB56"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Travel:</w:t>
            </w:r>
            <w:r w:rsidRPr="00775156">
              <w:rPr>
                <w:rFonts w:eastAsia="Times New Roman" w:cstheme="minorHAnsi"/>
                <w:color w:val="000000"/>
                <w:sz w:val="18"/>
                <w:szCs w:val="18"/>
                <w:lang w:eastAsia="en-GB"/>
              </w:rPr>
              <w:t xml:space="preserve"> Travel associated contacts of a confirmed case</w:t>
            </w:r>
          </w:p>
        </w:tc>
        <w:tc>
          <w:tcPr>
            <w:tcW w:w="1182" w:type="dxa"/>
            <w:tcBorders>
              <w:top w:val="nil"/>
              <w:left w:val="nil"/>
              <w:bottom w:val="single" w:sz="8" w:space="0" w:color="auto"/>
              <w:right w:val="nil"/>
            </w:tcBorders>
            <w:shd w:val="clear" w:color="000000" w:fill="FFFFFF"/>
            <w:noWrap/>
            <w:vAlign w:val="center"/>
            <w:hideMark/>
          </w:tcPr>
          <w:p w14:paraId="77ACBFDC"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8" w:space="0" w:color="auto"/>
              <w:right w:val="nil"/>
            </w:tcBorders>
            <w:shd w:val="clear" w:color="000000" w:fill="FFFFFF"/>
            <w:noWrap/>
            <w:vAlign w:val="center"/>
            <w:hideMark/>
          </w:tcPr>
          <w:p w14:paraId="3949513C"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8" w:space="0" w:color="auto"/>
              <w:right w:val="nil"/>
            </w:tcBorders>
            <w:shd w:val="clear" w:color="000000" w:fill="FFFFFF"/>
            <w:noWrap/>
            <w:vAlign w:val="center"/>
            <w:hideMark/>
          </w:tcPr>
          <w:p w14:paraId="4CBE3D71"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136</w:t>
            </w:r>
          </w:p>
        </w:tc>
        <w:tc>
          <w:tcPr>
            <w:tcW w:w="993" w:type="dxa"/>
            <w:tcBorders>
              <w:top w:val="nil"/>
              <w:left w:val="nil"/>
              <w:bottom w:val="single" w:sz="8" w:space="0" w:color="auto"/>
              <w:right w:val="nil"/>
            </w:tcBorders>
            <w:shd w:val="clear" w:color="000000" w:fill="FFFFFF"/>
            <w:noWrap/>
            <w:vAlign w:val="center"/>
            <w:hideMark/>
          </w:tcPr>
          <w:p w14:paraId="3947FF4D"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326</w:t>
            </w:r>
          </w:p>
        </w:tc>
        <w:tc>
          <w:tcPr>
            <w:tcW w:w="1134" w:type="dxa"/>
            <w:tcBorders>
              <w:top w:val="nil"/>
              <w:left w:val="nil"/>
              <w:bottom w:val="single" w:sz="8" w:space="0" w:color="auto"/>
              <w:right w:val="nil"/>
            </w:tcBorders>
            <w:shd w:val="clear" w:color="000000" w:fill="FFFFFF"/>
            <w:noWrap/>
            <w:vAlign w:val="center"/>
            <w:hideMark/>
          </w:tcPr>
          <w:p w14:paraId="1A1A125A"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326</w:t>
            </w:r>
          </w:p>
        </w:tc>
        <w:tc>
          <w:tcPr>
            <w:tcW w:w="992" w:type="dxa"/>
            <w:tcBorders>
              <w:top w:val="nil"/>
              <w:left w:val="nil"/>
              <w:bottom w:val="single" w:sz="8" w:space="0" w:color="auto"/>
              <w:right w:val="nil"/>
            </w:tcBorders>
            <w:shd w:val="clear" w:color="000000" w:fill="FFFFFF"/>
            <w:noWrap/>
            <w:vAlign w:val="center"/>
            <w:hideMark/>
          </w:tcPr>
          <w:p w14:paraId="753ED751"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22</w:t>
            </w:r>
          </w:p>
        </w:tc>
      </w:tr>
      <w:tr w:rsidR="004E7F1D" w:rsidRPr="00C46A5F" w14:paraId="29270C86" w14:textId="77777777" w:rsidTr="00775156">
        <w:trPr>
          <w:trHeight w:val="406"/>
        </w:trPr>
        <w:tc>
          <w:tcPr>
            <w:tcW w:w="1278" w:type="dxa"/>
            <w:tcBorders>
              <w:top w:val="single" w:sz="4" w:space="0" w:color="auto"/>
              <w:left w:val="nil"/>
              <w:bottom w:val="nil"/>
              <w:right w:val="nil"/>
            </w:tcBorders>
            <w:shd w:val="clear" w:color="000000" w:fill="FFFFFF"/>
            <w:vAlign w:val="center"/>
          </w:tcPr>
          <w:p w14:paraId="2D4DB982" w14:textId="46723B12" w:rsidR="00056E47" w:rsidRPr="00775156" w:rsidRDefault="00106D11"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2</w:t>
            </w:r>
            <w:r w:rsidR="00EA66D3">
              <w:rPr>
                <w:rFonts w:eastAsia="Times New Roman" w:cstheme="minorHAnsi"/>
                <w:color w:val="000000"/>
                <w:sz w:val="18"/>
                <w:szCs w:val="18"/>
                <w:lang w:eastAsia="en-GB"/>
              </w:rPr>
              <w:t>7</w:t>
            </w:r>
          </w:p>
        </w:tc>
        <w:tc>
          <w:tcPr>
            <w:tcW w:w="1141" w:type="dxa"/>
            <w:tcBorders>
              <w:top w:val="single" w:sz="4" w:space="0" w:color="auto"/>
              <w:left w:val="nil"/>
              <w:bottom w:val="nil"/>
              <w:right w:val="nil"/>
            </w:tcBorders>
            <w:shd w:val="clear" w:color="000000" w:fill="FFFFFF"/>
            <w:noWrap/>
            <w:vAlign w:val="center"/>
          </w:tcPr>
          <w:p w14:paraId="075A1CF8" w14:textId="752FEAA6"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Zhang et al</w:t>
            </w:r>
            <w:r w:rsidR="005778CA">
              <w:rPr>
                <w:rFonts w:eastAsia="Times New Roman" w:cstheme="minorHAnsi"/>
                <w:color w:val="000000"/>
                <w:sz w:val="18"/>
                <w:szCs w:val="18"/>
                <w:lang w:eastAsia="en-GB"/>
              </w:rPr>
              <w:t xml:space="preserve"> </w:t>
            </w:r>
            <w:r w:rsidR="005778CA">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{"citationItems":[{"id":"ITEM-1","itemData":{"DOI":"10.3201/eid2608.201142","ISBN":"1080-6040 (Print)\r1080-6040","PMID":"32453686","abstract":"We explored the secondary attack rate in different types of contact with persons presymptomatic for coronavirus disease (COVID-19). Close contacts who lived with or had frequent contact with an index case-patient had a higher risk for COVID-19. Our findings provide population-based evidence for transmission from persons with presymptomatic COVID-19 infections.","author":[{"dropping-particle":"","family":"Zhang","given":"W","non-dropping-particle":"","parse-names":false,"suffix":""},{"dropping-particle":"","family":"Cheng","given":"W","non-dropping-particle":"","parse-names":false,"suffix":""},{"dropping-particle":"","family":"Luo","given":"L","non-dropping-particle":"","parse-names":false,"suffix":""},{"dropping-particle":"","family":"Ma","given":"Y","non-dropping-particle":"","parse-names":false,"suffix":""},{"dropping-particle":"","family":"Xu","given":"C","non-dropping-particle":"","parse-names":false,"suffix":""},{"dropping-particle":"","family":"Qin","given":"P","non-dropping-particle":"","parse-names":false,"suffix":""},{"dropping-particle":"","family":"Zhang","given":"Z","non-dropping-particle":"","parse-names":false,"suffix":""}],"container-title":"Emerg Infect Dis","edition":"2020/05/27","id":"ITEM-1","issue":"8","issued":{"date-parts":[["2020"]]},"language":"eng","note":"1080-6059\nZhang, Weiwei\nCheng, Weibin\nLuo, Lei\nMa, Yu\nXu, Conghui\nQin, Pengzhe\nZhang, Zhoubin\nJournal Article\nEmerg Infect Dis. 2020 Aug;26(8):1924-1926. doi: 10.3201/eid2608.201142. Epub 2020 May 26.","page":"1924-1926","title":"Secondary Transmission of Coronavirus Disease from Presymptomatic Persons, China","type":"article-journal","volume":"26"},"uris":["http://www.mendeley.com/documents/?uuid=b2867ff7-16d0-4e23-8c1a-d14f2726f827"]}],"mendeley":{"formattedCitation":"[62]","plainTextFormattedCitation":"[62]","previouslyFormattedCitation":"[64]"},"properties":{"noteIndex":0},"schema":"https://github.com/citation-style-language/schema/raw/master/csl-citation.json"}</w:instrText>
            </w:r>
            <w:r w:rsidR="005778CA">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[62]</w:t>
            </w:r>
            <w:r w:rsidR="005778CA">
              <w:rPr>
                <w:rFonts w:eastAsia="Times New Roman" w:cstheme="minorHAnsi"/>
                <w:color w:val="000000"/>
                <w:sz w:val="18"/>
                <w:szCs w:val="18"/>
                <w:lang w:eastAsia="en-GB"/>
              </w:rPr>
              <w:fldChar w:fldCharType="end"/>
            </w:r>
          </w:p>
        </w:tc>
        <w:tc>
          <w:tcPr>
            <w:tcW w:w="1202" w:type="dxa"/>
            <w:tcBorders>
              <w:top w:val="single" w:sz="4" w:space="0" w:color="auto"/>
              <w:left w:val="nil"/>
              <w:bottom w:val="nil"/>
              <w:right w:val="nil"/>
            </w:tcBorders>
            <w:shd w:val="clear" w:color="000000" w:fill="FFFFFF"/>
            <w:noWrap/>
            <w:vAlign w:val="center"/>
          </w:tcPr>
          <w:p w14:paraId="2715FD35" w14:textId="70489AE6"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Guangzhou</w:t>
            </w:r>
          </w:p>
        </w:tc>
        <w:tc>
          <w:tcPr>
            <w:tcW w:w="888" w:type="dxa"/>
            <w:tcBorders>
              <w:top w:val="single" w:sz="4" w:space="0" w:color="auto"/>
              <w:left w:val="nil"/>
              <w:bottom w:val="nil"/>
              <w:right w:val="nil"/>
            </w:tcBorders>
            <w:shd w:val="clear" w:color="000000" w:fill="FFFFFF"/>
            <w:noWrap/>
            <w:vAlign w:val="center"/>
          </w:tcPr>
          <w:p w14:paraId="119FAD0E" w14:textId="46660F18"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China</w:t>
            </w:r>
          </w:p>
        </w:tc>
        <w:tc>
          <w:tcPr>
            <w:tcW w:w="1664" w:type="dxa"/>
            <w:tcBorders>
              <w:top w:val="single" w:sz="4" w:space="0" w:color="auto"/>
              <w:left w:val="nil"/>
              <w:bottom w:val="nil"/>
              <w:right w:val="nil"/>
            </w:tcBorders>
            <w:shd w:val="clear" w:color="000000" w:fill="FFFFFF"/>
            <w:vAlign w:val="center"/>
          </w:tcPr>
          <w:p w14:paraId="35BE9A8C" w14:textId="0C9FCD38"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Surveillance and contact tracing</w:t>
            </w:r>
          </w:p>
        </w:tc>
        <w:tc>
          <w:tcPr>
            <w:tcW w:w="3684" w:type="dxa"/>
            <w:tcBorders>
              <w:top w:val="nil"/>
              <w:left w:val="nil"/>
              <w:bottom w:val="single" w:sz="4" w:space="0" w:color="auto"/>
              <w:right w:val="nil"/>
            </w:tcBorders>
            <w:shd w:val="clear" w:color="000000" w:fill="FFFFFF"/>
            <w:vAlign w:val="center"/>
            <w:hideMark/>
          </w:tcPr>
          <w:p w14:paraId="6C3BC9FE" w14:textId="77A22529"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Family and Friends:</w:t>
            </w:r>
            <w:r w:rsidRPr="00775156">
              <w:rPr>
                <w:rFonts w:eastAsia="Times New Roman" w:cstheme="minorHAnsi"/>
                <w:color w:val="000000"/>
                <w:sz w:val="18"/>
                <w:szCs w:val="18"/>
                <w:lang w:eastAsia="en-GB"/>
              </w:rPr>
              <w:t xml:space="preserve"> Visiting or sharing meals with a confirmed case</w:t>
            </w:r>
            <w:r w:rsidR="0001629A">
              <w:rPr>
                <w:rFonts w:eastAsia="Times New Roman" w:cstheme="minorHAnsi"/>
                <w:color w:val="000000"/>
                <w:sz w:val="18"/>
                <w:szCs w:val="18"/>
                <w:lang w:eastAsia="en-GB"/>
              </w:rPr>
              <w:t xml:space="preserve"> </w:t>
            </w:r>
            <w:r w:rsidR="0001629A" w:rsidRPr="0001629A">
              <w:rPr>
                <w:rFonts w:eastAsia="Times New Roman" w:cstheme="minorHAnsi"/>
                <w:color w:val="000000"/>
                <w:sz w:val="18"/>
                <w:szCs w:val="18"/>
                <w:lang w:eastAsia="en-GB"/>
              </w:rPr>
              <w:t>without using proper protection</w:t>
            </w:r>
            <w:r w:rsidR="0001629A">
              <w:rPr>
                <w:rFonts w:eastAsia="Times New Roman" w:cstheme="minorHAnsi"/>
                <w:color w:val="000000"/>
                <w:sz w:val="18"/>
                <w:szCs w:val="18"/>
                <w:lang w:eastAsia="en-GB"/>
              </w:rPr>
              <w:t xml:space="preserve"> (surgical mask)</w:t>
            </w:r>
            <w:r w:rsidR="0001629A" w:rsidRPr="0001629A">
              <w:rPr>
                <w:rFonts w:eastAsia="Times New Roman" w:cstheme="minorHAnsi"/>
                <w:color w:val="000000"/>
                <w:sz w:val="18"/>
                <w:szCs w:val="18"/>
                <w:lang w:eastAsia="en-GB"/>
              </w:rPr>
              <w:t xml:space="preserve"> during 2 days before the index case was tested.</w:t>
            </w:r>
          </w:p>
        </w:tc>
        <w:tc>
          <w:tcPr>
            <w:tcW w:w="1182" w:type="dxa"/>
            <w:tcBorders>
              <w:top w:val="nil"/>
              <w:left w:val="nil"/>
              <w:bottom w:val="single" w:sz="4" w:space="0" w:color="auto"/>
              <w:right w:val="nil"/>
            </w:tcBorders>
            <w:shd w:val="clear" w:color="000000" w:fill="FFFFFF"/>
            <w:noWrap/>
            <w:vAlign w:val="center"/>
            <w:hideMark/>
          </w:tcPr>
          <w:p w14:paraId="4CC10D02"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4" w:space="0" w:color="auto"/>
              <w:right w:val="nil"/>
            </w:tcBorders>
            <w:shd w:val="clear" w:color="000000" w:fill="FFFFFF"/>
            <w:noWrap/>
            <w:vAlign w:val="center"/>
            <w:hideMark/>
          </w:tcPr>
          <w:p w14:paraId="251CE9C2"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4" w:space="0" w:color="auto"/>
              <w:right w:val="nil"/>
            </w:tcBorders>
            <w:shd w:val="clear" w:color="000000" w:fill="FFFFFF"/>
            <w:noWrap/>
            <w:vAlign w:val="center"/>
            <w:hideMark/>
          </w:tcPr>
          <w:p w14:paraId="61407DC2"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38</w:t>
            </w:r>
          </w:p>
        </w:tc>
        <w:tc>
          <w:tcPr>
            <w:tcW w:w="993" w:type="dxa"/>
            <w:tcBorders>
              <w:top w:val="nil"/>
              <w:left w:val="nil"/>
              <w:bottom w:val="single" w:sz="4" w:space="0" w:color="auto"/>
              <w:right w:val="nil"/>
            </w:tcBorders>
            <w:shd w:val="clear" w:color="000000" w:fill="FFFFFF"/>
            <w:noWrap/>
            <w:vAlign w:val="center"/>
            <w:hideMark/>
          </w:tcPr>
          <w:p w14:paraId="022563DB"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66</w:t>
            </w:r>
          </w:p>
        </w:tc>
        <w:tc>
          <w:tcPr>
            <w:tcW w:w="1134" w:type="dxa"/>
            <w:tcBorders>
              <w:top w:val="nil"/>
              <w:left w:val="nil"/>
              <w:bottom w:val="single" w:sz="4" w:space="0" w:color="auto"/>
              <w:right w:val="nil"/>
            </w:tcBorders>
            <w:shd w:val="clear" w:color="000000" w:fill="FFFFFF"/>
            <w:noWrap/>
            <w:vAlign w:val="center"/>
            <w:hideMark/>
          </w:tcPr>
          <w:p w14:paraId="6F747D01"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66</w:t>
            </w:r>
          </w:p>
        </w:tc>
        <w:tc>
          <w:tcPr>
            <w:tcW w:w="992" w:type="dxa"/>
            <w:tcBorders>
              <w:top w:val="nil"/>
              <w:left w:val="nil"/>
              <w:bottom w:val="single" w:sz="4" w:space="0" w:color="auto"/>
              <w:right w:val="nil"/>
            </w:tcBorders>
            <w:shd w:val="clear" w:color="000000" w:fill="FFFFFF"/>
            <w:noWrap/>
            <w:vAlign w:val="center"/>
            <w:hideMark/>
          </w:tcPr>
          <w:p w14:paraId="62EC9543"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w:t>
            </w:r>
          </w:p>
        </w:tc>
      </w:tr>
      <w:tr w:rsidR="004E7F1D" w:rsidRPr="00C46A5F" w14:paraId="3E6A5AAC" w14:textId="77777777" w:rsidTr="00775156">
        <w:trPr>
          <w:trHeight w:val="983"/>
        </w:trPr>
        <w:tc>
          <w:tcPr>
            <w:tcW w:w="1278" w:type="dxa"/>
            <w:tcBorders>
              <w:top w:val="nil"/>
              <w:left w:val="nil"/>
              <w:bottom w:val="single" w:sz="8" w:space="0" w:color="auto"/>
              <w:right w:val="nil"/>
            </w:tcBorders>
            <w:shd w:val="clear" w:color="000000" w:fill="FFFFFF"/>
            <w:vAlign w:val="center"/>
          </w:tcPr>
          <w:p w14:paraId="3FA9EB63" w14:textId="77777777" w:rsidR="00056E47" w:rsidRPr="00775156" w:rsidRDefault="00056E47" w:rsidP="00775156">
            <w:pPr>
              <w:spacing w:after="0" w:line="240" w:lineRule="auto"/>
              <w:jc w:val="center"/>
              <w:rPr>
                <w:rFonts w:eastAsia="Times New Roman" w:cstheme="minorHAnsi"/>
                <w:color w:val="000000"/>
                <w:sz w:val="18"/>
                <w:szCs w:val="18"/>
                <w:lang w:eastAsia="en-GB"/>
              </w:rPr>
            </w:pPr>
          </w:p>
        </w:tc>
        <w:tc>
          <w:tcPr>
            <w:tcW w:w="1141" w:type="dxa"/>
            <w:tcBorders>
              <w:top w:val="nil"/>
              <w:left w:val="nil"/>
              <w:bottom w:val="single" w:sz="8" w:space="0" w:color="auto"/>
              <w:right w:val="nil"/>
            </w:tcBorders>
            <w:shd w:val="clear" w:color="000000" w:fill="FFFFFF"/>
            <w:noWrap/>
            <w:vAlign w:val="center"/>
          </w:tcPr>
          <w:p w14:paraId="5A183AB5" w14:textId="7D72FEE7" w:rsidR="00056E47" w:rsidRPr="00775156" w:rsidRDefault="00056E47" w:rsidP="00714C0E">
            <w:pPr>
              <w:spacing w:after="0" w:line="240" w:lineRule="auto"/>
              <w:rPr>
                <w:rFonts w:eastAsia="Times New Roman" w:cstheme="minorHAnsi"/>
                <w:color w:val="000000"/>
                <w:sz w:val="18"/>
                <w:szCs w:val="18"/>
                <w:lang w:eastAsia="en-GB"/>
              </w:rPr>
            </w:pPr>
          </w:p>
        </w:tc>
        <w:tc>
          <w:tcPr>
            <w:tcW w:w="1202" w:type="dxa"/>
            <w:tcBorders>
              <w:top w:val="nil"/>
              <w:left w:val="nil"/>
              <w:bottom w:val="single" w:sz="8" w:space="0" w:color="auto"/>
              <w:right w:val="nil"/>
            </w:tcBorders>
            <w:shd w:val="clear" w:color="000000" w:fill="FFFFFF"/>
            <w:noWrap/>
            <w:vAlign w:val="center"/>
          </w:tcPr>
          <w:p w14:paraId="6E911D46" w14:textId="0933D68A" w:rsidR="00056E47" w:rsidRPr="00775156" w:rsidRDefault="00056E47" w:rsidP="00714C0E">
            <w:pPr>
              <w:spacing w:after="0" w:line="240" w:lineRule="auto"/>
              <w:rPr>
                <w:rFonts w:eastAsia="Times New Roman" w:cstheme="minorHAnsi"/>
                <w:color w:val="000000"/>
                <w:sz w:val="18"/>
                <w:szCs w:val="18"/>
                <w:lang w:eastAsia="en-GB"/>
              </w:rPr>
            </w:pPr>
          </w:p>
        </w:tc>
        <w:tc>
          <w:tcPr>
            <w:tcW w:w="888" w:type="dxa"/>
            <w:tcBorders>
              <w:top w:val="nil"/>
              <w:left w:val="nil"/>
              <w:bottom w:val="single" w:sz="8" w:space="0" w:color="auto"/>
              <w:right w:val="nil"/>
            </w:tcBorders>
            <w:shd w:val="clear" w:color="000000" w:fill="FFFFFF"/>
            <w:noWrap/>
            <w:vAlign w:val="center"/>
          </w:tcPr>
          <w:p w14:paraId="501CF95E" w14:textId="676AD9D6" w:rsidR="00056E47" w:rsidRPr="00775156" w:rsidRDefault="00056E47" w:rsidP="00714C0E">
            <w:pPr>
              <w:spacing w:after="0" w:line="240" w:lineRule="auto"/>
              <w:rPr>
                <w:rFonts w:eastAsia="Times New Roman" w:cstheme="minorHAnsi"/>
                <w:color w:val="000000"/>
                <w:sz w:val="18"/>
                <w:szCs w:val="18"/>
                <w:lang w:eastAsia="en-GB"/>
              </w:rPr>
            </w:pPr>
          </w:p>
        </w:tc>
        <w:tc>
          <w:tcPr>
            <w:tcW w:w="1664" w:type="dxa"/>
            <w:tcBorders>
              <w:top w:val="nil"/>
              <w:left w:val="nil"/>
              <w:bottom w:val="single" w:sz="8" w:space="0" w:color="auto"/>
              <w:right w:val="nil"/>
            </w:tcBorders>
            <w:shd w:val="clear" w:color="000000" w:fill="FFFFFF"/>
            <w:vAlign w:val="center"/>
          </w:tcPr>
          <w:p w14:paraId="02977D91" w14:textId="1FF07951" w:rsidR="00056E47" w:rsidRPr="00775156" w:rsidRDefault="00056E47" w:rsidP="00714C0E">
            <w:pPr>
              <w:spacing w:after="0" w:line="240" w:lineRule="auto"/>
              <w:rPr>
                <w:rFonts w:eastAsia="Times New Roman" w:cstheme="minorHAnsi"/>
                <w:color w:val="000000"/>
                <w:sz w:val="18"/>
                <w:szCs w:val="18"/>
                <w:lang w:eastAsia="en-GB"/>
              </w:rPr>
            </w:pPr>
          </w:p>
        </w:tc>
        <w:tc>
          <w:tcPr>
            <w:tcW w:w="3684" w:type="dxa"/>
            <w:tcBorders>
              <w:top w:val="single" w:sz="4" w:space="0" w:color="auto"/>
              <w:left w:val="nil"/>
              <w:bottom w:val="single" w:sz="8" w:space="0" w:color="auto"/>
              <w:right w:val="nil"/>
            </w:tcBorders>
            <w:shd w:val="clear" w:color="000000" w:fill="FFFFFF"/>
            <w:vAlign w:val="center"/>
            <w:hideMark/>
          </w:tcPr>
          <w:p w14:paraId="08B8E52B" w14:textId="54135166"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 xml:space="preserve">Casual contacts: </w:t>
            </w:r>
            <w:r w:rsidRPr="00775156">
              <w:rPr>
                <w:rFonts w:eastAsia="Times New Roman" w:cstheme="minorHAnsi"/>
                <w:color w:val="000000"/>
                <w:sz w:val="18"/>
                <w:szCs w:val="18"/>
                <w:lang w:eastAsia="en-GB"/>
              </w:rPr>
              <w:t>Providing catering and entertainment services in a closed environment, sharing transportation, such as in vehicle, or on a flight or ship</w:t>
            </w:r>
            <w:r w:rsidR="0001629A">
              <w:rPr>
                <w:rFonts w:eastAsia="Times New Roman" w:cstheme="minorHAnsi"/>
                <w:color w:val="000000"/>
                <w:sz w:val="18"/>
                <w:szCs w:val="18"/>
                <w:lang w:eastAsia="en-GB"/>
              </w:rPr>
              <w:t xml:space="preserve"> </w:t>
            </w:r>
            <w:r w:rsidR="0001629A" w:rsidRPr="0001629A">
              <w:rPr>
                <w:rFonts w:eastAsia="Times New Roman" w:cstheme="minorHAnsi"/>
                <w:color w:val="000000"/>
                <w:sz w:val="18"/>
                <w:szCs w:val="18"/>
                <w:lang w:eastAsia="en-GB"/>
              </w:rPr>
              <w:t>without using proper protection</w:t>
            </w:r>
            <w:r w:rsidR="0001629A">
              <w:rPr>
                <w:rFonts w:eastAsia="Times New Roman" w:cstheme="minorHAnsi"/>
                <w:color w:val="000000"/>
                <w:sz w:val="18"/>
                <w:szCs w:val="18"/>
                <w:lang w:eastAsia="en-GB"/>
              </w:rPr>
              <w:t xml:space="preserve"> (surgical mask)</w:t>
            </w:r>
            <w:r w:rsidR="0001629A" w:rsidRPr="0001629A">
              <w:rPr>
                <w:rFonts w:eastAsia="Times New Roman" w:cstheme="minorHAnsi"/>
                <w:color w:val="000000"/>
                <w:sz w:val="18"/>
                <w:szCs w:val="18"/>
                <w:lang w:eastAsia="en-GB"/>
              </w:rPr>
              <w:t xml:space="preserve"> during 2 days before the index case was tested.</w:t>
            </w:r>
          </w:p>
        </w:tc>
        <w:tc>
          <w:tcPr>
            <w:tcW w:w="1182" w:type="dxa"/>
            <w:tcBorders>
              <w:top w:val="single" w:sz="4" w:space="0" w:color="auto"/>
              <w:left w:val="nil"/>
              <w:bottom w:val="single" w:sz="8" w:space="0" w:color="auto"/>
              <w:right w:val="nil"/>
            </w:tcBorders>
            <w:shd w:val="clear" w:color="000000" w:fill="FFFFFF"/>
            <w:noWrap/>
            <w:vAlign w:val="center"/>
            <w:hideMark/>
          </w:tcPr>
          <w:p w14:paraId="383C4CA9"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single" w:sz="4" w:space="0" w:color="auto"/>
              <w:left w:val="nil"/>
              <w:bottom w:val="single" w:sz="8" w:space="0" w:color="auto"/>
              <w:right w:val="nil"/>
            </w:tcBorders>
            <w:shd w:val="clear" w:color="000000" w:fill="FFFFFF"/>
            <w:noWrap/>
            <w:vAlign w:val="center"/>
            <w:hideMark/>
          </w:tcPr>
          <w:p w14:paraId="7C55B60A"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single" w:sz="4" w:space="0" w:color="auto"/>
              <w:left w:val="nil"/>
              <w:bottom w:val="single" w:sz="8" w:space="0" w:color="auto"/>
              <w:right w:val="nil"/>
            </w:tcBorders>
            <w:shd w:val="clear" w:color="000000" w:fill="FFFFFF"/>
            <w:noWrap/>
            <w:vAlign w:val="center"/>
            <w:hideMark/>
          </w:tcPr>
          <w:p w14:paraId="7F359990"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38</w:t>
            </w:r>
          </w:p>
        </w:tc>
        <w:tc>
          <w:tcPr>
            <w:tcW w:w="993" w:type="dxa"/>
            <w:tcBorders>
              <w:top w:val="single" w:sz="4" w:space="0" w:color="auto"/>
              <w:left w:val="nil"/>
              <w:bottom w:val="single" w:sz="8" w:space="0" w:color="auto"/>
              <w:right w:val="nil"/>
            </w:tcBorders>
            <w:shd w:val="clear" w:color="000000" w:fill="FFFFFF"/>
            <w:noWrap/>
            <w:vAlign w:val="center"/>
            <w:hideMark/>
          </w:tcPr>
          <w:p w14:paraId="465113EF"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122</w:t>
            </w:r>
          </w:p>
        </w:tc>
        <w:tc>
          <w:tcPr>
            <w:tcW w:w="1134" w:type="dxa"/>
            <w:tcBorders>
              <w:top w:val="single" w:sz="4" w:space="0" w:color="auto"/>
              <w:left w:val="nil"/>
              <w:bottom w:val="single" w:sz="8" w:space="0" w:color="auto"/>
              <w:right w:val="nil"/>
            </w:tcBorders>
            <w:shd w:val="clear" w:color="000000" w:fill="FFFFFF"/>
            <w:noWrap/>
            <w:vAlign w:val="center"/>
            <w:hideMark/>
          </w:tcPr>
          <w:p w14:paraId="2F76A3F2"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122</w:t>
            </w:r>
          </w:p>
        </w:tc>
        <w:tc>
          <w:tcPr>
            <w:tcW w:w="992" w:type="dxa"/>
            <w:tcBorders>
              <w:top w:val="single" w:sz="4" w:space="0" w:color="auto"/>
              <w:left w:val="nil"/>
              <w:bottom w:val="single" w:sz="8" w:space="0" w:color="auto"/>
              <w:right w:val="nil"/>
            </w:tcBorders>
            <w:shd w:val="clear" w:color="000000" w:fill="FFFFFF"/>
            <w:noWrap/>
            <w:vAlign w:val="center"/>
            <w:hideMark/>
          </w:tcPr>
          <w:p w14:paraId="757C58DF"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w:t>
            </w:r>
          </w:p>
        </w:tc>
      </w:tr>
      <w:tr w:rsidR="000F13C3" w:rsidRPr="00C46A5F" w14:paraId="1CD26969" w14:textId="77777777" w:rsidTr="00D9380C">
        <w:trPr>
          <w:trHeight w:val="702"/>
        </w:trPr>
        <w:tc>
          <w:tcPr>
            <w:tcW w:w="1278" w:type="dxa"/>
            <w:tcBorders>
              <w:top w:val="nil"/>
              <w:left w:val="nil"/>
              <w:bottom w:val="single" w:sz="18" w:space="0" w:color="auto"/>
              <w:right w:val="nil"/>
            </w:tcBorders>
            <w:shd w:val="clear" w:color="000000" w:fill="FFFFFF"/>
            <w:vAlign w:val="center"/>
          </w:tcPr>
          <w:p w14:paraId="73275F8A" w14:textId="27510139" w:rsidR="00056E47" w:rsidRPr="00775156" w:rsidRDefault="00106D11" w:rsidP="0077515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2</w:t>
            </w:r>
            <w:r w:rsidR="00EA66D3">
              <w:rPr>
                <w:rFonts w:eastAsia="Times New Roman" w:cstheme="minorHAnsi"/>
                <w:color w:val="000000"/>
                <w:sz w:val="18"/>
                <w:szCs w:val="18"/>
                <w:lang w:eastAsia="en-GB"/>
              </w:rPr>
              <w:t>8</w:t>
            </w:r>
          </w:p>
        </w:tc>
        <w:tc>
          <w:tcPr>
            <w:tcW w:w="1141" w:type="dxa"/>
            <w:tcBorders>
              <w:top w:val="nil"/>
              <w:left w:val="nil"/>
              <w:bottom w:val="single" w:sz="18" w:space="0" w:color="auto"/>
              <w:right w:val="nil"/>
            </w:tcBorders>
            <w:shd w:val="clear" w:color="000000" w:fill="FFFFFF"/>
            <w:noWrap/>
            <w:vAlign w:val="center"/>
            <w:hideMark/>
          </w:tcPr>
          <w:p w14:paraId="11255579" w14:textId="46A332AB"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Zhang et al</w:t>
            </w:r>
            <w:r w:rsidR="005778CA">
              <w:rPr>
                <w:rFonts w:eastAsia="Times New Roman" w:cstheme="minorHAnsi"/>
                <w:color w:val="000000"/>
                <w:sz w:val="18"/>
                <w:szCs w:val="18"/>
                <w:lang w:eastAsia="en-GB"/>
              </w:rPr>
              <w:t xml:space="preserve"> </w:t>
            </w:r>
            <w:r w:rsidR="005778CA">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{"citationItems":[{"id":"ITEM-1","itemData":{"DOI":"10.3760/cma.j.cn112338-20200228-00206","ISBN":"0254-6450","PMID":"32340093","author":[{"dropping-particle":"","family":"Zhang","given":"J Z","non-dropping-particle":"","parse-names":false,"suffix":""},{"dropping-particle":"","family":"Zhou","given":"P","non-dropping-particle":"","parse-names":false,"suffix":""},{"dropping-particle":"","family":"Han","given":"D B","non-dropping-particle":"","parse-names":false,"suffix":""},{"dropping-particle":"","family":"Wang","given":"W C","non-dropping-particle":"","parse-names":false,"suffix":""},{"dropping-particle":"","family":"Cui","given":"C","non-dropping-particle":"","parse-names":false,"suffix":""},{"dropping-particle":"","family":"Zhou","given":"R","non-dropping-particle":"","parse-names":false,"suffix":""},{"dropping-particle":"","family":"Xu","given":"K X","non-dropping-particle":"","parse-names":false,"suffix":""},{"dropping-particle":"","family":"Liu","given":"L","non-dropping-particle":"","parse-names":false,"suffix":""},{"dropping-particle":"","family":"Wang","given":"X H","non-dropping-particle":"","parse-names":false,"suffix":""},{"dropping-particle":"","family":"Bai","given":"X H","non-dropping-particle":"","parse-names":false,"suffix":""},{"dropping-particle":"","family":"Jiang","given":"X K","non-dropping-particle":"","parse-names":false,"suffix":""}],"container-title":"Zhonghua liu xing bing xue za zhi = Zhonghua liuxingbingxue zazhi","id":"ITEM-1","issue":"0","issued":{"date-parts":[["2020"]]},"language":"chi","page":"E055","title":"[Investigation on a cluster epidemic of COVID-19 in a supermarket in Liaocheng, Shandong province]","type":"article-journal","volume":"41"},"uris":["http://www.mendeley.com/documents/?uuid=cd0281b2-8239-43f2-bbec-1a9fdbb4025b"]}],"mendeley":{"formattedCitation":"[61]","plainTextFormattedCitation":"[61]","previouslyFormattedCitation":"[63]"},"properties":{"noteIndex":0},"schema":"https://github.com/citation-style-language/schema/raw/master/csl-citation.json"}</w:instrText>
            </w:r>
            <w:r w:rsidR="005778CA">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[61]</w:t>
            </w:r>
            <w:r w:rsidR="005778CA">
              <w:rPr>
                <w:rFonts w:eastAsia="Times New Roman" w:cstheme="minorHAnsi"/>
                <w:color w:val="000000"/>
                <w:sz w:val="18"/>
                <w:szCs w:val="18"/>
                <w:lang w:eastAsia="en-GB"/>
              </w:rPr>
              <w:fldChar w:fldCharType="end"/>
            </w:r>
          </w:p>
        </w:tc>
        <w:tc>
          <w:tcPr>
            <w:tcW w:w="1202" w:type="dxa"/>
            <w:tcBorders>
              <w:top w:val="nil"/>
              <w:left w:val="nil"/>
              <w:bottom w:val="single" w:sz="18" w:space="0" w:color="auto"/>
              <w:right w:val="nil"/>
            </w:tcBorders>
            <w:shd w:val="clear" w:color="000000" w:fill="FFFFFF"/>
            <w:noWrap/>
            <w:vAlign w:val="center"/>
            <w:hideMark/>
          </w:tcPr>
          <w:p w14:paraId="604CC664" w14:textId="77777777" w:rsidR="00056E47" w:rsidRPr="00775156" w:rsidRDefault="00056E47" w:rsidP="00714C0E">
            <w:pPr>
              <w:spacing w:after="0" w:line="240" w:lineRule="auto"/>
              <w:rPr>
                <w:rFonts w:eastAsia="Times New Roman" w:cstheme="minorHAnsi"/>
                <w:color w:val="000000"/>
                <w:sz w:val="18"/>
                <w:szCs w:val="18"/>
                <w:lang w:eastAsia="en-GB"/>
              </w:rPr>
            </w:pPr>
            <w:proofErr w:type="spellStart"/>
            <w:r w:rsidRPr="00775156">
              <w:rPr>
                <w:rFonts w:eastAsia="Times New Roman" w:cstheme="minorHAnsi"/>
                <w:color w:val="000000"/>
                <w:sz w:val="18"/>
                <w:szCs w:val="18"/>
                <w:lang w:eastAsia="en-GB"/>
              </w:rPr>
              <w:t>Liocheng</w:t>
            </w:r>
            <w:proofErr w:type="spellEnd"/>
          </w:p>
        </w:tc>
        <w:tc>
          <w:tcPr>
            <w:tcW w:w="888" w:type="dxa"/>
            <w:tcBorders>
              <w:top w:val="nil"/>
              <w:left w:val="nil"/>
              <w:bottom w:val="single" w:sz="18" w:space="0" w:color="auto"/>
              <w:right w:val="nil"/>
            </w:tcBorders>
            <w:shd w:val="clear" w:color="000000" w:fill="FFFFFF"/>
            <w:noWrap/>
            <w:vAlign w:val="center"/>
            <w:hideMark/>
          </w:tcPr>
          <w:p w14:paraId="7C63D672"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China</w:t>
            </w:r>
          </w:p>
        </w:tc>
        <w:tc>
          <w:tcPr>
            <w:tcW w:w="1664" w:type="dxa"/>
            <w:tcBorders>
              <w:top w:val="nil"/>
              <w:left w:val="nil"/>
              <w:bottom w:val="single" w:sz="18" w:space="0" w:color="auto"/>
              <w:right w:val="nil"/>
            </w:tcBorders>
            <w:shd w:val="clear" w:color="000000" w:fill="FFFFFF"/>
            <w:vAlign w:val="center"/>
            <w:hideMark/>
          </w:tcPr>
          <w:p w14:paraId="1D26D7BD" w14:textId="77777777" w:rsidR="00056E47" w:rsidRPr="00775156" w:rsidRDefault="00056E47" w:rsidP="00714C0E">
            <w:pPr>
              <w:spacing w:after="0" w:line="240" w:lineRule="auto"/>
              <w:rPr>
                <w:rFonts w:eastAsia="Times New Roman" w:cstheme="minorHAnsi"/>
                <w:color w:val="000000"/>
                <w:sz w:val="18"/>
                <w:szCs w:val="18"/>
                <w:lang w:eastAsia="en-GB"/>
              </w:rPr>
            </w:pPr>
            <w:r w:rsidRPr="00775156">
              <w:rPr>
                <w:rFonts w:eastAsia="Times New Roman" w:cstheme="minorHAnsi"/>
                <w:color w:val="000000"/>
                <w:sz w:val="18"/>
                <w:szCs w:val="18"/>
                <w:lang w:eastAsia="en-GB"/>
              </w:rPr>
              <w:t>Outbreak investigation and contact tracing</w:t>
            </w:r>
          </w:p>
        </w:tc>
        <w:tc>
          <w:tcPr>
            <w:tcW w:w="3684" w:type="dxa"/>
            <w:tcBorders>
              <w:top w:val="nil"/>
              <w:left w:val="nil"/>
              <w:bottom w:val="single" w:sz="18" w:space="0" w:color="auto"/>
              <w:right w:val="nil"/>
            </w:tcBorders>
            <w:shd w:val="clear" w:color="000000" w:fill="FFFFFF"/>
            <w:vAlign w:val="center"/>
            <w:hideMark/>
          </w:tcPr>
          <w:p w14:paraId="762F3F1B" w14:textId="77777777" w:rsidR="00056E47" w:rsidRPr="00775156" w:rsidRDefault="00056E47" w:rsidP="00714C0E">
            <w:pPr>
              <w:spacing w:after="0" w:line="240" w:lineRule="auto"/>
              <w:rPr>
                <w:rFonts w:eastAsia="Times New Roman" w:cstheme="minorHAnsi"/>
                <w:color w:val="000000"/>
                <w:sz w:val="18"/>
                <w:szCs w:val="18"/>
                <w:u w:val="single"/>
                <w:lang w:eastAsia="en-GB"/>
              </w:rPr>
            </w:pPr>
            <w:r w:rsidRPr="00775156">
              <w:rPr>
                <w:rFonts w:eastAsia="Times New Roman" w:cstheme="minorHAnsi"/>
                <w:color w:val="000000"/>
                <w:sz w:val="18"/>
                <w:szCs w:val="18"/>
                <w:u w:val="single"/>
                <w:lang w:eastAsia="en-GB"/>
              </w:rPr>
              <w:t>Casual contacts:</w:t>
            </w:r>
            <w:r w:rsidRPr="00775156">
              <w:rPr>
                <w:rFonts w:eastAsia="Times New Roman" w:cstheme="minorHAnsi"/>
                <w:color w:val="000000"/>
                <w:sz w:val="18"/>
                <w:szCs w:val="18"/>
                <w:lang w:eastAsia="en-GB"/>
              </w:rPr>
              <w:t xml:space="preserve"> customers using the supermarket during the days the index cases were identified inside the supermarket </w:t>
            </w:r>
          </w:p>
        </w:tc>
        <w:tc>
          <w:tcPr>
            <w:tcW w:w="1182" w:type="dxa"/>
            <w:tcBorders>
              <w:top w:val="nil"/>
              <w:left w:val="nil"/>
              <w:bottom w:val="single" w:sz="18" w:space="0" w:color="auto"/>
              <w:right w:val="nil"/>
            </w:tcBorders>
            <w:shd w:val="clear" w:color="000000" w:fill="FFFFFF"/>
            <w:noWrap/>
            <w:vAlign w:val="center"/>
            <w:hideMark/>
          </w:tcPr>
          <w:p w14:paraId="0D94D9A9"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all</w:t>
            </w:r>
          </w:p>
        </w:tc>
        <w:tc>
          <w:tcPr>
            <w:tcW w:w="992" w:type="dxa"/>
            <w:tcBorders>
              <w:top w:val="nil"/>
              <w:left w:val="nil"/>
              <w:bottom w:val="single" w:sz="18" w:space="0" w:color="auto"/>
              <w:right w:val="nil"/>
            </w:tcBorders>
            <w:shd w:val="clear" w:color="000000" w:fill="FFFFFF"/>
            <w:noWrap/>
            <w:vAlign w:val="center"/>
            <w:hideMark/>
          </w:tcPr>
          <w:p w14:paraId="226EDCC6" w14:textId="77777777" w:rsidR="00056E47" w:rsidRPr="00775156" w:rsidRDefault="00056E47" w:rsidP="00714C0E">
            <w:pPr>
              <w:spacing w:after="0" w:line="240" w:lineRule="auto"/>
              <w:jc w:val="center"/>
              <w:rPr>
                <w:rFonts w:eastAsia="Times New Roman" w:cstheme="minorHAnsi"/>
                <w:color w:val="000000"/>
                <w:sz w:val="18"/>
                <w:szCs w:val="18"/>
                <w:lang w:eastAsia="en-GB"/>
              </w:rPr>
            </w:pPr>
            <w:r w:rsidRPr="00775156">
              <w:rPr>
                <w:rFonts w:eastAsia="Times New Roman" w:cstheme="minorHAnsi"/>
                <w:color w:val="000000"/>
                <w:sz w:val="18"/>
                <w:szCs w:val="18"/>
                <w:lang w:eastAsia="en-GB"/>
              </w:rPr>
              <w:t>RT-PCR</w:t>
            </w:r>
          </w:p>
        </w:tc>
        <w:tc>
          <w:tcPr>
            <w:tcW w:w="869" w:type="dxa"/>
            <w:tcBorders>
              <w:top w:val="nil"/>
              <w:left w:val="nil"/>
              <w:bottom w:val="single" w:sz="18" w:space="0" w:color="auto"/>
              <w:right w:val="nil"/>
            </w:tcBorders>
            <w:shd w:val="clear" w:color="000000" w:fill="FFFFFF"/>
            <w:noWrap/>
            <w:vAlign w:val="center"/>
            <w:hideMark/>
          </w:tcPr>
          <w:p w14:paraId="12184A23"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12</w:t>
            </w:r>
          </w:p>
        </w:tc>
        <w:tc>
          <w:tcPr>
            <w:tcW w:w="993" w:type="dxa"/>
            <w:tcBorders>
              <w:top w:val="nil"/>
              <w:left w:val="nil"/>
              <w:bottom w:val="single" w:sz="18" w:space="0" w:color="auto"/>
              <w:right w:val="nil"/>
            </w:tcBorders>
            <w:shd w:val="clear" w:color="000000" w:fill="FFFFFF"/>
            <w:noWrap/>
            <w:vAlign w:val="center"/>
            <w:hideMark/>
          </w:tcPr>
          <w:p w14:paraId="48E0C8A7"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8,224</w:t>
            </w:r>
          </w:p>
        </w:tc>
        <w:tc>
          <w:tcPr>
            <w:tcW w:w="1134" w:type="dxa"/>
            <w:tcBorders>
              <w:top w:val="nil"/>
              <w:left w:val="nil"/>
              <w:bottom w:val="single" w:sz="18" w:space="0" w:color="auto"/>
              <w:right w:val="nil"/>
            </w:tcBorders>
            <w:shd w:val="clear" w:color="000000" w:fill="FFFFFF"/>
            <w:noWrap/>
            <w:vAlign w:val="center"/>
            <w:hideMark/>
          </w:tcPr>
          <w:p w14:paraId="727E8163"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8,224</w:t>
            </w:r>
          </w:p>
        </w:tc>
        <w:tc>
          <w:tcPr>
            <w:tcW w:w="992" w:type="dxa"/>
            <w:tcBorders>
              <w:top w:val="nil"/>
              <w:left w:val="nil"/>
              <w:bottom w:val="single" w:sz="18" w:space="0" w:color="auto"/>
              <w:right w:val="nil"/>
            </w:tcBorders>
            <w:shd w:val="clear" w:color="000000" w:fill="FFFFFF"/>
            <w:noWrap/>
            <w:vAlign w:val="center"/>
            <w:hideMark/>
          </w:tcPr>
          <w:p w14:paraId="7A36A12E" w14:textId="77777777" w:rsidR="00056E47" w:rsidRPr="00775156" w:rsidRDefault="00056E47" w:rsidP="00714C0E">
            <w:pPr>
              <w:spacing w:after="0" w:line="240" w:lineRule="auto"/>
              <w:jc w:val="right"/>
              <w:rPr>
                <w:rFonts w:eastAsia="Times New Roman" w:cstheme="minorHAnsi"/>
                <w:color w:val="000000"/>
                <w:sz w:val="18"/>
                <w:szCs w:val="18"/>
                <w:lang w:eastAsia="en-GB"/>
              </w:rPr>
            </w:pPr>
            <w:r w:rsidRPr="00775156">
              <w:rPr>
                <w:rFonts w:eastAsia="Times New Roman" w:cstheme="minorHAnsi"/>
                <w:color w:val="000000"/>
                <w:sz w:val="18"/>
                <w:szCs w:val="18"/>
                <w:lang w:eastAsia="en-GB"/>
              </w:rPr>
              <w:t>2</w:t>
            </w:r>
          </w:p>
        </w:tc>
      </w:tr>
    </w:tbl>
    <w:p w14:paraId="75DF7C48" w14:textId="77777777" w:rsidR="000574F2" w:rsidRDefault="000574F2" w:rsidP="000574F2">
      <w:r>
        <w:t>*</w:t>
      </w:r>
      <w:r w:rsidRPr="006C15AF">
        <w:rPr>
          <w:rFonts w:ascii="Calibri" w:eastAsia="Times New Roman" w:hAnsi="Calibri" w:cs="Calibri"/>
          <w:color w:val="000000"/>
          <w:sz w:val="18"/>
          <w:szCs w:val="18"/>
          <w:lang w:eastAsia="en-GB"/>
        </w:rPr>
        <w:t xml:space="preserve"> </w:t>
      </w:r>
      <w:r>
        <w:rPr>
          <w:rFonts w:ascii="Calibri" w:eastAsia="Times New Roman" w:hAnsi="Calibri" w:cs="Calibri"/>
          <w:color w:val="000000"/>
          <w:sz w:val="18"/>
          <w:szCs w:val="18"/>
          <w:lang w:eastAsia="en-GB"/>
        </w:rPr>
        <w:t>I</w:t>
      </w:r>
      <w:r w:rsidRPr="008C4D21">
        <w:rPr>
          <w:rFonts w:ascii="Calibri" w:eastAsia="Times New Roman" w:hAnsi="Calibri" w:cs="Calibri"/>
          <w:color w:val="000000"/>
          <w:sz w:val="18"/>
          <w:szCs w:val="18"/>
          <w:lang w:eastAsia="en-GB"/>
        </w:rPr>
        <w:t xml:space="preserve">nferred &gt;1 due to </w:t>
      </w:r>
      <w:r>
        <w:rPr>
          <w:rFonts w:ascii="Calibri" w:eastAsia="Times New Roman" w:hAnsi="Calibri" w:cs="Calibri"/>
          <w:color w:val="000000"/>
          <w:sz w:val="18"/>
          <w:szCs w:val="18"/>
          <w:lang w:eastAsia="en-GB"/>
        </w:rPr>
        <w:t>contact</w:t>
      </w:r>
      <w:r w:rsidRPr="008C4D21">
        <w:rPr>
          <w:rFonts w:ascii="Calibri" w:eastAsia="Times New Roman" w:hAnsi="Calibri" w:cs="Calibri"/>
          <w:color w:val="000000"/>
          <w:sz w:val="18"/>
          <w:szCs w:val="18"/>
          <w:lang w:eastAsia="en-GB"/>
        </w:rPr>
        <w:t xml:space="preserve"> </w:t>
      </w:r>
      <w:r>
        <w:rPr>
          <w:rFonts w:ascii="Calibri" w:eastAsia="Times New Roman" w:hAnsi="Calibri" w:cs="Calibri"/>
          <w:color w:val="000000"/>
          <w:sz w:val="18"/>
          <w:szCs w:val="18"/>
          <w:lang w:eastAsia="en-GB"/>
        </w:rPr>
        <w:t xml:space="preserve">sample size </w:t>
      </w:r>
    </w:p>
    <w:p w14:paraId="50CC6165" w14:textId="536DCD5D" w:rsidR="000574F2" w:rsidRPr="000574F2" w:rsidRDefault="000574F2" w:rsidP="000574F2">
      <w:pPr>
        <w:sectPr w:rsidR="000574F2" w:rsidRPr="000574F2" w:rsidSect="000C40B1">
          <w:pgSz w:w="16838" w:h="11906" w:orient="landscape"/>
          <w:pgMar w:top="1440" w:right="1440" w:bottom="1440" w:left="1440" w:header="709" w:footer="709" w:gutter="0"/>
          <w:cols w:space="708"/>
          <w:docGrid w:linePitch="360"/>
        </w:sectPr>
      </w:pPr>
    </w:p>
    <w:p w14:paraId="2681F58C" w14:textId="2C60AB58" w:rsidR="001815C3" w:rsidRDefault="001815C3" w:rsidP="001815C3">
      <w:pPr>
        <w:pStyle w:val="Heading2"/>
        <w:rPr>
          <w:rFonts w:asciiTheme="minorHAnsi" w:hAnsiTheme="minorHAnsi" w:cstheme="minorHAnsi"/>
          <w:sz w:val="24"/>
          <w:szCs w:val="24"/>
        </w:rPr>
      </w:pPr>
      <w:r w:rsidRPr="00A80249">
        <w:rPr>
          <w:rFonts w:asciiTheme="minorHAnsi" w:hAnsiTheme="minorHAnsi" w:cstheme="minorHAnsi"/>
          <w:sz w:val="24"/>
          <w:szCs w:val="24"/>
        </w:rPr>
        <w:lastRenderedPageBreak/>
        <w:t xml:space="preserve">Combined close contacts </w:t>
      </w:r>
    </w:p>
    <w:p w14:paraId="2AD3DD2A" w14:textId="139A1F85" w:rsidR="004D546D" w:rsidRPr="000D1FB5" w:rsidRDefault="004D546D" w:rsidP="004D546D">
      <w:pPr>
        <w:rPr>
          <w:b/>
          <w:bCs/>
          <w:sz w:val="20"/>
          <w:szCs w:val="20"/>
        </w:rPr>
      </w:pPr>
      <w:r w:rsidRPr="000D1FB5">
        <w:rPr>
          <w:b/>
          <w:bCs/>
          <w:sz w:val="20"/>
          <w:szCs w:val="20"/>
        </w:rPr>
        <w:t xml:space="preserve">Table </w:t>
      </w:r>
      <w:r w:rsidR="003F5FA4" w:rsidRPr="000D1FB5">
        <w:rPr>
          <w:b/>
          <w:bCs/>
          <w:sz w:val="20"/>
          <w:szCs w:val="20"/>
        </w:rPr>
        <w:t>7 Summary</w:t>
      </w:r>
      <w:r w:rsidR="00E451F7" w:rsidRPr="000D1FB5">
        <w:rPr>
          <w:b/>
          <w:bCs/>
          <w:sz w:val="20"/>
          <w:szCs w:val="20"/>
        </w:rPr>
        <w:t xml:space="preserve"> of studies reporting on contact investigations </w:t>
      </w:r>
      <w:r w:rsidR="001A65C6" w:rsidRPr="000D1FB5">
        <w:rPr>
          <w:b/>
          <w:bCs/>
          <w:sz w:val="20"/>
          <w:szCs w:val="20"/>
        </w:rPr>
        <w:t>where contacts</w:t>
      </w:r>
      <w:r w:rsidR="003F5FA4" w:rsidRPr="000D1FB5">
        <w:rPr>
          <w:b/>
          <w:bCs/>
          <w:sz w:val="20"/>
          <w:szCs w:val="20"/>
        </w:rPr>
        <w:t xml:space="preserve"> of index cases were not disaggregated by exposure location </w:t>
      </w:r>
    </w:p>
    <w:tbl>
      <w:tblPr>
        <w:tblW w:w="15593" w:type="dxa"/>
        <w:tblInd w:w="-851" w:type="dxa"/>
        <w:tblLayout w:type="fixed"/>
        <w:tblLook w:val="04A0" w:firstRow="1" w:lastRow="0" w:firstColumn="1" w:lastColumn="0" w:noHBand="0" w:noVBand="1"/>
      </w:tblPr>
      <w:tblGrid>
        <w:gridCol w:w="990"/>
        <w:gridCol w:w="1276"/>
        <w:gridCol w:w="1134"/>
        <w:gridCol w:w="850"/>
        <w:gridCol w:w="1843"/>
        <w:gridCol w:w="3263"/>
        <w:gridCol w:w="1276"/>
        <w:gridCol w:w="992"/>
        <w:gridCol w:w="851"/>
        <w:gridCol w:w="992"/>
        <w:gridCol w:w="992"/>
        <w:gridCol w:w="1134"/>
      </w:tblGrid>
      <w:tr w:rsidR="000F13C3" w:rsidRPr="00406551" w14:paraId="499B2856" w14:textId="77777777" w:rsidTr="00406551">
        <w:trPr>
          <w:trHeight w:val="434"/>
        </w:trPr>
        <w:tc>
          <w:tcPr>
            <w:tcW w:w="990" w:type="dxa"/>
            <w:tcBorders>
              <w:top w:val="single" w:sz="18" w:space="0" w:color="auto"/>
              <w:left w:val="nil"/>
              <w:bottom w:val="single" w:sz="18" w:space="0" w:color="auto"/>
              <w:right w:val="nil"/>
            </w:tcBorders>
            <w:shd w:val="clear" w:color="000000" w:fill="FFFFFF"/>
            <w:vAlign w:val="center"/>
          </w:tcPr>
          <w:p w14:paraId="7CD3FEF2" w14:textId="3F45C4F8" w:rsidR="00406551" w:rsidRPr="00406551" w:rsidRDefault="00406551" w:rsidP="00406551">
            <w:pPr>
              <w:spacing w:after="0" w:line="240" w:lineRule="auto"/>
              <w:jc w:val="center"/>
              <w:rPr>
                <w:rFonts w:eastAsia="Times New Roman" w:cstheme="minorHAnsi"/>
                <w:b/>
                <w:bCs/>
                <w:color w:val="000000"/>
                <w:sz w:val="18"/>
                <w:szCs w:val="18"/>
                <w:lang w:eastAsia="en-GB"/>
              </w:rPr>
            </w:pPr>
            <w:r>
              <w:rPr>
                <w:rFonts w:eastAsia="Times New Roman" w:cstheme="minorHAnsi"/>
                <w:b/>
                <w:bCs/>
                <w:color w:val="000000"/>
                <w:sz w:val="18"/>
                <w:szCs w:val="18"/>
                <w:lang w:eastAsia="en-GB"/>
              </w:rPr>
              <w:t>Main text reference number</w:t>
            </w:r>
          </w:p>
        </w:tc>
        <w:tc>
          <w:tcPr>
            <w:tcW w:w="1276" w:type="dxa"/>
            <w:tcBorders>
              <w:top w:val="single" w:sz="18" w:space="0" w:color="auto"/>
              <w:left w:val="nil"/>
              <w:bottom w:val="single" w:sz="18" w:space="0" w:color="auto"/>
              <w:right w:val="nil"/>
            </w:tcBorders>
            <w:shd w:val="clear" w:color="000000" w:fill="FFFFFF"/>
            <w:vAlign w:val="center"/>
            <w:hideMark/>
          </w:tcPr>
          <w:p w14:paraId="5F314021" w14:textId="1DB32660" w:rsidR="00406551" w:rsidRPr="00406551" w:rsidRDefault="00406551" w:rsidP="001A65C6">
            <w:pPr>
              <w:spacing w:after="0" w:line="240" w:lineRule="auto"/>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Author</w:t>
            </w:r>
          </w:p>
        </w:tc>
        <w:tc>
          <w:tcPr>
            <w:tcW w:w="1134" w:type="dxa"/>
            <w:tcBorders>
              <w:top w:val="single" w:sz="18" w:space="0" w:color="auto"/>
              <w:left w:val="nil"/>
              <w:bottom w:val="single" w:sz="18" w:space="0" w:color="auto"/>
              <w:right w:val="nil"/>
            </w:tcBorders>
            <w:shd w:val="clear" w:color="000000" w:fill="FFFFFF"/>
            <w:vAlign w:val="center"/>
            <w:hideMark/>
          </w:tcPr>
          <w:p w14:paraId="7F762D77" w14:textId="77777777" w:rsidR="00406551" w:rsidRPr="00406551" w:rsidRDefault="00406551" w:rsidP="001A65C6">
            <w:pPr>
              <w:spacing w:after="0" w:line="240" w:lineRule="auto"/>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Region</w:t>
            </w:r>
          </w:p>
        </w:tc>
        <w:tc>
          <w:tcPr>
            <w:tcW w:w="850" w:type="dxa"/>
            <w:tcBorders>
              <w:top w:val="single" w:sz="18" w:space="0" w:color="auto"/>
              <w:left w:val="nil"/>
              <w:bottom w:val="single" w:sz="18" w:space="0" w:color="auto"/>
              <w:right w:val="nil"/>
            </w:tcBorders>
            <w:shd w:val="clear" w:color="000000" w:fill="FFFFFF"/>
            <w:vAlign w:val="center"/>
            <w:hideMark/>
          </w:tcPr>
          <w:p w14:paraId="73BB3B9E" w14:textId="77777777" w:rsidR="00406551" w:rsidRPr="00406551" w:rsidRDefault="00406551" w:rsidP="001A65C6">
            <w:pPr>
              <w:spacing w:after="0" w:line="240" w:lineRule="auto"/>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Country</w:t>
            </w:r>
          </w:p>
        </w:tc>
        <w:tc>
          <w:tcPr>
            <w:tcW w:w="1843" w:type="dxa"/>
            <w:tcBorders>
              <w:top w:val="single" w:sz="18" w:space="0" w:color="auto"/>
              <w:left w:val="nil"/>
              <w:bottom w:val="single" w:sz="18" w:space="0" w:color="auto"/>
              <w:right w:val="nil"/>
            </w:tcBorders>
            <w:shd w:val="clear" w:color="000000" w:fill="FFFFFF"/>
            <w:vAlign w:val="center"/>
            <w:hideMark/>
          </w:tcPr>
          <w:p w14:paraId="70EB134F" w14:textId="77777777" w:rsidR="00406551" w:rsidRPr="00406551" w:rsidRDefault="00406551" w:rsidP="001A65C6">
            <w:pPr>
              <w:spacing w:after="0" w:line="240" w:lineRule="auto"/>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Study design</w:t>
            </w:r>
          </w:p>
        </w:tc>
        <w:tc>
          <w:tcPr>
            <w:tcW w:w="3263" w:type="dxa"/>
            <w:tcBorders>
              <w:top w:val="single" w:sz="18" w:space="0" w:color="auto"/>
              <w:left w:val="nil"/>
              <w:bottom w:val="single" w:sz="18" w:space="0" w:color="auto"/>
              <w:right w:val="nil"/>
            </w:tcBorders>
            <w:shd w:val="clear" w:color="000000" w:fill="FFFFFF"/>
            <w:vAlign w:val="center"/>
            <w:hideMark/>
          </w:tcPr>
          <w:p w14:paraId="0550A1BB" w14:textId="77777777" w:rsidR="00406551" w:rsidRPr="00406551" w:rsidRDefault="00406551" w:rsidP="001A65C6">
            <w:pPr>
              <w:spacing w:after="0" w:line="240" w:lineRule="auto"/>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Contact definition</w:t>
            </w:r>
          </w:p>
        </w:tc>
        <w:tc>
          <w:tcPr>
            <w:tcW w:w="1276" w:type="dxa"/>
            <w:tcBorders>
              <w:top w:val="single" w:sz="18" w:space="0" w:color="auto"/>
              <w:left w:val="nil"/>
              <w:bottom w:val="single" w:sz="18" w:space="0" w:color="auto"/>
              <w:right w:val="nil"/>
            </w:tcBorders>
            <w:shd w:val="clear" w:color="000000" w:fill="FFFFFF"/>
            <w:vAlign w:val="center"/>
            <w:hideMark/>
          </w:tcPr>
          <w:p w14:paraId="0159494C" w14:textId="77777777" w:rsidR="00406551" w:rsidRPr="00406551" w:rsidRDefault="00406551" w:rsidP="001A65C6">
            <w:pPr>
              <w:spacing w:after="0" w:line="240" w:lineRule="auto"/>
              <w:jc w:val="center"/>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Testing strategy</w:t>
            </w:r>
          </w:p>
        </w:tc>
        <w:tc>
          <w:tcPr>
            <w:tcW w:w="992" w:type="dxa"/>
            <w:tcBorders>
              <w:top w:val="single" w:sz="18" w:space="0" w:color="auto"/>
              <w:left w:val="nil"/>
              <w:bottom w:val="single" w:sz="18" w:space="0" w:color="auto"/>
              <w:right w:val="nil"/>
            </w:tcBorders>
            <w:shd w:val="clear" w:color="000000" w:fill="FFFFFF"/>
            <w:vAlign w:val="center"/>
            <w:hideMark/>
          </w:tcPr>
          <w:p w14:paraId="595D8B3A" w14:textId="77777777" w:rsidR="00406551" w:rsidRPr="00406551" w:rsidRDefault="00406551" w:rsidP="001A65C6">
            <w:pPr>
              <w:spacing w:after="0" w:line="240" w:lineRule="auto"/>
              <w:jc w:val="center"/>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Testing method</w:t>
            </w:r>
          </w:p>
        </w:tc>
        <w:tc>
          <w:tcPr>
            <w:tcW w:w="851" w:type="dxa"/>
            <w:tcBorders>
              <w:top w:val="single" w:sz="18" w:space="0" w:color="auto"/>
              <w:left w:val="nil"/>
              <w:bottom w:val="single" w:sz="18" w:space="0" w:color="auto"/>
              <w:right w:val="nil"/>
            </w:tcBorders>
            <w:shd w:val="clear" w:color="000000" w:fill="FFFFFF"/>
            <w:vAlign w:val="center"/>
            <w:hideMark/>
          </w:tcPr>
          <w:p w14:paraId="74B306C3" w14:textId="77777777" w:rsidR="00406551" w:rsidRPr="00406551" w:rsidRDefault="00406551" w:rsidP="001A65C6">
            <w:pPr>
              <w:spacing w:after="0" w:line="240" w:lineRule="auto"/>
              <w:jc w:val="right"/>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Index cases</w:t>
            </w:r>
          </w:p>
        </w:tc>
        <w:tc>
          <w:tcPr>
            <w:tcW w:w="992" w:type="dxa"/>
            <w:tcBorders>
              <w:top w:val="single" w:sz="18" w:space="0" w:color="auto"/>
              <w:left w:val="nil"/>
              <w:bottom w:val="single" w:sz="18" w:space="0" w:color="auto"/>
              <w:right w:val="nil"/>
            </w:tcBorders>
            <w:shd w:val="clear" w:color="000000" w:fill="FFFFFF"/>
            <w:vAlign w:val="center"/>
            <w:hideMark/>
          </w:tcPr>
          <w:p w14:paraId="13175237" w14:textId="77777777" w:rsidR="00406551" w:rsidRPr="00406551" w:rsidRDefault="00406551" w:rsidP="001A65C6">
            <w:pPr>
              <w:spacing w:after="0" w:line="240" w:lineRule="auto"/>
              <w:jc w:val="right"/>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Contacts traced</w:t>
            </w:r>
          </w:p>
        </w:tc>
        <w:tc>
          <w:tcPr>
            <w:tcW w:w="992" w:type="dxa"/>
            <w:tcBorders>
              <w:top w:val="single" w:sz="18" w:space="0" w:color="auto"/>
              <w:left w:val="nil"/>
              <w:bottom w:val="single" w:sz="18" w:space="0" w:color="auto"/>
              <w:right w:val="nil"/>
            </w:tcBorders>
            <w:shd w:val="clear" w:color="000000" w:fill="FFFFFF"/>
            <w:vAlign w:val="center"/>
            <w:hideMark/>
          </w:tcPr>
          <w:p w14:paraId="00B9C6B3" w14:textId="77777777" w:rsidR="00406551" w:rsidRPr="00406551" w:rsidRDefault="00406551" w:rsidP="001A65C6">
            <w:pPr>
              <w:spacing w:after="0" w:line="240" w:lineRule="auto"/>
              <w:jc w:val="right"/>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Contacts tested</w:t>
            </w:r>
          </w:p>
        </w:tc>
        <w:tc>
          <w:tcPr>
            <w:tcW w:w="1134" w:type="dxa"/>
            <w:tcBorders>
              <w:top w:val="single" w:sz="18" w:space="0" w:color="auto"/>
              <w:left w:val="nil"/>
              <w:bottom w:val="single" w:sz="18" w:space="0" w:color="auto"/>
              <w:right w:val="nil"/>
            </w:tcBorders>
            <w:shd w:val="clear" w:color="000000" w:fill="FFFFFF"/>
            <w:vAlign w:val="center"/>
            <w:hideMark/>
          </w:tcPr>
          <w:p w14:paraId="720875C6" w14:textId="77777777" w:rsidR="00406551" w:rsidRPr="00406551" w:rsidRDefault="00406551" w:rsidP="001A65C6">
            <w:pPr>
              <w:spacing w:after="0" w:line="240" w:lineRule="auto"/>
              <w:jc w:val="right"/>
              <w:rPr>
                <w:rFonts w:eastAsia="Times New Roman" w:cstheme="minorHAnsi"/>
                <w:b/>
                <w:bCs/>
                <w:color w:val="000000"/>
                <w:sz w:val="18"/>
                <w:szCs w:val="18"/>
                <w:lang w:eastAsia="en-GB"/>
              </w:rPr>
            </w:pPr>
            <w:r w:rsidRPr="00406551">
              <w:rPr>
                <w:rFonts w:eastAsia="Times New Roman" w:cstheme="minorHAnsi"/>
                <w:b/>
                <w:bCs/>
                <w:color w:val="000000"/>
                <w:sz w:val="18"/>
                <w:szCs w:val="18"/>
                <w:lang w:eastAsia="en-GB"/>
              </w:rPr>
              <w:t>Secondary cases</w:t>
            </w:r>
          </w:p>
        </w:tc>
      </w:tr>
      <w:tr w:rsidR="004E7F1D" w:rsidRPr="00406551" w14:paraId="792B0DB1" w14:textId="77777777" w:rsidTr="00406551">
        <w:trPr>
          <w:trHeight w:val="910"/>
        </w:trPr>
        <w:tc>
          <w:tcPr>
            <w:tcW w:w="990" w:type="dxa"/>
            <w:tcBorders>
              <w:top w:val="single" w:sz="18" w:space="0" w:color="auto"/>
              <w:left w:val="nil"/>
              <w:bottom w:val="single" w:sz="8" w:space="0" w:color="auto"/>
              <w:right w:val="nil"/>
            </w:tcBorders>
            <w:shd w:val="clear" w:color="000000" w:fill="FFFFFF"/>
            <w:vAlign w:val="center"/>
          </w:tcPr>
          <w:p w14:paraId="11C5E3EF" w14:textId="77777777" w:rsidR="00406551" w:rsidRPr="00406551" w:rsidRDefault="00406551" w:rsidP="00406551">
            <w:pPr>
              <w:spacing w:after="0" w:line="240" w:lineRule="auto"/>
              <w:jc w:val="center"/>
              <w:rPr>
                <w:rFonts w:eastAsia="Times New Roman" w:cstheme="minorHAnsi"/>
                <w:color w:val="000000"/>
                <w:sz w:val="18"/>
                <w:szCs w:val="18"/>
                <w:lang w:eastAsia="en-GB"/>
              </w:rPr>
            </w:pPr>
          </w:p>
        </w:tc>
        <w:tc>
          <w:tcPr>
            <w:tcW w:w="1276" w:type="dxa"/>
            <w:tcBorders>
              <w:top w:val="single" w:sz="18" w:space="0" w:color="auto"/>
              <w:left w:val="nil"/>
              <w:bottom w:val="single" w:sz="8" w:space="0" w:color="auto"/>
              <w:right w:val="nil"/>
            </w:tcBorders>
            <w:shd w:val="clear" w:color="000000" w:fill="FFFFFF"/>
            <w:noWrap/>
            <w:vAlign w:val="center"/>
            <w:hideMark/>
          </w:tcPr>
          <w:p w14:paraId="606756EA" w14:textId="6F6EA433" w:rsidR="00406551" w:rsidRPr="00406551" w:rsidRDefault="00406551" w:rsidP="001A65C6">
            <w:pPr>
              <w:spacing w:after="0" w:line="240" w:lineRule="auto"/>
              <w:rPr>
                <w:rFonts w:eastAsia="Times New Roman" w:cstheme="minorHAnsi"/>
                <w:color w:val="000000"/>
                <w:sz w:val="18"/>
                <w:szCs w:val="18"/>
                <w:lang w:eastAsia="en-GB"/>
              </w:rPr>
            </w:pPr>
            <w:proofErr w:type="spellStart"/>
            <w:r w:rsidRPr="00406551">
              <w:rPr>
                <w:rFonts w:eastAsia="Times New Roman" w:cstheme="minorHAnsi"/>
                <w:color w:val="000000"/>
                <w:sz w:val="18"/>
                <w:szCs w:val="18"/>
                <w:lang w:eastAsia="en-GB"/>
              </w:rPr>
              <w:t>Aghaali</w:t>
            </w:r>
            <w:proofErr w:type="spellEnd"/>
            <w:r w:rsidRPr="00406551">
              <w:rPr>
                <w:rFonts w:eastAsia="Times New Roman" w:cstheme="minorHAnsi"/>
                <w:color w:val="000000"/>
                <w:sz w:val="18"/>
                <w:szCs w:val="18"/>
                <w:lang w:eastAsia="en-GB"/>
              </w:rPr>
              <w:t xml:space="preserve"> et al</w:t>
            </w:r>
            <w:r>
              <w:rPr>
                <w:rFonts w:eastAsia="Times New Roman" w:cstheme="minorHAnsi"/>
                <w:color w:val="000000"/>
                <w:sz w:val="18"/>
                <w:szCs w:val="18"/>
                <w:lang w:eastAsia="en-GB"/>
              </w:rPr>
              <w:t xml:space="preserve"> </w:t>
            </w:r>
            <w:r>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{"citationItems":[{"id":"ITEM-1","itemData":{"DOI":"10.1111/tbed.13656","ISBN":"1865-1682\r1865-1674","PMID":"32473049","abstract":"The outbreak of COVID-19 was first reported from China, and on 19 February 2020, the first case was confirmed in Qom, Iran. The basic reproduction number (R(0) ) of infection is variable in different populations and periods. This study aimed to estimate the R(0) of COVID-19 in Qom, Iran, and compare it with that in other countries. For estimation of the serial interval, we used data of the 51 confirmed cases of COVID-19 and their 318 close contacts in Qom, Iran. The number of confirmed cases daily in the early phase of the outbreak and estimated serial interval were used for R(0) estimation. We used the time-varying method as a method with the least bias to estimate R(0) in Qom, Iran, and in China, Italy and South Korea. The serial interval was estimated with a gamma distribution, a mean of 4.55 days and a standard deviation of 3.30 days for the COVID-19 epidemic based on Qom data. The R(0) in this study was estimated to be between 2 and 3 in Qom. Of the four countries studied, the lowest R(0) was estimated in South Korea (1.5-2) and the highest in Iran (4-5). Sensitivity analyses demonstrated that R(0) is sensitive to the applied mean generation time. To the best of the authors' knowledge, this study is the first to estimate R(0) in Qom. To control the epidemic, the reproduction number should be reduced by decreasing the contact rate, decreasing the transmission probability and decreasing the duration of the infectious period.","author":[{"dropping-particle":"","family":"Aghaali","given":"Mohammad","non-dropping-particle":"","parse-names":false,"suffix":""},{"dropping-particle":"","family":"Kolifarhood","given":"Goodarz","non-dropping-particle":"","parse-names":false,"suffix":""},{"dropping-particle":"","family":"Nikbakht","given":"Roya","non-dropping-particle":"","parse-names":false,"suffix":""},{"dropping-particle":"","family":"Saadati","given":"Hossein Mozafar","non-dropping-particle":"","parse-names":false,"suffix":""},{"dropping-particle":"","family":"Hashemi Nazari","given":"Seyed Saeed","non-dropping-particle":"","parse-names":false,"suffix":""}],"container-title":"Transboundary and emerging diseases","id":"ITEM-1","issued":{"date-parts":[["2020"]]},"language":"eng","note":"32473049[pmid]\nPMC7300937[pmcid]","page":"10.1111/tbed.13656","publisher":"John Wiley and Sons Inc.","title":"Estimation of the serial interval and basic reproduction number of COVID-19 in Qom, Iran, and three other countries: A data-driven analysis in the early phase of the outbreak","type":"article-journal"},"uris":["http://www.mendeley.com/documents/?uuid=438e2cc8-58e8-4ac5-b2e8-99075556dada"]}],"mendeley":{"formattedCitation":"[89]","plainTextFormattedCitation":"[89]","previouslyFormattedCitation":"[91]"},"properties":{"noteIndex":0},"schema":"https://github.com/citation-style-language/schema/raw/master/csl-citation.json"}</w:instrText>
            </w:r>
            <w:r>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[89]</w:t>
            </w:r>
            <w:r>
              <w:rPr>
                <w:rFonts w:eastAsia="Times New Roman" w:cstheme="minorHAnsi"/>
                <w:color w:val="000000"/>
                <w:sz w:val="18"/>
                <w:szCs w:val="18"/>
                <w:lang w:eastAsia="en-GB"/>
              </w:rPr>
              <w:fldChar w:fldCharType="end"/>
            </w:r>
          </w:p>
        </w:tc>
        <w:tc>
          <w:tcPr>
            <w:tcW w:w="1134" w:type="dxa"/>
            <w:tcBorders>
              <w:top w:val="single" w:sz="18" w:space="0" w:color="auto"/>
              <w:left w:val="nil"/>
              <w:bottom w:val="single" w:sz="8" w:space="0" w:color="auto"/>
              <w:right w:val="nil"/>
            </w:tcBorders>
            <w:shd w:val="clear" w:color="000000" w:fill="FFFFFF"/>
            <w:noWrap/>
            <w:vAlign w:val="center"/>
            <w:hideMark/>
          </w:tcPr>
          <w:p w14:paraId="777E2985"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Qom</w:t>
            </w:r>
          </w:p>
        </w:tc>
        <w:tc>
          <w:tcPr>
            <w:tcW w:w="850" w:type="dxa"/>
            <w:tcBorders>
              <w:top w:val="single" w:sz="18" w:space="0" w:color="auto"/>
              <w:left w:val="nil"/>
              <w:bottom w:val="single" w:sz="8" w:space="0" w:color="auto"/>
              <w:right w:val="nil"/>
            </w:tcBorders>
            <w:shd w:val="clear" w:color="000000" w:fill="FFFFFF"/>
            <w:noWrap/>
            <w:vAlign w:val="center"/>
            <w:hideMark/>
          </w:tcPr>
          <w:p w14:paraId="3E0BBD57"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Iran</w:t>
            </w:r>
          </w:p>
        </w:tc>
        <w:tc>
          <w:tcPr>
            <w:tcW w:w="1843" w:type="dxa"/>
            <w:tcBorders>
              <w:top w:val="single" w:sz="18" w:space="0" w:color="auto"/>
              <w:left w:val="nil"/>
              <w:bottom w:val="single" w:sz="8" w:space="0" w:color="auto"/>
              <w:right w:val="nil"/>
            </w:tcBorders>
            <w:shd w:val="clear" w:color="000000" w:fill="FFFFFF"/>
            <w:vAlign w:val="center"/>
            <w:hideMark/>
          </w:tcPr>
          <w:p w14:paraId="636B8D57"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18" w:space="0" w:color="auto"/>
              <w:left w:val="nil"/>
              <w:bottom w:val="single" w:sz="8" w:space="0" w:color="auto"/>
              <w:right w:val="nil"/>
            </w:tcBorders>
            <w:shd w:val="clear" w:color="000000" w:fill="FFFFFF"/>
            <w:vAlign w:val="center"/>
            <w:hideMark/>
          </w:tcPr>
          <w:p w14:paraId="301A4189" w14:textId="4616A824"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Contact with a confirmed case (&lt;2m away) during symptomatic period, including 4 days before symptom onset (defined as close contact). </w:t>
            </w:r>
          </w:p>
        </w:tc>
        <w:tc>
          <w:tcPr>
            <w:tcW w:w="1276" w:type="dxa"/>
            <w:tcBorders>
              <w:top w:val="single" w:sz="18" w:space="0" w:color="auto"/>
              <w:left w:val="nil"/>
              <w:bottom w:val="single" w:sz="8" w:space="0" w:color="auto"/>
              <w:right w:val="nil"/>
            </w:tcBorders>
            <w:shd w:val="clear" w:color="000000" w:fill="FFFFFF"/>
            <w:noWrap/>
            <w:vAlign w:val="center"/>
            <w:hideMark/>
          </w:tcPr>
          <w:p w14:paraId="7A50F311" w14:textId="123FEBFA" w:rsidR="00406551" w:rsidRPr="00406551" w:rsidRDefault="00475474" w:rsidP="001A65C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s</w:t>
            </w:r>
            <w:r w:rsidR="00406551" w:rsidRPr="00406551">
              <w:rPr>
                <w:rFonts w:eastAsia="Times New Roman" w:cstheme="minorHAnsi"/>
                <w:color w:val="000000"/>
                <w:sz w:val="18"/>
                <w:szCs w:val="18"/>
                <w:lang w:eastAsia="en-GB"/>
              </w:rPr>
              <w:t>ymptomatic</w:t>
            </w:r>
          </w:p>
        </w:tc>
        <w:tc>
          <w:tcPr>
            <w:tcW w:w="992" w:type="dxa"/>
            <w:tcBorders>
              <w:top w:val="single" w:sz="18" w:space="0" w:color="auto"/>
              <w:left w:val="nil"/>
              <w:bottom w:val="single" w:sz="8" w:space="0" w:color="auto"/>
              <w:right w:val="nil"/>
            </w:tcBorders>
            <w:shd w:val="clear" w:color="000000" w:fill="FFFFFF"/>
            <w:vAlign w:val="center"/>
            <w:hideMark/>
          </w:tcPr>
          <w:p w14:paraId="0E89CC43"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X-rays and chest CT</w:t>
            </w:r>
          </w:p>
        </w:tc>
        <w:tc>
          <w:tcPr>
            <w:tcW w:w="851" w:type="dxa"/>
            <w:tcBorders>
              <w:top w:val="single" w:sz="18" w:space="0" w:color="auto"/>
              <w:left w:val="nil"/>
              <w:bottom w:val="single" w:sz="8" w:space="0" w:color="auto"/>
              <w:right w:val="nil"/>
            </w:tcBorders>
            <w:shd w:val="clear" w:color="000000" w:fill="FFFFFF"/>
            <w:vAlign w:val="center"/>
            <w:hideMark/>
          </w:tcPr>
          <w:p w14:paraId="576DEE32"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51</w:t>
            </w:r>
          </w:p>
        </w:tc>
        <w:tc>
          <w:tcPr>
            <w:tcW w:w="992" w:type="dxa"/>
            <w:tcBorders>
              <w:top w:val="single" w:sz="18" w:space="0" w:color="auto"/>
              <w:left w:val="nil"/>
              <w:bottom w:val="single" w:sz="8" w:space="0" w:color="auto"/>
              <w:right w:val="nil"/>
            </w:tcBorders>
            <w:shd w:val="clear" w:color="000000" w:fill="FFFFFF"/>
            <w:noWrap/>
            <w:vAlign w:val="center"/>
            <w:hideMark/>
          </w:tcPr>
          <w:p w14:paraId="2F57D56C"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318</w:t>
            </w:r>
          </w:p>
        </w:tc>
        <w:tc>
          <w:tcPr>
            <w:tcW w:w="992" w:type="dxa"/>
            <w:tcBorders>
              <w:top w:val="single" w:sz="18" w:space="0" w:color="auto"/>
              <w:left w:val="nil"/>
              <w:bottom w:val="single" w:sz="8" w:space="0" w:color="auto"/>
              <w:right w:val="nil"/>
            </w:tcBorders>
            <w:shd w:val="clear" w:color="000000" w:fill="FFFFFF"/>
            <w:vAlign w:val="center"/>
            <w:hideMark/>
          </w:tcPr>
          <w:p w14:paraId="57A3613B"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Not specified</w:t>
            </w:r>
          </w:p>
        </w:tc>
        <w:tc>
          <w:tcPr>
            <w:tcW w:w="1134" w:type="dxa"/>
            <w:tcBorders>
              <w:top w:val="single" w:sz="18" w:space="0" w:color="auto"/>
              <w:left w:val="nil"/>
              <w:bottom w:val="single" w:sz="8" w:space="0" w:color="auto"/>
              <w:right w:val="nil"/>
            </w:tcBorders>
            <w:shd w:val="clear" w:color="000000" w:fill="FFFFFF"/>
            <w:noWrap/>
            <w:vAlign w:val="center"/>
            <w:hideMark/>
          </w:tcPr>
          <w:p w14:paraId="31D5FBD6"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37</w:t>
            </w:r>
          </w:p>
        </w:tc>
      </w:tr>
      <w:tr w:rsidR="000F13C3" w:rsidRPr="00406551" w14:paraId="72D56B79" w14:textId="77777777" w:rsidTr="00042071">
        <w:trPr>
          <w:trHeight w:val="836"/>
        </w:trPr>
        <w:tc>
          <w:tcPr>
            <w:tcW w:w="990" w:type="dxa"/>
            <w:tcBorders>
              <w:top w:val="single" w:sz="8" w:space="0" w:color="auto"/>
              <w:left w:val="nil"/>
              <w:bottom w:val="single" w:sz="8" w:space="0" w:color="auto"/>
              <w:right w:val="nil"/>
            </w:tcBorders>
            <w:shd w:val="clear" w:color="000000" w:fill="FFFFFF"/>
            <w:vAlign w:val="center"/>
          </w:tcPr>
          <w:p w14:paraId="0D96BE10" w14:textId="77777777" w:rsidR="00406551" w:rsidRPr="00406551" w:rsidRDefault="00406551" w:rsidP="00406551">
            <w:pPr>
              <w:spacing w:after="0" w:line="240" w:lineRule="auto"/>
              <w:jc w:val="center"/>
              <w:rPr>
                <w:rFonts w:eastAsia="Times New Roman" w:cstheme="minorHAnsi"/>
                <w:color w:val="000000"/>
                <w:sz w:val="18"/>
                <w:szCs w:val="18"/>
                <w:lang w:eastAsia="en-GB"/>
              </w:rPr>
            </w:pPr>
          </w:p>
        </w:tc>
        <w:tc>
          <w:tcPr>
            <w:tcW w:w="1276" w:type="dxa"/>
            <w:tcBorders>
              <w:top w:val="single" w:sz="8" w:space="0" w:color="auto"/>
              <w:left w:val="nil"/>
              <w:bottom w:val="single" w:sz="8" w:space="0" w:color="auto"/>
              <w:right w:val="nil"/>
            </w:tcBorders>
            <w:shd w:val="clear" w:color="000000" w:fill="FFFFFF"/>
            <w:noWrap/>
            <w:vAlign w:val="center"/>
            <w:hideMark/>
          </w:tcPr>
          <w:p w14:paraId="03B92E0C" w14:textId="1BF146C4"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Barrett et al</w:t>
            </w:r>
            <w:r>
              <w:rPr>
                <w:rFonts w:eastAsia="Times New Roman" w:cstheme="minorHAnsi"/>
                <w:color w:val="000000"/>
                <w:sz w:val="18"/>
                <w:szCs w:val="18"/>
                <w:lang w:eastAsia="en-GB"/>
              </w:rPr>
              <w:t xml:space="preserve"> </w:t>
            </w:r>
            <w:r>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{"citationItems":[{"id":"ITEM-1","itemData":{"DOI":"10.2807/1560-7917.es.2020.25.23.2000972","ISBN":"1025-496x","PMID":"32553064","abstract":"We report the effectiveness of automated text messaging for active surveillance of asymptomatic close contacts of coronavirus disease (COVID-19) cases in the Cork/Kerry region of Ireland. In the first 7 weeks of the COVID-19 outbreak, 1,336 close contacts received 12,421 automated texts. Overall, 120 contacts (9.0%) reported symptoms which required referral for testing and 35 (2.6%) tested positive for COVID-19. Non-response was high (n = 2,121; 17.1%) and this required substantial clinical and administrative resources for follow-up.","author":[{"dropping-particle":"","family":"Barrett","given":"P M","non-dropping-particle":"","parse-names":false,"suffix":""},{"dropping-particle":"","family":"Bambury","given":"N","non-dropping-particle":"","parse-names":false,"suffix":""},{"dropping-particle":"","family":"Kelly","given":"L","non-dropping-particle":"","parse-names":false,"suffix":""},{"dropping-particle":"","family":"Condon","given":"R","non-dropping-particle":"","parse-names":false,"suffix":""},{"dropping-particle":"","family":"Crompton","given":"J","non-dropping-particle":"","parse-names":false,"suffix":""},{"dropping-particle":"","family":"Sheahan","given":"A","non-dropping-particle":"","parse-names":false,"suffix":""}],"container-title":"Euro Surveill","edition":"2020/06/20","id":"ITEM-1","issue":"23","issued":{"date-parts":[["2020"]]},"language":"eng","note":"1560-7917\nBarrett, Peter M\nBambury, Niamh\nKelly, Louise\nCondon, Rosalind\nCrompton, Janice\nSheahan, Anne\nregional Department of Public Health\nJournal Article\nResearch Support, Non-U.S. Gov't\nSweden\nEuro Surveill. 2020 Jun;25(23). doi: 10.2807/1560-7917.ES.2020.25.23.2000972.","title":"Measuring the effectiveness of an automated text messaging active surveillance system for COVID-19 in the south of Ireland, March to April 2020","type":"article-journal","volume":"25"},"uris":["http://www.mendeley.com/documents/?uuid=4e11a297-e8db-45be-80e9-7f6cbe141531"]}],"mendeley":{"formattedCitation":"[90]","plainTextFormattedCitation":"[90]","previouslyFormattedCitation":"[92]"},"properties":{"noteIndex":0},"schema":"https://github.com/citation-style-language/schema/raw/master/csl-citation.json"}</w:instrText>
            </w:r>
            <w:r>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[90]</w:t>
            </w:r>
            <w:r>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vAlign w:val="center"/>
            <w:hideMark/>
          </w:tcPr>
          <w:p w14:paraId="722847D1"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Cork/Kerry</w:t>
            </w:r>
          </w:p>
        </w:tc>
        <w:tc>
          <w:tcPr>
            <w:tcW w:w="850" w:type="dxa"/>
            <w:tcBorders>
              <w:top w:val="single" w:sz="8" w:space="0" w:color="auto"/>
              <w:left w:val="nil"/>
              <w:bottom w:val="single" w:sz="8" w:space="0" w:color="auto"/>
              <w:right w:val="nil"/>
            </w:tcBorders>
            <w:shd w:val="clear" w:color="000000" w:fill="FFFFFF"/>
            <w:vAlign w:val="center"/>
            <w:hideMark/>
          </w:tcPr>
          <w:p w14:paraId="0E580561"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Ireland</w:t>
            </w:r>
          </w:p>
        </w:tc>
        <w:tc>
          <w:tcPr>
            <w:tcW w:w="1843" w:type="dxa"/>
            <w:tcBorders>
              <w:top w:val="single" w:sz="8" w:space="0" w:color="auto"/>
              <w:left w:val="nil"/>
              <w:bottom w:val="single" w:sz="8" w:space="0" w:color="auto"/>
              <w:right w:val="nil"/>
            </w:tcBorders>
            <w:shd w:val="clear" w:color="000000" w:fill="FFFFFF"/>
            <w:vAlign w:val="center"/>
            <w:hideMark/>
          </w:tcPr>
          <w:p w14:paraId="61D315CE"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8" w:space="0" w:color="auto"/>
              <w:left w:val="nil"/>
              <w:bottom w:val="single" w:sz="8" w:space="0" w:color="auto"/>
              <w:right w:val="nil"/>
            </w:tcBorders>
            <w:shd w:val="clear" w:color="000000" w:fill="FFFFFF"/>
            <w:vAlign w:val="center"/>
            <w:hideMark/>
          </w:tcPr>
          <w:p w14:paraId="79F8692F"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casual (&lt; 15 min face-to-face exposure) or close (≥ 15 min face-to-face exposure) contacts of confirmed cases </w:t>
            </w:r>
          </w:p>
        </w:tc>
        <w:tc>
          <w:tcPr>
            <w:tcW w:w="1276" w:type="dxa"/>
            <w:tcBorders>
              <w:top w:val="single" w:sz="8" w:space="0" w:color="auto"/>
              <w:left w:val="nil"/>
              <w:bottom w:val="single" w:sz="8" w:space="0" w:color="auto"/>
              <w:right w:val="nil"/>
            </w:tcBorders>
            <w:shd w:val="clear" w:color="000000" w:fill="FFFFFF"/>
            <w:noWrap/>
            <w:vAlign w:val="center"/>
            <w:hideMark/>
          </w:tcPr>
          <w:p w14:paraId="49E818C0" w14:textId="0203C460" w:rsidR="00406551" w:rsidRPr="00406551" w:rsidRDefault="00475474" w:rsidP="001A65C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s</w:t>
            </w:r>
            <w:r w:rsidR="00406551" w:rsidRPr="00406551">
              <w:rPr>
                <w:rFonts w:eastAsia="Times New Roman" w:cstheme="minorHAnsi"/>
                <w:color w:val="000000"/>
                <w:sz w:val="18"/>
                <w:szCs w:val="18"/>
                <w:lang w:eastAsia="en-GB"/>
              </w:rPr>
              <w:t>ymptomatic</w:t>
            </w:r>
          </w:p>
        </w:tc>
        <w:tc>
          <w:tcPr>
            <w:tcW w:w="992" w:type="dxa"/>
            <w:tcBorders>
              <w:top w:val="single" w:sz="8" w:space="0" w:color="auto"/>
              <w:left w:val="nil"/>
              <w:bottom w:val="single" w:sz="8" w:space="0" w:color="auto"/>
              <w:right w:val="nil"/>
            </w:tcBorders>
            <w:shd w:val="clear" w:color="000000" w:fill="FFFFFF"/>
            <w:vAlign w:val="center"/>
            <w:hideMark/>
          </w:tcPr>
          <w:p w14:paraId="680A4E25"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vAlign w:val="center"/>
            <w:hideMark/>
          </w:tcPr>
          <w:p w14:paraId="6E64DDD2"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not stated</w:t>
            </w:r>
          </w:p>
        </w:tc>
        <w:tc>
          <w:tcPr>
            <w:tcW w:w="992" w:type="dxa"/>
            <w:tcBorders>
              <w:top w:val="single" w:sz="8" w:space="0" w:color="auto"/>
              <w:left w:val="nil"/>
              <w:bottom w:val="single" w:sz="8" w:space="0" w:color="auto"/>
              <w:right w:val="nil"/>
            </w:tcBorders>
            <w:shd w:val="clear" w:color="000000" w:fill="FFFFFF"/>
            <w:noWrap/>
            <w:vAlign w:val="center"/>
            <w:hideMark/>
          </w:tcPr>
          <w:p w14:paraId="2E9EAF36"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1,336</w:t>
            </w:r>
          </w:p>
        </w:tc>
        <w:tc>
          <w:tcPr>
            <w:tcW w:w="992" w:type="dxa"/>
            <w:tcBorders>
              <w:top w:val="single" w:sz="8" w:space="0" w:color="auto"/>
              <w:left w:val="nil"/>
              <w:bottom w:val="single" w:sz="8" w:space="0" w:color="auto"/>
              <w:right w:val="nil"/>
            </w:tcBorders>
            <w:shd w:val="clear" w:color="000000" w:fill="FFFFFF"/>
            <w:noWrap/>
            <w:vAlign w:val="center"/>
            <w:hideMark/>
          </w:tcPr>
          <w:p w14:paraId="18B47014"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120</w:t>
            </w:r>
          </w:p>
        </w:tc>
        <w:tc>
          <w:tcPr>
            <w:tcW w:w="1134" w:type="dxa"/>
            <w:tcBorders>
              <w:top w:val="single" w:sz="8" w:space="0" w:color="auto"/>
              <w:left w:val="nil"/>
              <w:bottom w:val="single" w:sz="8" w:space="0" w:color="auto"/>
              <w:right w:val="nil"/>
            </w:tcBorders>
            <w:shd w:val="clear" w:color="000000" w:fill="FFFFFF"/>
            <w:noWrap/>
            <w:vAlign w:val="center"/>
            <w:hideMark/>
          </w:tcPr>
          <w:p w14:paraId="5D3C715A"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35</w:t>
            </w:r>
          </w:p>
        </w:tc>
      </w:tr>
      <w:tr w:rsidR="000F13C3" w:rsidRPr="00406551" w14:paraId="30E1505C" w14:textId="77777777" w:rsidTr="00042071">
        <w:trPr>
          <w:trHeight w:val="1401"/>
        </w:trPr>
        <w:tc>
          <w:tcPr>
            <w:tcW w:w="990" w:type="dxa"/>
            <w:tcBorders>
              <w:top w:val="single" w:sz="8" w:space="0" w:color="auto"/>
              <w:left w:val="nil"/>
              <w:bottom w:val="single" w:sz="8" w:space="0" w:color="auto"/>
              <w:right w:val="nil"/>
            </w:tcBorders>
            <w:shd w:val="clear" w:color="000000" w:fill="FFFFFF"/>
            <w:vAlign w:val="center"/>
          </w:tcPr>
          <w:p w14:paraId="407B84E9" w14:textId="09D3CC82" w:rsidR="00406551" w:rsidRPr="00406551" w:rsidRDefault="00EA66D3" w:rsidP="00406551">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22</w:t>
            </w:r>
          </w:p>
        </w:tc>
        <w:tc>
          <w:tcPr>
            <w:tcW w:w="1276" w:type="dxa"/>
            <w:tcBorders>
              <w:top w:val="single" w:sz="8" w:space="0" w:color="auto"/>
              <w:left w:val="nil"/>
              <w:bottom w:val="single" w:sz="8" w:space="0" w:color="auto"/>
              <w:right w:val="nil"/>
            </w:tcBorders>
            <w:shd w:val="clear" w:color="000000" w:fill="FFFFFF"/>
            <w:noWrap/>
            <w:vAlign w:val="center"/>
            <w:hideMark/>
          </w:tcPr>
          <w:p w14:paraId="008902BD" w14:textId="2359F83D"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Burke et al</w:t>
            </w:r>
            <w:r>
              <w:rPr>
                <w:rFonts w:eastAsia="Times New Roman" w:cstheme="minorHAnsi"/>
                <w:color w:val="000000"/>
                <w:sz w:val="18"/>
                <w:szCs w:val="18"/>
                <w:lang w:eastAsia="en-GB"/>
              </w:rPr>
              <w:t xml:space="preserve"> </w:t>
            </w:r>
            <w:r>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{"citationItems":[{"id":"ITEM-1","itemData":{"DOI":"10.1371/journal.pone.0238342","ISSN":"19326203","PMID":"32877446","abstract":"Coronavirus disease 2019 (COVID-19), the respiratory disease caused by severe acute respiratory syndrome coronavirus 2 (SARS-CoV-2), was first identified in Wuhan, China and has since become pandemic. In response to the first cases identified in the United States, close contacts of confirmed COVID-19 cases were investigated to enable early identification and isolation of additional cases and to learn more about risk factors for transmission. Close contacts of nine early travel-related cases in the United States were identified and monitored daily for development of symptoms (active monitoring). Selected close contacts (including those with exposures categorized as higher risk) were targeted for collection of additional exposure information and respiratory samples. Respiratory samples were tested for SARS-CoV-2 by real-time reverse transcription polymerase chain reaction at the Centers for Disease Control and Prevention. Four hundred four close contacts were actively monitored in the jurisdictions that managed the travel-related cases. Three hundred thirty-eight of the 404 close contacts provided at least basic exposure information, of whom 159 close contacts had ≥1 set of respiratory samples collected and tested. Across all actively monitored close contacts, two additional symptomatic COVID-19 cases (i.e., secondary cases) were identified; both secondary cases were in spouses of travel-associated case patients. When considering only household members, all of whom had ≥1 respiratory sample tested for SARS-CoV-2, the secondary attack rate (i.e., the number of secondary cases as a proportion of total close contacts) was 13% (95% CI: 4–38%). The results from these contact tracing investigations suggest that household members, especially significant others, of COVID-19 cases are at highest risk of becoming infected. The importance of personal protective equipment for healthcare workers is also underlined. Isolation of persons with COVID-19, in combination with quarantine of exposed close contacts and practice of everyday preventive behaviors, is important to mitigate spread of COVID-19.","author":[{"dropping-particle":"","family":"Burke","given":"Rachel M.","non-dropping-particle":"","parse-names":false,"suffix":""},{"dropping-particle":"","family":"Balter","given":"Sharon","non-dropping-particle":"","parse-names":false,"suffix":""},{"dropping-particle":"","family":"Barnes","given":"Emily","non-dropping-particle":"","parse-names":false,"suffix":""},{"dropping-particle":"","family":"Barry","given":"Vaughn","non-dropping-particle":"","parse-names":false,"suffix":""},{"dropping-particle":"","family":"Bartlett","given":"Karri","non-dropping-particle":"","parse-names":false,"suffix":""},{"dropping-particle":"","family":"Beer","given":"Karlyn D.","non-dropping-particle":"","parse-names":false,"suffix":""},{"dropping-particle":"","family":"Benowitz","given":"Isaac","non-dropping-particle":"","parse-names":false,"suffix":""},{"dropping-particle":"","family":"Biggs","given":"Holly M.","non-dropping-particle":"","parse-names":false,"suffix":""},{"dropping-particle":"","family":"Bruce","given":"Hollianne","non-dropping-particle":"","parse-names":false,"suffix":""},{"dropping-particle":"","family":"Bryant-Genevier","given":"Jonathan","non-dropping-particle":"","parse-names":false,"suffix":""},{"dropping-particle":"","family":"Cates","given":"Jordan","non-dropping-particle":"","parse-names":false,"suffix":""},{"dropping-particle":"","family":"Chatham-Stephens","given":"Kevin","non-dropping-particle":"","parse-names":false,"suffix":""},{"dropping-particle":"","family":"Chea","given":"Nora","non-dropping-particle":"","parse-names":false,"suffix":""},{"dropping-particle":"","family":"Chiou","given":"Howard","non-dropping-particle":"","parse-names":false,"suffix":""},{"dropping-particle":"","family":"Christiansen","given":"Demian","non-dropping-particle":"","parse-names":false,"suffix":""},{"dropping-particle":"","family":"Chu","given":"Victoria T.","non-dropping-particle":"","parse-names":false,"suffix":""},{"dropping-particle":"","family":"Clark","given":"Shauna","non-dropping-particle":"","parse-names":false,"suffix":""},{"dropping-particle":"","family":"Cody","given":"Sara H.","non-dropping-particle":"","parse-names":false,"suffix":""},{"dropping-particle":"","family":"Cohen","given":"Max","non-dropping-particle":"","parse-names":false,"suffix":""},{"dropping-particle":"","family":"Conners","given":"Erin E.","non-dropping-particle":"","parse-names":false,"suffix":""},{"dropping-particle":"","family":"Dasari","given":"Vishal","non-dropping-particle":"","parse-names":false,"suffix":""},{"dropping-particle":"","family":"Dawson","given":"Patrick","non-dropping-particle":"","parse-names":false,"suffix":""},{"dropping-particle":"","family":"DeSalvo","given":"Traci","non-dropping-particle":"","parse-names":false,"suffix":""},{"dropping-particle":"","family":"Donahue","given":"Matthew","non-dropping-particle":"","parse-names":false,"suffix":""},{"dropping-particle":"","family":"Dratch","given":"Alissa","non-dropping-particle":"","parse-names":false,"suffix":""},{"dropping-particle":"","family":"Duca","given":"Lindsey","non-dropping-particle":"","parse-names":false,"suffix":""},{"dropping-particle":"","family":"Duchin","given":"Jeffrey","non-dropping-particle":"","parse-names":false,"suffix":""},{"dropping-particle":"","family":"Dyal","given":"Jonathan W.","non-dropping-particle":"","parse-names":false,"suffix":""},{"dropping-particle":"","family":"Feldstein","given":"Leora R.","non-dropping-particle":"","parse-names":false,"suffix":""},{"dropping-particle":"","family":"Fenstersheib","given":"Marty","non-dropping-particle":"","parse-names":false,"suffix":""},{"dropping-particle":"","family":"Fischer","given":"Marc","non-dropping-particle":"","parse-names":false,"suffix":""},{"dropping-particle":"","family":"Fisher","given":"Rebecca","non-dropping-particle":"","parse-names":false,"suffix":""},{"dropping-particle":"","family":"Foo","given":"Chelsea","non-dropping-particle":"","parse-names":false,"suffix":""},{"dropping-particle":"","family":"Freeman-Ponder","given":"Brandi","non-dropping-particle":"","parse-names":false,"suffix":""},{"dropping-particle":"","family":"Fry","given":"Alicia M.","non-dropping-particle":"","parse-names":false,"suffix":""},{"dropping-particle":"","family":"Gant","given":"Jessica","non-dropping-particle":"","parse-names":false,"suffix":""},{"dropping-particle":"","family":"Gautom","given":"Romesh","non-dropping-particle":"","parse-names":false,"suffix":""},{"dropping-particle":"","family":"Ghinai","given":"Isaac","non-dropping-particle":"","parse-names":false,"suffix":""},{"dropping-particle":"","family":"Gounder","given":"Prabhu","non-dropping-particle":"","parse-names":false,"suffix":""},{"dropping-particle":"","family":"Grigg","given":"Cheri T.","non-dropping-particle":"","parse-names":false,"suffix":""},{"dropping-particle":"","family":"Gunzenhauser","given":"Jeffrey","non-dropping-particle":"","parse-names":false,"suffix":""},{"dropping-particle":"","family":"Hall","given":"Aron J.","non-dropping-particle":"","parse-names":false,"suffix":""},{"dropping-particle":"","family":"Han","given":"George S.","non-dropping-particle":"","parse-names":false,"suffix":""},{"dropping-particle":"","family":"Haupt","given":"Thomas","non-dropping-particle":"","parse-names":false,"suffix":""},{"dropping-particle":"","family":"Holshue","given":"Michelle","non-dropping-particle":"","parse-names":false,"suffix":""},{"dropping-particle":"","family":"Hunter","given":"Jennifer","non-dropping-particle":"","parse-names":false,"suffix":""},{"dropping-particle":"","family":"Ibrahim","given":"Mireille B.","non-dropping-particle":"","parse-names":false,"suffix":""},{"dropping-particle":"","family":"Jacobs","given":"Max W.","non-dropping-particle":"","parse-names":false,"suffix":""},{"dropping-particle":"","family":"Jarashow","given":"M. Claire","non-dropping-particle":"","parse-names":false,"suffix":""},{"dropping-particle":"","family":"Joshi","given":"Kiran","non-dropping-particle":"","parse-names":false,"suffix":""},{"dropping-particle":"","family":"Kamali","given":"Talar","non-dropping-particle":"","parse-names":false,"suffix":""},{"dropping-particle":"","family":"Kawakami","given":"Vance","non-dropping-particle":"","parse-names":false,"suffix":""},{"dropping-particle":"","family":"Kim","given":"Moon","non-dropping-particle":"","parse-names":false,"suffix":""},{"dropping-particle":"","family":"Kirking","given":"Hannah L.","non-dropping-particle":"","parse-names":false,"suffix":""},{"dropping-particle":"","family":"Kita-Yarbro","given":"Amanda","non-dropping-particle":"","parse-names":false,"suffix":""},{"dropping-particle":"","family":"Klos","given":"Rachel","non-dropping-particle":"","parse-names":false,"suffix":""},{"dropping-particle":"","family":"Kobayashi","given":"Miwako","non-dropping-particle":"","parse-names":false,"suffix":""},{"dropping-particle":"","family":"Kocharian","given":"Anna","non-dropping-particle":"","parse-names":false,"suffix":""},{"dropping-particle":"","family":"Lang","given":"Misty","non-dropping-particle":"","parse-names":false,"suffix":""},{"dropping-particle":"","family":"Layden","given":"Jennifer","non-dropping-particle":"","parse-names":false,"suffix":""},{"dropping-particle":"","family":"Leidman","given":"Eva","non-dropping-particle":"","parse-names":false,"suffix":""},{"dropping-particle":"","family":"Lindquist","given":"Scott","non-dropping-particle":"","parse-names":false,"suffix":""},{"dropping-particle":"","family":"Lindstrom","given":"Stephen","non-dropping-particle":"","parse-names":false,"suffix":""},{"dropping-particle":"","family":"Link-Gelles","given":"Ruth","non-dropping-particle":"","parse-names":false,"suffix":""},{"dropping-particle":"","family":"Marlow","given":"Mariel","non-dropping-particle":"","parse-names":false,"suffix":""},{"dropping-particle":"","family":"Mattison","given":"Claire P.","non-dropping-particle":"","parse-names":false,"suffix":""},{"dropping-particle":"","family":"McClung","given":"Nancy","non-dropping-particle":"","parse-names":false,"suffix":""},{"dropping-particle":"","family":"McPherson","given":"Tristan D.","non-dropping-particle":"","parse-names":false,"suffix":""},{"dropping-particle":"","family":"Mello","given":"Lynn","non-dropping-particle":"","parse-names":false,"suffix":""},{"dropping-particle":"","family":"Midgley","given":"Claire M.","non-dropping-particle":"","parse-names":false,"suffix":""},{"dropping-particle":"","family":"Novosad","given":"Shannon","non-dropping-particle":"","parse-names":false,"suffix":""},{"dropping-particle":"","family":"Patel","given":"Megan T.","non-dropping-particle":"","parse-names":false,"suffix":""},{"dropping-particle":"","family":"Pettrone","given":"Kristen","non-dropping-particle":"","parse-names":false,"suffix":""},{"dropping-particle":"","family":"Pillai","given":"Satish K.","non-dropping-particle":"","parse-names":false,"suffix":""},{"dropping-particle":"","family":"Pray","given":"Ian W.","non-dropping-particle":"","parse-names":false,"suffix":""},{"dropping-particle":"","family":"Reese","given":"Heather E.","non-dropping-particle":"","parse-names":false,"suffix":""},{"dropping-particle":"","family":"Rhodes","given":"Heather","non-dropping-particle":"","parse-names":false,"suffix":""},{"dropping-particle":"","family":"Robinson","given":"Susan","non-dropping-particle":"","parse-names":false,"suffix":""},{"dropping-particle":"","family":"Rolfes","given":"Melissa","non-dropping-particle":"","parse-names":false,"suffix":""},{"dropping-particle":"","family":"Routh","given":"Janell","non-dropping-particle":"","parse-names":false,"suffix":""},{"dropping-particle":"","family":"Rubin","given":"Rachel","non-dropping-particle":"","parse-names":false,"suffix":""},{"dropping-particle":"","family":"Rudman","given":"Sarah L.","non-dropping-particle":"","parse-names":false,"suffix":""},{"dropping-particle":"","family":"Russell","given":"Denny","non-dropping-particle":"","parse-names":false,"suffix":""},{"dropping-particle":"","family":"Scott","given":"Sarah","non-dropping-particle":"","parse-names":false,"suffix":""},{"dropping-particle":"","family":"Shetty","given":"Varun","non-dropping-particle":"","parse-names":false,"suffix":""},{"dropping-particle":"","family":"Smith-Jeffcoat","given":"Sarah E.","non-dropping-particle":"","parse-names":false,"suffix":""},{"dropping-particle":"","family":"Soda","given":"Elizabeth A.","non-dropping-particle":"","parse-names":false,"suffix":""},{"dropping-particle":"","family":"Spitters","given":"Christopher","non-dropping-particle":"","parse-names":false,"suffix":""},{"dropping-particle":"","family":"Stierman","given":"Bryan","non-dropping-particle":"","parse-names":false,"suffix":""},{"dropping-particle":"","family":"Sunenshine","given":"Rebecca","non-dropping-particle":"","parse-names":false,"suffix":""},{"dropping-particle":"","family":"Terashita","given":"Dawn","non-dropping-particle":"","parse-names":false,"suffix":""},{"dropping-particle":"","family":"Traub","given":"Elizabeth","non-dropping-particle":"","parse-names":false,"suffix":""},{"dropping-particle":"","family":"Vahey","given":"Grace M.","non-dropping-particle":"","parse-names":false,"suffix":""},{"dropping-particle":"","family":"Verani","given":"Jennifer R.","non-dropping-particle":"","parse-names":false,"suffix":""},{"dropping-particle":"","family":"Wallace","given":"Megan","non-dropping-particle":"","parse-names":false,"suffix":""},{"dropping-particle":"","family":"Westercamp","given":"Matthew","non-dropping-particle":"","parse-names":false,"suffix":""},{"dropping-particle":"","family":"Wortham","given":"Jonathan","non-dropping-particle":"","parse-names":false,"suffix":""},{"dropping-particle":"","family":"Xie","given":"Amy","non-dropping-particle":"","parse-names":false,"suffix":""},{"dropping-particle":"","family":"Yousaf","given":"Anna","non-dropping-particle":"","parse-names":false,"suffix":""},{"dropping-particle":"","family":"Zahn","given":"Matthew","non-dropping-particle":"","parse-names":false,"suffix":""}],"container-title":"PLoS ONE","id":"ITEM-1","issue":"9 September","issued":{"date-parts":[["2020","9","1"]]},"publisher":"Public Library of Science","title":"Enhanced contact investigations for nine early travel-related cases of SARS-CoV-2 in the United States","type":"article-journal","volume":"15"},"uris":["http://www.mendeley.com/documents/?uuid=d05b388a-6090-3826-9e4c-776f6e1c71c8"]}],"mendeley":{"formattedCitation":"[26]","plainTextFormattedCitation":"[26]","previouslyFormattedCitation":"[28]"},"properties":{"noteIndex":0},"schema":"https://github.com/citation-style-language/schema/raw/master/csl-citation.json"}</w:instrText>
            </w:r>
            <w:r>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[26]</w:t>
            </w:r>
            <w:r>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vAlign w:val="center"/>
            <w:hideMark/>
          </w:tcPr>
          <w:p w14:paraId="233AB0DA" w14:textId="3106166F" w:rsidR="00406551" w:rsidRPr="00406551" w:rsidRDefault="001551C3" w:rsidP="001A65C6">
            <w:pPr>
              <w:spacing w:after="0" w:line="240" w:lineRule="auto"/>
              <w:rPr>
                <w:rFonts w:eastAsia="Times New Roman" w:cstheme="minorHAnsi"/>
                <w:color w:val="000000"/>
                <w:sz w:val="18"/>
                <w:szCs w:val="18"/>
                <w:lang w:eastAsia="en-GB"/>
              </w:rPr>
            </w:pPr>
            <w:r>
              <w:rPr>
                <w:rFonts w:eastAsia="Times New Roman" w:cstheme="minorHAnsi"/>
                <w:color w:val="000000"/>
                <w:sz w:val="18"/>
                <w:szCs w:val="18"/>
                <w:lang w:eastAsia="en-GB"/>
              </w:rPr>
              <w:t>Multiple</w:t>
            </w:r>
          </w:p>
        </w:tc>
        <w:tc>
          <w:tcPr>
            <w:tcW w:w="850" w:type="dxa"/>
            <w:tcBorders>
              <w:top w:val="single" w:sz="8" w:space="0" w:color="auto"/>
              <w:left w:val="nil"/>
              <w:bottom w:val="single" w:sz="8" w:space="0" w:color="auto"/>
              <w:right w:val="nil"/>
            </w:tcBorders>
            <w:shd w:val="clear" w:color="000000" w:fill="FFFFFF"/>
            <w:noWrap/>
            <w:vAlign w:val="center"/>
            <w:hideMark/>
          </w:tcPr>
          <w:p w14:paraId="1D9F6AC6"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USA</w:t>
            </w:r>
          </w:p>
        </w:tc>
        <w:tc>
          <w:tcPr>
            <w:tcW w:w="1843" w:type="dxa"/>
            <w:tcBorders>
              <w:top w:val="single" w:sz="8" w:space="0" w:color="auto"/>
              <w:left w:val="nil"/>
              <w:bottom w:val="single" w:sz="8" w:space="0" w:color="auto"/>
              <w:right w:val="nil"/>
            </w:tcBorders>
            <w:shd w:val="clear" w:color="000000" w:fill="FFFFFF"/>
            <w:vAlign w:val="center"/>
            <w:hideMark/>
          </w:tcPr>
          <w:p w14:paraId="07CFE92A"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Surveillance and contact tracing </w:t>
            </w:r>
          </w:p>
        </w:tc>
        <w:tc>
          <w:tcPr>
            <w:tcW w:w="3263" w:type="dxa"/>
            <w:tcBorders>
              <w:top w:val="single" w:sz="8" w:space="0" w:color="auto"/>
              <w:left w:val="nil"/>
              <w:bottom w:val="single" w:sz="8" w:space="0" w:color="auto"/>
              <w:right w:val="nil"/>
            </w:tcBorders>
            <w:shd w:val="clear" w:color="000000" w:fill="FFFFFF"/>
            <w:vAlign w:val="center"/>
            <w:hideMark/>
          </w:tcPr>
          <w:p w14:paraId="4E30A711"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Combined close contacts: flight-related contacts (passengers seated in the same or within one row of the index case and airport quarantine station screeners), rideshare drivers, and friends/community contacts. </w:t>
            </w:r>
          </w:p>
        </w:tc>
        <w:tc>
          <w:tcPr>
            <w:tcW w:w="1276" w:type="dxa"/>
            <w:tcBorders>
              <w:top w:val="single" w:sz="8" w:space="0" w:color="auto"/>
              <w:left w:val="nil"/>
              <w:bottom w:val="single" w:sz="8" w:space="0" w:color="auto"/>
              <w:right w:val="nil"/>
            </w:tcBorders>
            <w:shd w:val="clear" w:color="000000" w:fill="FFFFFF"/>
            <w:noWrap/>
            <w:vAlign w:val="center"/>
            <w:hideMark/>
          </w:tcPr>
          <w:p w14:paraId="3B861F37" w14:textId="3C05659E" w:rsidR="00406551" w:rsidRPr="00406551" w:rsidRDefault="001551C3" w:rsidP="001A65C6">
            <w:pPr>
              <w:spacing w:after="0" w:line="240" w:lineRule="auto"/>
              <w:jc w:val="center"/>
              <w:rPr>
                <w:rFonts w:eastAsia="Times New Roman" w:cstheme="minorHAnsi"/>
                <w:color w:val="000000"/>
                <w:sz w:val="18"/>
                <w:szCs w:val="18"/>
                <w:lang w:eastAsia="en-GB"/>
              </w:rPr>
            </w:pPr>
            <w:r w:rsidRPr="001551C3">
              <w:rPr>
                <w:rFonts w:eastAsia="Times New Roman" w:cstheme="minorHAnsi"/>
                <w:color w:val="000000"/>
                <w:sz w:val="18"/>
                <w:szCs w:val="18"/>
                <w:lang w:eastAsia="en-GB"/>
              </w:rPr>
              <w:t xml:space="preserve">subset (symptomatic and </w:t>
            </w:r>
            <w:r w:rsidR="002E1F1F">
              <w:rPr>
                <w:rFonts w:eastAsia="Times New Roman" w:cstheme="minorHAnsi"/>
                <w:color w:val="000000"/>
                <w:sz w:val="18"/>
                <w:szCs w:val="18"/>
                <w:lang w:eastAsia="en-GB"/>
              </w:rPr>
              <w:t>high-risk contacts</w:t>
            </w:r>
            <w:r w:rsidRPr="001551C3">
              <w:rPr>
                <w:rFonts w:eastAsia="Times New Roman" w:cstheme="minorHAnsi"/>
                <w:color w:val="000000"/>
                <w:sz w:val="18"/>
                <w:szCs w:val="18"/>
                <w:lang w:eastAsia="en-GB"/>
              </w:rPr>
              <w:t>)</w:t>
            </w:r>
          </w:p>
        </w:tc>
        <w:tc>
          <w:tcPr>
            <w:tcW w:w="992" w:type="dxa"/>
            <w:tcBorders>
              <w:top w:val="single" w:sz="8" w:space="0" w:color="auto"/>
              <w:left w:val="nil"/>
              <w:bottom w:val="single" w:sz="8" w:space="0" w:color="auto"/>
              <w:right w:val="nil"/>
            </w:tcBorders>
            <w:shd w:val="clear" w:color="000000" w:fill="FFFFFF"/>
            <w:noWrap/>
            <w:vAlign w:val="center"/>
            <w:hideMark/>
          </w:tcPr>
          <w:p w14:paraId="23684FA8"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73C4AF3A"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9</w:t>
            </w:r>
          </w:p>
        </w:tc>
        <w:tc>
          <w:tcPr>
            <w:tcW w:w="992" w:type="dxa"/>
            <w:tcBorders>
              <w:top w:val="single" w:sz="8" w:space="0" w:color="auto"/>
              <w:left w:val="nil"/>
              <w:bottom w:val="single" w:sz="8" w:space="0" w:color="auto"/>
              <w:right w:val="nil"/>
            </w:tcBorders>
            <w:shd w:val="clear" w:color="000000" w:fill="FFFFFF"/>
            <w:noWrap/>
            <w:vAlign w:val="center"/>
            <w:hideMark/>
          </w:tcPr>
          <w:p w14:paraId="5B83440C"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65</w:t>
            </w:r>
          </w:p>
        </w:tc>
        <w:tc>
          <w:tcPr>
            <w:tcW w:w="992" w:type="dxa"/>
            <w:tcBorders>
              <w:top w:val="single" w:sz="8" w:space="0" w:color="auto"/>
              <w:left w:val="nil"/>
              <w:bottom w:val="single" w:sz="8" w:space="0" w:color="auto"/>
              <w:right w:val="nil"/>
            </w:tcBorders>
            <w:shd w:val="clear" w:color="000000" w:fill="FFFFFF"/>
            <w:noWrap/>
            <w:vAlign w:val="center"/>
            <w:hideMark/>
          </w:tcPr>
          <w:p w14:paraId="55D6637D"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44</w:t>
            </w:r>
          </w:p>
        </w:tc>
        <w:tc>
          <w:tcPr>
            <w:tcW w:w="1134" w:type="dxa"/>
            <w:tcBorders>
              <w:top w:val="single" w:sz="8" w:space="0" w:color="auto"/>
              <w:left w:val="nil"/>
              <w:bottom w:val="single" w:sz="8" w:space="0" w:color="auto"/>
              <w:right w:val="nil"/>
            </w:tcBorders>
            <w:shd w:val="clear" w:color="000000" w:fill="FFFFFF"/>
            <w:noWrap/>
            <w:vAlign w:val="center"/>
            <w:hideMark/>
          </w:tcPr>
          <w:p w14:paraId="1CB3982A"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0</w:t>
            </w:r>
          </w:p>
        </w:tc>
      </w:tr>
      <w:tr w:rsidR="000F13C3" w:rsidRPr="00406551" w14:paraId="2C3DB712" w14:textId="77777777" w:rsidTr="00042071">
        <w:trPr>
          <w:trHeight w:val="698"/>
        </w:trPr>
        <w:tc>
          <w:tcPr>
            <w:tcW w:w="990" w:type="dxa"/>
            <w:tcBorders>
              <w:top w:val="single" w:sz="8" w:space="0" w:color="auto"/>
              <w:left w:val="nil"/>
              <w:bottom w:val="single" w:sz="8" w:space="0" w:color="auto"/>
              <w:right w:val="nil"/>
            </w:tcBorders>
            <w:shd w:val="clear" w:color="000000" w:fill="FFFFFF"/>
            <w:vAlign w:val="center"/>
          </w:tcPr>
          <w:p w14:paraId="265CEB84" w14:textId="65B49719" w:rsidR="00406551" w:rsidRPr="00406551" w:rsidRDefault="009F2B3D" w:rsidP="00406551">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33</w:t>
            </w:r>
          </w:p>
        </w:tc>
        <w:tc>
          <w:tcPr>
            <w:tcW w:w="1276" w:type="dxa"/>
            <w:tcBorders>
              <w:top w:val="single" w:sz="8" w:space="0" w:color="auto"/>
              <w:left w:val="nil"/>
              <w:bottom w:val="single" w:sz="8" w:space="0" w:color="auto"/>
              <w:right w:val="nil"/>
            </w:tcBorders>
            <w:shd w:val="clear" w:color="000000" w:fill="FFFFFF"/>
            <w:noWrap/>
            <w:vAlign w:val="center"/>
            <w:hideMark/>
          </w:tcPr>
          <w:p w14:paraId="4ED4AFBD" w14:textId="084E0162"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Cheng et al</w:t>
            </w:r>
            <w:r>
              <w:rPr>
                <w:rFonts w:eastAsia="Times New Roman" w:cstheme="minorHAnsi"/>
                <w:color w:val="000000"/>
                <w:sz w:val="18"/>
                <w:szCs w:val="18"/>
                <w:lang w:eastAsia="en-GB"/>
              </w:rPr>
              <w:t xml:space="preserve"> </w:t>
            </w:r>
            <w:r>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{"citationItems":[{"id":"ITEM-1","itemData":{"DOI":"10.1001/jamainternmed.2020.2020","ISBN":"2168-6106","abstract":"The dynamics of coronavirus disease 2019 (COVID-19) transmissibility are yet to be fully understood. Better understanding of the transmission dynamics is important for the development and evaluation of effective control policies.To delineate the transmission dynamics of COVID-19 and evaluate the transmission risk at different exposure window periods before and after symptom onset.This prospective case-ascertained study in Taiwan included laboratory-confirmed cases of COVID-19 and their contacts. The study period was from January 15 to March 18, 2020. All close contacts were quarantined at home for 14 days after their last exposure to the index case. During the quarantine period, any relevant symptoms (fever, cough, or other respiratory symptoms) of contacts triggered a COVID-19 test. The final follow-up date was April 2, 2020.Secondary clinical attack rate (considering symptomatic cases only) for different exposure time windows of the index cases and for different exposure settings (such as household, family, and health care).We enrolled 100 confirmed patients, with a median age of 44 years (range, 11-88 years), including 56 men and 44 women. Among their 2761 close contacts, there were 22 paired index-secondary cases. The overall secondary clinical attack rate was 0.7% (95% CI, 0.4%-1.0%). The attack rate was higher among the 1818 contacts whose exposure to index cases started within 5 days of symptom onset (1.0% [95% CI, 0.6%-1.6%]) compared with those who were exposed later (0 cases from 852 contacts; 95% CI, 0%-0.4%). The 299 contacts with exclusive presymptomatic exposures were also at risk (attack rate, 0.7% [95% CI, 0.2%-2.4%]). The attack rate was higher among household (4.6% [95% CI, 2.3%-9.3%]) and nonhousehold (5.3% [95% CI, 2.1%-12.8%]) family contacts than that in health care or other settings. The attack rates were higher among those aged 40 to 59 years (1.1% [95% CI, 0.6%-2.1%]) and those aged 60 years and older (0.9% [95% CI, 0.3%-2.6%]).In this study, high transmissibility of COVID-19 before and immediately after symptom onset suggests that finding and isolating symptomatic patients alone may not suffice to contain the epidemic, and more generalized measures may be required, such as social distancing.","author":[{"dropping-particle":"","family":"Cheng","given":"Hao-Yuan","non-dropping-particle":"","parse-names":false,"suffix":""},{"dropping-particle":"","family":"Jian","given":"Shu-Wan","non-dropping-particle":"","parse-names":false,"suffix":""},{"dropping-particle":"","family":"Liu","given":"Ding-Ping","non-dropping-particle":"","parse-names":false,"suffix":""},{"dropping-particle":"","family":"Ng","given":"Ta-Chou","non-dropping-particle":"","parse-names":false,"suffix":""},{"dropping-particle":"","family":"Huang","given":"Wan-Ting","non-dropping-particle":"","parse-names":false,"suffix":""},{"dropping-particle":"","family":"Lin","given":"Hsien-Ho","non-dropping-particle":"","parse-names":false,"suffix":""},{"dropping-particle":"","family":"Team","given":"for the Taiwan COVID-19 Outbreak Investigation","non-dropping-particle":"","parse-names":false,"suffix":""}],"container-title":"JAMA Internal Medicine","id":"ITEM-1","issued":{"date-parts":[["2020"]]},"title":"Contact Tracing Assessment of COVID-19 Transmission Dynamics in Taiwan and Risk at Different Exposure Periods Before and After Symptom Onset","type":"article-journal"},"uris":["http://www.mendeley.com/documents/?uuid=6284de53-4a95-43df-904f-87721ab687d2"]}],"mendeley":{"formattedCitation":"[29]","plainTextFormattedCitation":"[29]","previouslyFormattedCitation":"[31]"},"properties":{"noteIndex":0},"schema":"https://github.com/citation-style-language/schema/raw/master/csl-citation.json"}</w:instrText>
            </w:r>
            <w:r>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[29]</w:t>
            </w:r>
            <w:r>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vAlign w:val="center"/>
            <w:hideMark/>
          </w:tcPr>
          <w:p w14:paraId="5066C917"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Not specified</w:t>
            </w:r>
          </w:p>
        </w:tc>
        <w:tc>
          <w:tcPr>
            <w:tcW w:w="850" w:type="dxa"/>
            <w:tcBorders>
              <w:top w:val="single" w:sz="8" w:space="0" w:color="auto"/>
              <w:left w:val="nil"/>
              <w:bottom w:val="single" w:sz="8" w:space="0" w:color="auto"/>
              <w:right w:val="nil"/>
            </w:tcBorders>
            <w:shd w:val="clear" w:color="000000" w:fill="FFFFFF"/>
            <w:vAlign w:val="center"/>
            <w:hideMark/>
          </w:tcPr>
          <w:p w14:paraId="123D529F"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Taiwan</w:t>
            </w:r>
          </w:p>
        </w:tc>
        <w:tc>
          <w:tcPr>
            <w:tcW w:w="1843" w:type="dxa"/>
            <w:tcBorders>
              <w:top w:val="single" w:sz="8" w:space="0" w:color="auto"/>
              <w:left w:val="nil"/>
              <w:bottom w:val="single" w:sz="8" w:space="0" w:color="auto"/>
              <w:right w:val="nil"/>
            </w:tcBorders>
            <w:shd w:val="clear" w:color="000000" w:fill="FFFFFF"/>
            <w:vAlign w:val="center"/>
            <w:hideMark/>
          </w:tcPr>
          <w:p w14:paraId="55975A61"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Surveillance and contact tracing </w:t>
            </w:r>
          </w:p>
        </w:tc>
        <w:tc>
          <w:tcPr>
            <w:tcW w:w="3263" w:type="dxa"/>
            <w:tcBorders>
              <w:top w:val="single" w:sz="8" w:space="0" w:color="auto"/>
              <w:left w:val="nil"/>
              <w:bottom w:val="single" w:sz="8" w:space="0" w:color="auto"/>
              <w:right w:val="nil"/>
            </w:tcBorders>
            <w:shd w:val="clear" w:color="000000" w:fill="FFFFFF"/>
            <w:vAlign w:val="center"/>
            <w:hideMark/>
          </w:tcPr>
          <w:p w14:paraId="2A73130E"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Friends, airline crew members and passengers and other casual contacts of index cases</w:t>
            </w:r>
          </w:p>
        </w:tc>
        <w:tc>
          <w:tcPr>
            <w:tcW w:w="1276" w:type="dxa"/>
            <w:tcBorders>
              <w:top w:val="single" w:sz="8" w:space="0" w:color="auto"/>
              <w:left w:val="nil"/>
              <w:bottom w:val="single" w:sz="8" w:space="0" w:color="auto"/>
              <w:right w:val="nil"/>
            </w:tcBorders>
            <w:shd w:val="clear" w:color="000000" w:fill="FFFFFF"/>
            <w:noWrap/>
            <w:vAlign w:val="center"/>
            <w:hideMark/>
          </w:tcPr>
          <w:p w14:paraId="1BAED56F"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symptomatic</w:t>
            </w:r>
          </w:p>
        </w:tc>
        <w:tc>
          <w:tcPr>
            <w:tcW w:w="992" w:type="dxa"/>
            <w:tcBorders>
              <w:top w:val="single" w:sz="8" w:space="0" w:color="auto"/>
              <w:left w:val="nil"/>
              <w:bottom w:val="single" w:sz="8" w:space="0" w:color="auto"/>
              <w:right w:val="nil"/>
            </w:tcBorders>
            <w:shd w:val="clear" w:color="000000" w:fill="FFFFFF"/>
            <w:noWrap/>
            <w:vAlign w:val="center"/>
            <w:hideMark/>
          </w:tcPr>
          <w:p w14:paraId="1D3EB288"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0953CF85"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100</w:t>
            </w:r>
          </w:p>
        </w:tc>
        <w:tc>
          <w:tcPr>
            <w:tcW w:w="992" w:type="dxa"/>
            <w:tcBorders>
              <w:top w:val="single" w:sz="8" w:space="0" w:color="auto"/>
              <w:left w:val="nil"/>
              <w:bottom w:val="single" w:sz="8" w:space="0" w:color="auto"/>
              <w:right w:val="nil"/>
            </w:tcBorders>
            <w:shd w:val="clear" w:color="000000" w:fill="FFFFFF"/>
            <w:noWrap/>
            <w:vAlign w:val="center"/>
            <w:hideMark/>
          </w:tcPr>
          <w:p w14:paraId="6F4CD90F"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1,836</w:t>
            </w:r>
          </w:p>
        </w:tc>
        <w:tc>
          <w:tcPr>
            <w:tcW w:w="992" w:type="dxa"/>
            <w:tcBorders>
              <w:top w:val="single" w:sz="8" w:space="0" w:color="auto"/>
              <w:left w:val="nil"/>
              <w:bottom w:val="single" w:sz="8" w:space="0" w:color="auto"/>
              <w:right w:val="nil"/>
            </w:tcBorders>
            <w:shd w:val="clear" w:color="000000" w:fill="FFFFFF"/>
            <w:vAlign w:val="center"/>
            <w:hideMark/>
          </w:tcPr>
          <w:p w14:paraId="72301A0B"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Not specified</w:t>
            </w:r>
          </w:p>
        </w:tc>
        <w:tc>
          <w:tcPr>
            <w:tcW w:w="1134" w:type="dxa"/>
            <w:tcBorders>
              <w:top w:val="single" w:sz="8" w:space="0" w:color="auto"/>
              <w:left w:val="nil"/>
              <w:bottom w:val="single" w:sz="8" w:space="0" w:color="auto"/>
              <w:right w:val="nil"/>
            </w:tcBorders>
            <w:shd w:val="clear" w:color="000000" w:fill="FFFFFF"/>
            <w:noWrap/>
            <w:vAlign w:val="center"/>
            <w:hideMark/>
          </w:tcPr>
          <w:p w14:paraId="3A64131B"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w:t>
            </w:r>
          </w:p>
        </w:tc>
      </w:tr>
      <w:tr w:rsidR="000F13C3" w:rsidRPr="00406551" w14:paraId="1D2C0C7C" w14:textId="77777777" w:rsidTr="00406551">
        <w:trPr>
          <w:trHeight w:val="1269"/>
        </w:trPr>
        <w:tc>
          <w:tcPr>
            <w:tcW w:w="990" w:type="dxa"/>
            <w:tcBorders>
              <w:top w:val="single" w:sz="8" w:space="0" w:color="auto"/>
              <w:left w:val="nil"/>
              <w:bottom w:val="single" w:sz="8" w:space="0" w:color="auto"/>
              <w:right w:val="nil"/>
            </w:tcBorders>
            <w:shd w:val="clear" w:color="000000" w:fill="FFFFFF"/>
            <w:vAlign w:val="center"/>
          </w:tcPr>
          <w:p w14:paraId="2A092D6E" w14:textId="77777777" w:rsidR="00406551" w:rsidRPr="00406551" w:rsidRDefault="00406551" w:rsidP="00406551">
            <w:pPr>
              <w:spacing w:after="0" w:line="240" w:lineRule="auto"/>
              <w:jc w:val="center"/>
              <w:rPr>
                <w:rFonts w:eastAsia="Times New Roman" w:cstheme="minorHAnsi"/>
                <w:color w:val="000000"/>
                <w:sz w:val="18"/>
                <w:szCs w:val="18"/>
                <w:lang w:eastAsia="en-GB"/>
              </w:rPr>
            </w:pPr>
          </w:p>
        </w:tc>
        <w:tc>
          <w:tcPr>
            <w:tcW w:w="1276" w:type="dxa"/>
            <w:tcBorders>
              <w:top w:val="single" w:sz="8" w:space="0" w:color="auto"/>
              <w:left w:val="nil"/>
              <w:bottom w:val="single" w:sz="8" w:space="0" w:color="auto"/>
              <w:right w:val="nil"/>
            </w:tcBorders>
            <w:shd w:val="clear" w:color="000000" w:fill="FFFFFF"/>
            <w:noWrap/>
            <w:vAlign w:val="center"/>
            <w:hideMark/>
          </w:tcPr>
          <w:p w14:paraId="56A4F339" w14:textId="4C5E4C26"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Ge et al</w:t>
            </w:r>
            <w:r>
              <w:rPr>
                <w:rFonts w:eastAsia="Times New Roman" w:cstheme="minorHAnsi"/>
                <w:color w:val="000000"/>
                <w:sz w:val="18"/>
                <w:szCs w:val="18"/>
                <w:lang w:eastAsia="en-GB"/>
              </w:rPr>
              <w:t xml:space="preserve"> </w:t>
            </w:r>
            <w:r>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10.1016/j.jinf.2020.03.015","ISBN":"1532-2742\r0163-4453","PMID":"32268181","author":[{"dropping-particle":"","family":"Ge","given":"Rui","non-dropping-particle":"","parse-names":false,"suffix":""},{"dropping-particle":"","family":"Tian","given":"Min","non-dropping-particle":"","parse-names":false,"suffix":""},{"dropping-particle":"","family":"Gu","given":"Qijun","non-dropping-particle":"","parse-names":false,"suffix":""},{"dropping-particle":"","family":"Chen","given":"Peigen","non-dropping-particle":"","parse-names":false,"suffix":""},{"dropping-particle":"","family":"Shen","given":"Yuegen","non-dropping-particle":"","parse-names":false,"suffix":""},{"dropping-particle":"","family":"Qi","given":"Yunpeng","non-dropping-particle":"","parse-names":false,"suffix":""},{"dropping-particle":"","family":"Yan","given":"Yong","non-dropping-particle":"","parse-names":false,"suffix":""},{"dropping-particle":"","family":"Chen","given":"Zhongwen","non-dropping-particle":"","parse-names":false,"suffix":""}],"container-title":"The Journal of infection","edition":"2020/04/05","id":"ITEM-1","issue":"1","issued":{"date-parts":[["2020"]]},"language":"eng","note":"32268181[pmid]\nPMC7131477[pmcid]\nS0163-4453(20)30144-4[PII]","page":"e71-e74","publisher":"The British Infection Association. Published by Elsevier Ltd.","title":"The role of close contacts tracking management in COVID-19 prevention: A cluster investigation in Jiaxing, China","type":"article-journal","volume":"81"},"uris":["http://www.mendeley.com/documents/?uuid=42da4bca-8745-48aa-b0b1-d9ea7b67f1fb"]}],"mendeley":{"formattedCitation":"[91]","plainTextFormattedCitation":"[91]","previouslyFormattedCitation":"[93]"},"properties":{"noteIndex":0},"schema":"https://github.com/citation-style-language/schema/raw/master/csl-citation.json"}</w:instrText>
            </w:r>
            <w:r>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[91]</w:t>
            </w:r>
            <w:r>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noWrap/>
            <w:vAlign w:val="center"/>
            <w:hideMark/>
          </w:tcPr>
          <w:p w14:paraId="1113A8B4"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Jiaxing </w:t>
            </w:r>
          </w:p>
        </w:tc>
        <w:tc>
          <w:tcPr>
            <w:tcW w:w="850" w:type="dxa"/>
            <w:tcBorders>
              <w:top w:val="single" w:sz="8" w:space="0" w:color="auto"/>
              <w:left w:val="nil"/>
              <w:bottom w:val="single" w:sz="8" w:space="0" w:color="auto"/>
              <w:right w:val="nil"/>
            </w:tcBorders>
            <w:shd w:val="clear" w:color="000000" w:fill="FFFFFF"/>
            <w:noWrap/>
            <w:vAlign w:val="center"/>
            <w:hideMark/>
          </w:tcPr>
          <w:p w14:paraId="3A3BB072"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single" w:sz="8" w:space="0" w:color="auto"/>
              <w:right w:val="nil"/>
            </w:tcBorders>
            <w:shd w:val="clear" w:color="000000" w:fill="FFFFFF"/>
            <w:vAlign w:val="center"/>
            <w:hideMark/>
          </w:tcPr>
          <w:p w14:paraId="1EECE1F4"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8" w:space="0" w:color="auto"/>
              <w:left w:val="nil"/>
              <w:bottom w:val="single" w:sz="8" w:space="0" w:color="auto"/>
              <w:right w:val="nil"/>
            </w:tcBorders>
            <w:shd w:val="clear" w:color="000000" w:fill="FFFFFF"/>
            <w:vAlign w:val="center"/>
            <w:hideMark/>
          </w:tcPr>
          <w:p w14:paraId="00A50DA2"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People who had unprotected close contact with a case were defined as close contacts, such as those living, studying, or working together, or those travelling on the same vehicle during onset</w:t>
            </w:r>
          </w:p>
        </w:tc>
        <w:tc>
          <w:tcPr>
            <w:tcW w:w="1276" w:type="dxa"/>
            <w:tcBorders>
              <w:top w:val="single" w:sz="8" w:space="0" w:color="auto"/>
              <w:left w:val="nil"/>
              <w:bottom w:val="single" w:sz="8" w:space="0" w:color="auto"/>
              <w:right w:val="nil"/>
            </w:tcBorders>
            <w:shd w:val="clear" w:color="000000" w:fill="FFFFFF"/>
            <w:noWrap/>
            <w:vAlign w:val="center"/>
            <w:hideMark/>
          </w:tcPr>
          <w:p w14:paraId="5708B7F9" w14:textId="29435B7E" w:rsidR="00406551" w:rsidRPr="00406551" w:rsidRDefault="00475474" w:rsidP="001A65C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s</w:t>
            </w:r>
            <w:r w:rsidR="00406551" w:rsidRPr="00406551">
              <w:rPr>
                <w:rFonts w:eastAsia="Times New Roman" w:cstheme="minorHAnsi"/>
                <w:color w:val="000000"/>
                <w:sz w:val="18"/>
                <w:szCs w:val="18"/>
                <w:lang w:eastAsia="en-GB"/>
              </w:rPr>
              <w:t>ymptomatic</w:t>
            </w:r>
          </w:p>
        </w:tc>
        <w:tc>
          <w:tcPr>
            <w:tcW w:w="992" w:type="dxa"/>
            <w:tcBorders>
              <w:top w:val="single" w:sz="8" w:space="0" w:color="auto"/>
              <w:left w:val="nil"/>
              <w:bottom w:val="single" w:sz="8" w:space="0" w:color="auto"/>
              <w:right w:val="nil"/>
            </w:tcBorders>
            <w:shd w:val="clear" w:color="000000" w:fill="FFFFFF"/>
            <w:noWrap/>
            <w:vAlign w:val="center"/>
            <w:hideMark/>
          </w:tcPr>
          <w:p w14:paraId="0486A72D"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3CC80E83"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w:t>
            </w:r>
          </w:p>
        </w:tc>
        <w:tc>
          <w:tcPr>
            <w:tcW w:w="992" w:type="dxa"/>
            <w:tcBorders>
              <w:top w:val="single" w:sz="8" w:space="0" w:color="auto"/>
              <w:left w:val="nil"/>
              <w:bottom w:val="single" w:sz="8" w:space="0" w:color="auto"/>
              <w:right w:val="nil"/>
            </w:tcBorders>
            <w:shd w:val="clear" w:color="000000" w:fill="FFFFFF"/>
            <w:noWrap/>
            <w:vAlign w:val="center"/>
            <w:hideMark/>
          </w:tcPr>
          <w:p w14:paraId="61E19506"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547</w:t>
            </w:r>
          </w:p>
        </w:tc>
        <w:tc>
          <w:tcPr>
            <w:tcW w:w="992" w:type="dxa"/>
            <w:tcBorders>
              <w:top w:val="single" w:sz="8" w:space="0" w:color="auto"/>
              <w:left w:val="nil"/>
              <w:bottom w:val="single" w:sz="8" w:space="0" w:color="auto"/>
              <w:right w:val="nil"/>
            </w:tcBorders>
            <w:shd w:val="clear" w:color="000000" w:fill="FFFFFF"/>
            <w:vAlign w:val="center"/>
            <w:hideMark/>
          </w:tcPr>
          <w:p w14:paraId="261EF46D"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Not specified</w:t>
            </w:r>
          </w:p>
        </w:tc>
        <w:tc>
          <w:tcPr>
            <w:tcW w:w="1134" w:type="dxa"/>
            <w:tcBorders>
              <w:top w:val="single" w:sz="8" w:space="0" w:color="auto"/>
              <w:left w:val="nil"/>
              <w:bottom w:val="single" w:sz="8" w:space="0" w:color="auto"/>
              <w:right w:val="nil"/>
            </w:tcBorders>
            <w:shd w:val="clear" w:color="000000" w:fill="FFFFFF"/>
            <w:noWrap/>
            <w:vAlign w:val="center"/>
            <w:hideMark/>
          </w:tcPr>
          <w:p w14:paraId="0C93CCFF"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6</w:t>
            </w:r>
          </w:p>
        </w:tc>
      </w:tr>
      <w:tr w:rsidR="000F13C3" w:rsidRPr="00406551" w14:paraId="221E3B99" w14:textId="77777777" w:rsidTr="00042071">
        <w:trPr>
          <w:trHeight w:val="812"/>
        </w:trPr>
        <w:tc>
          <w:tcPr>
            <w:tcW w:w="990" w:type="dxa"/>
            <w:tcBorders>
              <w:top w:val="single" w:sz="8" w:space="0" w:color="auto"/>
              <w:left w:val="nil"/>
              <w:bottom w:val="single" w:sz="8" w:space="0" w:color="auto"/>
              <w:right w:val="nil"/>
            </w:tcBorders>
            <w:shd w:val="clear" w:color="000000" w:fill="FFFFFF"/>
            <w:vAlign w:val="center"/>
          </w:tcPr>
          <w:p w14:paraId="1EB31CE8" w14:textId="0FA165B9" w:rsidR="00406551" w:rsidRPr="00406551" w:rsidRDefault="00D1488F" w:rsidP="00406551">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4</w:t>
            </w:r>
            <w:r w:rsidR="009F2B3D">
              <w:rPr>
                <w:rFonts w:eastAsia="Times New Roman" w:cstheme="minorHAnsi"/>
                <w:color w:val="000000"/>
                <w:sz w:val="18"/>
                <w:szCs w:val="18"/>
                <w:lang w:eastAsia="en-GB"/>
              </w:rPr>
              <w:t>9</w:t>
            </w:r>
          </w:p>
        </w:tc>
        <w:tc>
          <w:tcPr>
            <w:tcW w:w="1276" w:type="dxa"/>
            <w:tcBorders>
              <w:top w:val="single" w:sz="8" w:space="0" w:color="auto"/>
              <w:left w:val="nil"/>
              <w:bottom w:val="single" w:sz="8" w:space="0" w:color="auto"/>
              <w:right w:val="nil"/>
            </w:tcBorders>
            <w:shd w:val="clear" w:color="000000" w:fill="FFFFFF"/>
            <w:noWrap/>
            <w:vAlign w:val="center"/>
            <w:hideMark/>
          </w:tcPr>
          <w:p w14:paraId="3DE7AD37" w14:textId="66E69D9D"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Han et al</w:t>
            </w:r>
            <w:r>
              <w:rPr>
                <w:rFonts w:eastAsia="Times New Roman" w:cstheme="minorHAnsi"/>
                <w:color w:val="000000"/>
                <w:sz w:val="18"/>
                <w:szCs w:val="18"/>
                <w:lang w:eastAsia="en-GB"/>
              </w:rPr>
              <w:t xml:space="preserve"> </w:t>
            </w:r>
            <w:r w:rsidR="00924E25">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{"citationItems":[{"id":"ITEM-1","itemData":{"DOI":"10.3201/eid2609.201848","ISBN":"1080-6040","PMID":"32553070","abstract":"After the outbreak in Wuhan, China, we assessed 29,299 workers screened for severe acute respiratory syndrome coronavirus 2 by reverse transcription PCR. We noted 18 (0.061%) cases of asymptomatic infection; 13 turned negative within 8.0 days, and 41 close contacts tested negative. Among 6 contacts who had serologic tests, none were positive.","author":[{"dropping-particle":"","family":"Han","given":"X","non-dropping-particle":"","parse-names":false,"suffix":""},{"dropping-particle":"","family":"Wei","given":"X","non-dropping-particle":"","parse-names":false,"suffix":""},{"dropping-particle":"","family":"Alwalid","given":"O","non-dropping-particle":"","parse-names":false,"suffix":""},{"dropping-particle":"","family":"Cao","given":"Y","non-dropping-particle":"","parse-names":false,"suffix":""},{"dropping-particle":"","family":"Li","given":"Y","non-dropping-particle":"","parse-names":false,"suffix":""},{"dropping-particle":"","family":"Wang","given":"L","non-dropping-particle":"","parse-names":false,"suffix":""},{"dropping-particle":"","family":"Shi","given":"H","non-dropping-particle":"","parse-names":false,"suffix":""}],"container-title":"Emerg Infect Dis","edition":"2020/06/20","id":"ITEM-1","issue":"9","issued":{"date-parts":[["2020"]]},"language":"eng","note":"1080-6059\nHan, Xiaoyu\nWei, Xiong\nAlwalid, Osamah\nCao, Yukun\nLi, Yumin\nWang, Li\nShi, Heshui\nJournal Article\nUnited States\nEmerg Infect Dis. 2020 Jun 17;26(9). doi: 10.3201/eid2609.201848.","title":"Severe Acute Respiratory Syndrome Coronavirus 2 among Asymptomatic Workers Screened for Work Resumption, China","type":"article-journal","volume":"26"},"uris":["http://www.mendeley.com/documents/?uuid=fd8ee5c9-30d3-4386-8cfe-945f08a3a559"]}],"mendeley":{"formattedCitation":"[92]","plainTextFormattedCitation":"[92]","previouslyFormattedCitation":"[94]"},"properties":{"noteIndex":0},"schema":"https://github.com/citation-style-language/schema/raw/master/csl-citation.json"}</w:instrText>
            </w:r>
            <w:r w:rsidR="00924E25">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[92]</w:t>
            </w:r>
            <w:r w:rsidR="00924E25">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noWrap/>
            <w:vAlign w:val="center"/>
            <w:hideMark/>
          </w:tcPr>
          <w:p w14:paraId="7BECEB59"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Hangzhou</w:t>
            </w:r>
          </w:p>
        </w:tc>
        <w:tc>
          <w:tcPr>
            <w:tcW w:w="850" w:type="dxa"/>
            <w:tcBorders>
              <w:top w:val="single" w:sz="8" w:space="0" w:color="auto"/>
              <w:left w:val="nil"/>
              <w:bottom w:val="single" w:sz="8" w:space="0" w:color="auto"/>
              <w:right w:val="nil"/>
            </w:tcBorders>
            <w:shd w:val="clear" w:color="000000" w:fill="FFFFFF"/>
            <w:noWrap/>
            <w:vAlign w:val="center"/>
            <w:hideMark/>
          </w:tcPr>
          <w:p w14:paraId="4B0DA367"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single" w:sz="8" w:space="0" w:color="auto"/>
              <w:right w:val="nil"/>
            </w:tcBorders>
            <w:shd w:val="clear" w:color="000000" w:fill="FFFFFF"/>
            <w:vAlign w:val="center"/>
            <w:hideMark/>
          </w:tcPr>
          <w:p w14:paraId="654279D0"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Contact investigation of asymptomatic cases</w:t>
            </w:r>
          </w:p>
        </w:tc>
        <w:tc>
          <w:tcPr>
            <w:tcW w:w="3263" w:type="dxa"/>
            <w:tcBorders>
              <w:top w:val="single" w:sz="8" w:space="0" w:color="auto"/>
              <w:left w:val="nil"/>
              <w:bottom w:val="single" w:sz="8" w:space="0" w:color="auto"/>
              <w:right w:val="nil"/>
            </w:tcBorders>
            <w:shd w:val="clear" w:color="000000" w:fill="FFFFFF"/>
            <w:vAlign w:val="center"/>
            <w:hideMark/>
          </w:tcPr>
          <w:p w14:paraId="424800C5"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Close contacts of asymptomatic confirmed cases </w:t>
            </w:r>
          </w:p>
        </w:tc>
        <w:tc>
          <w:tcPr>
            <w:tcW w:w="1276" w:type="dxa"/>
            <w:tcBorders>
              <w:top w:val="single" w:sz="8" w:space="0" w:color="auto"/>
              <w:left w:val="nil"/>
              <w:bottom w:val="single" w:sz="8" w:space="0" w:color="auto"/>
              <w:right w:val="nil"/>
            </w:tcBorders>
            <w:shd w:val="clear" w:color="000000" w:fill="FFFFFF"/>
            <w:noWrap/>
            <w:vAlign w:val="center"/>
            <w:hideMark/>
          </w:tcPr>
          <w:p w14:paraId="5F526818"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noWrap/>
            <w:vAlign w:val="center"/>
            <w:hideMark/>
          </w:tcPr>
          <w:p w14:paraId="77705B73"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2C7138D9"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18</w:t>
            </w:r>
          </w:p>
        </w:tc>
        <w:tc>
          <w:tcPr>
            <w:tcW w:w="992" w:type="dxa"/>
            <w:tcBorders>
              <w:top w:val="single" w:sz="8" w:space="0" w:color="auto"/>
              <w:left w:val="nil"/>
              <w:bottom w:val="single" w:sz="8" w:space="0" w:color="auto"/>
              <w:right w:val="nil"/>
            </w:tcBorders>
            <w:shd w:val="clear" w:color="000000" w:fill="FFFFFF"/>
            <w:noWrap/>
            <w:vAlign w:val="center"/>
            <w:hideMark/>
          </w:tcPr>
          <w:p w14:paraId="0E9EB03B"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41</w:t>
            </w:r>
          </w:p>
        </w:tc>
        <w:tc>
          <w:tcPr>
            <w:tcW w:w="992" w:type="dxa"/>
            <w:tcBorders>
              <w:top w:val="single" w:sz="8" w:space="0" w:color="auto"/>
              <w:left w:val="nil"/>
              <w:bottom w:val="single" w:sz="8" w:space="0" w:color="auto"/>
              <w:right w:val="nil"/>
            </w:tcBorders>
            <w:shd w:val="clear" w:color="000000" w:fill="FFFFFF"/>
            <w:noWrap/>
            <w:vAlign w:val="center"/>
            <w:hideMark/>
          </w:tcPr>
          <w:p w14:paraId="78DB8146"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41</w:t>
            </w:r>
          </w:p>
        </w:tc>
        <w:tc>
          <w:tcPr>
            <w:tcW w:w="1134" w:type="dxa"/>
            <w:tcBorders>
              <w:top w:val="single" w:sz="8" w:space="0" w:color="auto"/>
              <w:left w:val="nil"/>
              <w:bottom w:val="single" w:sz="8" w:space="0" w:color="auto"/>
              <w:right w:val="nil"/>
            </w:tcBorders>
            <w:shd w:val="clear" w:color="000000" w:fill="FFFFFF"/>
            <w:noWrap/>
            <w:vAlign w:val="center"/>
            <w:hideMark/>
          </w:tcPr>
          <w:p w14:paraId="17FB6354"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0</w:t>
            </w:r>
          </w:p>
        </w:tc>
      </w:tr>
      <w:tr w:rsidR="000F13C3" w:rsidRPr="00406551" w14:paraId="25A92D2A" w14:textId="77777777" w:rsidTr="00133036">
        <w:trPr>
          <w:trHeight w:val="831"/>
        </w:trPr>
        <w:tc>
          <w:tcPr>
            <w:tcW w:w="990" w:type="dxa"/>
            <w:tcBorders>
              <w:top w:val="single" w:sz="8" w:space="0" w:color="auto"/>
              <w:left w:val="nil"/>
              <w:bottom w:val="single" w:sz="8" w:space="0" w:color="auto"/>
              <w:right w:val="nil"/>
            </w:tcBorders>
            <w:shd w:val="clear" w:color="000000" w:fill="FFFFFF"/>
            <w:vAlign w:val="center"/>
          </w:tcPr>
          <w:p w14:paraId="0349903D" w14:textId="16275B9D" w:rsidR="00406551" w:rsidRPr="00406551" w:rsidRDefault="00406551" w:rsidP="00406551">
            <w:pPr>
              <w:spacing w:after="0" w:line="240" w:lineRule="auto"/>
              <w:jc w:val="center"/>
              <w:rPr>
                <w:rFonts w:eastAsia="Times New Roman" w:cstheme="minorHAnsi"/>
                <w:color w:val="000000"/>
                <w:sz w:val="18"/>
                <w:szCs w:val="18"/>
                <w:lang w:eastAsia="en-GB"/>
              </w:rPr>
            </w:pPr>
          </w:p>
        </w:tc>
        <w:tc>
          <w:tcPr>
            <w:tcW w:w="1276" w:type="dxa"/>
            <w:tcBorders>
              <w:top w:val="single" w:sz="8" w:space="0" w:color="auto"/>
              <w:left w:val="nil"/>
              <w:bottom w:val="single" w:sz="8" w:space="0" w:color="auto"/>
              <w:right w:val="nil"/>
            </w:tcBorders>
            <w:shd w:val="clear" w:color="000000" w:fill="FFFFFF"/>
            <w:vAlign w:val="center"/>
            <w:hideMark/>
          </w:tcPr>
          <w:p w14:paraId="7CE12B41" w14:textId="3E18BB82" w:rsidR="00406551" w:rsidRPr="00406551" w:rsidRDefault="00406551" w:rsidP="001A65C6">
            <w:pPr>
              <w:spacing w:after="0" w:line="240" w:lineRule="auto"/>
              <w:rPr>
                <w:rFonts w:eastAsia="Times New Roman" w:cstheme="minorHAnsi"/>
                <w:color w:val="000000"/>
                <w:sz w:val="18"/>
                <w:szCs w:val="18"/>
                <w:lang w:eastAsia="en-GB"/>
              </w:rPr>
            </w:pPr>
            <w:proofErr w:type="spellStart"/>
            <w:r w:rsidRPr="00406551">
              <w:rPr>
                <w:rFonts w:eastAsia="Times New Roman" w:cstheme="minorHAnsi"/>
                <w:color w:val="000000"/>
                <w:sz w:val="18"/>
                <w:szCs w:val="18"/>
                <w:lang w:eastAsia="en-GB"/>
              </w:rPr>
              <w:t>Heavey</w:t>
            </w:r>
            <w:proofErr w:type="spellEnd"/>
            <w:r w:rsidRPr="00406551">
              <w:rPr>
                <w:rFonts w:eastAsia="Times New Roman" w:cstheme="minorHAnsi"/>
                <w:color w:val="000000"/>
                <w:sz w:val="18"/>
                <w:szCs w:val="18"/>
                <w:lang w:eastAsia="en-GB"/>
              </w:rPr>
              <w:t xml:space="preserve"> et al </w:t>
            </w:r>
            <w:r w:rsidR="00924E25">
              <w:rPr>
                <w:rFonts w:eastAsia="Times New Roman" w:cstheme="minorHAnsi"/>
                <w:color w:val="000000"/>
                <w:sz w:val="18"/>
                <w:szCs w:val="18"/>
                <w:lang w:eastAsia="en-GB"/>
              </w:rPr>
              <w:fldChar w:fldCharType="begin" w:fldLock="1"/>
            </w:r>
            <w:r w:rsidR="0004151B">
              <w:rPr>
                <w:rFonts w:eastAsia="Times New Roman" w:cstheme="minorHAnsi"/>
                <w:color w:val="000000"/>
                <w:sz w:val="18"/>
                <w:szCs w:val="18"/>
                <w:lang w:eastAsia="en-GB"/>
              </w:rPr>
              <w:instrText>ADDIN CSL_CITATION {"citationItems":[{"id":"ITEM-1","itemData":{"DOI":"10.2807/1560-7917.ES.2020.25.21.2000903","ISBN":"1560-7917\r1025-496X","PMID":"32489179","abstract":"As many countries begin to lift some of the restrictions to contain COVID-19 spread, lack of evidence of transmission in the school setting remains. We examined Irish notifications of SARS-CoV2 in the school setting before school closures on 12 March 2020 and identified no paediatric transmission. This adds to current evidence that children do not appear to be drivers of transmission, and we argue that reopening schools should be considered safe accompanied by certain measures.","author":[{"dropping-particle":"","family":"Heavey","given":"Laura","non-dropping-particle":"","parse-names":false,"suffix":""},{"dropping-particle":"","family":"Casey","given":"Geraldine","non-dropping-particle":"","parse-names":false,"suffix":""},{"dropping-particle":"","family":"Kelly","given":"Ciara","non-dropping-particle":"","parse-names":false,"suffix":""},{"dropping-particle":"","family":"Kelly","given":"David","non-dropping-particle":"","parse-names":false,"suffix":""},{"dropping-particle":"","family":"McDarby","given":"Geraldine","non-dropping-particle":"","parse-names":false,"suffix":""}],"container-title":"Euro surveillance : bulletin Europeen sur les maladies transmissibles = European communicable disease bulletin","id":"ITEM-1","issue":"21","issued":{"date-parts":[["2020"]]},"language":"eng","note":"32489179[pmid]\nPMC7268273[pmcid]","page":"2000903","publisher":"European Centre for Disease Prevention and Control (ECDC)","title":"No evidence of secondary transmission of COVID-19 from children attending school in Ireland, 2020","type":"article-journal","volume":"25"},"uris":["http://www.mendeley.com/documents/?uuid=1b8b12af-bdda-4671-91f8-50387038976a"]}],"mendeley":{"formattedCitation":"[8]","plainTextFormattedCitation":"[8]","previouslyFormattedCitation":"[8]"},"properties":{"noteIndex":0},"schema":"https://github.com/citation-style-language/schema/raw/master/csl-citation.json"}</w:instrText>
            </w:r>
            <w:r w:rsidR="00924E25">
              <w:rPr>
                <w:rFonts w:eastAsia="Times New Roman" w:cstheme="minorHAnsi"/>
                <w:color w:val="000000"/>
                <w:sz w:val="18"/>
                <w:szCs w:val="18"/>
                <w:lang w:eastAsia="en-GB"/>
              </w:rPr>
              <w:fldChar w:fldCharType="separate"/>
            </w:r>
            <w:r w:rsidR="00B058AB" w:rsidRPr="00B058AB">
              <w:rPr>
                <w:rFonts w:eastAsia="Times New Roman" w:cstheme="minorHAnsi"/>
                <w:noProof/>
                <w:color w:val="000000"/>
                <w:sz w:val="18"/>
                <w:szCs w:val="18"/>
                <w:lang w:eastAsia="en-GB"/>
              </w:rPr>
              <w:t>[8]</w:t>
            </w:r>
            <w:r w:rsidR="00924E25">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vAlign w:val="center"/>
            <w:hideMark/>
          </w:tcPr>
          <w:p w14:paraId="6545522C"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Not specified</w:t>
            </w:r>
          </w:p>
        </w:tc>
        <w:tc>
          <w:tcPr>
            <w:tcW w:w="850" w:type="dxa"/>
            <w:tcBorders>
              <w:top w:val="single" w:sz="8" w:space="0" w:color="auto"/>
              <w:left w:val="nil"/>
              <w:bottom w:val="single" w:sz="8" w:space="0" w:color="auto"/>
              <w:right w:val="nil"/>
            </w:tcBorders>
            <w:shd w:val="clear" w:color="000000" w:fill="FFFFFF"/>
            <w:vAlign w:val="center"/>
            <w:hideMark/>
          </w:tcPr>
          <w:p w14:paraId="2F6E620A"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Ireland</w:t>
            </w:r>
          </w:p>
        </w:tc>
        <w:tc>
          <w:tcPr>
            <w:tcW w:w="1843" w:type="dxa"/>
            <w:tcBorders>
              <w:top w:val="single" w:sz="8" w:space="0" w:color="auto"/>
              <w:left w:val="nil"/>
              <w:bottom w:val="single" w:sz="8" w:space="0" w:color="auto"/>
              <w:right w:val="nil"/>
            </w:tcBorders>
            <w:shd w:val="clear" w:color="000000" w:fill="FFFFFF"/>
            <w:vAlign w:val="center"/>
            <w:hideMark/>
          </w:tcPr>
          <w:p w14:paraId="38B3DD5E"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8" w:space="0" w:color="auto"/>
              <w:left w:val="nil"/>
              <w:bottom w:val="single" w:sz="8" w:space="0" w:color="auto"/>
              <w:right w:val="nil"/>
            </w:tcBorders>
            <w:shd w:val="clear" w:color="000000" w:fill="FFFFFF"/>
            <w:vAlign w:val="center"/>
            <w:hideMark/>
          </w:tcPr>
          <w:p w14:paraId="674040C7" w14:textId="7D6F1ABA" w:rsidR="00406551" w:rsidRPr="00406551" w:rsidRDefault="00406551" w:rsidP="001A65C6">
            <w:pPr>
              <w:spacing w:after="0" w:line="240" w:lineRule="auto"/>
              <w:rPr>
                <w:rFonts w:eastAsia="Times New Roman" w:cstheme="minorHAnsi"/>
                <w:sz w:val="18"/>
                <w:szCs w:val="18"/>
                <w:lang w:eastAsia="en-GB"/>
              </w:rPr>
            </w:pPr>
            <w:r w:rsidRPr="00406551">
              <w:rPr>
                <w:rFonts w:eastAsia="Times New Roman" w:cstheme="minorHAnsi"/>
                <w:sz w:val="18"/>
                <w:szCs w:val="18"/>
                <w:lang w:eastAsia="en-GB"/>
              </w:rPr>
              <w:t>Households of friends and family and recreational activities with index cases</w:t>
            </w:r>
          </w:p>
        </w:tc>
        <w:tc>
          <w:tcPr>
            <w:tcW w:w="1276" w:type="dxa"/>
            <w:tcBorders>
              <w:top w:val="single" w:sz="8" w:space="0" w:color="auto"/>
              <w:left w:val="nil"/>
              <w:bottom w:val="single" w:sz="8" w:space="0" w:color="auto"/>
              <w:right w:val="nil"/>
            </w:tcBorders>
            <w:shd w:val="clear" w:color="000000" w:fill="FFFFFF"/>
            <w:noWrap/>
            <w:vAlign w:val="center"/>
            <w:hideMark/>
          </w:tcPr>
          <w:p w14:paraId="27020622"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unclear</w:t>
            </w:r>
          </w:p>
        </w:tc>
        <w:tc>
          <w:tcPr>
            <w:tcW w:w="992" w:type="dxa"/>
            <w:tcBorders>
              <w:top w:val="single" w:sz="8" w:space="0" w:color="auto"/>
              <w:left w:val="nil"/>
              <w:bottom w:val="single" w:sz="8" w:space="0" w:color="auto"/>
              <w:right w:val="nil"/>
            </w:tcBorders>
            <w:shd w:val="clear" w:color="000000" w:fill="FFFFFF"/>
            <w:noWrap/>
            <w:vAlign w:val="center"/>
            <w:hideMark/>
          </w:tcPr>
          <w:p w14:paraId="13B21926"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327B95A1"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6</w:t>
            </w:r>
          </w:p>
        </w:tc>
        <w:tc>
          <w:tcPr>
            <w:tcW w:w="992" w:type="dxa"/>
            <w:tcBorders>
              <w:top w:val="single" w:sz="8" w:space="0" w:color="auto"/>
              <w:left w:val="nil"/>
              <w:bottom w:val="single" w:sz="8" w:space="0" w:color="auto"/>
              <w:right w:val="nil"/>
            </w:tcBorders>
            <w:shd w:val="clear" w:color="000000" w:fill="FFFFFF"/>
            <w:noWrap/>
            <w:vAlign w:val="center"/>
            <w:hideMark/>
          </w:tcPr>
          <w:p w14:paraId="4A281EA0"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135</w:t>
            </w:r>
          </w:p>
        </w:tc>
        <w:tc>
          <w:tcPr>
            <w:tcW w:w="992" w:type="dxa"/>
            <w:tcBorders>
              <w:top w:val="single" w:sz="8" w:space="0" w:color="auto"/>
              <w:left w:val="nil"/>
              <w:bottom w:val="single" w:sz="8" w:space="0" w:color="auto"/>
              <w:right w:val="nil"/>
            </w:tcBorders>
            <w:shd w:val="clear" w:color="000000" w:fill="FFFFFF"/>
            <w:noWrap/>
            <w:vAlign w:val="center"/>
            <w:hideMark/>
          </w:tcPr>
          <w:p w14:paraId="002BB180"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NA</w:t>
            </w:r>
          </w:p>
        </w:tc>
        <w:tc>
          <w:tcPr>
            <w:tcW w:w="1134" w:type="dxa"/>
            <w:tcBorders>
              <w:top w:val="single" w:sz="8" w:space="0" w:color="auto"/>
              <w:left w:val="nil"/>
              <w:bottom w:val="single" w:sz="8" w:space="0" w:color="auto"/>
              <w:right w:val="nil"/>
            </w:tcBorders>
            <w:shd w:val="clear" w:color="000000" w:fill="FFFFFF"/>
            <w:noWrap/>
            <w:vAlign w:val="center"/>
            <w:hideMark/>
          </w:tcPr>
          <w:p w14:paraId="27453905"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2</w:t>
            </w:r>
          </w:p>
        </w:tc>
      </w:tr>
      <w:tr w:rsidR="004E7F1D" w:rsidRPr="00406551" w14:paraId="3E5E42E3" w14:textId="77777777" w:rsidTr="00042071">
        <w:trPr>
          <w:trHeight w:val="831"/>
        </w:trPr>
        <w:tc>
          <w:tcPr>
            <w:tcW w:w="990" w:type="dxa"/>
            <w:tcBorders>
              <w:top w:val="single" w:sz="8" w:space="0" w:color="auto"/>
              <w:left w:val="nil"/>
              <w:right w:val="nil"/>
            </w:tcBorders>
            <w:shd w:val="clear" w:color="000000" w:fill="FFFFFF"/>
          </w:tcPr>
          <w:p w14:paraId="28E463DA" w14:textId="5C08A64B" w:rsidR="00406551" w:rsidRPr="00406551" w:rsidRDefault="00A67E1C" w:rsidP="0013303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lastRenderedPageBreak/>
              <w:t>5</w:t>
            </w:r>
            <w:r w:rsidR="0022413A">
              <w:rPr>
                <w:rFonts w:eastAsia="Times New Roman" w:cstheme="minorHAnsi"/>
                <w:color w:val="000000"/>
                <w:sz w:val="18"/>
                <w:szCs w:val="18"/>
                <w:lang w:eastAsia="en-GB"/>
              </w:rPr>
              <w:t>0</w:t>
            </w:r>
          </w:p>
        </w:tc>
        <w:tc>
          <w:tcPr>
            <w:tcW w:w="1276" w:type="dxa"/>
            <w:vMerge w:val="restart"/>
            <w:tcBorders>
              <w:top w:val="single" w:sz="8" w:space="0" w:color="auto"/>
              <w:left w:val="nil"/>
              <w:bottom w:val="single" w:sz="4" w:space="0" w:color="B4C6E7"/>
              <w:right w:val="nil"/>
            </w:tcBorders>
            <w:shd w:val="clear" w:color="000000" w:fill="FFFFFF"/>
            <w:noWrap/>
            <w:hideMark/>
          </w:tcPr>
          <w:p w14:paraId="66367CE5" w14:textId="362DA588" w:rsidR="00406551" w:rsidRPr="00406551" w:rsidRDefault="00406551" w:rsidP="00C46A5F">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Hong et al</w:t>
            </w:r>
            <w:r w:rsidR="00133036">
              <w:rPr>
                <w:rFonts w:eastAsia="Times New Roman" w:cstheme="minorHAnsi"/>
                <w:color w:val="000000"/>
                <w:sz w:val="18"/>
                <w:szCs w:val="18"/>
                <w:lang w:eastAsia="en-GB"/>
              </w:rPr>
              <w:t xml:space="preserve"> </w:t>
            </w:r>
            <w:r w:rsidR="00A76378">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{"citationItems":[{"id":"ITEM-1","itemData":{"DOI":"https://doi.org/10.1016/j.tmaid.2020.101803","ISBN":"1477-8939","abstract":"Objectives Pandemic COVID-19 has become a seriously public health priority worldwide. Comprehensive strategies including travel restrictions and mask-wearing have been implemented to mitigate the virus circulation. However, detail information on community transmission is unavailable yet. Methods From January 23 to March 1, 2020, 127 patients (median age: 46 years; range: 11–80) with 71 male and 56 female, were confirmed to be infected with the SARS-CoV-2 in Taizhou, Zhejiang, China. Epidemiological trajectory and clinical features of these COVID-19 cases were retrospectively retrieved from electronic medical records and valid individual questionnaire. Results The disease onset was between January 9 to February 14, 2020. Among them, 64 patients are local residents, and 63 patients were back home from Wuhan from January 10 to 24, 2020 before travel restriction. 197 local residents had definite close-contact with 41 pre-symptomatic patients back from Wuhan. 123 and 74 of them contact with mask-wearing or with no mask-wearing pre-symptomatic patients back from Wuhan, respectively. Data showed that incidence of COVID-19 was significantly higher for local residents close-contact with no mask-wearing Wuhan returned pre-symptomatic patients (19.0% vs. 8.1%, p &lt; 0.001). Among 57 close-contact individuals, 21 sequential local COVID-19 patients originated from a pre-symptomatic Wuhan returned couple, indicated dense gathering in congested spaces is a high risk for SARS-CoV-2 transmission. Conclusions Our findings provided valuable details of pre-symptomatic patient mask-wearing and restriction of mass gathering in congested spaces particularly, are important interventions to mitigate the SARS-CoV-2 transmission.","author":[{"dropping-particle":"","family":"Hong","given":"Lu-Xiao","non-dropping-particle":"","parse-names":false,"suffix":""},{"dropping-particle":"","family":"Lin","given":"Aifen","non-dropping-particle":"","parse-names":false,"suffix":""},{"dropping-particle":"","family":"He","given":"Ze-Bao","non-dropping-particle":"","parse-names":false,"suffix":""},{"dropping-particle":"","family":"Zhao","given":"Hai-Hong","non-dropping-particle":"","parse-names":false,"suffix":""},{"dropping-particle":"","family":"Zhang","given":"Jian-Gang","non-dropping-particle":"","parse-names":false,"suffix":""},{"dropping-particle":"","family":"Zhang","given":"Chao","non-dropping-particle":"","parse-names":false,"suffix":""},{"dropping-particle":"","family":"Ying","given":"Ling-Jun","non-dropping-particle":"","parse-names":false,"suffix":""},{"dropping-particle":"","family":"Ge","given":"Zheng-Ming","non-dropping-particle":"","parse-names":false,"suffix":""},{"dropping-particle":"","family":"Zhang","given":"Xia","non-dropping-particle":"","parse-names":false,"suffix":""},{"dropping-particle":"","family":"Han","given":"Qiu-Yue","non-dropping-particle":"","parse-names":false,"suffix":""},{"dropping-particle":"","family":"Chen","given":"Qiong-Yuan","non-dropping-particle":"","parse-names":false,"suffix":""},{"dropping-particle":"","family":"Ye","given":"Yao-Han","non-dropping-particle":"","parse-names":false,"suffix":""},{"dropping-particle":"","family":"Zhu","given":"Jian-Sheng","non-dropping-particle":"","parse-names":false,"suffix":""},{"dropping-particle":"","family":"Chen","given":"Hai-Xiao","non-dropping-particle":"","parse-names":false,"suffix":""},{"dropping-particle":"","family":"Yan","given":"Wei-Hua","non-dropping-particle":"","parse-names":false,"suffix":""}],"container-title":"Travel Medicine and Infectious Disease","id":"ITEM-1","issued":{"date-parts":[["2020"]]},"page":"101803","title":"Mask wearing in pre-symptomatic patients prevents SARS-CoV-2 transmission: An epidemiological analysis","type":"article-journal","volume":"36"},"uris":["http://www.mendeley.com/documents/?uuid=e827c6d0-d18b-4ffb-9a52-87dc0b649f34"]}],"mendeley":{"formattedCitation":"[93]","plainTextFormattedCitation":"[93]","previouslyFormattedCitation":"[95]"},"properties":{"noteIndex":0},"schema":"https://github.com/citation-style-language/schema/raw/master/csl-citation.json"}</w:instrText>
            </w:r>
            <w:r w:rsidR="00A76378">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[93]</w:t>
            </w:r>
            <w:r w:rsidR="00A76378">
              <w:rPr>
                <w:rFonts w:eastAsia="Times New Roman" w:cstheme="minorHAnsi"/>
                <w:color w:val="000000"/>
                <w:sz w:val="18"/>
                <w:szCs w:val="18"/>
                <w:lang w:eastAsia="en-GB"/>
              </w:rPr>
              <w:fldChar w:fldCharType="end"/>
            </w:r>
          </w:p>
        </w:tc>
        <w:tc>
          <w:tcPr>
            <w:tcW w:w="1134" w:type="dxa"/>
            <w:vMerge w:val="restart"/>
            <w:tcBorders>
              <w:top w:val="single" w:sz="8" w:space="0" w:color="auto"/>
              <w:left w:val="nil"/>
              <w:bottom w:val="single" w:sz="4" w:space="0" w:color="B4C6E7"/>
              <w:right w:val="nil"/>
            </w:tcBorders>
            <w:shd w:val="clear" w:color="000000" w:fill="FFFFFF"/>
            <w:hideMark/>
          </w:tcPr>
          <w:p w14:paraId="536258D2" w14:textId="77777777" w:rsidR="00406551" w:rsidRPr="00406551" w:rsidRDefault="00406551" w:rsidP="00C46A5F">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Taizhou, Zhejiang</w:t>
            </w:r>
          </w:p>
        </w:tc>
        <w:tc>
          <w:tcPr>
            <w:tcW w:w="850" w:type="dxa"/>
            <w:vMerge w:val="restart"/>
            <w:tcBorders>
              <w:top w:val="single" w:sz="8" w:space="0" w:color="auto"/>
              <w:left w:val="nil"/>
              <w:bottom w:val="single" w:sz="4" w:space="0" w:color="B4C6E7"/>
              <w:right w:val="nil"/>
            </w:tcBorders>
            <w:shd w:val="clear" w:color="000000" w:fill="FFFFFF"/>
            <w:hideMark/>
          </w:tcPr>
          <w:p w14:paraId="7EF66540" w14:textId="77777777" w:rsidR="00406551" w:rsidRPr="00406551" w:rsidRDefault="00406551" w:rsidP="00C46A5F">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nil"/>
              <w:right w:val="nil"/>
            </w:tcBorders>
            <w:shd w:val="clear" w:color="000000" w:fill="FFFFFF"/>
            <w:hideMark/>
          </w:tcPr>
          <w:p w14:paraId="4D9736D8" w14:textId="77777777" w:rsidR="00406551" w:rsidRPr="00406551" w:rsidRDefault="00406551" w:rsidP="0013303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8" w:space="0" w:color="auto"/>
              <w:left w:val="nil"/>
              <w:bottom w:val="single" w:sz="8" w:space="0" w:color="auto"/>
              <w:right w:val="nil"/>
            </w:tcBorders>
            <w:shd w:val="clear" w:color="000000" w:fill="FFFFFF"/>
            <w:vAlign w:val="center"/>
            <w:hideMark/>
          </w:tcPr>
          <w:p w14:paraId="3D1FDA34" w14:textId="634AF9A3"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Close contacts including family members, relatives, friends, villagers, or card playing partners </w:t>
            </w:r>
            <w:r w:rsidR="00F3271C">
              <w:rPr>
                <w:rFonts w:eastAsia="Times New Roman" w:cstheme="minorHAnsi"/>
                <w:color w:val="000000"/>
                <w:sz w:val="18"/>
                <w:szCs w:val="18"/>
                <w:lang w:eastAsia="en-GB"/>
              </w:rPr>
              <w:t xml:space="preserve">of </w:t>
            </w:r>
            <w:r w:rsidR="00694B5D">
              <w:rPr>
                <w:rFonts w:eastAsia="Times New Roman" w:cstheme="minorHAnsi"/>
                <w:color w:val="000000"/>
                <w:sz w:val="18"/>
                <w:szCs w:val="18"/>
                <w:lang w:eastAsia="en-GB"/>
              </w:rPr>
              <w:t xml:space="preserve">pre-symptomatic </w:t>
            </w:r>
            <w:r w:rsidR="00F3271C">
              <w:rPr>
                <w:rFonts w:eastAsia="Times New Roman" w:cstheme="minorHAnsi"/>
                <w:color w:val="000000"/>
                <w:sz w:val="18"/>
                <w:szCs w:val="18"/>
                <w:lang w:eastAsia="en-GB"/>
              </w:rPr>
              <w:t xml:space="preserve">index cases </w:t>
            </w:r>
            <w:r w:rsidRPr="00406551">
              <w:rPr>
                <w:rFonts w:eastAsia="Times New Roman" w:cstheme="minorHAnsi"/>
                <w:color w:val="000000"/>
                <w:sz w:val="18"/>
                <w:szCs w:val="18"/>
                <w:lang w:eastAsia="en-GB"/>
              </w:rPr>
              <w:t>who wore a mask</w:t>
            </w:r>
          </w:p>
        </w:tc>
        <w:tc>
          <w:tcPr>
            <w:tcW w:w="1276" w:type="dxa"/>
            <w:tcBorders>
              <w:top w:val="single" w:sz="8" w:space="0" w:color="auto"/>
              <w:left w:val="nil"/>
              <w:bottom w:val="single" w:sz="8" w:space="0" w:color="auto"/>
              <w:right w:val="nil"/>
            </w:tcBorders>
            <w:shd w:val="clear" w:color="000000" w:fill="FFFFFF"/>
            <w:noWrap/>
            <w:vAlign w:val="center"/>
            <w:hideMark/>
          </w:tcPr>
          <w:p w14:paraId="0A02DFA6"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vAlign w:val="center"/>
            <w:hideMark/>
          </w:tcPr>
          <w:p w14:paraId="2B4AA638"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vAlign w:val="center"/>
            <w:hideMark/>
          </w:tcPr>
          <w:p w14:paraId="69D76DAF"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41</w:t>
            </w:r>
          </w:p>
        </w:tc>
        <w:tc>
          <w:tcPr>
            <w:tcW w:w="992" w:type="dxa"/>
            <w:tcBorders>
              <w:top w:val="single" w:sz="8" w:space="0" w:color="auto"/>
              <w:left w:val="nil"/>
              <w:bottom w:val="single" w:sz="8" w:space="0" w:color="auto"/>
              <w:right w:val="nil"/>
            </w:tcBorders>
            <w:shd w:val="clear" w:color="000000" w:fill="FFFFFF"/>
            <w:noWrap/>
            <w:vAlign w:val="center"/>
            <w:hideMark/>
          </w:tcPr>
          <w:p w14:paraId="0897CD63"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123</w:t>
            </w:r>
          </w:p>
        </w:tc>
        <w:tc>
          <w:tcPr>
            <w:tcW w:w="992" w:type="dxa"/>
            <w:tcBorders>
              <w:top w:val="single" w:sz="8" w:space="0" w:color="auto"/>
              <w:left w:val="nil"/>
              <w:bottom w:val="single" w:sz="8" w:space="0" w:color="auto"/>
              <w:right w:val="nil"/>
            </w:tcBorders>
            <w:shd w:val="clear" w:color="000000" w:fill="FFFFFF"/>
            <w:noWrap/>
            <w:vAlign w:val="center"/>
            <w:hideMark/>
          </w:tcPr>
          <w:p w14:paraId="42AEF747"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123</w:t>
            </w:r>
          </w:p>
        </w:tc>
        <w:tc>
          <w:tcPr>
            <w:tcW w:w="1134" w:type="dxa"/>
            <w:tcBorders>
              <w:top w:val="single" w:sz="8" w:space="0" w:color="auto"/>
              <w:left w:val="nil"/>
              <w:bottom w:val="single" w:sz="8" w:space="0" w:color="auto"/>
              <w:right w:val="nil"/>
            </w:tcBorders>
            <w:shd w:val="clear" w:color="000000" w:fill="FFFFFF"/>
            <w:noWrap/>
            <w:vAlign w:val="center"/>
            <w:hideMark/>
          </w:tcPr>
          <w:p w14:paraId="4D512DFE"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10</w:t>
            </w:r>
          </w:p>
        </w:tc>
      </w:tr>
      <w:tr w:rsidR="000F13C3" w:rsidRPr="00406551" w14:paraId="1D95E9C8" w14:textId="77777777" w:rsidTr="00133036">
        <w:trPr>
          <w:trHeight w:val="959"/>
        </w:trPr>
        <w:tc>
          <w:tcPr>
            <w:tcW w:w="990" w:type="dxa"/>
            <w:tcBorders>
              <w:left w:val="nil"/>
              <w:bottom w:val="single" w:sz="8" w:space="0" w:color="auto"/>
              <w:right w:val="nil"/>
            </w:tcBorders>
            <w:vAlign w:val="center"/>
          </w:tcPr>
          <w:p w14:paraId="60D1E39C" w14:textId="77777777" w:rsidR="00406551" w:rsidRPr="00406551" w:rsidRDefault="00406551" w:rsidP="00406551">
            <w:pPr>
              <w:spacing w:after="0" w:line="240" w:lineRule="auto"/>
              <w:jc w:val="center"/>
              <w:rPr>
                <w:rFonts w:eastAsia="Times New Roman" w:cstheme="minorHAnsi"/>
                <w:color w:val="000000"/>
                <w:sz w:val="18"/>
                <w:szCs w:val="18"/>
                <w:lang w:eastAsia="en-GB"/>
              </w:rPr>
            </w:pPr>
          </w:p>
        </w:tc>
        <w:tc>
          <w:tcPr>
            <w:tcW w:w="1276" w:type="dxa"/>
            <w:vMerge/>
            <w:tcBorders>
              <w:top w:val="single" w:sz="4" w:space="0" w:color="B4C6E7"/>
              <w:left w:val="nil"/>
              <w:bottom w:val="single" w:sz="8" w:space="0" w:color="auto"/>
              <w:right w:val="nil"/>
            </w:tcBorders>
            <w:vAlign w:val="center"/>
            <w:hideMark/>
          </w:tcPr>
          <w:p w14:paraId="4138E198" w14:textId="30CDC380" w:rsidR="00406551" w:rsidRPr="00406551" w:rsidRDefault="00406551" w:rsidP="001A65C6">
            <w:pPr>
              <w:spacing w:after="0" w:line="240" w:lineRule="auto"/>
              <w:rPr>
                <w:rFonts w:eastAsia="Times New Roman" w:cstheme="minorHAnsi"/>
                <w:color w:val="000000"/>
                <w:sz w:val="18"/>
                <w:szCs w:val="18"/>
                <w:lang w:eastAsia="en-GB"/>
              </w:rPr>
            </w:pPr>
          </w:p>
        </w:tc>
        <w:tc>
          <w:tcPr>
            <w:tcW w:w="1134" w:type="dxa"/>
            <w:vMerge/>
            <w:tcBorders>
              <w:top w:val="single" w:sz="4" w:space="0" w:color="B4C6E7"/>
              <w:left w:val="nil"/>
              <w:bottom w:val="single" w:sz="8" w:space="0" w:color="auto"/>
              <w:right w:val="nil"/>
            </w:tcBorders>
            <w:vAlign w:val="center"/>
            <w:hideMark/>
          </w:tcPr>
          <w:p w14:paraId="3E3369F9" w14:textId="77777777" w:rsidR="00406551" w:rsidRPr="00406551" w:rsidRDefault="00406551" w:rsidP="001A65C6">
            <w:pPr>
              <w:spacing w:after="0" w:line="240" w:lineRule="auto"/>
              <w:rPr>
                <w:rFonts w:eastAsia="Times New Roman" w:cstheme="minorHAnsi"/>
                <w:color w:val="000000"/>
                <w:sz w:val="18"/>
                <w:szCs w:val="18"/>
                <w:lang w:eastAsia="en-GB"/>
              </w:rPr>
            </w:pPr>
          </w:p>
        </w:tc>
        <w:tc>
          <w:tcPr>
            <w:tcW w:w="850" w:type="dxa"/>
            <w:vMerge/>
            <w:tcBorders>
              <w:top w:val="single" w:sz="4" w:space="0" w:color="B4C6E7"/>
              <w:left w:val="nil"/>
              <w:bottom w:val="single" w:sz="8" w:space="0" w:color="auto"/>
              <w:right w:val="nil"/>
            </w:tcBorders>
            <w:vAlign w:val="center"/>
            <w:hideMark/>
          </w:tcPr>
          <w:p w14:paraId="5575428F" w14:textId="77777777" w:rsidR="00406551" w:rsidRPr="00406551" w:rsidRDefault="00406551" w:rsidP="001A65C6">
            <w:pPr>
              <w:spacing w:after="0" w:line="240" w:lineRule="auto"/>
              <w:rPr>
                <w:rFonts w:eastAsia="Times New Roman" w:cstheme="minorHAnsi"/>
                <w:color w:val="000000"/>
                <w:sz w:val="18"/>
                <w:szCs w:val="18"/>
                <w:lang w:eastAsia="en-GB"/>
              </w:rPr>
            </w:pPr>
          </w:p>
        </w:tc>
        <w:tc>
          <w:tcPr>
            <w:tcW w:w="1843" w:type="dxa"/>
            <w:tcBorders>
              <w:top w:val="nil"/>
              <w:left w:val="nil"/>
              <w:bottom w:val="single" w:sz="8" w:space="0" w:color="auto"/>
              <w:right w:val="nil"/>
            </w:tcBorders>
            <w:shd w:val="clear" w:color="000000" w:fill="FFFFFF"/>
            <w:noWrap/>
            <w:vAlign w:val="center"/>
            <w:hideMark/>
          </w:tcPr>
          <w:p w14:paraId="0E873E45"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w:t>
            </w:r>
          </w:p>
        </w:tc>
        <w:tc>
          <w:tcPr>
            <w:tcW w:w="3263" w:type="dxa"/>
            <w:tcBorders>
              <w:top w:val="single" w:sz="8" w:space="0" w:color="auto"/>
              <w:left w:val="nil"/>
              <w:bottom w:val="single" w:sz="8" w:space="0" w:color="auto"/>
              <w:right w:val="nil"/>
            </w:tcBorders>
            <w:shd w:val="clear" w:color="000000" w:fill="FFFFFF"/>
            <w:vAlign w:val="center"/>
            <w:hideMark/>
          </w:tcPr>
          <w:p w14:paraId="756C9A21" w14:textId="4E57C964"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Close contacts including family members, relatives, friends, villagers, or card playing partners </w:t>
            </w:r>
            <w:r w:rsidR="00F3271C">
              <w:rPr>
                <w:rFonts w:eastAsia="Times New Roman" w:cstheme="minorHAnsi"/>
                <w:color w:val="000000"/>
                <w:sz w:val="18"/>
                <w:szCs w:val="18"/>
                <w:lang w:eastAsia="en-GB"/>
              </w:rPr>
              <w:t xml:space="preserve">of </w:t>
            </w:r>
            <w:r w:rsidR="00694B5D">
              <w:rPr>
                <w:rFonts w:eastAsia="Times New Roman" w:cstheme="minorHAnsi"/>
                <w:color w:val="000000"/>
                <w:sz w:val="18"/>
                <w:szCs w:val="18"/>
                <w:lang w:eastAsia="en-GB"/>
              </w:rPr>
              <w:t xml:space="preserve">pre-symptomatic </w:t>
            </w:r>
            <w:r w:rsidR="00F3271C">
              <w:rPr>
                <w:rFonts w:eastAsia="Times New Roman" w:cstheme="minorHAnsi"/>
                <w:color w:val="000000"/>
                <w:sz w:val="18"/>
                <w:szCs w:val="18"/>
                <w:lang w:eastAsia="en-GB"/>
              </w:rPr>
              <w:t xml:space="preserve">index cases </w:t>
            </w:r>
            <w:r w:rsidRPr="00406551">
              <w:rPr>
                <w:rFonts w:eastAsia="Times New Roman" w:cstheme="minorHAnsi"/>
                <w:color w:val="000000"/>
                <w:sz w:val="18"/>
                <w:szCs w:val="18"/>
                <w:lang w:eastAsia="en-GB"/>
              </w:rPr>
              <w:t>who did not wear a mask</w:t>
            </w:r>
          </w:p>
        </w:tc>
        <w:tc>
          <w:tcPr>
            <w:tcW w:w="1276" w:type="dxa"/>
            <w:tcBorders>
              <w:top w:val="single" w:sz="8" w:space="0" w:color="auto"/>
              <w:left w:val="nil"/>
              <w:bottom w:val="single" w:sz="8" w:space="0" w:color="auto"/>
              <w:right w:val="nil"/>
            </w:tcBorders>
            <w:shd w:val="clear" w:color="000000" w:fill="FFFFFF"/>
            <w:noWrap/>
            <w:vAlign w:val="center"/>
            <w:hideMark/>
          </w:tcPr>
          <w:p w14:paraId="6261E59D"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vAlign w:val="center"/>
            <w:hideMark/>
          </w:tcPr>
          <w:p w14:paraId="60B29B2A"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vAlign w:val="center"/>
            <w:hideMark/>
          </w:tcPr>
          <w:p w14:paraId="3EF78003"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41</w:t>
            </w:r>
          </w:p>
        </w:tc>
        <w:tc>
          <w:tcPr>
            <w:tcW w:w="992" w:type="dxa"/>
            <w:tcBorders>
              <w:top w:val="single" w:sz="8" w:space="0" w:color="auto"/>
              <w:left w:val="nil"/>
              <w:bottom w:val="single" w:sz="8" w:space="0" w:color="auto"/>
              <w:right w:val="nil"/>
            </w:tcBorders>
            <w:shd w:val="clear" w:color="000000" w:fill="FFFFFF"/>
            <w:noWrap/>
            <w:vAlign w:val="center"/>
            <w:hideMark/>
          </w:tcPr>
          <w:p w14:paraId="37F6C031"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74</w:t>
            </w:r>
          </w:p>
        </w:tc>
        <w:tc>
          <w:tcPr>
            <w:tcW w:w="992" w:type="dxa"/>
            <w:tcBorders>
              <w:top w:val="single" w:sz="8" w:space="0" w:color="auto"/>
              <w:left w:val="nil"/>
              <w:bottom w:val="single" w:sz="8" w:space="0" w:color="auto"/>
              <w:right w:val="nil"/>
            </w:tcBorders>
            <w:shd w:val="clear" w:color="000000" w:fill="FFFFFF"/>
            <w:noWrap/>
            <w:vAlign w:val="center"/>
            <w:hideMark/>
          </w:tcPr>
          <w:p w14:paraId="1037EE1F"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74</w:t>
            </w:r>
          </w:p>
        </w:tc>
        <w:tc>
          <w:tcPr>
            <w:tcW w:w="1134" w:type="dxa"/>
            <w:tcBorders>
              <w:top w:val="single" w:sz="8" w:space="0" w:color="auto"/>
              <w:left w:val="nil"/>
              <w:bottom w:val="single" w:sz="8" w:space="0" w:color="auto"/>
              <w:right w:val="nil"/>
            </w:tcBorders>
            <w:shd w:val="clear" w:color="000000" w:fill="FFFFFF"/>
            <w:noWrap/>
            <w:vAlign w:val="center"/>
            <w:hideMark/>
          </w:tcPr>
          <w:p w14:paraId="4CB6D854"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14</w:t>
            </w:r>
          </w:p>
        </w:tc>
      </w:tr>
      <w:tr w:rsidR="000F13C3" w:rsidRPr="00406551" w14:paraId="488333F9" w14:textId="77777777" w:rsidTr="00406551">
        <w:trPr>
          <w:trHeight w:val="1245"/>
        </w:trPr>
        <w:tc>
          <w:tcPr>
            <w:tcW w:w="990" w:type="dxa"/>
            <w:tcBorders>
              <w:top w:val="single" w:sz="8" w:space="0" w:color="auto"/>
              <w:left w:val="nil"/>
              <w:bottom w:val="single" w:sz="8" w:space="0" w:color="auto"/>
              <w:right w:val="nil"/>
            </w:tcBorders>
            <w:shd w:val="clear" w:color="000000" w:fill="FFFFFF"/>
            <w:vAlign w:val="center"/>
          </w:tcPr>
          <w:p w14:paraId="54BD5980" w14:textId="77777777" w:rsidR="00406551" w:rsidRPr="00406551" w:rsidRDefault="00406551" w:rsidP="00406551">
            <w:pPr>
              <w:spacing w:after="0" w:line="240" w:lineRule="auto"/>
              <w:jc w:val="center"/>
              <w:rPr>
                <w:rFonts w:eastAsia="Times New Roman" w:cstheme="minorHAnsi"/>
                <w:color w:val="000000"/>
                <w:sz w:val="18"/>
                <w:szCs w:val="18"/>
                <w:lang w:eastAsia="en-GB"/>
              </w:rPr>
            </w:pPr>
          </w:p>
        </w:tc>
        <w:tc>
          <w:tcPr>
            <w:tcW w:w="1276" w:type="dxa"/>
            <w:tcBorders>
              <w:top w:val="single" w:sz="8" w:space="0" w:color="auto"/>
              <w:left w:val="nil"/>
              <w:bottom w:val="single" w:sz="8" w:space="0" w:color="auto"/>
              <w:right w:val="nil"/>
            </w:tcBorders>
            <w:shd w:val="clear" w:color="000000" w:fill="FFFFFF"/>
            <w:noWrap/>
            <w:hideMark/>
          </w:tcPr>
          <w:p w14:paraId="1B365A47" w14:textId="4FB158F5" w:rsidR="00406551" w:rsidRPr="00406551" w:rsidRDefault="00406551" w:rsidP="00C46A5F">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Jia et al </w:t>
            </w:r>
            <w:r w:rsidR="00D47117">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{"citationItems":[{"id":"ITEM-1","itemData":{"DOI":"10.1017/dmp.2020.59","ISBN":"1938-744X\r1935-7893","PMID":"32228732","abstract":"OBJECTIVES: As an emerging infectious disease, COVID-19 has involved many countries and regions. With the further development of the epidemic, the proportion of clusters has increased. METHODS: In our study, we collected information on COVID-19 clusters in Qingdao City. The epidemiological characteristics and clinical manifestations were analyzed. RESULTS: Eleven clusters of COVID-19 were reported in Qingdao City between January 29, and February 23, 2020, involving 44 confirmed cases, which accounted for 73.33% of all confirmed cases. From January 19 to February 2, 2020, the cases mainly concentrated in the district that had many designated hospitals. Patients aged 20-59 y old accounted for the largest proportion (68.18%) of cases; the male-to-female sex ratio was 0.52:1. Three cases were infected from exposure to confirmed cases. The average incubation period was 6.28 d. The median number of cases per cluster was 4, and the median duration time was 6 d. The median cumulative number of exposed persons was 53. CONCLUSION: More attention should be paid to the epidemic of clusters in prevention and control of COVID-19. In addition to isolating patients, it is essential to track, screen, and isolate those who have come in close contact with patients. Self-isolation is the key especially for healthy people in the epidemic area.","author":[{"dropping-particle":"","family":"Jia","given":"Jing","non-dropping-particle":"","parse-names":false,"suffix":""},{"dropping-particle":"","family":"Hu","given":"Xiaowen","non-dropping-particle":"","parse-names":false,"suffix":""},{"dropping-particle":"","family":"Yang","given":"Feng","non-dropping-particle":"","parse-names":false,"suffix":""},{"dropping-particle":"","family":"Song","given":"Xin","non-dropping-particle":"","parse-names":false,"suffix":""},{"dropping-particle":"","family":"Dong","given":"Liyan","non-dropping-particle":"","parse-names":false,"suffix":""},{"dropping-particle":"","family":"Zhang","given":"Jingfei","non-dropping-particle":"","parse-names":false,"suffix":""},{"dropping-particle":"","family":"Jiang","given":"Fachun","non-dropping-particle":"","parse-names":false,"suffix":""},{"dropping-particle":"","family":"Gao","given":"Ruqin","non-dropping-particle":"","parse-names":false,"suffix":""}],"container-title":"Disaster medicine and public health preparedness","id":"ITEM-1","issued":{"date-parts":[["2020"]]},"language":"eng","note":"32228732[pmid]\nPMC7156571[pmcid]\nS1935789320000592[PII]","page":"1-5","publisher":"Cambridge University Press","title":"Epidemiological Characteristics on the Clustering Nature of COVID-19 in Qingdao City, 2020: A Descriptive Analysis","type":"article-journal"},"uris":["http://www.mendeley.com/documents/?uuid=75448f17-c100-4f3c-b1c1-671269e33500"]}],"mendeley":{"formattedCitation":"[94]","plainTextFormattedCitation":"[94]","previouslyFormattedCitation":"[96]"},"properties":{"noteIndex":0},"schema":"https://github.com/citation-style-language/schema/raw/master/csl-citation.json"}</w:instrText>
            </w:r>
            <w:r w:rsidR="00D47117">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[94]</w:t>
            </w:r>
            <w:r w:rsidR="00D47117">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noWrap/>
            <w:hideMark/>
          </w:tcPr>
          <w:p w14:paraId="0F320740" w14:textId="77777777" w:rsidR="00406551" w:rsidRPr="00406551" w:rsidRDefault="00406551" w:rsidP="00C46A5F">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Qingdao</w:t>
            </w:r>
          </w:p>
        </w:tc>
        <w:tc>
          <w:tcPr>
            <w:tcW w:w="850" w:type="dxa"/>
            <w:tcBorders>
              <w:top w:val="single" w:sz="8" w:space="0" w:color="auto"/>
              <w:left w:val="nil"/>
              <w:bottom w:val="single" w:sz="8" w:space="0" w:color="auto"/>
              <w:right w:val="nil"/>
            </w:tcBorders>
            <w:shd w:val="clear" w:color="000000" w:fill="FFFFFF"/>
            <w:noWrap/>
            <w:hideMark/>
          </w:tcPr>
          <w:p w14:paraId="0D4CD13C" w14:textId="77777777" w:rsidR="00406551" w:rsidRPr="00406551" w:rsidRDefault="00406551" w:rsidP="00C46A5F">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single" w:sz="8" w:space="0" w:color="auto"/>
              <w:right w:val="nil"/>
            </w:tcBorders>
            <w:shd w:val="clear" w:color="000000" w:fill="FFFFFF"/>
            <w:hideMark/>
          </w:tcPr>
          <w:p w14:paraId="57039A00" w14:textId="77777777" w:rsidR="00406551" w:rsidRPr="00406551" w:rsidRDefault="00406551" w:rsidP="00C46A5F">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investigation</w:t>
            </w:r>
          </w:p>
        </w:tc>
        <w:tc>
          <w:tcPr>
            <w:tcW w:w="3263" w:type="dxa"/>
            <w:tcBorders>
              <w:top w:val="single" w:sz="8" w:space="0" w:color="auto"/>
              <w:left w:val="nil"/>
              <w:bottom w:val="single" w:sz="8" w:space="0" w:color="auto"/>
              <w:right w:val="nil"/>
            </w:tcBorders>
            <w:shd w:val="clear" w:color="000000" w:fill="FFFFFF"/>
            <w:vAlign w:val="center"/>
            <w:hideMark/>
          </w:tcPr>
          <w:p w14:paraId="4037DC79"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Close contacts who did not take effective protection against a suspected or confirmed case 2 days before symptom onset or sampling. Contacts either lived with, shared a meal with an index case, or </w:t>
            </w:r>
            <w:proofErr w:type="gramStart"/>
            <w:r w:rsidRPr="00406551">
              <w:rPr>
                <w:rFonts w:eastAsia="Times New Roman" w:cstheme="minorHAnsi"/>
                <w:color w:val="000000"/>
                <w:sz w:val="18"/>
                <w:szCs w:val="18"/>
                <w:lang w:eastAsia="en-GB"/>
              </w:rPr>
              <w:t>came in contact with</w:t>
            </w:r>
            <w:proofErr w:type="gramEnd"/>
            <w:r w:rsidRPr="00406551">
              <w:rPr>
                <w:rFonts w:eastAsia="Times New Roman" w:cstheme="minorHAnsi"/>
                <w:color w:val="000000"/>
                <w:sz w:val="18"/>
                <w:szCs w:val="18"/>
                <w:lang w:eastAsia="en-GB"/>
              </w:rPr>
              <w:t xml:space="preserve"> an index case in a healthcare setting.</w:t>
            </w:r>
          </w:p>
        </w:tc>
        <w:tc>
          <w:tcPr>
            <w:tcW w:w="1276" w:type="dxa"/>
            <w:tcBorders>
              <w:top w:val="single" w:sz="8" w:space="0" w:color="auto"/>
              <w:left w:val="nil"/>
              <w:bottom w:val="single" w:sz="8" w:space="0" w:color="auto"/>
              <w:right w:val="nil"/>
            </w:tcBorders>
            <w:shd w:val="clear" w:color="000000" w:fill="FFFFFF"/>
            <w:noWrap/>
            <w:vAlign w:val="center"/>
            <w:hideMark/>
          </w:tcPr>
          <w:p w14:paraId="3A11EC11"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noWrap/>
            <w:vAlign w:val="center"/>
            <w:hideMark/>
          </w:tcPr>
          <w:p w14:paraId="5C9A2769"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20E6BBD1"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11</w:t>
            </w:r>
          </w:p>
        </w:tc>
        <w:tc>
          <w:tcPr>
            <w:tcW w:w="992" w:type="dxa"/>
            <w:tcBorders>
              <w:top w:val="single" w:sz="8" w:space="0" w:color="auto"/>
              <w:left w:val="nil"/>
              <w:bottom w:val="single" w:sz="8" w:space="0" w:color="auto"/>
              <w:right w:val="nil"/>
            </w:tcBorders>
            <w:shd w:val="clear" w:color="000000" w:fill="FFFFFF"/>
            <w:noWrap/>
            <w:vAlign w:val="center"/>
            <w:hideMark/>
          </w:tcPr>
          <w:p w14:paraId="4EBFFE24"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583</w:t>
            </w:r>
          </w:p>
        </w:tc>
        <w:tc>
          <w:tcPr>
            <w:tcW w:w="992" w:type="dxa"/>
            <w:tcBorders>
              <w:top w:val="single" w:sz="8" w:space="0" w:color="auto"/>
              <w:left w:val="nil"/>
              <w:bottom w:val="single" w:sz="8" w:space="0" w:color="auto"/>
              <w:right w:val="nil"/>
            </w:tcBorders>
            <w:shd w:val="clear" w:color="000000" w:fill="FFFFFF"/>
            <w:noWrap/>
            <w:vAlign w:val="center"/>
            <w:hideMark/>
          </w:tcPr>
          <w:p w14:paraId="36859447"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583</w:t>
            </w:r>
          </w:p>
        </w:tc>
        <w:tc>
          <w:tcPr>
            <w:tcW w:w="1134" w:type="dxa"/>
            <w:tcBorders>
              <w:top w:val="single" w:sz="8" w:space="0" w:color="auto"/>
              <w:left w:val="nil"/>
              <w:bottom w:val="single" w:sz="8" w:space="0" w:color="auto"/>
              <w:right w:val="nil"/>
            </w:tcBorders>
            <w:shd w:val="clear" w:color="000000" w:fill="FFFFFF"/>
            <w:noWrap/>
            <w:vAlign w:val="center"/>
            <w:hideMark/>
          </w:tcPr>
          <w:p w14:paraId="3D964288"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33</w:t>
            </w:r>
          </w:p>
        </w:tc>
      </w:tr>
      <w:tr w:rsidR="000F13C3" w:rsidRPr="00406551" w14:paraId="25F7EC7A" w14:textId="77777777" w:rsidTr="00406551">
        <w:trPr>
          <w:trHeight w:val="830"/>
        </w:trPr>
        <w:tc>
          <w:tcPr>
            <w:tcW w:w="990" w:type="dxa"/>
            <w:tcBorders>
              <w:top w:val="single" w:sz="8" w:space="0" w:color="auto"/>
              <w:left w:val="nil"/>
              <w:bottom w:val="single" w:sz="8" w:space="0" w:color="auto"/>
              <w:right w:val="nil"/>
            </w:tcBorders>
            <w:shd w:val="clear" w:color="000000" w:fill="FFFFFF"/>
            <w:vAlign w:val="center"/>
          </w:tcPr>
          <w:p w14:paraId="12345282" w14:textId="0A023B95" w:rsidR="00406551" w:rsidRPr="00406551" w:rsidRDefault="00BB4277" w:rsidP="00406551">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5</w:t>
            </w:r>
            <w:r w:rsidR="0022413A">
              <w:rPr>
                <w:rFonts w:eastAsia="Times New Roman" w:cstheme="minorHAnsi"/>
                <w:color w:val="000000"/>
                <w:sz w:val="18"/>
                <w:szCs w:val="18"/>
                <w:lang w:eastAsia="en-GB"/>
              </w:rPr>
              <w:t>1</w:t>
            </w:r>
          </w:p>
        </w:tc>
        <w:tc>
          <w:tcPr>
            <w:tcW w:w="1276" w:type="dxa"/>
            <w:tcBorders>
              <w:top w:val="single" w:sz="8" w:space="0" w:color="auto"/>
              <w:left w:val="nil"/>
              <w:bottom w:val="single" w:sz="8" w:space="0" w:color="auto"/>
              <w:right w:val="nil"/>
            </w:tcBorders>
            <w:shd w:val="clear" w:color="000000" w:fill="FFFFFF"/>
            <w:vAlign w:val="center"/>
            <w:hideMark/>
          </w:tcPr>
          <w:p w14:paraId="6C6DA5C1" w14:textId="268D2C2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Jiang et al</w:t>
            </w:r>
            <w:r w:rsidR="005F52AA">
              <w:rPr>
                <w:rFonts w:eastAsia="Times New Roman" w:cstheme="minorHAnsi"/>
                <w:color w:val="000000"/>
                <w:sz w:val="18"/>
                <w:szCs w:val="18"/>
                <w:lang w:eastAsia="en-GB"/>
              </w:rPr>
              <w:t xml:space="preserve"> </w:t>
            </w:r>
            <w:r w:rsidR="005F52AA">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{"citationItems":[{"id":"ITEM-1","itemData":{"DOI":"10.1093/infdis/jiaa206","ISBN":"0022-1899 (Print)\r0022-1899","PMID":"32319519","abstract":"Data concerning the transmission of severe acute respiratory syndrome coronavirus 2 (SARS-CoV-2) in asymptomatic and paucisymptomatic patients are lacking. We report a 3-family cluster of infections involving asymptomatic and paucisymptomatic transmission. Eight of 15 (53%) members from 3 families were confirmed with SARS-CoV-2 infection. Of 8 patients, 3 were asymptomatic and 1 was paucisymptomatic. An asymptomatic mother transmitted the virus to her son, and a paucisymptomatic father transmitted the virus to his 3-month-old daughter. SARS-CoV-2 was detected in the environment of 1 household. The complete genomes of SARS-CoV-2 from the patients were &gt; 99.9% identical and were clustered with other SARS-CoV-2 sequences reported from China and other countries.","author":[{"dropping-particle":"","family":"Jiang","given":"X L","non-dropping-particle":"","parse-names":false,"suffix":""},{"dropping-particle":"","family":"Zhang","given":"X L","non-dropping-particle":"","parse-names":false,"suffix":""},{"dropping-particle":"","family":"Zhao","given":"X N","non-dropping-particle":"","parse-names":false,"suffix":""},{"dropping-particle":"","family":"Li","given":"C B","non-dropping-particle":"","parse-names":false,"suffix":""},{"dropping-particle":"","family":"Lei","given":"J","non-dropping-particle":"","parse-names":false,"suffix":""},{"dropping-particle":"","family":"Kou","given":"Z Q","non-dropping-particle":"","parse-names":false,"suffix":""},{"dropping-particle":"","family":"Sun","given":"W K","non-dropping-particle":"","parse-names":false,"suffix":""},{"dropping-particle":"","family":"Hang","given":"Y","non-dropping-particle":"","parse-names":false,"suffix":""},{"dropping-particle":"","family":"Gao","given":"F","non-dropping-particle":"","parse-names":false,"suffix":""},{"dropping-particle":"","family":"Ji","given":"S X","non-dropping-particle":"","parse-names":false,"suffix":""},{"dropping-particle":"","family":"Lin","given":"C F","non-dropping-particle":"","parse-names":false,"suffix":""},{"dropping-particle":"","family":"Pang","given":"B","non-dropping-particle":"","parse-names":false,"suffix":""},{"dropping-particle":"","family":"Yao","given":"M X","non-dropping-particle":"","parse-names":false,"suffix":""},{"dropping-particle":"","family":"Anderson","given":"B D","non-dropping-particle":"","parse-names":false,"suffix":""},{"dropping-particle":"","family":"Wang","given":"G L","non-dropping-particle":"","parse-names":false,"suffix":""},{"dropping-particle":"","family":"Yao","given":"L","non-dropping-particle":"","parse-names":false,"suffix":""},{"dropping-particle":"","family":"Duan","given":"L J","non-dropping-particle":"","parse-names":false,"suffix":""},{"dropping-particle":"","family":"Kang","given":"D M","non-dropping-particle":"","parse-names":false,"suffix":""},{"dropping-particle":"","family":"Ma","given":"M J","non-dropping-particle":"","parse-names":false,"suffix":""}],"container-title":"J Infect Dis","edition":"2020/04/23","id":"ITEM-1","issue":"12","issued":{"date-parts":[["2020"]]},"language":"eng","note":"1537-6613\nJiang, Xiao-Lin\nZhang, Xiao-Li\nZhao, Xiang-Na\nLi, Cun-Bao\nLei, Jie\nKou, Zeng-Qiang\nSun, Wen-Kui\nHang, Yang\nGao, Feng\nJi, Sheng-Xiang\nLin, Can-Fang\nPang, Bo\nYao, Ming-Xiao\nAnderson, Benjamin D\nWang, Guo-Lin\nYao, Lin\nDuan, Li-Jun\nKang, Dian-Min\nMa, Mai-Juan\nJournal Article\nJ Infect Dis. 2020 Jun 11;221(12):1948-1952. doi: 10.1093/infdis/jiaa206.","page":"1948-1952","title":"Transmission Potential of Asymptomatic and Paucisymptomatic Severe Acute Respiratory Syndrome Coronavirus 2 Infections: A 3-Family Cluster Study in China","type":"article-journal","volume":"221"},"uris":["http://www.mendeley.com/documents/?uuid=244a80d8-6631-4ad5-9831-10a95fedd7d5"]}],"mendeley":{"formattedCitation":"[37]","plainTextFormattedCitation":"[37]","previouslyFormattedCitation":"[39]"},"properties":{"noteIndex":0},"schema":"https://github.com/citation-style-language/schema/raw/master/csl-citation.json"}</w:instrText>
            </w:r>
            <w:r w:rsidR="005F52AA">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[37]</w:t>
            </w:r>
            <w:r w:rsidR="005F52AA">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vAlign w:val="center"/>
            <w:hideMark/>
          </w:tcPr>
          <w:p w14:paraId="457CD633"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Shandong Province</w:t>
            </w:r>
          </w:p>
        </w:tc>
        <w:tc>
          <w:tcPr>
            <w:tcW w:w="850" w:type="dxa"/>
            <w:tcBorders>
              <w:top w:val="single" w:sz="8" w:space="0" w:color="auto"/>
              <w:left w:val="nil"/>
              <w:bottom w:val="single" w:sz="8" w:space="0" w:color="auto"/>
              <w:right w:val="nil"/>
            </w:tcBorders>
            <w:shd w:val="clear" w:color="000000" w:fill="FFFFFF"/>
            <w:vAlign w:val="center"/>
            <w:hideMark/>
          </w:tcPr>
          <w:p w14:paraId="61322A62"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single" w:sz="8" w:space="0" w:color="auto"/>
              <w:right w:val="nil"/>
            </w:tcBorders>
            <w:shd w:val="clear" w:color="000000" w:fill="FFFFFF"/>
            <w:vAlign w:val="center"/>
            <w:hideMark/>
          </w:tcPr>
          <w:p w14:paraId="5C90D2DB"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Surveillance and contact tracing </w:t>
            </w:r>
          </w:p>
        </w:tc>
        <w:tc>
          <w:tcPr>
            <w:tcW w:w="3263" w:type="dxa"/>
            <w:tcBorders>
              <w:top w:val="single" w:sz="8" w:space="0" w:color="auto"/>
              <w:left w:val="nil"/>
              <w:bottom w:val="single" w:sz="8" w:space="0" w:color="auto"/>
              <w:right w:val="nil"/>
            </w:tcBorders>
            <w:shd w:val="clear" w:color="000000" w:fill="FFFFFF"/>
            <w:vAlign w:val="center"/>
            <w:hideMark/>
          </w:tcPr>
          <w:p w14:paraId="3AF612EC"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Contact with confirmed cases within 1m without wearing proper personal protection</w:t>
            </w:r>
          </w:p>
        </w:tc>
        <w:tc>
          <w:tcPr>
            <w:tcW w:w="1276" w:type="dxa"/>
            <w:tcBorders>
              <w:top w:val="single" w:sz="8" w:space="0" w:color="auto"/>
              <w:left w:val="nil"/>
              <w:bottom w:val="single" w:sz="8" w:space="0" w:color="auto"/>
              <w:right w:val="nil"/>
            </w:tcBorders>
            <w:shd w:val="clear" w:color="000000" w:fill="FFFFFF"/>
            <w:noWrap/>
            <w:vAlign w:val="center"/>
            <w:hideMark/>
          </w:tcPr>
          <w:p w14:paraId="0D40A8C7"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noWrap/>
            <w:vAlign w:val="center"/>
            <w:hideMark/>
          </w:tcPr>
          <w:p w14:paraId="049780E3"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4338267C"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7</w:t>
            </w:r>
          </w:p>
        </w:tc>
        <w:tc>
          <w:tcPr>
            <w:tcW w:w="992" w:type="dxa"/>
            <w:tcBorders>
              <w:top w:val="single" w:sz="8" w:space="0" w:color="auto"/>
              <w:left w:val="nil"/>
              <w:bottom w:val="single" w:sz="8" w:space="0" w:color="auto"/>
              <w:right w:val="nil"/>
            </w:tcBorders>
            <w:shd w:val="clear" w:color="000000" w:fill="FFFFFF"/>
            <w:noWrap/>
            <w:vAlign w:val="center"/>
            <w:hideMark/>
          </w:tcPr>
          <w:p w14:paraId="5C29285B"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300</w:t>
            </w:r>
          </w:p>
        </w:tc>
        <w:tc>
          <w:tcPr>
            <w:tcW w:w="992" w:type="dxa"/>
            <w:tcBorders>
              <w:top w:val="single" w:sz="8" w:space="0" w:color="auto"/>
              <w:left w:val="nil"/>
              <w:bottom w:val="single" w:sz="8" w:space="0" w:color="auto"/>
              <w:right w:val="nil"/>
            </w:tcBorders>
            <w:shd w:val="clear" w:color="000000" w:fill="FFFFFF"/>
            <w:noWrap/>
            <w:vAlign w:val="center"/>
            <w:hideMark/>
          </w:tcPr>
          <w:p w14:paraId="31FE0593"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300</w:t>
            </w:r>
          </w:p>
        </w:tc>
        <w:tc>
          <w:tcPr>
            <w:tcW w:w="1134" w:type="dxa"/>
            <w:tcBorders>
              <w:top w:val="single" w:sz="8" w:space="0" w:color="auto"/>
              <w:left w:val="nil"/>
              <w:bottom w:val="single" w:sz="8" w:space="0" w:color="auto"/>
              <w:right w:val="nil"/>
            </w:tcBorders>
            <w:shd w:val="clear" w:color="000000" w:fill="FFFFFF"/>
            <w:noWrap/>
            <w:vAlign w:val="center"/>
            <w:hideMark/>
          </w:tcPr>
          <w:p w14:paraId="79289C0F"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6</w:t>
            </w:r>
          </w:p>
        </w:tc>
      </w:tr>
      <w:tr w:rsidR="000F13C3" w:rsidRPr="00406551" w14:paraId="7AF2CD3E" w14:textId="77777777" w:rsidTr="00251EA8">
        <w:trPr>
          <w:trHeight w:val="1545"/>
        </w:trPr>
        <w:tc>
          <w:tcPr>
            <w:tcW w:w="990" w:type="dxa"/>
            <w:tcBorders>
              <w:top w:val="single" w:sz="8" w:space="0" w:color="auto"/>
              <w:left w:val="nil"/>
              <w:bottom w:val="single" w:sz="8" w:space="0" w:color="auto"/>
              <w:right w:val="nil"/>
            </w:tcBorders>
            <w:shd w:val="clear" w:color="000000" w:fill="FFFFFF"/>
          </w:tcPr>
          <w:p w14:paraId="6C9B14A5" w14:textId="4311AF59" w:rsidR="00406551" w:rsidRPr="00406551" w:rsidRDefault="00A12A22" w:rsidP="00784EAC">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4</w:t>
            </w:r>
            <w:r w:rsidR="00BB4277">
              <w:rPr>
                <w:rFonts w:eastAsia="Times New Roman" w:cstheme="minorHAnsi"/>
                <w:color w:val="000000"/>
                <w:sz w:val="18"/>
                <w:szCs w:val="18"/>
                <w:lang w:eastAsia="en-GB"/>
              </w:rPr>
              <w:t>8</w:t>
            </w:r>
          </w:p>
        </w:tc>
        <w:tc>
          <w:tcPr>
            <w:tcW w:w="1276" w:type="dxa"/>
            <w:tcBorders>
              <w:top w:val="single" w:sz="8" w:space="0" w:color="auto"/>
              <w:left w:val="nil"/>
              <w:bottom w:val="single" w:sz="8" w:space="0" w:color="auto"/>
              <w:right w:val="nil"/>
            </w:tcBorders>
            <w:shd w:val="clear" w:color="000000" w:fill="FFFFFF"/>
            <w:noWrap/>
            <w:hideMark/>
          </w:tcPr>
          <w:p w14:paraId="3337D611" w14:textId="7DF59A04" w:rsidR="00406551" w:rsidRPr="00406551" w:rsidRDefault="00406551" w:rsidP="00A76378">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Kwok et al</w:t>
            </w:r>
            <w:r w:rsidR="00784EAC">
              <w:rPr>
                <w:rFonts w:eastAsia="Times New Roman" w:cstheme="minorHAnsi"/>
                <w:color w:val="000000"/>
                <w:sz w:val="18"/>
                <w:szCs w:val="18"/>
                <w:lang w:eastAsia="en-GB"/>
              </w:rPr>
              <w:t xml:space="preserve"> </w:t>
            </w:r>
            <w:r w:rsidR="00784EAC">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{"citationItems":[{"id":"ITEM-1","itemData":{"DOI":"doi:https://doi.org/10.2807/1560-7917.ES.2020.25.16.2000155","author":[{"dropping-particle":"","family":"Kwok","given":"Kin On","non-dropping-particle":"","parse-names":false,"suffix":""},{"dropping-particle":"","family":"Wong","given":"Valerie Wing Yu","non-dropping-particle":"","parse-names":false,"suffix":""},{"dropping-particle":"","family":"Wei","given":"Wan In","non-dropping-particle":"","parse-names":false,"suffix":""},{"dropping-particle":"","family":"Wong","given":"Samuel Yeung Shan","non-dropping-particle":"","parse-names":false,"suffix":""},{"dropping-particle":"","family":"Tang","given":"Julian Wei-Tze","non-dropping-particle":"","parse-names":false,"suffix":""}],"container-title":"Eurosurveillance","id":"ITEM-1","issue":"16","issued":{"date-parts":[["2020"]]},"page":"2000155","title":"Epidemiological characteristics of the first 53 laboratory-confirmed cases of COVID-19 epidemic in Hong Kong, 13 February 2020","type":"article-journal","volume":"25"},"uris":["http://www.mendeley.com/documents/?uuid=55ece90e-52f5-451a-97ce-f410f81bf7be"]}],"mendeley":{"formattedCitation":"[95]","plainTextFormattedCitation":"[95]","previouslyFormattedCitation":"[97]"},"properties":{"noteIndex":0},"schema":"https://github.com/citation-style-language/schema/raw/master/csl-citation.json"}</w:instrText>
            </w:r>
            <w:r w:rsidR="00784EAC">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[95]</w:t>
            </w:r>
            <w:r w:rsidR="00784EAC">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hideMark/>
          </w:tcPr>
          <w:p w14:paraId="001C2A8A" w14:textId="77777777" w:rsidR="00406551" w:rsidRPr="00406551" w:rsidRDefault="00406551" w:rsidP="00A76378">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Not specified</w:t>
            </w:r>
          </w:p>
        </w:tc>
        <w:tc>
          <w:tcPr>
            <w:tcW w:w="850" w:type="dxa"/>
            <w:tcBorders>
              <w:top w:val="single" w:sz="8" w:space="0" w:color="auto"/>
              <w:left w:val="nil"/>
              <w:bottom w:val="single" w:sz="8" w:space="0" w:color="auto"/>
              <w:right w:val="nil"/>
            </w:tcBorders>
            <w:shd w:val="clear" w:color="auto" w:fill="auto"/>
            <w:noWrap/>
            <w:hideMark/>
          </w:tcPr>
          <w:p w14:paraId="539893DF" w14:textId="77777777" w:rsidR="00406551" w:rsidRPr="00406551" w:rsidRDefault="00406551" w:rsidP="00A76378">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Hong Kong</w:t>
            </w:r>
          </w:p>
        </w:tc>
        <w:tc>
          <w:tcPr>
            <w:tcW w:w="1843" w:type="dxa"/>
            <w:tcBorders>
              <w:top w:val="single" w:sz="8" w:space="0" w:color="auto"/>
              <w:left w:val="nil"/>
              <w:bottom w:val="single" w:sz="8" w:space="0" w:color="auto"/>
              <w:right w:val="nil"/>
            </w:tcBorders>
            <w:shd w:val="clear" w:color="000000" w:fill="FFFFFF"/>
            <w:hideMark/>
          </w:tcPr>
          <w:p w14:paraId="1F6DC482" w14:textId="77777777" w:rsidR="00406551" w:rsidRPr="00406551" w:rsidRDefault="00406551" w:rsidP="00A76378">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8" w:space="0" w:color="auto"/>
              <w:left w:val="nil"/>
              <w:bottom w:val="single" w:sz="8" w:space="0" w:color="auto"/>
              <w:right w:val="nil"/>
            </w:tcBorders>
            <w:shd w:val="clear" w:color="000000" w:fill="FFFFFF"/>
            <w:vAlign w:val="center"/>
            <w:hideMark/>
          </w:tcPr>
          <w:p w14:paraId="51185FB4"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Close contacts referred to anyone who: (</w:t>
            </w:r>
            <w:proofErr w:type="spellStart"/>
            <w:r w:rsidRPr="00406551">
              <w:rPr>
                <w:rFonts w:eastAsia="Times New Roman" w:cstheme="minorHAnsi"/>
                <w:color w:val="000000"/>
                <w:sz w:val="18"/>
                <w:szCs w:val="18"/>
                <w:lang w:eastAsia="en-GB"/>
              </w:rPr>
              <w:t>i</w:t>
            </w:r>
            <w:proofErr w:type="spellEnd"/>
            <w:r w:rsidRPr="00406551">
              <w:rPr>
                <w:rFonts w:eastAsia="Times New Roman" w:cstheme="minorHAnsi"/>
                <w:color w:val="000000"/>
                <w:sz w:val="18"/>
                <w:szCs w:val="18"/>
                <w:lang w:eastAsia="en-GB"/>
              </w:rPr>
              <w:t>) provided care to the case (including family or HCW) or had other close physical contact; or (ii) stayed at the same place (including household members or visitors) while the case was ill</w:t>
            </w:r>
          </w:p>
        </w:tc>
        <w:tc>
          <w:tcPr>
            <w:tcW w:w="1276" w:type="dxa"/>
            <w:tcBorders>
              <w:top w:val="single" w:sz="8" w:space="0" w:color="auto"/>
              <w:left w:val="nil"/>
              <w:bottom w:val="single" w:sz="8" w:space="0" w:color="auto"/>
              <w:right w:val="nil"/>
            </w:tcBorders>
            <w:shd w:val="clear" w:color="000000" w:fill="FFFFFF"/>
            <w:noWrap/>
            <w:vAlign w:val="center"/>
            <w:hideMark/>
          </w:tcPr>
          <w:p w14:paraId="2F1C6A3D"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unclear</w:t>
            </w:r>
          </w:p>
        </w:tc>
        <w:tc>
          <w:tcPr>
            <w:tcW w:w="992" w:type="dxa"/>
            <w:tcBorders>
              <w:top w:val="single" w:sz="8" w:space="0" w:color="auto"/>
              <w:left w:val="nil"/>
              <w:bottom w:val="single" w:sz="8" w:space="0" w:color="auto"/>
              <w:right w:val="nil"/>
            </w:tcBorders>
            <w:shd w:val="clear" w:color="000000" w:fill="FFFFFF"/>
            <w:noWrap/>
            <w:vAlign w:val="center"/>
            <w:hideMark/>
          </w:tcPr>
          <w:p w14:paraId="70246493"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3F334101"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27</w:t>
            </w:r>
          </w:p>
        </w:tc>
        <w:tc>
          <w:tcPr>
            <w:tcW w:w="992" w:type="dxa"/>
            <w:tcBorders>
              <w:top w:val="single" w:sz="8" w:space="0" w:color="auto"/>
              <w:left w:val="nil"/>
              <w:bottom w:val="single" w:sz="8" w:space="0" w:color="auto"/>
              <w:right w:val="nil"/>
            </w:tcBorders>
            <w:shd w:val="clear" w:color="000000" w:fill="FFFFFF"/>
            <w:noWrap/>
            <w:vAlign w:val="center"/>
            <w:hideMark/>
          </w:tcPr>
          <w:p w14:paraId="2C51A8E5"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206</w:t>
            </w:r>
          </w:p>
        </w:tc>
        <w:tc>
          <w:tcPr>
            <w:tcW w:w="992" w:type="dxa"/>
            <w:tcBorders>
              <w:top w:val="single" w:sz="8" w:space="0" w:color="auto"/>
              <w:left w:val="nil"/>
              <w:bottom w:val="single" w:sz="8" w:space="0" w:color="auto"/>
              <w:right w:val="nil"/>
            </w:tcBorders>
            <w:shd w:val="clear" w:color="000000" w:fill="FFFFFF"/>
            <w:vAlign w:val="center"/>
            <w:hideMark/>
          </w:tcPr>
          <w:p w14:paraId="53C91163"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Not specified</w:t>
            </w:r>
          </w:p>
        </w:tc>
        <w:tc>
          <w:tcPr>
            <w:tcW w:w="1134" w:type="dxa"/>
            <w:tcBorders>
              <w:top w:val="single" w:sz="8" w:space="0" w:color="auto"/>
              <w:left w:val="nil"/>
              <w:bottom w:val="single" w:sz="8" w:space="0" w:color="auto"/>
              <w:right w:val="nil"/>
            </w:tcBorders>
            <w:shd w:val="clear" w:color="000000" w:fill="FFFFFF"/>
            <w:noWrap/>
            <w:vAlign w:val="center"/>
            <w:hideMark/>
          </w:tcPr>
          <w:p w14:paraId="63ACE5A5"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24</w:t>
            </w:r>
          </w:p>
        </w:tc>
      </w:tr>
      <w:tr w:rsidR="000F13C3" w:rsidRPr="00406551" w14:paraId="52D06DC7" w14:textId="77777777" w:rsidTr="00C25AC0">
        <w:trPr>
          <w:trHeight w:val="692"/>
        </w:trPr>
        <w:tc>
          <w:tcPr>
            <w:tcW w:w="990" w:type="dxa"/>
            <w:tcBorders>
              <w:top w:val="single" w:sz="8" w:space="0" w:color="auto"/>
              <w:left w:val="nil"/>
              <w:bottom w:val="single" w:sz="8" w:space="0" w:color="auto"/>
              <w:right w:val="nil"/>
            </w:tcBorders>
            <w:shd w:val="clear" w:color="000000" w:fill="FFFFFF"/>
            <w:vAlign w:val="center"/>
          </w:tcPr>
          <w:p w14:paraId="75E60945" w14:textId="73ABB957" w:rsidR="00406551" w:rsidRPr="00406551" w:rsidRDefault="00BB4277" w:rsidP="00406551">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5</w:t>
            </w:r>
            <w:r w:rsidR="00AA5DCE">
              <w:rPr>
                <w:rFonts w:eastAsia="Times New Roman" w:cstheme="minorHAnsi"/>
                <w:color w:val="000000"/>
                <w:sz w:val="18"/>
                <w:szCs w:val="18"/>
                <w:lang w:eastAsia="en-GB"/>
              </w:rPr>
              <w:t>2</w:t>
            </w:r>
            <w:r>
              <w:rPr>
                <w:rFonts w:eastAsia="Times New Roman" w:cstheme="minorHAnsi"/>
                <w:color w:val="000000"/>
                <w:sz w:val="18"/>
                <w:szCs w:val="18"/>
                <w:lang w:eastAsia="en-GB"/>
              </w:rPr>
              <w:t>3</w:t>
            </w:r>
          </w:p>
        </w:tc>
        <w:tc>
          <w:tcPr>
            <w:tcW w:w="1276" w:type="dxa"/>
            <w:tcBorders>
              <w:top w:val="single" w:sz="8" w:space="0" w:color="auto"/>
              <w:left w:val="nil"/>
              <w:bottom w:val="single" w:sz="8" w:space="0" w:color="auto"/>
              <w:right w:val="nil"/>
            </w:tcBorders>
            <w:shd w:val="clear" w:color="000000" w:fill="FFFFFF"/>
            <w:vAlign w:val="center"/>
            <w:hideMark/>
          </w:tcPr>
          <w:p w14:paraId="4FB8CFB7" w14:textId="734B4014"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Liu et al </w:t>
            </w:r>
            <w:r w:rsidR="001B62CD">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{"citationItems":[{"id":"ITEM-1","itemData":{"DOI":"https://doi.org/10.1016/j.ijid.2020.06.036","ISBN":"1201-9712","abstract":"ABSTRACT Few studies aimed on the transmission efficiency of asymptomatic carriers of severe acute respiratory syndrome coronavirus 2 (SARS-CoV-2) infection. A follow-up study was performed on 147 asymptomatic carriers in Anhui Province. Of 147 asymptomatic carriers, 50.0% were male, 50.3% cases were older than 40 years, and 43.8% were farmers, 68.7% cases were from north of Anhui Province. There were 16 asymptomatic carriers developed illness in the following 14 days isolated observation, and diagnosed as confirmed cases. The possible latent infection period was evaluated ranged from one to five days before onset, and the median time was two days. The second attack rate of 16 confirmed cases whom transferred from asymptomatic carriers was 9.7% (23/236), while 131 asymptomatic carriers caused 2.6% (24/914) close contacts infection, there was a significant difference of second attack rate among two groups (P</w:instrText>
            </w:r>
            <w:r w:rsidR="001B3AB4">
              <w:rPr>
                <w:rFonts w:ascii="MS Gothic" w:eastAsia="MS Gothic" w:hAnsi="MS Gothic" w:cs="MS Gothic" w:hint="eastAsia"/>
                <w:color w:val="000000"/>
                <w:sz w:val="18"/>
                <w:szCs w:val="18"/>
                <w:lang w:eastAsia="en-GB"/>
              </w:rPr>
              <w:instrText>＜</w:instrText>
            </w:r>
            <w:r w:rsidR="001B3AB4">
              <w:rPr>
                <w:rFonts w:eastAsia="Times New Roman" w:cstheme="minorHAnsi"/>
                <w:color w:val="000000"/>
                <w:sz w:val="18"/>
                <w:szCs w:val="18"/>
                <w:lang w:eastAsia="en-GB"/>
              </w:rPr>
              <w:instrText>0.001). Our study indicated that COVID-19 cases are contagious during the incubation period, and the close contact screening should be covered the incubation period. Furthermore, the transmission efficiency of asymptomatic carriers was lower than that of confirmed cases.","author":[{"dropping-particle":"","family":"Liu","given":"Zhirong","non-dropping-particle":"","parse-names":false,"suffix":""},{"dropping-particle":"","family":"Chu","given":"Ruilin","non-dropping-particle":"","parse-names":false,"suffix":""},{"dropping-particle":"","family":"Gong","given":"Lei","non-dropping-particle":"","parse-names":false,"suffix":""},{"dropping-particle":"","family":"Su","given":"Bin","non-dropping-particle":"","parse-names":false,"suffix":""},{"dropping-particle":"","family":"Wu","given":"Jiabing","non-dropping-particle":"","parse-names":false,"suffix":""}],"container-title":"International Journal of Infectious Diseases","id":"ITEM-1","issued":{"date-parts":[["2020"]]},"title":"The assessment of transmission efficiency and latent infection period on asymptomatic carriers of SARS-CoV-2 infection","type":"article-journal"},"uris":["http://www.mendeley.com/documents/?uuid=7250614d-71e4-4fb4-8bd1-e440256734a1"]}],"mendeley":{"formattedCitation":"[96]","plainTextFormattedCitation":"[96]","previouslyFormattedCitation":"[98]"},"properties":{"noteIndex":0},"schema":"https://github.com/citation-style-language/schema/raw/master/csl-citation.json"}</w:instrText>
            </w:r>
            <w:r w:rsidR="001B62CD">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[96]</w:t>
            </w:r>
            <w:r w:rsidR="001B62CD">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vAlign w:val="center"/>
            <w:hideMark/>
          </w:tcPr>
          <w:p w14:paraId="000573A1"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Anhui</w:t>
            </w:r>
          </w:p>
        </w:tc>
        <w:tc>
          <w:tcPr>
            <w:tcW w:w="850" w:type="dxa"/>
            <w:tcBorders>
              <w:top w:val="single" w:sz="8" w:space="0" w:color="auto"/>
              <w:left w:val="nil"/>
              <w:bottom w:val="single" w:sz="8" w:space="0" w:color="auto"/>
              <w:right w:val="nil"/>
            </w:tcBorders>
            <w:shd w:val="clear" w:color="000000" w:fill="FFFFFF"/>
            <w:vAlign w:val="center"/>
            <w:hideMark/>
          </w:tcPr>
          <w:p w14:paraId="6C319A4A"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single" w:sz="8" w:space="0" w:color="auto"/>
              <w:right w:val="nil"/>
            </w:tcBorders>
            <w:shd w:val="clear" w:color="000000" w:fill="FFFFFF"/>
            <w:vAlign w:val="center"/>
            <w:hideMark/>
          </w:tcPr>
          <w:p w14:paraId="45F8E891"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Contact investigation of asymptomatic cases</w:t>
            </w:r>
          </w:p>
        </w:tc>
        <w:tc>
          <w:tcPr>
            <w:tcW w:w="3263" w:type="dxa"/>
            <w:tcBorders>
              <w:top w:val="single" w:sz="8" w:space="0" w:color="auto"/>
              <w:left w:val="nil"/>
              <w:bottom w:val="single" w:sz="8" w:space="0" w:color="auto"/>
              <w:right w:val="nil"/>
            </w:tcBorders>
            <w:shd w:val="clear" w:color="000000" w:fill="FFFFFF"/>
            <w:vAlign w:val="center"/>
            <w:hideMark/>
          </w:tcPr>
          <w:p w14:paraId="78FEE8A6"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Close contacts of asymptomatic confirmed cases </w:t>
            </w:r>
          </w:p>
        </w:tc>
        <w:tc>
          <w:tcPr>
            <w:tcW w:w="1276" w:type="dxa"/>
            <w:tcBorders>
              <w:top w:val="single" w:sz="8" w:space="0" w:color="auto"/>
              <w:left w:val="nil"/>
              <w:bottom w:val="single" w:sz="8" w:space="0" w:color="auto"/>
              <w:right w:val="nil"/>
            </w:tcBorders>
            <w:shd w:val="clear" w:color="000000" w:fill="FFFFFF"/>
            <w:noWrap/>
            <w:vAlign w:val="center"/>
            <w:hideMark/>
          </w:tcPr>
          <w:p w14:paraId="663030AC"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noWrap/>
            <w:vAlign w:val="center"/>
            <w:hideMark/>
          </w:tcPr>
          <w:p w14:paraId="61C826CD"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56856B06"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147</w:t>
            </w:r>
          </w:p>
        </w:tc>
        <w:tc>
          <w:tcPr>
            <w:tcW w:w="992" w:type="dxa"/>
            <w:tcBorders>
              <w:top w:val="single" w:sz="8" w:space="0" w:color="auto"/>
              <w:left w:val="nil"/>
              <w:bottom w:val="single" w:sz="8" w:space="0" w:color="auto"/>
              <w:right w:val="nil"/>
            </w:tcBorders>
            <w:shd w:val="clear" w:color="000000" w:fill="FFFFFF"/>
            <w:noWrap/>
            <w:vAlign w:val="center"/>
            <w:hideMark/>
          </w:tcPr>
          <w:p w14:paraId="5767BC3D"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1,150</w:t>
            </w:r>
          </w:p>
        </w:tc>
        <w:tc>
          <w:tcPr>
            <w:tcW w:w="992" w:type="dxa"/>
            <w:tcBorders>
              <w:top w:val="single" w:sz="8" w:space="0" w:color="auto"/>
              <w:left w:val="nil"/>
              <w:bottom w:val="single" w:sz="8" w:space="0" w:color="auto"/>
              <w:right w:val="nil"/>
            </w:tcBorders>
            <w:shd w:val="clear" w:color="000000" w:fill="FFFFFF"/>
            <w:noWrap/>
            <w:vAlign w:val="center"/>
            <w:hideMark/>
          </w:tcPr>
          <w:p w14:paraId="41AD620D"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1,150</w:t>
            </w:r>
          </w:p>
        </w:tc>
        <w:tc>
          <w:tcPr>
            <w:tcW w:w="1134" w:type="dxa"/>
            <w:tcBorders>
              <w:top w:val="single" w:sz="8" w:space="0" w:color="auto"/>
              <w:left w:val="nil"/>
              <w:bottom w:val="single" w:sz="8" w:space="0" w:color="auto"/>
              <w:right w:val="nil"/>
            </w:tcBorders>
            <w:shd w:val="clear" w:color="000000" w:fill="FFFFFF"/>
            <w:noWrap/>
            <w:vAlign w:val="center"/>
            <w:hideMark/>
          </w:tcPr>
          <w:p w14:paraId="33976A29"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47</w:t>
            </w:r>
          </w:p>
        </w:tc>
      </w:tr>
      <w:tr w:rsidR="000F13C3" w:rsidRPr="00406551" w14:paraId="0D550832" w14:textId="77777777" w:rsidTr="00C25AC0">
        <w:trPr>
          <w:trHeight w:val="1118"/>
        </w:trPr>
        <w:tc>
          <w:tcPr>
            <w:tcW w:w="990" w:type="dxa"/>
            <w:tcBorders>
              <w:top w:val="single" w:sz="8" w:space="0" w:color="auto"/>
              <w:left w:val="nil"/>
              <w:bottom w:val="single" w:sz="8" w:space="0" w:color="auto"/>
              <w:right w:val="nil"/>
            </w:tcBorders>
            <w:shd w:val="clear" w:color="000000" w:fill="FFFFFF"/>
            <w:vAlign w:val="center"/>
          </w:tcPr>
          <w:p w14:paraId="076656FB" w14:textId="77777777" w:rsidR="00406551" w:rsidRPr="00406551" w:rsidRDefault="00406551" w:rsidP="00406551">
            <w:pPr>
              <w:spacing w:after="0" w:line="240" w:lineRule="auto"/>
              <w:jc w:val="center"/>
              <w:rPr>
                <w:rFonts w:eastAsia="Times New Roman" w:cstheme="minorHAnsi"/>
                <w:color w:val="000000"/>
                <w:sz w:val="18"/>
                <w:szCs w:val="18"/>
                <w:lang w:eastAsia="en-GB"/>
              </w:rPr>
            </w:pPr>
          </w:p>
        </w:tc>
        <w:tc>
          <w:tcPr>
            <w:tcW w:w="1276" w:type="dxa"/>
            <w:tcBorders>
              <w:top w:val="single" w:sz="8" w:space="0" w:color="auto"/>
              <w:left w:val="nil"/>
              <w:bottom w:val="single" w:sz="8" w:space="0" w:color="auto"/>
              <w:right w:val="nil"/>
            </w:tcBorders>
            <w:shd w:val="clear" w:color="000000" w:fill="FFFFFF"/>
            <w:vAlign w:val="center"/>
            <w:hideMark/>
          </w:tcPr>
          <w:p w14:paraId="21103EB1" w14:textId="1950E83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Liu et al </w:t>
            </w:r>
            <w:r w:rsidR="00C25AC0">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{"citationItems":[{"id":"ITEM-1","itemData":{"DOI":"10.3389/fcimb.2020.00284","ISBN":"2235-2988","PMID":"32574282","abstract":"To investigate the early epidemic of COVID-19, a total of 176 confirmed COVID-19 cases in Shiyan city, Hubei province, China were surveyed. Our data indicated that the rate of emergence of early confirmed COVID-19 cases in Hubei province outside Wuhan was dependent on migration population, and the second-generation of patients were family clusters originating from Wuhan travelers. Epidemiological investigation indicated that the reproductive number (R(0)) under containment strategies was 1.81, and asymptomatic SARS-CoV-2 carriers were contagious with a transmission rate of 10.7%. Among the 176 patients, 53 were admitted to the Renmin Hospital of Hubei University of Medicine. The clinical characteristics of these 53 patients were collected and compared based on a positive RT-PCR test and presence of pneumonia. Clinical data showed that 47.2% (25/53) of COVID-19 patients were co-infected with Mycoplasma pneumoniae, and COVID-19 patients coinfected with M. pneumoniae had a higher percentage of monocytes (P &lt; 0.0044) and a lower neutrophils percentage (P &lt; 0.0264). Therefore, it is important to assess the transmissibility of infected asymptomatic individuals for SARS-CoV-2 transmission; moreover, clinicians should be alert to the high incidence of co-infection with M. pneumoniae in COVID-19 patients.","author":[{"dropping-particle":"","family":"Liu","given":"Long","non-dropping-particle":"","parse-names":false,"suffix":""},{"dropping-particle":"","family":"Lei","given":"Xu","non-dropping-particle":"","parse-names":false,"suffix":""},{"dropping-particle":"","family":"Xiao","given":"Xiao","non-dropping-particle":"","parse-names":false,"suffix":""},{"dropping-particle":"","family":"Yang","given":"Jing","non-dropping-particle":"","parse-names":false,"suffix":""},{"dropping-particle":"","family":"Li","given":"Jian","non-dropping-particle":"","parse-names":false,"suffix":""},{"dropping-particle":"","family":"Ji","given":"Manshan","non-dropping-particle":"","parse-names":false,"suffix":""},{"dropping-particle":"","family":"Du","given":"Weixing","non-dropping-particle":"","parse-names":false,"suffix":""},{"dropping-particle":"","family":"Tan","given":"Huabing","non-dropping-particle":"","parse-names":false,"suffix":""},{"dropping-particle":"","family":"Zhu","given":"Jianyong","non-dropping-particle":"","parse-names":false,"suffix":""},{"dropping-particle":"","family":"Li","given":"Bei","non-dropping-particle":"","parse-names":false,"suffix":""},{"dropping-particle":"","family":"Jin","given":"Zhixiong","non-dropping-particle":"","parse-names":false,"suffix":""},{"dropping-particle":"","family":"Liu","given":"Weiyong","non-dropping-particle":"","parse-names":false,"suffix":""},{"dropping-particle":"","family":"Wu","given":"Jianguo","non-dropping-particle":"","parse-names":false,"suffix":""},{"dropping-particle":"","family":"Liu","given":"Zhixin","non-dropping-particle":"","parse-names":false,"suffix":""}],"container-title":"Frontiers in cellular and infection microbiology","id":"ITEM-1","issued":{"date-parts":[["2020"]]},"language":"eng","note":"32574282[pmid]\nPMC7256435[pmcid]","page":"284","publisher":"Frontiers Media S.A.","title":"Epidemiological and Clinical Characteristics of Patients With Coronavirus Disease-2019 in Shiyan City, China","type":"article-journal","volume":"10"},"uris":["http://www.mendeley.com/documents/?uuid=67aace87-d5e9-4ba6-8210-0a8df9a09f7f"]}],"mendeley":{"formattedCitation":"[97]","plainTextFormattedCitation":"[97]","previouslyFormattedCitation":"[99]"},"properties":{"noteIndex":0},"schema":"https://github.com/citation-style-language/schema/raw/master/csl-citation.json"}</w:instrText>
            </w:r>
            <w:r w:rsidR="00C25AC0">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[97]</w:t>
            </w:r>
            <w:r w:rsidR="00C25AC0">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vAlign w:val="center"/>
            <w:hideMark/>
          </w:tcPr>
          <w:p w14:paraId="0741C626" w14:textId="77777777" w:rsidR="00406551" w:rsidRPr="00406551" w:rsidRDefault="00406551" w:rsidP="001A65C6">
            <w:pPr>
              <w:spacing w:after="0" w:line="240" w:lineRule="auto"/>
              <w:rPr>
                <w:rFonts w:eastAsia="Times New Roman" w:cstheme="minorHAnsi"/>
                <w:color w:val="000000"/>
                <w:sz w:val="18"/>
                <w:szCs w:val="18"/>
                <w:lang w:eastAsia="en-GB"/>
              </w:rPr>
            </w:pPr>
            <w:proofErr w:type="spellStart"/>
            <w:r w:rsidRPr="00406551">
              <w:rPr>
                <w:rFonts w:eastAsia="Times New Roman" w:cstheme="minorHAnsi"/>
                <w:color w:val="000000"/>
                <w:sz w:val="18"/>
                <w:szCs w:val="18"/>
                <w:lang w:eastAsia="en-GB"/>
              </w:rPr>
              <w:t>Shiyan</w:t>
            </w:r>
            <w:proofErr w:type="spellEnd"/>
            <w:r w:rsidRPr="00406551">
              <w:rPr>
                <w:rFonts w:eastAsia="Times New Roman" w:cstheme="minorHAnsi"/>
                <w:color w:val="000000"/>
                <w:sz w:val="18"/>
                <w:szCs w:val="18"/>
                <w:lang w:eastAsia="en-GB"/>
              </w:rPr>
              <w:t xml:space="preserve"> City</w:t>
            </w:r>
          </w:p>
        </w:tc>
        <w:tc>
          <w:tcPr>
            <w:tcW w:w="850" w:type="dxa"/>
            <w:tcBorders>
              <w:top w:val="single" w:sz="8" w:space="0" w:color="auto"/>
              <w:left w:val="nil"/>
              <w:bottom w:val="single" w:sz="8" w:space="0" w:color="auto"/>
              <w:right w:val="nil"/>
            </w:tcBorders>
            <w:shd w:val="clear" w:color="000000" w:fill="FFFFFF"/>
            <w:vAlign w:val="center"/>
            <w:hideMark/>
          </w:tcPr>
          <w:p w14:paraId="015B5BFA"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China </w:t>
            </w:r>
          </w:p>
        </w:tc>
        <w:tc>
          <w:tcPr>
            <w:tcW w:w="1843" w:type="dxa"/>
            <w:tcBorders>
              <w:top w:val="single" w:sz="8" w:space="0" w:color="auto"/>
              <w:left w:val="nil"/>
              <w:bottom w:val="single" w:sz="8" w:space="0" w:color="auto"/>
              <w:right w:val="nil"/>
            </w:tcBorders>
            <w:shd w:val="clear" w:color="000000" w:fill="FFFFFF"/>
            <w:vAlign w:val="center"/>
            <w:hideMark/>
          </w:tcPr>
          <w:p w14:paraId="28E433D4"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8" w:space="0" w:color="auto"/>
              <w:left w:val="nil"/>
              <w:bottom w:val="single" w:sz="8" w:space="0" w:color="auto"/>
              <w:right w:val="nil"/>
            </w:tcBorders>
            <w:shd w:val="clear" w:color="000000" w:fill="FFFFFF"/>
            <w:vAlign w:val="center"/>
            <w:hideMark/>
          </w:tcPr>
          <w:p w14:paraId="55A513B9"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Family members living in the same room, medical workers without secondary protection, and sharing personal meals or communication in confined spaces within 14 days before onset</w:t>
            </w:r>
          </w:p>
        </w:tc>
        <w:tc>
          <w:tcPr>
            <w:tcW w:w="1276" w:type="dxa"/>
            <w:tcBorders>
              <w:top w:val="single" w:sz="8" w:space="0" w:color="auto"/>
              <w:left w:val="nil"/>
              <w:bottom w:val="single" w:sz="8" w:space="0" w:color="auto"/>
              <w:right w:val="nil"/>
            </w:tcBorders>
            <w:shd w:val="clear" w:color="000000" w:fill="FFFFFF"/>
            <w:noWrap/>
            <w:vAlign w:val="center"/>
            <w:hideMark/>
          </w:tcPr>
          <w:p w14:paraId="38F27F08"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noWrap/>
            <w:vAlign w:val="center"/>
            <w:hideMark/>
          </w:tcPr>
          <w:p w14:paraId="4A001765"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008E4E18"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176</w:t>
            </w:r>
          </w:p>
        </w:tc>
        <w:tc>
          <w:tcPr>
            <w:tcW w:w="992" w:type="dxa"/>
            <w:tcBorders>
              <w:top w:val="single" w:sz="8" w:space="0" w:color="auto"/>
              <w:left w:val="nil"/>
              <w:bottom w:val="single" w:sz="8" w:space="0" w:color="auto"/>
              <w:right w:val="nil"/>
            </w:tcBorders>
            <w:shd w:val="clear" w:color="000000" w:fill="FFFFFF"/>
            <w:noWrap/>
            <w:vAlign w:val="center"/>
            <w:hideMark/>
          </w:tcPr>
          <w:p w14:paraId="6E569E5F"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689</w:t>
            </w:r>
          </w:p>
        </w:tc>
        <w:tc>
          <w:tcPr>
            <w:tcW w:w="992" w:type="dxa"/>
            <w:tcBorders>
              <w:top w:val="single" w:sz="8" w:space="0" w:color="auto"/>
              <w:left w:val="nil"/>
              <w:bottom w:val="single" w:sz="8" w:space="0" w:color="auto"/>
              <w:right w:val="nil"/>
            </w:tcBorders>
            <w:shd w:val="clear" w:color="000000" w:fill="FFFFFF"/>
            <w:noWrap/>
            <w:vAlign w:val="center"/>
            <w:hideMark/>
          </w:tcPr>
          <w:p w14:paraId="0C069070"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689</w:t>
            </w:r>
          </w:p>
        </w:tc>
        <w:tc>
          <w:tcPr>
            <w:tcW w:w="1134" w:type="dxa"/>
            <w:tcBorders>
              <w:top w:val="single" w:sz="8" w:space="0" w:color="auto"/>
              <w:left w:val="nil"/>
              <w:bottom w:val="single" w:sz="8" w:space="0" w:color="auto"/>
              <w:right w:val="nil"/>
            </w:tcBorders>
            <w:shd w:val="clear" w:color="000000" w:fill="FFFFFF"/>
            <w:noWrap/>
            <w:vAlign w:val="center"/>
            <w:hideMark/>
          </w:tcPr>
          <w:p w14:paraId="72DFC352"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85</w:t>
            </w:r>
          </w:p>
        </w:tc>
      </w:tr>
      <w:tr w:rsidR="000F13C3" w:rsidRPr="00406551" w14:paraId="5EBDD17B" w14:textId="77777777" w:rsidTr="00406551">
        <w:trPr>
          <w:trHeight w:val="540"/>
        </w:trPr>
        <w:tc>
          <w:tcPr>
            <w:tcW w:w="990" w:type="dxa"/>
            <w:tcBorders>
              <w:top w:val="single" w:sz="8" w:space="0" w:color="auto"/>
              <w:left w:val="nil"/>
              <w:bottom w:val="single" w:sz="8" w:space="0" w:color="auto"/>
              <w:right w:val="nil"/>
            </w:tcBorders>
            <w:shd w:val="clear" w:color="000000" w:fill="FFFFFF"/>
            <w:vAlign w:val="center"/>
          </w:tcPr>
          <w:p w14:paraId="22E256EE" w14:textId="71F1E1C0" w:rsidR="00406551" w:rsidRPr="00406551" w:rsidRDefault="00BB4277" w:rsidP="00406551">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30</w:t>
            </w:r>
          </w:p>
        </w:tc>
        <w:tc>
          <w:tcPr>
            <w:tcW w:w="1276" w:type="dxa"/>
            <w:tcBorders>
              <w:top w:val="single" w:sz="8" w:space="0" w:color="auto"/>
              <w:left w:val="nil"/>
              <w:bottom w:val="single" w:sz="8" w:space="0" w:color="auto"/>
              <w:right w:val="nil"/>
            </w:tcBorders>
            <w:shd w:val="clear" w:color="000000" w:fill="FFFFFF"/>
            <w:noWrap/>
            <w:vAlign w:val="center"/>
            <w:hideMark/>
          </w:tcPr>
          <w:p w14:paraId="12280CC1" w14:textId="19DE56DE"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Luo et al </w:t>
            </w:r>
            <w:r w:rsidR="00D316DB">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{"citationItems":[{"id":"ITEM-1","itemData":{"DOI":"10.1101/2020.03.24.20042606","abstract":"Background Rapid spread of SARS-CoV-2 in Wuhan prompted heightened surveillance in Guangzhou and elsewhere in China. Modes of contact and risk of transmission among close contacts have not been well estimated. Methods We included 4950 closes contacts from Guangzhou, and extracted data including modes of contact, laboratory testing, clinical characteristics of confirmed cases and source cases. We used logistic regression analysis to explore the risk factors associated with infection of close contacts. Results Among 4950 closes contacts, the median age was 38.0 years, and males accounted for 50.2% (2484). During quarantine period, 129 cases (2.6%) were diagnosed, with 8 asymptomatic (6.2%), 49 mild (38.0%), and 5 (3.9%) severe to critical cases. The sensitivity of throat swab was 71.32% and 92.19% at first to second PCR test. Among different modes of contact, household contacts were the most dangerous in catching with infection of COVID-19, with an incidence of 10.2%. As the increase of age for close contacts and severity of source cases, the incidence of COVID-19 presented an increasing trend from 1.8% (0-17 years) to 4.2% (60 or over years), and from 0.33% for asymptomatic, 3.3% for mild, to 6.2% for severe and critical source cases, respectively. Manifestation of expectoration in source cases was also highly associated with an increased risk of infection in their close contacts (13.6%). Secondary cases were in general clinically milder and were less likely to have common symptoms than those of source cases. Conclusions In conclusion, the proportion of asymptomatic and mild infections account for almost half of the confirmed cases among close contacts. The household contacts were the main transmission mode, and clinically more severe cases were more likely to pass the infection to their close contacts. Generally, the secondary cases were clinically milder than those of source cases.Competing Interest StatementThe authors have declared no competing interest.Funding StatementSupported by the Project Supported by Guangdong Province Higher Vocational Colleges &amp;amp; Schools Pearl River Scholar Funded Scheme (2019), the Construction of High-level University of Guangdong (G619339521 and G618339167), and the Zhejiang University special scientific research fund for COVID-19 prevention and control (K920330111). Author DeclarationsAll relevant ethical guidelines have been followed; any necessary IRB and/or ethics committee approvals have been obtained and details …","author":[{"dropping-particle":"","family":"Luo","given":"Lei","non-dropping-particle":"","parse-names":false,"suffix":""},{"dropping-particle":"","family":"Liu","given":"Dan","non-dropping-particle":"","parse-names":false,"suffix":""},{"dropping-particle":"","family":"Liao","given":"Xin-long","non-dropping-particle":"","parse-names":false,"suffix":""},{"dropping-particle":"","family":"Wu","given":"Xian-bo","non-dropping-particle":"","parse-names":false,"suffix":""},{"dropping-particle":"","family":"Jing","given":"Qin-long","non-dropping-particle":"","parse-names":false,"suffix":""},{"dropping-particle":"","family":"Zheng","given":"Jia-zhen","non-dropping-particle":"","parse-names":false,"suffix":""},{"dropping-particle":"","family":"Liu","given":"Fang-hua","non-dropping-particle":"","parse-names":false,"suffix":""},{"dropping-particle":"","family":"Yang","given":"Shi-gui","non-dropping-particle":"","parse-names":false,"suffix":""},{"dropping-particle":"","family":"Bi","given":"Bi","non-dropping-particle":"","parse-names":false,"suffix":""},{"dropping-particle":"","family":"Li","given":"Zhi-hao","non-dropping-particle":"","parse-names":false,"suffix":""},{"dropping-particle":"","family":"Liu","given":"Jian-ping","non-dropping-particle":"","parse-names":false,"suffix":""},{"dropping-particle":"","family":"Song","given":"Wei-qi","non-dropping-particle":"","parse-names":false,"suffix":""},{"dropping-particle":"","family":"Zhu","given":"Wei","non-dropping-particle":"","parse-names":false,"suffix":""},{"dropping-particle":"","family":"Wang","given":"Zheng-he","non-dropping-particle":"","parse-names":false,"suffix":""},{"dropping-particle":"","family":"Zhang","given":"Xi-ru","non-dropping-particle":"","parse-names":false,"suffix":""},{"dropping-particle":"","family":"Chen","given":"Pei-liang","non-dropping-particle":"","parse-names":false,"suffix":""},{"dropping-particle":"","family":"Liu","given":"Hua-min","non-dropping-particle":"","parse-names":false,"suffix":""},{"dropping-particle":"","family":"Cheng","given":"Xin","non-dropping-particle":"","parse-names":false,"suffix":""},{"dropping-particle":"","family":"Cai","given":"Miao-chun","non-dropping-particle":"","parse-names":false,"suffix":""},{"dropping-particle":"","family":"Huang","given":"Qing-mei","non-dropping-particle":"","parse-names":false,"suffix":""},{"dropping-particle":"","family":"Yang","given":"Pei","non-dropping-particle":"","parse-names":false,"suffix":""},{"dropping-particle":"","family":"Yang","given":"Xin-fen","non-dropping-particle":"","parse-names":false,"suffix":""},{"dropping-particle":"","family":"Huang","given":"Zhi-gang","non-dropping-particle":"","parse-names":false,"suffix":""},{"dropping-particle":"","family":"Tang","given":"Jin-ling","non-dropping-particle":"","parse-names":false,"suffix":""},{"dropping-particle":"","family":"Ma","given":"Yu","non-dropping-particle":"","parse-names":false,"suffix":""},{"dropping-particle":"","family":"Mao","given":"Chen","non-dropping-particle":"","parse-names":false,"suffix":""}],"container-title":"medRxiv","id":"ITEM-1","issued":{"date-parts":[["2020"]]},"page":"2020.03.24.20042606","title":"Modes of contact and risk of transmission in COVID-19 among close contacts","type":"article-journal"},"uris":["http://www.mendeley.com/documents/?uuid=49eec9d5-e019-473d-9f47-a00aa14a65ec"]}],"mendeley":{"formattedCitation":"[43]","plainTextFormattedCitation":"[43]","previouslyFormattedCitation":"[45]"},"properties":{"noteIndex":0},"schema":"https://github.com/citation-style-language/schema/raw/master/csl-citation.json"}</w:instrText>
            </w:r>
            <w:r w:rsidR="00D316DB">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[43]</w:t>
            </w:r>
            <w:r w:rsidR="00D316DB">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noWrap/>
            <w:vAlign w:val="center"/>
            <w:hideMark/>
          </w:tcPr>
          <w:p w14:paraId="257E107F"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Guangzhou</w:t>
            </w:r>
          </w:p>
        </w:tc>
        <w:tc>
          <w:tcPr>
            <w:tcW w:w="850" w:type="dxa"/>
            <w:tcBorders>
              <w:top w:val="single" w:sz="8" w:space="0" w:color="auto"/>
              <w:left w:val="nil"/>
              <w:bottom w:val="single" w:sz="8" w:space="0" w:color="auto"/>
              <w:right w:val="nil"/>
            </w:tcBorders>
            <w:shd w:val="clear" w:color="000000" w:fill="FFFFFF"/>
            <w:noWrap/>
            <w:vAlign w:val="center"/>
            <w:hideMark/>
          </w:tcPr>
          <w:p w14:paraId="704B9D71"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single" w:sz="8" w:space="0" w:color="auto"/>
              <w:right w:val="nil"/>
            </w:tcBorders>
            <w:shd w:val="clear" w:color="000000" w:fill="FFFFFF"/>
            <w:vAlign w:val="center"/>
            <w:hideMark/>
          </w:tcPr>
          <w:p w14:paraId="1FE3F8EE"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8" w:space="0" w:color="auto"/>
              <w:left w:val="nil"/>
              <w:bottom w:val="single" w:sz="8" w:space="0" w:color="auto"/>
              <w:right w:val="nil"/>
            </w:tcBorders>
            <w:shd w:val="clear" w:color="000000" w:fill="FFFFFF"/>
            <w:vAlign w:val="center"/>
            <w:hideMark/>
          </w:tcPr>
          <w:p w14:paraId="07D18620"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Multiple modes of contact with an index case</w:t>
            </w:r>
          </w:p>
        </w:tc>
        <w:tc>
          <w:tcPr>
            <w:tcW w:w="1276" w:type="dxa"/>
            <w:tcBorders>
              <w:top w:val="single" w:sz="8" w:space="0" w:color="auto"/>
              <w:left w:val="nil"/>
              <w:bottom w:val="single" w:sz="8" w:space="0" w:color="auto"/>
              <w:right w:val="nil"/>
            </w:tcBorders>
            <w:shd w:val="clear" w:color="000000" w:fill="FFFFFF"/>
            <w:noWrap/>
            <w:vAlign w:val="center"/>
            <w:hideMark/>
          </w:tcPr>
          <w:p w14:paraId="0C132DEE"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noWrap/>
            <w:vAlign w:val="center"/>
            <w:hideMark/>
          </w:tcPr>
          <w:p w14:paraId="56D5AEB2"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5E9BB515"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347</w:t>
            </w:r>
          </w:p>
        </w:tc>
        <w:tc>
          <w:tcPr>
            <w:tcW w:w="992" w:type="dxa"/>
            <w:tcBorders>
              <w:top w:val="single" w:sz="8" w:space="0" w:color="auto"/>
              <w:left w:val="nil"/>
              <w:bottom w:val="single" w:sz="8" w:space="0" w:color="auto"/>
              <w:right w:val="nil"/>
            </w:tcBorders>
            <w:shd w:val="clear" w:color="000000" w:fill="FFFFFF"/>
            <w:noWrap/>
            <w:vAlign w:val="center"/>
            <w:hideMark/>
          </w:tcPr>
          <w:p w14:paraId="167EDF57"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92</w:t>
            </w:r>
          </w:p>
        </w:tc>
        <w:tc>
          <w:tcPr>
            <w:tcW w:w="992" w:type="dxa"/>
            <w:tcBorders>
              <w:top w:val="single" w:sz="8" w:space="0" w:color="auto"/>
              <w:left w:val="nil"/>
              <w:bottom w:val="single" w:sz="8" w:space="0" w:color="auto"/>
              <w:right w:val="nil"/>
            </w:tcBorders>
            <w:shd w:val="clear" w:color="000000" w:fill="FFFFFF"/>
            <w:noWrap/>
            <w:vAlign w:val="center"/>
            <w:hideMark/>
          </w:tcPr>
          <w:p w14:paraId="1C4AD7FC"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92</w:t>
            </w:r>
          </w:p>
        </w:tc>
        <w:tc>
          <w:tcPr>
            <w:tcW w:w="1134" w:type="dxa"/>
            <w:tcBorders>
              <w:top w:val="single" w:sz="8" w:space="0" w:color="auto"/>
              <w:left w:val="nil"/>
              <w:bottom w:val="single" w:sz="8" w:space="0" w:color="auto"/>
              <w:right w:val="nil"/>
            </w:tcBorders>
            <w:shd w:val="clear" w:color="000000" w:fill="FFFFFF"/>
            <w:noWrap/>
            <w:vAlign w:val="center"/>
            <w:hideMark/>
          </w:tcPr>
          <w:p w14:paraId="7E4CAE0B"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12</w:t>
            </w:r>
          </w:p>
        </w:tc>
      </w:tr>
      <w:tr w:rsidR="000F13C3" w:rsidRPr="00406551" w14:paraId="3ABE1D12" w14:textId="77777777" w:rsidTr="00406551">
        <w:trPr>
          <w:trHeight w:val="818"/>
        </w:trPr>
        <w:tc>
          <w:tcPr>
            <w:tcW w:w="990" w:type="dxa"/>
            <w:tcBorders>
              <w:top w:val="single" w:sz="8" w:space="0" w:color="auto"/>
              <w:left w:val="nil"/>
              <w:bottom w:val="single" w:sz="8" w:space="0" w:color="auto"/>
              <w:right w:val="nil"/>
            </w:tcBorders>
            <w:shd w:val="clear" w:color="000000" w:fill="FFFFFF"/>
            <w:vAlign w:val="center"/>
          </w:tcPr>
          <w:p w14:paraId="61F4D1EC" w14:textId="676E7889" w:rsidR="00406551" w:rsidRPr="00406551" w:rsidRDefault="00CF693C" w:rsidP="00406551">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12</w:t>
            </w:r>
          </w:p>
        </w:tc>
        <w:tc>
          <w:tcPr>
            <w:tcW w:w="1276" w:type="dxa"/>
            <w:tcBorders>
              <w:top w:val="single" w:sz="8" w:space="0" w:color="auto"/>
              <w:left w:val="nil"/>
              <w:bottom w:val="single" w:sz="8" w:space="0" w:color="auto"/>
              <w:right w:val="nil"/>
            </w:tcBorders>
            <w:shd w:val="clear" w:color="000000" w:fill="FFFFFF"/>
            <w:vAlign w:val="center"/>
            <w:hideMark/>
          </w:tcPr>
          <w:p w14:paraId="331A54B2" w14:textId="42CB7892"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Park et al </w:t>
            </w:r>
            <w:r w:rsidR="00784EAC">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{"citationItems":[{"id":"ITEM-1","itemData":{"DOI":"10.3201/eid2610.201315","ISBN":"1080-6040","PMID":"32673193","abstract":"We analyzed reports for 59,073 contacts of 5,706 coronavirus disease (COVID-19) index patients reported in South Korea during January 20-March 27, 2020. Of 10,592 household contacts, 11.8% had COVID-19. Of 48,481 nonhousehold contacts, 1.9% had COVID-19. Use of personal protective measures and social distancing reduces the likelihood of transmission.","author":[{"dropping-particle":"","family":"Park","given":"Y J","non-dropping-particle":"","parse-names":false,"suffix":""},{"dropping-particle":"","family":"Choe","given":"Y J","non-dropping-particle":"","parse-names":false,"suffix":""},{"dropping-particle":"","family":"Park","given":"O","non-dropping-particle":"","parse-names":false,"suffix":""},{"dropping-particle":"","family":"Park","given":"S Y","non-dropping-particle":"","parse-names":false,"suffix":""},{"dropping-particle":"","family":"Kim","given":"Y M","non-dropping-particle":"","parse-names":false,"suffix":""},{"dropping-particle":"","family":"Kim","given":"J","non-dropping-particle":"","parse-names":false,"suffix":""},{"dropping-particle":"","family":"Kweon","given":"S","non-dropping-particle":"","parse-names":false,"suffix":""},{"dropping-particle":"","family":"Woo","given":"Y","non-dropping-particle":"","parse-names":false,"suffix":""},{"dropping-particle":"","family":"Gwack","given":"J","non-dropping-particle":"","parse-names":false,"suffix":""},{"dropping-particle":"","family":"Kim","given":"S S","non-dropping-particle":"","parse-names":false,"suffix":""},{"dropping-particle":"","family":"Lee","given":"J","non-dropping-particle":"","parse-names":false,"suffix":""},{"dropping-particle":"","family":"Hyun","given":"J","non-dropping-particle":"","parse-names":false,"suffix":""},{"dropping-particle":"","family":"Ryu","given":"B","non-dropping-particle":"","parse-names":false,"suffix":""},{"dropping-particle":"","family":"Jang","given":"Y S","non-dropping-particle":"","parse-names":false,"suffix":""},{"dropping-particle":"","family":"Kim","given":"H","non-dropping-particle":"","parse-names":false,"suffix":""},{"dropping-particle":"","family":"Shin","given":"S H","non-dropping-particle":"","parse-names":false,"suffix":""},{"dropping-particle":"","family":"Yi","given":"S","non-dropping-particle":"","parse-names":false,"suffix":""},{"dropping-particle":"","family":"Lee","given":"S","non-dropping-particle":"","parse-names":false,"suffix":""},{"dropping-particle":"","family":"Kim","given":"H K","non-dropping-particle":"","parse-names":false,"suffix":""},{"dropping-particle":"","family":"Lee","given":"H","non-dropping-particle":"","parse-names":false,"suffix":""},{"dropping-particle":"","family":"Jin","given":"Y","non-dropping-particle":"","parse-names":false,"suffix":""},{"dropping-particle":"","family":"Park","given":"E","non-dropping-particle":"","parse-names":false,"suffix":""},{"dropping-particle":"","family":"Choi","given":"S W","non-dropping-particle":"","parse-names":false,"suffix":""},{"dropping-particle":"","family":"Kim","given":"M","non-dropping-particle":"","parse-names":false,"suffix":""},{"dropping-particle":"","family":"Song","given":"J","non-dropping-particle":"","parse-names":false,"suffix":""},{"dropping-particle":"","family":"Choi","given":"S W","non-dropping-particle":"","parse-names":false,"suffix":""},{"dropping-particle":"","family":"Kim","given":"D","non-dropping-particle":"","parse-names":false,"suffix":""},{"dropping-particle":"","family":"Jeon","given":"B H","non-dropping-particle":"","parse-names":false,"suffix":""},{"dropping-particle":"","family":"Yoo","given":"H","non-dropping-particle":"","parse-names":false,"suffix":""},{"dropping-particle":"","family":"Jeong","given":"E K","non-dropping-particle":"","parse-names":false,"suffix":""}],"container-title":"Emerg Infect Dis","edition":"2020/07/17","id":"ITEM-1","issue":"10","issued":{"date-parts":[["2020"]]},"language":"eng","note":"1080-6059\nPark, Young Joon\nChoe, Young June\nPark, Ok\nPark, Shin Young\nKim, Young-Man\nKim, Jieun\nKweon, Sanghui\nWoo, Yeonhee\nGwack, Jin\nKim, Seong Sun\nLee, Jin\nHyun, Junghee\nRyu, Boyeong\nJang, Yoon Suk\nKim, Hwami\nShin, Seung Hwan\nYi, Seonju\nLee, Sangeun\nKim, Hee Kyoung\nLee, Hyeyoung\nJin, Yeowon\nPark, Eunmi\nChoi, Seung Woo\nKim, Miyoung\nSong, Jeongsuk\nChoi, Si Won\nKim, Dongwook\nJeon, Byoung-Hak\nYoo, Hyosoon\nJeong, Eun Kyeong\nCOVID-19 National Emergency Response Center, Epidemiology and Case Management Team\nJournal Article\nUnited States\nEmerg Infect Dis. 2020 Jul 16;26(10). doi: 10.3201/eid2610.201315.","title":"Contact Tracing during Coronavirus Disease Outbreak, South Korea, 2020","type":"article-journal","volume":"26"},"uris":["http://www.mendeley.com/documents/?uuid=bb979aaa-ef20-41ed-a970-eaf21073cbba"]}],"mendeley":{"formattedCitation":"[45]","plainTextFormattedCitation":"[45]","previouslyFormattedCitation":"[47]"},"properties":{"noteIndex":0},"schema":"https://github.com/citation-style-language/schema/raw/master/csl-citation.json"}</w:instrText>
            </w:r>
            <w:r w:rsidR="00784EAC">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[45]</w:t>
            </w:r>
            <w:r w:rsidR="00784EAC">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vAlign w:val="center"/>
            <w:hideMark/>
          </w:tcPr>
          <w:p w14:paraId="142FF18E"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w:t>
            </w:r>
          </w:p>
        </w:tc>
        <w:tc>
          <w:tcPr>
            <w:tcW w:w="850" w:type="dxa"/>
            <w:tcBorders>
              <w:top w:val="single" w:sz="8" w:space="0" w:color="auto"/>
              <w:left w:val="nil"/>
              <w:bottom w:val="single" w:sz="8" w:space="0" w:color="auto"/>
              <w:right w:val="nil"/>
            </w:tcBorders>
            <w:shd w:val="clear" w:color="000000" w:fill="FFFFFF"/>
            <w:vAlign w:val="center"/>
            <w:hideMark/>
          </w:tcPr>
          <w:p w14:paraId="0E52939B"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South Korea</w:t>
            </w:r>
          </w:p>
        </w:tc>
        <w:tc>
          <w:tcPr>
            <w:tcW w:w="1843" w:type="dxa"/>
            <w:tcBorders>
              <w:top w:val="single" w:sz="8" w:space="0" w:color="auto"/>
              <w:left w:val="nil"/>
              <w:bottom w:val="single" w:sz="8" w:space="0" w:color="auto"/>
              <w:right w:val="nil"/>
            </w:tcBorders>
            <w:shd w:val="clear" w:color="000000" w:fill="FFFFFF"/>
            <w:vAlign w:val="center"/>
            <w:hideMark/>
          </w:tcPr>
          <w:p w14:paraId="10F54B92"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Surveillance and contact tracing </w:t>
            </w:r>
          </w:p>
        </w:tc>
        <w:tc>
          <w:tcPr>
            <w:tcW w:w="3263" w:type="dxa"/>
            <w:tcBorders>
              <w:top w:val="single" w:sz="8" w:space="0" w:color="auto"/>
              <w:left w:val="nil"/>
              <w:bottom w:val="single" w:sz="8" w:space="0" w:color="auto"/>
              <w:right w:val="nil"/>
            </w:tcBorders>
            <w:shd w:val="clear" w:color="000000" w:fill="FFFFFF"/>
            <w:vAlign w:val="center"/>
            <w:hideMark/>
          </w:tcPr>
          <w:p w14:paraId="2D60E49A"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Non-household close contacts</w:t>
            </w:r>
          </w:p>
        </w:tc>
        <w:tc>
          <w:tcPr>
            <w:tcW w:w="1276" w:type="dxa"/>
            <w:tcBorders>
              <w:top w:val="single" w:sz="8" w:space="0" w:color="auto"/>
              <w:left w:val="nil"/>
              <w:bottom w:val="single" w:sz="8" w:space="0" w:color="auto"/>
              <w:right w:val="nil"/>
            </w:tcBorders>
            <w:shd w:val="clear" w:color="000000" w:fill="FFFFFF"/>
            <w:vAlign w:val="center"/>
            <w:hideMark/>
          </w:tcPr>
          <w:p w14:paraId="792EA323" w14:textId="77661CA8" w:rsidR="00406551" w:rsidRPr="00406551" w:rsidRDefault="00475474" w:rsidP="001A65C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s</w:t>
            </w:r>
            <w:r w:rsidR="00406551" w:rsidRPr="00406551">
              <w:rPr>
                <w:rFonts w:eastAsia="Times New Roman" w:cstheme="minorHAnsi"/>
                <w:color w:val="000000"/>
                <w:sz w:val="18"/>
                <w:szCs w:val="18"/>
                <w:lang w:eastAsia="en-GB"/>
              </w:rPr>
              <w:t>ymptomatic</w:t>
            </w:r>
          </w:p>
        </w:tc>
        <w:tc>
          <w:tcPr>
            <w:tcW w:w="992" w:type="dxa"/>
            <w:tcBorders>
              <w:top w:val="single" w:sz="8" w:space="0" w:color="auto"/>
              <w:left w:val="nil"/>
              <w:bottom w:val="single" w:sz="8" w:space="0" w:color="auto"/>
              <w:right w:val="nil"/>
            </w:tcBorders>
            <w:shd w:val="clear" w:color="000000" w:fill="FFFFFF"/>
            <w:noWrap/>
            <w:vAlign w:val="center"/>
            <w:hideMark/>
          </w:tcPr>
          <w:p w14:paraId="0D356297"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5413EB7C"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5706</w:t>
            </w:r>
          </w:p>
        </w:tc>
        <w:tc>
          <w:tcPr>
            <w:tcW w:w="992" w:type="dxa"/>
            <w:tcBorders>
              <w:top w:val="single" w:sz="8" w:space="0" w:color="auto"/>
              <w:left w:val="nil"/>
              <w:bottom w:val="single" w:sz="8" w:space="0" w:color="auto"/>
              <w:right w:val="nil"/>
            </w:tcBorders>
            <w:shd w:val="clear" w:color="000000" w:fill="FFFFFF"/>
            <w:noWrap/>
            <w:vAlign w:val="center"/>
            <w:hideMark/>
          </w:tcPr>
          <w:p w14:paraId="1B3DC978"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48,481</w:t>
            </w:r>
          </w:p>
        </w:tc>
        <w:tc>
          <w:tcPr>
            <w:tcW w:w="992" w:type="dxa"/>
            <w:tcBorders>
              <w:top w:val="single" w:sz="8" w:space="0" w:color="auto"/>
              <w:left w:val="nil"/>
              <w:bottom w:val="single" w:sz="8" w:space="0" w:color="auto"/>
              <w:right w:val="nil"/>
            </w:tcBorders>
            <w:shd w:val="clear" w:color="000000" w:fill="FFFFFF"/>
            <w:noWrap/>
            <w:vAlign w:val="center"/>
            <w:hideMark/>
          </w:tcPr>
          <w:p w14:paraId="2C66B6C5" w14:textId="77777777" w:rsidR="00406551" w:rsidRPr="00406551" w:rsidRDefault="00406551" w:rsidP="001A65C6">
            <w:pPr>
              <w:spacing w:after="0" w:line="240" w:lineRule="auto"/>
              <w:jc w:val="right"/>
              <w:rPr>
                <w:rFonts w:eastAsia="Times New Roman" w:cstheme="minorHAnsi"/>
                <w:sz w:val="18"/>
                <w:szCs w:val="18"/>
                <w:lang w:eastAsia="en-GB"/>
              </w:rPr>
            </w:pPr>
            <w:r w:rsidRPr="00406551">
              <w:rPr>
                <w:rFonts w:eastAsia="Times New Roman" w:cstheme="minorHAnsi"/>
                <w:sz w:val="18"/>
                <w:szCs w:val="18"/>
                <w:lang w:eastAsia="en-GB"/>
              </w:rPr>
              <w:t>Unclear</w:t>
            </w:r>
          </w:p>
        </w:tc>
        <w:tc>
          <w:tcPr>
            <w:tcW w:w="1134" w:type="dxa"/>
            <w:tcBorders>
              <w:top w:val="single" w:sz="8" w:space="0" w:color="auto"/>
              <w:left w:val="nil"/>
              <w:bottom w:val="single" w:sz="8" w:space="0" w:color="auto"/>
              <w:right w:val="nil"/>
            </w:tcBorders>
            <w:shd w:val="clear" w:color="000000" w:fill="FFFFFF"/>
            <w:noWrap/>
            <w:vAlign w:val="center"/>
            <w:hideMark/>
          </w:tcPr>
          <w:p w14:paraId="7B7E638D"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921</w:t>
            </w:r>
          </w:p>
        </w:tc>
      </w:tr>
      <w:tr w:rsidR="000F13C3" w:rsidRPr="00406551" w14:paraId="2D6F9ABE" w14:textId="77777777" w:rsidTr="00406551">
        <w:trPr>
          <w:trHeight w:val="574"/>
        </w:trPr>
        <w:tc>
          <w:tcPr>
            <w:tcW w:w="990" w:type="dxa"/>
            <w:tcBorders>
              <w:top w:val="single" w:sz="8" w:space="0" w:color="auto"/>
              <w:left w:val="nil"/>
              <w:bottom w:val="single" w:sz="8" w:space="0" w:color="auto"/>
              <w:right w:val="nil"/>
            </w:tcBorders>
            <w:shd w:val="clear" w:color="000000" w:fill="FFFFFF"/>
            <w:vAlign w:val="center"/>
          </w:tcPr>
          <w:p w14:paraId="492BF8B8" w14:textId="77777777" w:rsidR="00406551" w:rsidRPr="00406551" w:rsidRDefault="00406551" w:rsidP="00406551">
            <w:pPr>
              <w:spacing w:after="0" w:line="240" w:lineRule="auto"/>
              <w:jc w:val="center"/>
              <w:rPr>
                <w:rFonts w:eastAsia="Times New Roman" w:cstheme="minorHAnsi"/>
                <w:color w:val="000000"/>
                <w:sz w:val="18"/>
                <w:szCs w:val="18"/>
                <w:lang w:eastAsia="en-GB"/>
              </w:rPr>
            </w:pPr>
          </w:p>
        </w:tc>
        <w:tc>
          <w:tcPr>
            <w:tcW w:w="1276" w:type="dxa"/>
            <w:tcBorders>
              <w:top w:val="single" w:sz="8" w:space="0" w:color="auto"/>
              <w:left w:val="nil"/>
              <w:bottom w:val="single" w:sz="8" w:space="0" w:color="auto"/>
              <w:right w:val="nil"/>
            </w:tcBorders>
            <w:shd w:val="clear" w:color="000000" w:fill="FFFFFF"/>
            <w:vAlign w:val="center"/>
            <w:hideMark/>
          </w:tcPr>
          <w:p w14:paraId="2A6E1754" w14:textId="7BE26920"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Valent et al </w:t>
            </w:r>
            <w:r w:rsidR="00784EAC">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10.1016/j.cmi.2020.04.028","ISBN":"1469-0691\r1198-743X","PMID":"32344169","author":[{"dropping-particle":"","family":"Valent","given":"F","non-dropping-particle":"","parse-names":false,"suffix":""},{"dropping-particle":"","family":"Gallo","given":"T","non-dropping-particle":"","parse-names":false,"suffix":""},{"dropping-particle":"","family":"Mazzolini","given":"E","non-dropping-particle":"","parse-names":false,"suffix":""},{"dropping-particle":"","family":"Pipan","given":"C","non-dropping-particle":"","parse-names":false,"suffix":""},{"dropping-particle":"","family":"Sartor","given":"A","non-dropping-particle":"","parse-names":false,"suffix":""},{"dropping-particle":"","family":"Merelli","given":"M","non-dropping-particle":"","parse-names":false,"suffix":""},{"dropping-particle":"","family":"Bontempo","given":"G","non-dropping-particle":"","parse-names":false,"suffix":""},{"dropping-particle":"","family":"Marzinotto","given":"S","non-dropping-particle":"","parse-names":false,"suffix":""},{"dropping-particle":"","family":"Curcio","given":"F","non-dropping-particle":"","parse-names":false,"suffix":""},{"dropping-particle":"","family":"Tascini","given":"C","non-dropping-particle":"","parse-names":false,"suffix":""}],"container-title":"Clinical microbiology and infection : the official publication of the European Society of Clinical Microbiology and Infectious Diseases","edition":"2020/04/25","id":"ITEM-1","issue":"8","issued":{"date-parts":[["2020"]]},"language":"eng","note":"32344169[pmid]\nPMC7194962[pmcid]\nS1198-743X(20)30236-6[PII]","page":"1112-1114","publisher":"European Society of Clinical Microbiology and Infectious Diseases. Published by Elsevier Ltd.","title":"A cluster of COVID-19 cases in a small Italian town: a successful example of contact tracing and swab collection","type":"article-journal","volume":"26"},"uris":["http://www.mendeley.com/documents/?uuid=a951f7ad-3f59-459a-903a-f6c95e8df449"]}],"mendeley":{"formattedCitation":"[98]","plainTextFormattedCitation":"[98]","previouslyFormattedCitation":"[100]"},"properties":{"noteIndex":0},"schema":"https://github.com/citation-style-language/schema/raw/master/csl-citation.json"}</w:instrText>
            </w:r>
            <w:r w:rsidR="00784EAC">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[98]</w:t>
            </w:r>
            <w:r w:rsidR="00784EAC">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vAlign w:val="center"/>
            <w:hideMark/>
          </w:tcPr>
          <w:p w14:paraId="5C81B88C"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Friuli-Venezia Giulia</w:t>
            </w:r>
          </w:p>
        </w:tc>
        <w:tc>
          <w:tcPr>
            <w:tcW w:w="850" w:type="dxa"/>
            <w:tcBorders>
              <w:top w:val="single" w:sz="8" w:space="0" w:color="auto"/>
              <w:left w:val="nil"/>
              <w:bottom w:val="single" w:sz="8" w:space="0" w:color="auto"/>
              <w:right w:val="nil"/>
            </w:tcBorders>
            <w:shd w:val="clear" w:color="000000" w:fill="FFFFFF"/>
            <w:vAlign w:val="center"/>
            <w:hideMark/>
          </w:tcPr>
          <w:p w14:paraId="7791B430"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Italy</w:t>
            </w:r>
          </w:p>
        </w:tc>
        <w:tc>
          <w:tcPr>
            <w:tcW w:w="1843" w:type="dxa"/>
            <w:tcBorders>
              <w:top w:val="single" w:sz="8" w:space="0" w:color="auto"/>
              <w:left w:val="nil"/>
              <w:bottom w:val="single" w:sz="8" w:space="0" w:color="auto"/>
              <w:right w:val="nil"/>
            </w:tcBorders>
            <w:shd w:val="clear" w:color="000000" w:fill="FFFFFF"/>
            <w:vAlign w:val="center"/>
            <w:hideMark/>
          </w:tcPr>
          <w:p w14:paraId="2BBA93C5"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8" w:space="0" w:color="auto"/>
              <w:left w:val="nil"/>
              <w:bottom w:val="single" w:sz="8" w:space="0" w:color="auto"/>
              <w:right w:val="nil"/>
            </w:tcBorders>
            <w:shd w:val="clear" w:color="000000" w:fill="FFFFFF"/>
            <w:vAlign w:val="center"/>
            <w:hideMark/>
          </w:tcPr>
          <w:p w14:paraId="2FC3A9A2"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All close contacts of an index case</w:t>
            </w:r>
          </w:p>
        </w:tc>
        <w:tc>
          <w:tcPr>
            <w:tcW w:w="1276" w:type="dxa"/>
            <w:tcBorders>
              <w:top w:val="single" w:sz="8" w:space="0" w:color="auto"/>
              <w:left w:val="nil"/>
              <w:bottom w:val="single" w:sz="8" w:space="0" w:color="auto"/>
              <w:right w:val="nil"/>
            </w:tcBorders>
            <w:shd w:val="clear" w:color="000000" w:fill="FFFFFF"/>
            <w:vAlign w:val="center"/>
            <w:hideMark/>
          </w:tcPr>
          <w:p w14:paraId="004F871E"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Subset</w:t>
            </w:r>
          </w:p>
        </w:tc>
        <w:tc>
          <w:tcPr>
            <w:tcW w:w="992" w:type="dxa"/>
            <w:tcBorders>
              <w:top w:val="single" w:sz="8" w:space="0" w:color="auto"/>
              <w:left w:val="nil"/>
              <w:bottom w:val="single" w:sz="8" w:space="0" w:color="auto"/>
              <w:right w:val="nil"/>
            </w:tcBorders>
            <w:shd w:val="clear" w:color="000000" w:fill="FFFFFF"/>
            <w:vAlign w:val="center"/>
            <w:hideMark/>
          </w:tcPr>
          <w:p w14:paraId="05FF4685"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vAlign w:val="center"/>
            <w:hideMark/>
          </w:tcPr>
          <w:p w14:paraId="2D410DC6"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18</w:t>
            </w:r>
          </w:p>
        </w:tc>
        <w:tc>
          <w:tcPr>
            <w:tcW w:w="992" w:type="dxa"/>
            <w:tcBorders>
              <w:top w:val="single" w:sz="8" w:space="0" w:color="auto"/>
              <w:left w:val="nil"/>
              <w:bottom w:val="single" w:sz="8" w:space="0" w:color="auto"/>
              <w:right w:val="nil"/>
            </w:tcBorders>
            <w:shd w:val="clear" w:color="000000" w:fill="FFFFFF"/>
            <w:vAlign w:val="center"/>
            <w:hideMark/>
          </w:tcPr>
          <w:p w14:paraId="33BA2248"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142</w:t>
            </w:r>
          </w:p>
        </w:tc>
        <w:tc>
          <w:tcPr>
            <w:tcW w:w="992" w:type="dxa"/>
            <w:tcBorders>
              <w:top w:val="single" w:sz="8" w:space="0" w:color="auto"/>
              <w:left w:val="nil"/>
              <w:bottom w:val="single" w:sz="8" w:space="0" w:color="auto"/>
              <w:right w:val="nil"/>
            </w:tcBorders>
            <w:shd w:val="clear" w:color="000000" w:fill="FFFFFF"/>
            <w:vAlign w:val="center"/>
            <w:hideMark/>
          </w:tcPr>
          <w:p w14:paraId="06C20468"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79</w:t>
            </w:r>
          </w:p>
        </w:tc>
        <w:tc>
          <w:tcPr>
            <w:tcW w:w="1134" w:type="dxa"/>
            <w:tcBorders>
              <w:top w:val="single" w:sz="8" w:space="0" w:color="auto"/>
              <w:left w:val="nil"/>
              <w:bottom w:val="single" w:sz="8" w:space="0" w:color="auto"/>
              <w:right w:val="nil"/>
            </w:tcBorders>
            <w:shd w:val="clear" w:color="000000" w:fill="FFFFFF"/>
            <w:vAlign w:val="center"/>
            <w:hideMark/>
          </w:tcPr>
          <w:p w14:paraId="5C2FB640"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18</w:t>
            </w:r>
          </w:p>
        </w:tc>
      </w:tr>
      <w:tr w:rsidR="000F13C3" w:rsidRPr="00406551" w14:paraId="4B58F672" w14:textId="77777777" w:rsidTr="00406551">
        <w:trPr>
          <w:trHeight w:val="1107"/>
        </w:trPr>
        <w:tc>
          <w:tcPr>
            <w:tcW w:w="990" w:type="dxa"/>
            <w:tcBorders>
              <w:top w:val="single" w:sz="8" w:space="0" w:color="auto"/>
              <w:left w:val="nil"/>
              <w:bottom w:val="single" w:sz="8" w:space="0" w:color="auto"/>
              <w:right w:val="nil"/>
            </w:tcBorders>
            <w:shd w:val="clear" w:color="000000" w:fill="FFFFFF"/>
            <w:vAlign w:val="center"/>
          </w:tcPr>
          <w:p w14:paraId="22A6E9DC" w14:textId="77777777" w:rsidR="00406551" w:rsidRPr="00406551" w:rsidRDefault="00406551" w:rsidP="00406551">
            <w:pPr>
              <w:spacing w:after="0" w:line="240" w:lineRule="auto"/>
              <w:jc w:val="center"/>
              <w:rPr>
                <w:rFonts w:eastAsia="Times New Roman" w:cstheme="minorHAnsi"/>
                <w:sz w:val="18"/>
                <w:szCs w:val="18"/>
                <w:lang w:eastAsia="en-GB"/>
              </w:rPr>
            </w:pPr>
          </w:p>
        </w:tc>
        <w:tc>
          <w:tcPr>
            <w:tcW w:w="1276" w:type="dxa"/>
            <w:tcBorders>
              <w:top w:val="single" w:sz="8" w:space="0" w:color="auto"/>
              <w:left w:val="nil"/>
              <w:bottom w:val="single" w:sz="8" w:space="0" w:color="auto"/>
              <w:right w:val="nil"/>
            </w:tcBorders>
            <w:shd w:val="clear" w:color="000000" w:fill="FFFFFF"/>
            <w:noWrap/>
            <w:vAlign w:val="center"/>
            <w:hideMark/>
          </w:tcPr>
          <w:p w14:paraId="2D9032F5" w14:textId="561EC2F3" w:rsidR="00406551" w:rsidRPr="00406551" w:rsidRDefault="00406551" w:rsidP="001A65C6">
            <w:pPr>
              <w:spacing w:after="0" w:line="240" w:lineRule="auto"/>
              <w:rPr>
                <w:rFonts w:eastAsia="Times New Roman" w:cstheme="minorHAnsi"/>
                <w:sz w:val="18"/>
                <w:szCs w:val="18"/>
                <w:lang w:eastAsia="en-GB"/>
              </w:rPr>
            </w:pPr>
            <w:r w:rsidRPr="00406551">
              <w:rPr>
                <w:rFonts w:eastAsia="Times New Roman" w:cstheme="minorHAnsi"/>
                <w:sz w:val="18"/>
                <w:szCs w:val="18"/>
                <w:lang w:eastAsia="en-GB"/>
              </w:rPr>
              <w:t>Wong et al</w:t>
            </w:r>
            <w:r w:rsidR="006D19DB">
              <w:rPr>
                <w:rFonts w:eastAsia="Times New Roman" w:cstheme="minorHAnsi"/>
                <w:sz w:val="18"/>
                <w:szCs w:val="18"/>
                <w:lang w:eastAsia="en-GB"/>
              </w:rPr>
              <w:t xml:space="preserve"> </w:t>
            </w:r>
            <w:r w:rsidR="006D19DB">
              <w:rPr>
                <w:rFonts w:eastAsia="Times New Roman" w:cstheme="minorHAnsi"/>
                <w:sz w:val="18"/>
                <w:szCs w:val="18"/>
                <w:lang w:eastAsia="en-GB"/>
              </w:rPr>
              <w:fldChar w:fldCharType="begin" w:fldLock="1"/>
            </w:r>
            <w:r w:rsidR="001B3AB4">
              <w:rPr>
                <w:rFonts w:eastAsia="Times New Roman" w:cstheme="minorHAnsi"/>
                <w:sz w:val="18"/>
                <w:szCs w:val="18"/>
                <w:lang w:eastAsia="en-GB"/>
              </w:rPr>
              <w:instrText>ADDIN CSL_CITATION {"citationItems":[{"id":"ITEM-1","itemData":{"DOI":"10.1101/2020.04.30.20086082","abstract":"We report findings of a national study in Brunei Darussalam indicating that one in five recovered patients subsequently test positive again for SARS-CoV-2 - this risk is nearly three times higher in older patients (age 53 and above) than younger ones (below age 53). Review of clinical and epidemiological records do not support reinfection or reactivation as likely causes of the 're-positive' observation. Instead, prolonged but intermittent viral shedding is the most probable explanation. We discuss the implications of these findings for infection control and clinical practice.Competing Interest StatementThe authors have declared no competing interest.Funding StatementThis research did not receive any specific grant from funding agencies in the public, commercial, or not-for-profit sectors.Author DeclarationsAll relevant ethical guidelines have been followed; any necessary IRB and/or ethics committee approvals have been obtained and details of the IRB/oversight body are included in the manuscript.YesAll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advance).Yes I have followed all appropriate research reporting guidelines and uploaded the relevant EQUATOR Network research reporting checklist(s) and other pertinent material as supplementary files, if applicable.YesThe data of the discharged patients are not publicly available. A summary is presented in Table 1, and a timeline of the RT PCR test results of the re-positive patients are in Figure 1.","author":[{"dropping-particle":"","family":"Wong","given":"Justin","non-dropping-particle":"","parse-names":false,"suffix":""},{"dropping-particle":"","family":"Koh","given":"Wee Chian","non-dropping-particle":"","parse-names":false,"suffix":""},{"dropping-particle":"","family":"Momin","given":"Riamiza Natalie","non-dropping-particle":"","parse-names":false,"suffix":""},{"dropping-particle":"","family":"Alikhan","given":"Mohammad Fathi","non-dropping-particle":"","parse-names":false,"suffix":""},{"dropping-particle":"","family":"Fadillah","given":"Noraskhin","non-dropping-particle":"","parse-names":false,"suffix":""},{"dropping-particle":"","family":"Naing","given":"Lin","non-dropping-particle":"","parse-names":false,"suffix":""}],"container-title":"medRxiv","id":"ITEM-1","issued":{"date-parts":[["2020"]]},"page":"2020.04.30.20086082","title":"Probable causes and risk factors for positive SARS-CoV-2 test in recovered patients: Evidence from Brunei Darussalam","type":"article-journal"},"uris":["http://www.mendeley.com/documents/?uuid=69accbfe-4f0b-4ff7-b098-8ab52993c263"]}],"mendeley":{"formattedCitation":"[99]","plainTextFormattedCitation":"[99]","previouslyFormattedCitation":"[101]"},"properties":{"noteIndex":0},"schema":"https://github.com/citation-style-language/schema/raw/master/csl-citation.json"}</w:instrText>
            </w:r>
            <w:r w:rsidR="006D19DB">
              <w:rPr>
                <w:rFonts w:eastAsia="Times New Roman" w:cstheme="minorHAnsi"/>
                <w:sz w:val="18"/>
                <w:szCs w:val="18"/>
                <w:lang w:eastAsia="en-GB"/>
              </w:rPr>
              <w:fldChar w:fldCharType="separate"/>
            </w:r>
            <w:r w:rsidR="001B3AB4" w:rsidRPr="001B3AB4">
              <w:rPr>
                <w:rFonts w:eastAsia="Times New Roman" w:cstheme="minorHAnsi"/>
                <w:noProof/>
                <w:sz w:val="18"/>
                <w:szCs w:val="18"/>
                <w:lang w:eastAsia="en-GB"/>
              </w:rPr>
              <w:t>[99]</w:t>
            </w:r>
            <w:r w:rsidR="006D19DB">
              <w:rPr>
                <w:rFonts w:eastAsia="Times New Roman" w:cstheme="minorHAnsi"/>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noWrap/>
            <w:vAlign w:val="center"/>
            <w:hideMark/>
          </w:tcPr>
          <w:p w14:paraId="0FFFA2DE"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Not specified</w:t>
            </w:r>
          </w:p>
        </w:tc>
        <w:tc>
          <w:tcPr>
            <w:tcW w:w="850" w:type="dxa"/>
            <w:tcBorders>
              <w:top w:val="single" w:sz="8" w:space="0" w:color="auto"/>
              <w:left w:val="nil"/>
              <w:bottom w:val="single" w:sz="8" w:space="0" w:color="auto"/>
              <w:right w:val="nil"/>
            </w:tcBorders>
            <w:shd w:val="clear" w:color="000000" w:fill="FFFFFF"/>
            <w:noWrap/>
            <w:vAlign w:val="center"/>
            <w:hideMark/>
          </w:tcPr>
          <w:p w14:paraId="5D17EB86"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Brunei</w:t>
            </w:r>
          </w:p>
        </w:tc>
        <w:tc>
          <w:tcPr>
            <w:tcW w:w="1843" w:type="dxa"/>
            <w:tcBorders>
              <w:top w:val="single" w:sz="8" w:space="0" w:color="auto"/>
              <w:left w:val="nil"/>
              <w:bottom w:val="single" w:sz="8" w:space="0" w:color="auto"/>
              <w:right w:val="nil"/>
            </w:tcBorders>
            <w:shd w:val="clear" w:color="000000" w:fill="FFFFFF"/>
            <w:vAlign w:val="center"/>
            <w:hideMark/>
          </w:tcPr>
          <w:p w14:paraId="79B35B74"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Contact tracing investigation of cases who retested positive</w:t>
            </w:r>
          </w:p>
        </w:tc>
        <w:tc>
          <w:tcPr>
            <w:tcW w:w="3263" w:type="dxa"/>
            <w:tcBorders>
              <w:top w:val="single" w:sz="8" w:space="0" w:color="auto"/>
              <w:left w:val="nil"/>
              <w:bottom w:val="single" w:sz="8" w:space="0" w:color="auto"/>
              <w:right w:val="nil"/>
            </w:tcBorders>
            <w:shd w:val="clear" w:color="000000" w:fill="FFFFFF"/>
            <w:vAlign w:val="center"/>
            <w:hideMark/>
          </w:tcPr>
          <w:p w14:paraId="70C860EE"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A close contact, defined as living in the same household, or within 1m of a confirmed case in an enclosed space for &gt;15 minutes</w:t>
            </w:r>
          </w:p>
        </w:tc>
        <w:tc>
          <w:tcPr>
            <w:tcW w:w="1276" w:type="dxa"/>
            <w:tcBorders>
              <w:top w:val="single" w:sz="8" w:space="0" w:color="auto"/>
              <w:left w:val="nil"/>
              <w:bottom w:val="single" w:sz="8" w:space="0" w:color="auto"/>
              <w:right w:val="nil"/>
            </w:tcBorders>
            <w:shd w:val="clear" w:color="000000" w:fill="FFFFFF"/>
            <w:noWrap/>
            <w:vAlign w:val="center"/>
            <w:hideMark/>
          </w:tcPr>
          <w:p w14:paraId="523B8AF6"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vAlign w:val="center"/>
            <w:hideMark/>
          </w:tcPr>
          <w:p w14:paraId="514EECFD"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vAlign w:val="center"/>
            <w:hideMark/>
          </w:tcPr>
          <w:p w14:paraId="5BE675C8"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21</w:t>
            </w:r>
          </w:p>
        </w:tc>
        <w:tc>
          <w:tcPr>
            <w:tcW w:w="992" w:type="dxa"/>
            <w:tcBorders>
              <w:top w:val="single" w:sz="8" w:space="0" w:color="auto"/>
              <w:left w:val="nil"/>
              <w:bottom w:val="single" w:sz="8" w:space="0" w:color="auto"/>
              <w:right w:val="nil"/>
            </w:tcBorders>
            <w:shd w:val="clear" w:color="000000" w:fill="FFFFFF"/>
            <w:noWrap/>
            <w:vAlign w:val="center"/>
            <w:hideMark/>
          </w:tcPr>
          <w:p w14:paraId="33416BA0"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111</w:t>
            </w:r>
          </w:p>
        </w:tc>
        <w:tc>
          <w:tcPr>
            <w:tcW w:w="992" w:type="dxa"/>
            <w:tcBorders>
              <w:top w:val="single" w:sz="8" w:space="0" w:color="auto"/>
              <w:left w:val="nil"/>
              <w:bottom w:val="single" w:sz="8" w:space="0" w:color="auto"/>
              <w:right w:val="nil"/>
            </w:tcBorders>
            <w:shd w:val="clear" w:color="000000" w:fill="FFFFFF"/>
            <w:noWrap/>
            <w:vAlign w:val="center"/>
            <w:hideMark/>
          </w:tcPr>
          <w:p w14:paraId="6FCA972A"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111</w:t>
            </w:r>
          </w:p>
        </w:tc>
        <w:tc>
          <w:tcPr>
            <w:tcW w:w="1134" w:type="dxa"/>
            <w:tcBorders>
              <w:top w:val="single" w:sz="8" w:space="0" w:color="auto"/>
              <w:left w:val="nil"/>
              <w:bottom w:val="single" w:sz="8" w:space="0" w:color="auto"/>
              <w:right w:val="nil"/>
            </w:tcBorders>
            <w:shd w:val="clear" w:color="000000" w:fill="FFFFFF"/>
            <w:noWrap/>
            <w:vAlign w:val="center"/>
            <w:hideMark/>
          </w:tcPr>
          <w:p w14:paraId="4A160F62"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w:t>
            </w:r>
          </w:p>
        </w:tc>
      </w:tr>
      <w:tr w:rsidR="000F13C3" w:rsidRPr="00406551" w14:paraId="4522FD2E" w14:textId="77777777" w:rsidTr="00C25AC0">
        <w:trPr>
          <w:trHeight w:val="1720"/>
        </w:trPr>
        <w:tc>
          <w:tcPr>
            <w:tcW w:w="990" w:type="dxa"/>
            <w:tcBorders>
              <w:top w:val="single" w:sz="8" w:space="0" w:color="auto"/>
              <w:left w:val="nil"/>
              <w:bottom w:val="single" w:sz="8" w:space="0" w:color="auto"/>
              <w:right w:val="nil"/>
            </w:tcBorders>
            <w:shd w:val="clear" w:color="000000" w:fill="FFFFFF"/>
            <w:vAlign w:val="center"/>
          </w:tcPr>
          <w:p w14:paraId="7D59F9DE" w14:textId="14130E4B" w:rsidR="00406551" w:rsidRPr="00406551" w:rsidRDefault="00CF693C" w:rsidP="00406551">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21</w:t>
            </w:r>
          </w:p>
        </w:tc>
        <w:tc>
          <w:tcPr>
            <w:tcW w:w="1276" w:type="dxa"/>
            <w:tcBorders>
              <w:top w:val="single" w:sz="8" w:space="0" w:color="auto"/>
              <w:left w:val="nil"/>
              <w:bottom w:val="single" w:sz="8" w:space="0" w:color="auto"/>
              <w:right w:val="nil"/>
            </w:tcBorders>
            <w:shd w:val="clear" w:color="000000" w:fill="FFFFFF"/>
            <w:noWrap/>
            <w:vAlign w:val="center"/>
            <w:hideMark/>
          </w:tcPr>
          <w:p w14:paraId="2EF35712" w14:textId="066853DB"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Wu et al </w:t>
            </w:r>
            <w:r w:rsidR="004C12DD">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{"citationItems":[{"id":"ITEM-1","itemData":{"DOI":"https://doi.org/10.1016/j.puhe.2020.05.016","ISBN":"0033-3506","abstract":"Objectives This study determined the rate of secondary infection among contacts of individuals with confirmed coronavirus disease 2019 (COVID-19) in Hangzhou according to the type of contacts, the intensity of contacts, and their relationship with the index patient. Study design This is a retrospective cohort study. Methods The analysis used the data of 2994 contacts of 144 individuals with confirmed severe acute respiratory syndrome coronavirus 2 (SARS-CoV-2) infection. The contacts were categorized according to the information source, type of contact, location, intensity of contact, and relationship with the index patient. Results The incidence of infection differed significantly according to contact type. Of the contacts, 186 (6.2%) developed symptoms, and 71 (2.4%) had confirmed SARS-CoV-2 infection. The main symptoms were cough and fever. Compared with those who had brief contact with the index case, those who had dined with the index case had 2.6 times higher risk of acquiring infection; those who had shared transport with, had visited, or had contact with the index case in a medical institution had 3.6 times higher risk of acquiring infection; and household contacts had 41.7 times higher risk of acquiring infection. Family members had 31.6 times higher risk of acquiring infection than healthcare providers or other patients exposed to an index case. Conclusions The form and frequency of contact are the main factors affecting the risk of infection among contacts of individuals with COVID-19. Centralized isolation and observation of close contacts of individuals with confirmed SARS-CoV-2 infection, in addition to population-based control measures, can reduce the risk of secondary infections and curb the spread of the infection.","author":[{"dropping-particle":"","family":"Wu","given":"Y","non-dropping-particle":"","parse-names":false,"suffix":""},{"dropping-particle":"","family":"Song","given":"S","non-dropping-particle":"","parse-names":false,"suffix":""},{"dropping-particle":"","family":"Kao","given":"Q","non-dropping-particle":"","parse-names":false,"suffix":""},{"dropping-particle":"","family":"Kong","given":"Q","non-dropping-particle":"","parse-names":false,"suffix":""},{"dropping-particle":"","family":"Sun","given":"Z","non-dropping-particle":"","parse-names":false,"suffix":""},{"dropping-particle":"","family":"Wang","given":"B","non-dropping-particle":"","parse-names":false,"suffix":""}],"container-title":"Public Health","id":"ITEM-1","issued":{"date-parts":[["2020"]]},"page":"57-59","title":"Risk of SARS-CoV-2 infection among contacts of individuals with COVID-19 in Hangzhou, China","type":"article-journal","volume":"185"},"uris":["http://www.mendeley.com/documents/?uuid=e73e0da2-bab7-4701-9f3b-19169e8cfd1f"]}],"mendeley":{"formattedCitation":"[56]","plainTextFormattedCitation":"[56]","previouslyFormattedCitation":"[58]"},"properties":{"noteIndex":0},"schema":"https://github.com/citation-style-language/schema/raw/master/csl-citation.json"}</w:instrText>
            </w:r>
            <w:r w:rsidR="004C12DD">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[56]</w:t>
            </w:r>
            <w:r w:rsidR="004C12DD">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noWrap/>
            <w:vAlign w:val="center"/>
            <w:hideMark/>
          </w:tcPr>
          <w:p w14:paraId="48601758"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Hangzhou</w:t>
            </w:r>
          </w:p>
        </w:tc>
        <w:tc>
          <w:tcPr>
            <w:tcW w:w="850" w:type="dxa"/>
            <w:tcBorders>
              <w:top w:val="single" w:sz="8" w:space="0" w:color="auto"/>
              <w:left w:val="nil"/>
              <w:bottom w:val="single" w:sz="8" w:space="0" w:color="auto"/>
              <w:right w:val="nil"/>
            </w:tcBorders>
            <w:shd w:val="clear" w:color="000000" w:fill="FFFFFF"/>
            <w:noWrap/>
            <w:vAlign w:val="center"/>
            <w:hideMark/>
          </w:tcPr>
          <w:p w14:paraId="296C6196"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single" w:sz="8" w:space="0" w:color="auto"/>
              <w:right w:val="nil"/>
            </w:tcBorders>
            <w:shd w:val="clear" w:color="000000" w:fill="FFFFFF"/>
            <w:vAlign w:val="center"/>
            <w:hideMark/>
          </w:tcPr>
          <w:p w14:paraId="3DE8906F"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Retrospective contact tracing investigation</w:t>
            </w:r>
          </w:p>
        </w:tc>
        <w:tc>
          <w:tcPr>
            <w:tcW w:w="3263" w:type="dxa"/>
            <w:tcBorders>
              <w:top w:val="single" w:sz="8" w:space="0" w:color="auto"/>
              <w:left w:val="nil"/>
              <w:bottom w:val="single" w:sz="8" w:space="0" w:color="auto"/>
              <w:right w:val="nil"/>
            </w:tcBorders>
            <w:shd w:val="clear" w:color="000000" w:fill="FFFFFF"/>
            <w:vAlign w:val="center"/>
            <w:hideMark/>
          </w:tcPr>
          <w:p w14:paraId="1DF9BD1B" w14:textId="1B5039AA"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A close contact (within 1m of a confirmed case, without effective protection, within 5 days before symptom onset or sampling date of index case) occurring in a public place, workplace, education institution or place of entertainment</w:t>
            </w:r>
          </w:p>
        </w:tc>
        <w:tc>
          <w:tcPr>
            <w:tcW w:w="1276" w:type="dxa"/>
            <w:tcBorders>
              <w:top w:val="single" w:sz="8" w:space="0" w:color="auto"/>
              <w:left w:val="nil"/>
              <w:bottom w:val="single" w:sz="8" w:space="0" w:color="auto"/>
              <w:right w:val="nil"/>
            </w:tcBorders>
            <w:shd w:val="clear" w:color="000000" w:fill="FFFFFF"/>
            <w:noWrap/>
            <w:vAlign w:val="center"/>
            <w:hideMark/>
          </w:tcPr>
          <w:p w14:paraId="10D872ED" w14:textId="2C937B29" w:rsidR="00406551" w:rsidRPr="00406551" w:rsidRDefault="00475474" w:rsidP="001A65C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all</w:t>
            </w:r>
          </w:p>
        </w:tc>
        <w:tc>
          <w:tcPr>
            <w:tcW w:w="992" w:type="dxa"/>
            <w:tcBorders>
              <w:top w:val="single" w:sz="8" w:space="0" w:color="auto"/>
              <w:left w:val="nil"/>
              <w:bottom w:val="single" w:sz="8" w:space="0" w:color="auto"/>
              <w:right w:val="nil"/>
            </w:tcBorders>
            <w:shd w:val="clear" w:color="000000" w:fill="FFFFFF"/>
            <w:noWrap/>
            <w:vAlign w:val="center"/>
            <w:hideMark/>
          </w:tcPr>
          <w:p w14:paraId="5ABDB7D3" w14:textId="57674F9F" w:rsidR="00406551" w:rsidRPr="00406551" w:rsidRDefault="00475474" w:rsidP="001A65C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RT-PCR</w:t>
            </w:r>
          </w:p>
        </w:tc>
        <w:tc>
          <w:tcPr>
            <w:tcW w:w="851" w:type="dxa"/>
            <w:tcBorders>
              <w:top w:val="single" w:sz="8" w:space="0" w:color="auto"/>
              <w:left w:val="nil"/>
              <w:bottom w:val="single" w:sz="8" w:space="0" w:color="auto"/>
              <w:right w:val="nil"/>
            </w:tcBorders>
            <w:shd w:val="clear" w:color="000000" w:fill="FFFFFF"/>
            <w:noWrap/>
            <w:vAlign w:val="center"/>
            <w:hideMark/>
          </w:tcPr>
          <w:p w14:paraId="3B420FAA"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144</w:t>
            </w:r>
          </w:p>
        </w:tc>
        <w:tc>
          <w:tcPr>
            <w:tcW w:w="992" w:type="dxa"/>
            <w:tcBorders>
              <w:top w:val="single" w:sz="8" w:space="0" w:color="auto"/>
              <w:left w:val="nil"/>
              <w:bottom w:val="single" w:sz="8" w:space="0" w:color="auto"/>
              <w:right w:val="nil"/>
            </w:tcBorders>
            <w:shd w:val="clear" w:color="000000" w:fill="FFFFFF"/>
            <w:noWrap/>
            <w:vAlign w:val="center"/>
            <w:hideMark/>
          </w:tcPr>
          <w:p w14:paraId="705FC9D1"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1,115</w:t>
            </w:r>
          </w:p>
        </w:tc>
        <w:tc>
          <w:tcPr>
            <w:tcW w:w="992" w:type="dxa"/>
            <w:tcBorders>
              <w:top w:val="single" w:sz="8" w:space="0" w:color="auto"/>
              <w:left w:val="nil"/>
              <w:bottom w:val="single" w:sz="8" w:space="0" w:color="auto"/>
              <w:right w:val="nil"/>
            </w:tcBorders>
            <w:shd w:val="clear" w:color="000000" w:fill="FFFFFF"/>
            <w:noWrap/>
            <w:vAlign w:val="center"/>
            <w:hideMark/>
          </w:tcPr>
          <w:p w14:paraId="25CE47B2"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1,115</w:t>
            </w:r>
          </w:p>
        </w:tc>
        <w:tc>
          <w:tcPr>
            <w:tcW w:w="1134" w:type="dxa"/>
            <w:tcBorders>
              <w:top w:val="single" w:sz="8" w:space="0" w:color="auto"/>
              <w:left w:val="nil"/>
              <w:bottom w:val="single" w:sz="8" w:space="0" w:color="auto"/>
              <w:right w:val="nil"/>
            </w:tcBorders>
            <w:shd w:val="clear" w:color="000000" w:fill="FFFFFF"/>
            <w:noWrap/>
            <w:vAlign w:val="center"/>
            <w:hideMark/>
          </w:tcPr>
          <w:p w14:paraId="75A13960"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19</w:t>
            </w:r>
          </w:p>
        </w:tc>
      </w:tr>
      <w:tr w:rsidR="000F13C3" w:rsidRPr="00406551" w14:paraId="38341533" w14:textId="77777777" w:rsidTr="00406551">
        <w:trPr>
          <w:trHeight w:val="831"/>
        </w:trPr>
        <w:tc>
          <w:tcPr>
            <w:tcW w:w="990" w:type="dxa"/>
            <w:tcBorders>
              <w:top w:val="single" w:sz="8" w:space="0" w:color="auto"/>
              <w:left w:val="nil"/>
              <w:bottom w:val="single" w:sz="8" w:space="0" w:color="auto"/>
              <w:right w:val="nil"/>
            </w:tcBorders>
            <w:shd w:val="clear" w:color="000000" w:fill="FFFFFF"/>
            <w:vAlign w:val="center"/>
          </w:tcPr>
          <w:p w14:paraId="433CBAAD" w14:textId="77777777" w:rsidR="00406551" w:rsidRPr="00406551" w:rsidRDefault="00406551" w:rsidP="00406551">
            <w:pPr>
              <w:spacing w:after="0" w:line="240" w:lineRule="auto"/>
              <w:jc w:val="center"/>
              <w:rPr>
                <w:rFonts w:eastAsia="Times New Roman" w:cstheme="minorHAnsi"/>
                <w:color w:val="000000"/>
                <w:sz w:val="18"/>
                <w:szCs w:val="18"/>
                <w:lang w:eastAsia="en-GB"/>
              </w:rPr>
            </w:pPr>
          </w:p>
        </w:tc>
        <w:tc>
          <w:tcPr>
            <w:tcW w:w="1276" w:type="dxa"/>
            <w:tcBorders>
              <w:top w:val="single" w:sz="8" w:space="0" w:color="auto"/>
              <w:left w:val="nil"/>
              <w:bottom w:val="single" w:sz="8" w:space="0" w:color="auto"/>
              <w:right w:val="nil"/>
            </w:tcBorders>
            <w:shd w:val="clear" w:color="000000" w:fill="FFFFFF"/>
            <w:noWrap/>
            <w:vAlign w:val="center"/>
            <w:hideMark/>
          </w:tcPr>
          <w:p w14:paraId="6A57975D" w14:textId="7A3B4C4F"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Yu et al</w:t>
            </w:r>
            <w:r w:rsidR="00475474">
              <w:rPr>
                <w:rFonts w:eastAsia="Times New Roman" w:cstheme="minorHAnsi"/>
                <w:color w:val="000000"/>
                <w:sz w:val="18"/>
                <w:szCs w:val="18"/>
                <w:lang w:eastAsia="en-GB"/>
              </w:rPr>
              <w:t xml:space="preserve"> </w:t>
            </w:r>
            <w:r w:rsidR="00837AA8">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10.1016/j.tmaid.2020.101809","ISBN":"1873-0442\r1477-8939","PMID":"32592904","author":[{"dropping-particle":"","family":"Yu","given":"Hong-Jie","non-dropping-particle":"","parse-names":false,"suffix":""},{"dropping-particle":"","family":"Hu","given":"Yong-Feng","non-dropping-particle":"","parse-names":false,"suffix":""},{"dropping-particle":"","family":"Liu","given":"Xiang-Xiang","non-dropping-particle":"","parse-names":false,"suffix":""},{"dropping-particle":"","family":"Yao","given":"Xi-Qing","non-dropping-particle":"","parse-names":false,"suffix":""},{"dropping-particle":"","family":"Wang","given":"Qi-Fa","non-dropping-particle":"","parse-names":false,"suffix":""},{"dropping-particle":"","family":"Liu","given":"Li-Ping","non-dropping-particle":"","parse-names":false,"suffix":""},{"dropping-particle":"","family":"Yang","given":"Dan","non-dropping-particle":"","parse-names":false,"suffix":""},{"dropping-particle":"","family":"Li","given":"De-Jia","non-dropping-particle":"","parse-names":false,"suffix":""},{"dropping-particle":"","family":"Wang","given":"Pei-Gang","non-dropping-particle":"","parse-names":false,"suffix":""},{"dropping-particle":"","family":"He","given":"Qi-Qiang","non-dropping-particle":"","parse-names":false,"suffix":""}],"container-title":"Travel medicine and infectious disease","id":"ITEM-1","issued":{"date-parts":[["2020"]]},"language":"eng","note":"32592904[pmid]\nPMC7311892[pmcid]\nS1477-8939(20)30305-7[PII]","page":"101809","publisher":"Elsevier Ltd.","title":"Household infection: The predominant risk factor for close contacts of patients with COVID-19","type":"article-journal","volume":"36"},"uris":["http://www.mendeley.com/documents/?uuid=b1f09280-3317-4036-8f04-4d1dd8aaea35"]}],"mendeley":{"formattedCitation":"[59]","plainTextFormattedCitation":"[59]","previouslyFormattedCitation":"[61]"},"properties":{"noteIndex":0},"schema":"https://github.com/citation-style-language/schema/raw/master/csl-citation.json"}</w:instrText>
            </w:r>
            <w:r w:rsidR="00837AA8">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[59]</w:t>
            </w:r>
            <w:r w:rsidR="00837AA8">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noWrap/>
            <w:vAlign w:val="center"/>
            <w:hideMark/>
          </w:tcPr>
          <w:p w14:paraId="3D56B9D4" w14:textId="77777777" w:rsidR="00406551" w:rsidRPr="00406551" w:rsidRDefault="00406551" w:rsidP="001A65C6">
            <w:pPr>
              <w:spacing w:after="0" w:line="240" w:lineRule="auto"/>
              <w:rPr>
                <w:rFonts w:eastAsia="Times New Roman" w:cstheme="minorHAnsi"/>
                <w:color w:val="000000"/>
                <w:sz w:val="18"/>
                <w:szCs w:val="18"/>
                <w:lang w:eastAsia="en-GB"/>
              </w:rPr>
            </w:pPr>
            <w:proofErr w:type="spellStart"/>
            <w:r w:rsidRPr="00406551">
              <w:rPr>
                <w:rFonts w:eastAsia="Times New Roman" w:cstheme="minorHAnsi"/>
                <w:color w:val="000000"/>
                <w:sz w:val="18"/>
                <w:szCs w:val="18"/>
                <w:lang w:eastAsia="en-GB"/>
              </w:rPr>
              <w:t>Xinzhou</w:t>
            </w:r>
            <w:proofErr w:type="spellEnd"/>
          </w:p>
        </w:tc>
        <w:tc>
          <w:tcPr>
            <w:tcW w:w="850" w:type="dxa"/>
            <w:tcBorders>
              <w:top w:val="single" w:sz="8" w:space="0" w:color="auto"/>
              <w:left w:val="nil"/>
              <w:bottom w:val="single" w:sz="8" w:space="0" w:color="auto"/>
              <w:right w:val="nil"/>
            </w:tcBorders>
            <w:shd w:val="clear" w:color="000000" w:fill="FFFFFF"/>
            <w:noWrap/>
            <w:vAlign w:val="center"/>
            <w:hideMark/>
          </w:tcPr>
          <w:p w14:paraId="4323DB33"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single" w:sz="8" w:space="0" w:color="auto"/>
              <w:right w:val="nil"/>
            </w:tcBorders>
            <w:shd w:val="clear" w:color="000000" w:fill="FFFFFF"/>
            <w:vAlign w:val="center"/>
            <w:hideMark/>
          </w:tcPr>
          <w:p w14:paraId="519CFD8E"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8" w:space="0" w:color="auto"/>
              <w:left w:val="nil"/>
              <w:bottom w:val="single" w:sz="8" w:space="0" w:color="auto"/>
              <w:right w:val="nil"/>
            </w:tcBorders>
            <w:shd w:val="clear" w:color="auto" w:fill="auto"/>
            <w:vAlign w:val="center"/>
            <w:hideMark/>
          </w:tcPr>
          <w:p w14:paraId="0EB81C1D" w14:textId="76E91E0B"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Close contacts defined as those who shared meals, </w:t>
            </w:r>
            <w:r w:rsidR="00BD3EA7" w:rsidRPr="00406551">
              <w:rPr>
                <w:rFonts w:eastAsia="Times New Roman" w:cstheme="minorHAnsi"/>
                <w:color w:val="000000"/>
                <w:sz w:val="18"/>
                <w:szCs w:val="18"/>
                <w:lang w:eastAsia="en-GB"/>
              </w:rPr>
              <w:t>travelled,</w:t>
            </w:r>
            <w:r w:rsidRPr="00406551">
              <w:rPr>
                <w:rFonts w:eastAsia="Times New Roman" w:cstheme="minorHAnsi"/>
                <w:color w:val="000000"/>
                <w:sz w:val="18"/>
                <w:szCs w:val="18"/>
                <w:lang w:eastAsia="en-GB"/>
              </w:rPr>
              <w:t xml:space="preserve"> or had social interactions with a confirmed case two days before symptom onset</w:t>
            </w:r>
          </w:p>
        </w:tc>
        <w:tc>
          <w:tcPr>
            <w:tcW w:w="1276" w:type="dxa"/>
            <w:tcBorders>
              <w:top w:val="single" w:sz="8" w:space="0" w:color="auto"/>
              <w:left w:val="nil"/>
              <w:bottom w:val="single" w:sz="8" w:space="0" w:color="auto"/>
              <w:right w:val="nil"/>
            </w:tcBorders>
            <w:shd w:val="clear" w:color="000000" w:fill="FFFFFF"/>
            <w:noWrap/>
            <w:vAlign w:val="center"/>
            <w:hideMark/>
          </w:tcPr>
          <w:p w14:paraId="481B2AC0" w14:textId="50603175" w:rsidR="00406551" w:rsidRPr="00406551" w:rsidRDefault="00475474" w:rsidP="001A65C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u</w:t>
            </w:r>
            <w:r w:rsidR="00406551" w:rsidRPr="00406551">
              <w:rPr>
                <w:rFonts w:eastAsia="Times New Roman" w:cstheme="minorHAnsi"/>
                <w:sz w:val="18"/>
                <w:szCs w:val="18"/>
                <w:lang w:eastAsia="en-GB"/>
              </w:rPr>
              <w:t>nclear</w:t>
            </w:r>
          </w:p>
        </w:tc>
        <w:tc>
          <w:tcPr>
            <w:tcW w:w="992" w:type="dxa"/>
            <w:tcBorders>
              <w:top w:val="single" w:sz="8" w:space="0" w:color="auto"/>
              <w:left w:val="nil"/>
              <w:bottom w:val="single" w:sz="8" w:space="0" w:color="auto"/>
              <w:right w:val="nil"/>
            </w:tcBorders>
            <w:shd w:val="clear" w:color="000000" w:fill="FFFFFF"/>
            <w:noWrap/>
            <w:vAlign w:val="center"/>
            <w:hideMark/>
          </w:tcPr>
          <w:p w14:paraId="5543D3A7" w14:textId="2F0020FC" w:rsidR="00406551" w:rsidRPr="00406551" w:rsidRDefault="00475474" w:rsidP="001A65C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u</w:t>
            </w:r>
            <w:r w:rsidR="00406551" w:rsidRPr="00406551">
              <w:rPr>
                <w:rFonts w:eastAsia="Times New Roman" w:cstheme="minorHAnsi"/>
                <w:sz w:val="18"/>
                <w:szCs w:val="18"/>
                <w:lang w:eastAsia="en-GB"/>
              </w:rPr>
              <w:t>nclear</w:t>
            </w:r>
          </w:p>
        </w:tc>
        <w:tc>
          <w:tcPr>
            <w:tcW w:w="851" w:type="dxa"/>
            <w:tcBorders>
              <w:top w:val="single" w:sz="8" w:space="0" w:color="auto"/>
              <w:left w:val="nil"/>
              <w:bottom w:val="single" w:sz="8" w:space="0" w:color="auto"/>
              <w:right w:val="nil"/>
            </w:tcBorders>
            <w:shd w:val="clear" w:color="000000" w:fill="FFFFFF"/>
            <w:noWrap/>
            <w:vAlign w:val="center"/>
            <w:hideMark/>
          </w:tcPr>
          <w:p w14:paraId="261B8795" w14:textId="77777777" w:rsidR="00406551" w:rsidRPr="00406551" w:rsidRDefault="00406551" w:rsidP="001A65C6">
            <w:pPr>
              <w:spacing w:after="0" w:line="240" w:lineRule="auto"/>
              <w:jc w:val="right"/>
              <w:rPr>
                <w:rFonts w:eastAsia="Times New Roman" w:cstheme="minorHAnsi"/>
                <w:sz w:val="18"/>
                <w:szCs w:val="18"/>
                <w:lang w:eastAsia="en-GB"/>
              </w:rPr>
            </w:pPr>
            <w:r w:rsidRPr="00406551">
              <w:rPr>
                <w:rFonts w:eastAsia="Times New Roman" w:cstheme="minorHAnsi"/>
                <w:sz w:val="18"/>
                <w:szCs w:val="18"/>
                <w:lang w:eastAsia="en-GB"/>
              </w:rPr>
              <w:t>560</w:t>
            </w:r>
          </w:p>
        </w:tc>
        <w:tc>
          <w:tcPr>
            <w:tcW w:w="992" w:type="dxa"/>
            <w:tcBorders>
              <w:top w:val="single" w:sz="8" w:space="0" w:color="auto"/>
              <w:left w:val="nil"/>
              <w:bottom w:val="single" w:sz="8" w:space="0" w:color="auto"/>
              <w:right w:val="nil"/>
            </w:tcBorders>
            <w:shd w:val="clear" w:color="000000" w:fill="FFFFFF"/>
            <w:noWrap/>
            <w:vAlign w:val="center"/>
            <w:hideMark/>
          </w:tcPr>
          <w:p w14:paraId="092D37C6"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170</w:t>
            </w:r>
          </w:p>
        </w:tc>
        <w:tc>
          <w:tcPr>
            <w:tcW w:w="992" w:type="dxa"/>
            <w:tcBorders>
              <w:top w:val="single" w:sz="8" w:space="0" w:color="auto"/>
              <w:left w:val="nil"/>
              <w:bottom w:val="single" w:sz="8" w:space="0" w:color="auto"/>
              <w:right w:val="nil"/>
            </w:tcBorders>
            <w:shd w:val="clear" w:color="000000" w:fill="FFFFFF"/>
            <w:noWrap/>
            <w:vAlign w:val="center"/>
            <w:hideMark/>
          </w:tcPr>
          <w:p w14:paraId="26C155D6"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Unclear</w:t>
            </w:r>
          </w:p>
        </w:tc>
        <w:tc>
          <w:tcPr>
            <w:tcW w:w="1134" w:type="dxa"/>
            <w:tcBorders>
              <w:top w:val="single" w:sz="8" w:space="0" w:color="auto"/>
              <w:left w:val="nil"/>
              <w:bottom w:val="single" w:sz="8" w:space="0" w:color="auto"/>
              <w:right w:val="nil"/>
            </w:tcBorders>
            <w:shd w:val="clear" w:color="000000" w:fill="FFFFFF"/>
            <w:noWrap/>
            <w:vAlign w:val="center"/>
            <w:hideMark/>
          </w:tcPr>
          <w:p w14:paraId="6206C157"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3</w:t>
            </w:r>
          </w:p>
        </w:tc>
      </w:tr>
      <w:tr w:rsidR="000F13C3" w:rsidRPr="00406551" w14:paraId="51D76479" w14:textId="77777777" w:rsidTr="00406551">
        <w:trPr>
          <w:trHeight w:val="677"/>
        </w:trPr>
        <w:tc>
          <w:tcPr>
            <w:tcW w:w="990" w:type="dxa"/>
            <w:tcBorders>
              <w:top w:val="single" w:sz="8" w:space="0" w:color="auto"/>
              <w:left w:val="nil"/>
              <w:bottom w:val="single" w:sz="8" w:space="0" w:color="auto"/>
              <w:right w:val="nil"/>
            </w:tcBorders>
            <w:shd w:val="clear" w:color="000000" w:fill="FFFFFF"/>
            <w:vAlign w:val="center"/>
          </w:tcPr>
          <w:p w14:paraId="06F0EBB0" w14:textId="6D969F01" w:rsidR="00406551" w:rsidRPr="00406551" w:rsidRDefault="00CF693C" w:rsidP="00406551">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5</w:t>
            </w:r>
            <w:r w:rsidR="00AA5DCE">
              <w:rPr>
                <w:rFonts w:eastAsia="Times New Roman" w:cstheme="minorHAnsi"/>
                <w:color w:val="000000"/>
                <w:sz w:val="18"/>
                <w:szCs w:val="18"/>
                <w:lang w:eastAsia="en-GB"/>
              </w:rPr>
              <w:t>4</w:t>
            </w:r>
          </w:p>
        </w:tc>
        <w:tc>
          <w:tcPr>
            <w:tcW w:w="1276" w:type="dxa"/>
            <w:tcBorders>
              <w:top w:val="single" w:sz="8" w:space="0" w:color="auto"/>
              <w:left w:val="nil"/>
              <w:bottom w:val="single" w:sz="8" w:space="0" w:color="auto"/>
              <w:right w:val="nil"/>
            </w:tcBorders>
            <w:shd w:val="clear" w:color="000000" w:fill="FFFFFF"/>
            <w:noWrap/>
            <w:vAlign w:val="center"/>
            <w:hideMark/>
          </w:tcPr>
          <w:p w14:paraId="411E2343" w14:textId="67670CAE"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Zhang et al</w:t>
            </w:r>
            <w:r w:rsidR="00A35ED1">
              <w:rPr>
                <w:rFonts w:eastAsia="Times New Roman" w:cstheme="minorHAnsi"/>
                <w:color w:val="000000"/>
                <w:sz w:val="18"/>
                <w:szCs w:val="18"/>
                <w:lang w:eastAsia="en-GB"/>
              </w:rPr>
              <w:t xml:space="preserve"> </w:t>
            </w:r>
            <w:r w:rsidR="00A35ED1">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{"citationItems":[{"id":"ITEM-1","itemData":{"DOI":"10.1093/cid/ciaa771","ISBN":"1058-4838 (Print)\r1058-4838","PMID":"32544949","author":[{"dropping-particle":"","family":"Zhang","given":"H J","non-dropping-particle":"","parse-names":false,"suffix":""},{"dropping-particle":"","family":"Su","given":"Y Y","non-dropping-particle":"","parse-names":false,"suffix":""},{"dropping-particle":"","family":"Xu","given":"S L","non-dropping-particle":"","parse-names":false,"suffix":""},{"dropping-particle":"","family":"Chen","given":"G Q","non-dropping-particle":"","parse-names":false,"suffix":""},{"dropping-particle":"","family":"Li","given":"C C","non-dropping-particle":"","parse-names":false,"suffix":""},{"dropping-particle":"","family":"Jiang","given":"R J","non-dropping-particle":"","parse-names":false,"suffix":""},{"dropping-particle":"","family":"Liu","given":"R H","non-dropping-particle":"","parse-names":false,"suffix":""},{"dropping-particle":"","family":"Ge","given":"S X","non-dropping-particle":"","parse-names":false,"suffix":""},{"dropping-particle":"","family":"Zhang","given":"J","non-dropping-particle":"","parse-names":false,"suffix":""},{"dropping-particle":"","family":"Xia","given":"N S","non-dropping-particle":"","parse-names":false,"suffix":""},{"dropping-particle":"","family":"Quan","given":"T","non-dropping-particle":"","parse-names":false,"suffix":""}],"container-title":"Clin Infect Dis","edition":"2020/06/17","id":"ITEM-1","issued":{"date-parts":[["2020"]]},"language":"eng","note":"1537-6591\nZhang, Hong-Jun\nSu, Ying-Ying\nXu, Shi-Lin\nChen, Guo-Qing\nLi, Chang-Cheng\nJiang, Ren-Jie\nLiu, Rong-Hai\nGe, Sheng-Xiang\nZhang, Jun\nXia, Ning-Shao\nQuan, Tang\nJournal Article\nClin Infect Dis. 2020 Jun 16:ciaa771. doi: 10.1093/cid/ciaa771.","title":"Asymptomatic and symptomatic SARS-CoV-2 infections in close contacts of COVID-19 patients: a seroepidemiological study","type":"article-journal"},"uris":["http://www.mendeley.com/documents/?uuid=c8788ba5-245f-4047-8606-fa9a7e4175d4"]}],"mendeley":{"formattedCitation":"[100]","plainTextFormattedCitation":"[100]","previouslyFormattedCitation":"[102]"},"properties":{"noteIndex":0},"schema":"https://github.com/citation-style-language/schema/raw/master/csl-citation.json"}</w:instrText>
            </w:r>
            <w:r w:rsidR="00A35ED1">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[100]</w:t>
            </w:r>
            <w:r w:rsidR="00A35ED1">
              <w:rPr>
                <w:rFonts w:eastAsia="Times New Roman" w:cstheme="minorHAnsi"/>
                <w:color w:val="000000"/>
                <w:sz w:val="18"/>
                <w:szCs w:val="18"/>
                <w:lang w:eastAsia="en-GB"/>
              </w:rPr>
              <w:fldChar w:fldCharType="end"/>
            </w:r>
          </w:p>
        </w:tc>
        <w:tc>
          <w:tcPr>
            <w:tcW w:w="1134" w:type="dxa"/>
            <w:tcBorders>
              <w:top w:val="single" w:sz="8" w:space="0" w:color="auto"/>
              <w:left w:val="nil"/>
              <w:bottom w:val="single" w:sz="8" w:space="0" w:color="auto"/>
              <w:right w:val="nil"/>
            </w:tcBorders>
            <w:shd w:val="clear" w:color="000000" w:fill="FFFFFF"/>
            <w:noWrap/>
            <w:vAlign w:val="center"/>
            <w:hideMark/>
          </w:tcPr>
          <w:p w14:paraId="3C3BA419" w14:textId="77777777" w:rsidR="00406551" w:rsidRPr="00406551" w:rsidRDefault="00406551" w:rsidP="001A65C6">
            <w:pPr>
              <w:spacing w:after="0" w:line="240" w:lineRule="auto"/>
              <w:rPr>
                <w:rFonts w:eastAsia="Times New Roman" w:cstheme="minorHAnsi"/>
                <w:color w:val="000000"/>
                <w:sz w:val="18"/>
                <w:szCs w:val="18"/>
                <w:lang w:eastAsia="en-GB"/>
              </w:rPr>
            </w:pPr>
            <w:proofErr w:type="spellStart"/>
            <w:r w:rsidRPr="00406551">
              <w:rPr>
                <w:rFonts w:eastAsia="Times New Roman" w:cstheme="minorHAnsi"/>
                <w:color w:val="000000"/>
                <w:sz w:val="18"/>
                <w:szCs w:val="18"/>
                <w:lang w:eastAsia="en-GB"/>
              </w:rPr>
              <w:t>Yancheng</w:t>
            </w:r>
            <w:proofErr w:type="spellEnd"/>
          </w:p>
        </w:tc>
        <w:tc>
          <w:tcPr>
            <w:tcW w:w="850" w:type="dxa"/>
            <w:tcBorders>
              <w:top w:val="single" w:sz="8" w:space="0" w:color="auto"/>
              <w:left w:val="nil"/>
              <w:bottom w:val="single" w:sz="8" w:space="0" w:color="auto"/>
              <w:right w:val="nil"/>
            </w:tcBorders>
            <w:shd w:val="clear" w:color="000000" w:fill="FFFFFF"/>
            <w:noWrap/>
            <w:vAlign w:val="center"/>
            <w:hideMark/>
          </w:tcPr>
          <w:p w14:paraId="571315FE"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single" w:sz="8" w:space="0" w:color="auto"/>
              <w:right w:val="nil"/>
            </w:tcBorders>
            <w:shd w:val="clear" w:color="auto" w:fill="auto"/>
            <w:vAlign w:val="center"/>
            <w:hideMark/>
          </w:tcPr>
          <w:p w14:paraId="123F92FC"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Surveillance and contact tracing</w:t>
            </w:r>
          </w:p>
        </w:tc>
        <w:tc>
          <w:tcPr>
            <w:tcW w:w="3263" w:type="dxa"/>
            <w:tcBorders>
              <w:top w:val="single" w:sz="8" w:space="0" w:color="auto"/>
              <w:left w:val="nil"/>
              <w:bottom w:val="single" w:sz="8" w:space="0" w:color="auto"/>
              <w:right w:val="nil"/>
            </w:tcBorders>
            <w:shd w:val="clear" w:color="000000" w:fill="FFFFFF"/>
            <w:noWrap/>
            <w:vAlign w:val="center"/>
            <w:hideMark/>
          </w:tcPr>
          <w:p w14:paraId="2BF67BA1"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Close contacts of an index case</w:t>
            </w:r>
          </w:p>
        </w:tc>
        <w:tc>
          <w:tcPr>
            <w:tcW w:w="1276" w:type="dxa"/>
            <w:tcBorders>
              <w:top w:val="single" w:sz="8" w:space="0" w:color="auto"/>
              <w:left w:val="nil"/>
              <w:bottom w:val="single" w:sz="8" w:space="0" w:color="auto"/>
              <w:right w:val="nil"/>
            </w:tcBorders>
            <w:shd w:val="clear" w:color="000000" w:fill="FFFFFF"/>
            <w:noWrap/>
            <w:vAlign w:val="center"/>
            <w:hideMark/>
          </w:tcPr>
          <w:p w14:paraId="29F19E2A" w14:textId="3E7B124B" w:rsidR="00406551" w:rsidRPr="00406551" w:rsidRDefault="00475474" w:rsidP="001A65C6">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a</w:t>
            </w:r>
            <w:r w:rsidR="00406551" w:rsidRPr="00406551">
              <w:rPr>
                <w:rFonts w:eastAsia="Times New Roman" w:cstheme="minorHAnsi"/>
                <w:color w:val="000000"/>
                <w:sz w:val="18"/>
                <w:szCs w:val="18"/>
                <w:lang w:eastAsia="en-GB"/>
              </w:rPr>
              <w:t>ll</w:t>
            </w:r>
          </w:p>
        </w:tc>
        <w:tc>
          <w:tcPr>
            <w:tcW w:w="992" w:type="dxa"/>
            <w:tcBorders>
              <w:top w:val="single" w:sz="8" w:space="0" w:color="auto"/>
              <w:left w:val="nil"/>
              <w:bottom w:val="single" w:sz="8" w:space="0" w:color="auto"/>
              <w:right w:val="nil"/>
            </w:tcBorders>
            <w:shd w:val="clear" w:color="000000" w:fill="FFFFFF"/>
            <w:vAlign w:val="center"/>
            <w:hideMark/>
          </w:tcPr>
          <w:p w14:paraId="354D8075"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 and serology</w:t>
            </w:r>
          </w:p>
        </w:tc>
        <w:tc>
          <w:tcPr>
            <w:tcW w:w="851" w:type="dxa"/>
            <w:tcBorders>
              <w:top w:val="single" w:sz="8" w:space="0" w:color="auto"/>
              <w:left w:val="nil"/>
              <w:bottom w:val="single" w:sz="8" w:space="0" w:color="auto"/>
              <w:right w:val="nil"/>
            </w:tcBorders>
            <w:shd w:val="clear" w:color="000000" w:fill="FFFFFF"/>
            <w:vAlign w:val="center"/>
            <w:hideMark/>
          </w:tcPr>
          <w:p w14:paraId="7945E21D"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14</w:t>
            </w:r>
          </w:p>
        </w:tc>
        <w:tc>
          <w:tcPr>
            <w:tcW w:w="992" w:type="dxa"/>
            <w:tcBorders>
              <w:top w:val="single" w:sz="8" w:space="0" w:color="auto"/>
              <w:left w:val="nil"/>
              <w:bottom w:val="single" w:sz="8" w:space="0" w:color="auto"/>
              <w:right w:val="nil"/>
            </w:tcBorders>
            <w:shd w:val="clear" w:color="000000" w:fill="FFFFFF"/>
            <w:noWrap/>
            <w:vAlign w:val="center"/>
            <w:hideMark/>
          </w:tcPr>
          <w:p w14:paraId="09007C08"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274</w:t>
            </w:r>
          </w:p>
        </w:tc>
        <w:tc>
          <w:tcPr>
            <w:tcW w:w="992" w:type="dxa"/>
            <w:tcBorders>
              <w:top w:val="single" w:sz="8" w:space="0" w:color="auto"/>
              <w:left w:val="nil"/>
              <w:bottom w:val="single" w:sz="8" w:space="0" w:color="auto"/>
              <w:right w:val="nil"/>
            </w:tcBorders>
            <w:shd w:val="clear" w:color="000000" w:fill="FFFFFF"/>
            <w:noWrap/>
            <w:vAlign w:val="center"/>
            <w:hideMark/>
          </w:tcPr>
          <w:p w14:paraId="72A2FE5E"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274</w:t>
            </w:r>
          </w:p>
        </w:tc>
        <w:tc>
          <w:tcPr>
            <w:tcW w:w="1134" w:type="dxa"/>
            <w:tcBorders>
              <w:top w:val="single" w:sz="8" w:space="0" w:color="auto"/>
              <w:left w:val="nil"/>
              <w:bottom w:val="single" w:sz="8" w:space="0" w:color="auto"/>
              <w:right w:val="nil"/>
            </w:tcBorders>
            <w:shd w:val="clear" w:color="000000" w:fill="FFFFFF"/>
            <w:noWrap/>
            <w:vAlign w:val="center"/>
            <w:hideMark/>
          </w:tcPr>
          <w:p w14:paraId="72055694"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10</w:t>
            </w:r>
          </w:p>
        </w:tc>
      </w:tr>
      <w:tr w:rsidR="004E7F1D" w:rsidRPr="00406551" w14:paraId="517DF815" w14:textId="77777777" w:rsidTr="00406551">
        <w:trPr>
          <w:trHeight w:val="786"/>
        </w:trPr>
        <w:tc>
          <w:tcPr>
            <w:tcW w:w="990" w:type="dxa"/>
            <w:tcBorders>
              <w:top w:val="single" w:sz="8" w:space="0" w:color="auto"/>
              <w:left w:val="nil"/>
              <w:bottom w:val="single" w:sz="18" w:space="0" w:color="auto"/>
              <w:right w:val="nil"/>
            </w:tcBorders>
            <w:shd w:val="clear" w:color="000000" w:fill="FFFFFF"/>
            <w:vAlign w:val="center"/>
          </w:tcPr>
          <w:p w14:paraId="5821F026" w14:textId="2768739D" w:rsidR="00406551" w:rsidRPr="00406551" w:rsidRDefault="00784EAC" w:rsidP="00406551">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2</w:t>
            </w:r>
            <w:r w:rsidR="0040492A">
              <w:rPr>
                <w:rFonts w:eastAsia="Times New Roman" w:cstheme="minorHAnsi"/>
                <w:color w:val="000000"/>
                <w:sz w:val="18"/>
                <w:szCs w:val="18"/>
                <w:lang w:eastAsia="en-GB"/>
              </w:rPr>
              <w:t>6</w:t>
            </w:r>
          </w:p>
        </w:tc>
        <w:tc>
          <w:tcPr>
            <w:tcW w:w="1276" w:type="dxa"/>
            <w:tcBorders>
              <w:top w:val="single" w:sz="8" w:space="0" w:color="auto"/>
              <w:left w:val="nil"/>
              <w:bottom w:val="single" w:sz="18" w:space="0" w:color="auto"/>
              <w:right w:val="nil"/>
            </w:tcBorders>
            <w:shd w:val="clear" w:color="000000" w:fill="FFFFFF"/>
            <w:noWrap/>
            <w:vAlign w:val="center"/>
            <w:hideMark/>
          </w:tcPr>
          <w:p w14:paraId="4F3667C6" w14:textId="645725BF"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Zhang et al</w:t>
            </w:r>
            <w:r w:rsidR="00784EAC">
              <w:rPr>
                <w:rFonts w:eastAsia="Times New Roman" w:cstheme="minorHAnsi"/>
                <w:color w:val="000000"/>
                <w:sz w:val="18"/>
                <w:szCs w:val="18"/>
                <w:lang w:eastAsia="en-GB"/>
              </w:rPr>
              <w:t xml:space="preserve"> </w:t>
            </w:r>
            <w:r w:rsidR="00784EAC">
              <w:rPr>
                <w:rFonts w:eastAsia="Times New Roman" w:cstheme="minorHAnsi"/>
                <w:color w:val="000000"/>
                <w:sz w:val="18"/>
                <w:szCs w:val="18"/>
                <w:lang w:eastAsia="en-GB"/>
              </w:rPr>
              <w:fldChar w:fldCharType="begin" w:fldLock="1"/>
            </w:r>
            <w:r w:rsidR="001B3AB4">
              <w:rPr>
                <w:rFonts w:eastAsia="Times New Roman" w:cstheme="minorHAnsi"/>
                <w:color w:val="000000"/>
                <w:sz w:val="18"/>
                <w:szCs w:val="18"/>
                <w:lang w:eastAsia="en-GB"/>
              </w:rPr>
              <w:instrText>ADDIN CSL_CITATION {"citationItems":[{"id":"ITEM-1","itemData":{"DOI":"10.1126/science.abb8001","abstract":"The coronavirus 2019 (COVID-19) pandemic has brought tighter restrictions on the daily lives of millions of people, but we do not yet understand what measures are the most effective. Zhang et al. modeled virus transmission in Wuhan, China, in February 2020, investigating the effects of interventions ranging from patient management to social isolation. Age-mixing patterns were estimated by contact surveys conducted in Wuhan and Shanghai at the beginning of February 2020. Once people reduced their average daily contacts from 14 to 20 down to 2, transmission rapidly fell below the epidemic threshold. The model also showed that preemptive school closures helped to reduce transmission, although alone they would not prevent a COVID-19 outbreak. Limiting human mixing to within households appeared to be the most effective measure.Science, this issue p. 1481Intense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 Although proactive school closures cannot interrupt transmission on their own, they can reduce peak incidence by 40 to 60% and delay the epidemic.","author":[{"dropping-particle":"","family":"Zhang","given":"Juanjuan","non-dropping-particle":"","parse-names":false,"suffix":""},{"dropping-particle":"","family":"Litvinova","given":"Maria","non-dropping-particle":"","parse-names":false,"suffix":""},{"dropping-particle":"","family":"Liang","given":"Yuxia","non-dropping-particle":"","parse-names":false,"suffix":""},{"dropping-particle":"","family":"Wang","given":"Yan","non-dropping-particle":"","parse-names":false,"suffix":""},{"dropping-particle":"","family":"Wang","given":"Wei","non-dropping-particle":"","parse-names":false,"suffix":""},{"dropping-particle":"","family":"Zhao","given":"Shanlu","non-dropping-particle":"","parse-names":false,"suffix":""},{"dropping-particle":"","family":"Wu","given":"Qianhui","non-dropping-particle":"","parse-names":false,"suffix":""},{"dropping-particle":"","family":"Merler","given":"Stefano","non-dropping-particle":"","parse-names":false,"suffix":""},{"dropping-particle":"","family":"Viboud","given":"Cécile","non-dropping-particle":"","parse-names":false,"suffix":""},{"dropping-particle":"","family":"Vespignani","given":"Alessandro","non-dropping-particle":"","parse-names":false,"suffix":""},{"dropping-particle":"","family":"Ajelli","given":"Marco","non-dropping-particle":"","parse-names":false,"suffix":""},{"dropping-particle":"","family":"Yu","given":"Hongjie","non-dropping-particle":"","parse-names":false,"suffix":""}],"container-title":"Science","id":"ITEM-1","issue":"6498","issued":{"date-parts":[["2020"]]},"page":"1481-1486","title":"Changes in contact patterns shape the dynamics of the COVID-19 outbreak in China","type":"article-journal","volume":"368"},"uris":["http://www.mendeley.com/documents/?uuid=b9300627-c650-42e9-83b0-3a26afbc8c23"]}],"mendeley":{"formattedCitation":"[63]","plainTextFormattedCitation":"[63]","previouslyFormattedCitation":"[65]"},"properties":{"noteIndex":0},"schema":"https://github.com/citation-style-language/schema/raw/master/csl-citation.json"}</w:instrText>
            </w:r>
            <w:r w:rsidR="00784EAC">
              <w:rPr>
                <w:rFonts w:eastAsia="Times New Roman" w:cstheme="minorHAnsi"/>
                <w:color w:val="000000"/>
                <w:sz w:val="18"/>
                <w:szCs w:val="18"/>
                <w:lang w:eastAsia="en-GB"/>
              </w:rPr>
              <w:fldChar w:fldCharType="separate"/>
            </w:r>
            <w:r w:rsidR="001B3AB4" w:rsidRPr="001B3AB4">
              <w:rPr>
                <w:rFonts w:eastAsia="Times New Roman" w:cstheme="minorHAnsi"/>
                <w:noProof/>
                <w:color w:val="000000"/>
                <w:sz w:val="18"/>
                <w:szCs w:val="18"/>
                <w:lang w:eastAsia="en-GB"/>
              </w:rPr>
              <w:t>[63]</w:t>
            </w:r>
            <w:r w:rsidR="00784EAC">
              <w:rPr>
                <w:rFonts w:eastAsia="Times New Roman" w:cstheme="minorHAnsi"/>
                <w:color w:val="000000"/>
                <w:sz w:val="18"/>
                <w:szCs w:val="18"/>
                <w:lang w:eastAsia="en-GB"/>
              </w:rPr>
              <w:fldChar w:fldCharType="end"/>
            </w:r>
          </w:p>
        </w:tc>
        <w:tc>
          <w:tcPr>
            <w:tcW w:w="1134" w:type="dxa"/>
            <w:tcBorders>
              <w:top w:val="single" w:sz="8" w:space="0" w:color="auto"/>
              <w:left w:val="nil"/>
              <w:bottom w:val="single" w:sz="18" w:space="0" w:color="auto"/>
              <w:right w:val="nil"/>
            </w:tcBorders>
            <w:shd w:val="clear" w:color="000000" w:fill="FFFFFF"/>
            <w:noWrap/>
            <w:vAlign w:val="center"/>
            <w:hideMark/>
          </w:tcPr>
          <w:p w14:paraId="7537ED65"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Hunan</w:t>
            </w:r>
          </w:p>
        </w:tc>
        <w:tc>
          <w:tcPr>
            <w:tcW w:w="850" w:type="dxa"/>
            <w:tcBorders>
              <w:top w:val="single" w:sz="8" w:space="0" w:color="auto"/>
              <w:left w:val="nil"/>
              <w:bottom w:val="single" w:sz="18" w:space="0" w:color="auto"/>
              <w:right w:val="nil"/>
            </w:tcBorders>
            <w:shd w:val="clear" w:color="000000" w:fill="FFFFFF"/>
            <w:noWrap/>
            <w:vAlign w:val="center"/>
            <w:hideMark/>
          </w:tcPr>
          <w:p w14:paraId="7D9B2D0E"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China</w:t>
            </w:r>
          </w:p>
        </w:tc>
        <w:tc>
          <w:tcPr>
            <w:tcW w:w="1843" w:type="dxa"/>
            <w:tcBorders>
              <w:top w:val="single" w:sz="8" w:space="0" w:color="auto"/>
              <w:left w:val="nil"/>
              <w:bottom w:val="single" w:sz="18" w:space="0" w:color="auto"/>
              <w:right w:val="nil"/>
            </w:tcBorders>
            <w:shd w:val="clear" w:color="000000" w:fill="FFFFFF"/>
            <w:vAlign w:val="center"/>
            <w:hideMark/>
          </w:tcPr>
          <w:p w14:paraId="451C6B8B" w14:textId="77777777"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 xml:space="preserve">Surveillance and contact tracing </w:t>
            </w:r>
          </w:p>
        </w:tc>
        <w:tc>
          <w:tcPr>
            <w:tcW w:w="3263" w:type="dxa"/>
            <w:tcBorders>
              <w:top w:val="single" w:sz="8" w:space="0" w:color="auto"/>
              <w:left w:val="nil"/>
              <w:bottom w:val="single" w:sz="18" w:space="0" w:color="auto"/>
              <w:right w:val="nil"/>
            </w:tcBorders>
            <w:shd w:val="clear" w:color="000000" w:fill="FFFFFF"/>
            <w:vAlign w:val="center"/>
            <w:hideMark/>
          </w:tcPr>
          <w:p w14:paraId="6E569E44" w14:textId="79BCB0D2" w:rsidR="00406551" w:rsidRPr="00406551" w:rsidRDefault="00406551" w:rsidP="001A65C6">
            <w:pPr>
              <w:spacing w:after="0" w:line="240" w:lineRule="auto"/>
              <w:rPr>
                <w:rFonts w:eastAsia="Times New Roman" w:cstheme="minorHAnsi"/>
                <w:color w:val="000000"/>
                <w:sz w:val="18"/>
                <w:szCs w:val="18"/>
                <w:lang w:eastAsia="en-GB"/>
              </w:rPr>
            </w:pPr>
            <w:r w:rsidRPr="00406551">
              <w:rPr>
                <w:rFonts w:eastAsia="Times New Roman" w:cstheme="minorHAnsi"/>
                <w:color w:val="000000"/>
                <w:sz w:val="18"/>
                <w:szCs w:val="18"/>
                <w:lang w:eastAsia="en-GB"/>
              </w:rPr>
              <w:t>Other contacts of a confirmed case - other refers to non-household, non-healthcare, and nontravel related</w:t>
            </w:r>
          </w:p>
        </w:tc>
        <w:tc>
          <w:tcPr>
            <w:tcW w:w="1276" w:type="dxa"/>
            <w:tcBorders>
              <w:top w:val="single" w:sz="8" w:space="0" w:color="auto"/>
              <w:left w:val="nil"/>
              <w:bottom w:val="single" w:sz="18" w:space="0" w:color="auto"/>
              <w:right w:val="nil"/>
            </w:tcBorders>
            <w:shd w:val="clear" w:color="000000" w:fill="FFFFFF"/>
            <w:noWrap/>
            <w:vAlign w:val="center"/>
            <w:hideMark/>
          </w:tcPr>
          <w:p w14:paraId="0C0290B1"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all</w:t>
            </w:r>
          </w:p>
        </w:tc>
        <w:tc>
          <w:tcPr>
            <w:tcW w:w="992" w:type="dxa"/>
            <w:tcBorders>
              <w:top w:val="single" w:sz="8" w:space="0" w:color="auto"/>
              <w:left w:val="nil"/>
              <w:bottom w:val="single" w:sz="18" w:space="0" w:color="auto"/>
              <w:right w:val="nil"/>
            </w:tcBorders>
            <w:shd w:val="clear" w:color="000000" w:fill="FFFFFF"/>
            <w:noWrap/>
            <w:vAlign w:val="center"/>
            <w:hideMark/>
          </w:tcPr>
          <w:p w14:paraId="59757EB0" w14:textId="77777777" w:rsidR="00406551" w:rsidRPr="00406551" w:rsidRDefault="00406551" w:rsidP="001A65C6">
            <w:pPr>
              <w:spacing w:after="0" w:line="240" w:lineRule="auto"/>
              <w:jc w:val="center"/>
              <w:rPr>
                <w:rFonts w:eastAsia="Times New Roman" w:cstheme="minorHAnsi"/>
                <w:color w:val="000000"/>
                <w:sz w:val="18"/>
                <w:szCs w:val="18"/>
                <w:lang w:eastAsia="en-GB"/>
              </w:rPr>
            </w:pPr>
            <w:r w:rsidRPr="00406551">
              <w:rPr>
                <w:rFonts w:eastAsia="Times New Roman" w:cstheme="minorHAnsi"/>
                <w:color w:val="000000"/>
                <w:sz w:val="18"/>
                <w:szCs w:val="18"/>
                <w:lang w:eastAsia="en-GB"/>
              </w:rPr>
              <w:t>RT-PCR</w:t>
            </w:r>
          </w:p>
        </w:tc>
        <w:tc>
          <w:tcPr>
            <w:tcW w:w="851" w:type="dxa"/>
            <w:tcBorders>
              <w:top w:val="single" w:sz="8" w:space="0" w:color="auto"/>
              <w:left w:val="nil"/>
              <w:bottom w:val="single" w:sz="18" w:space="0" w:color="auto"/>
              <w:right w:val="nil"/>
            </w:tcBorders>
            <w:shd w:val="clear" w:color="000000" w:fill="FFFFFF"/>
            <w:noWrap/>
            <w:vAlign w:val="center"/>
            <w:hideMark/>
          </w:tcPr>
          <w:p w14:paraId="0B89FC1C"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136</w:t>
            </w:r>
          </w:p>
        </w:tc>
        <w:tc>
          <w:tcPr>
            <w:tcW w:w="992" w:type="dxa"/>
            <w:tcBorders>
              <w:top w:val="single" w:sz="8" w:space="0" w:color="auto"/>
              <w:left w:val="nil"/>
              <w:bottom w:val="single" w:sz="18" w:space="0" w:color="auto"/>
              <w:right w:val="nil"/>
            </w:tcBorders>
            <w:shd w:val="clear" w:color="000000" w:fill="FFFFFF"/>
            <w:noWrap/>
            <w:vAlign w:val="center"/>
            <w:hideMark/>
          </w:tcPr>
          <w:p w14:paraId="47996D4D"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5521</w:t>
            </w:r>
          </w:p>
        </w:tc>
        <w:tc>
          <w:tcPr>
            <w:tcW w:w="992" w:type="dxa"/>
            <w:tcBorders>
              <w:top w:val="single" w:sz="8" w:space="0" w:color="auto"/>
              <w:left w:val="nil"/>
              <w:bottom w:val="single" w:sz="18" w:space="0" w:color="auto"/>
              <w:right w:val="nil"/>
            </w:tcBorders>
            <w:shd w:val="clear" w:color="000000" w:fill="FFFFFF"/>
            <w:noWrap/>
            <w:vAlign w:val="center"/>
            <w:hideMark/>
          </w:tcPr>
          <w:p w14:paraId="6403067A"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5521</w:t>
            </w:r>
          </w:p>
        </w:tc>
        <w:tc>
          <w:tcPr>
            <w:tcW w:w="1134" w:type="dxa"/>
            <w:tcBorders>
              <w:top w:val="single" w:sz="8" w:space="0" w:color="auto"/>
              <w:left w:val="nil"/>
              <w:bottom w:val="single" w:sz="18" w:space="0" w:color="auto"/>
              <w:right w:val="nil"/>
            </w:tcBorders>
            <w:shd w:val="clear" w:color="000000" w:fill="FFFFFF"/>
            <w:noWrap/>
            <w:vAlign w:val="center"/>
            <w:hideMark/>
          </w:tcPr>
          <w:p w14:paraId="631C588D" w14:textId="77777777" w:rsidR="00406551" w:rsidRPr="00406551" w:rsidRDefault="00406551" w:rsidP="001A65C6">
            <w:pPr>
              <w:spacing w:after="0" w:line="240" w:lineRule="auto"/>
              <w:jc w:val="right"/>
              <w:rPr>
                <w:rFonts w:eastAsia="Times New Roman" w:cstheme="minorHAnsi"/>
                <w:color w:val="000000"/>
                <w:sz w:val="18"/>
                <w:szCs w:val="18"/>
                <w:lang w:eastAsia="en-GB"/>
              </w:rPr>
            </w:pPr>
            <w:r w:rsidRPr="00406551">
              <w:rPr>
                <w:rFonts w:eastAsia="Times New Roman" w:cstheme="minorHAnsi"/>
                <w:color w:val="000000"/>
                <w:sz w:val="18"/>
                <w:szCs w:val="18"/>
                <w:lang w:eastAsia="en-GB"/>
              </w:rPr>
              <w:t>292</w:t>
            </w:r>
          </w:p>
        </w:tc>
      </w:tr>
    </w:tbl>
    <w:p w14:paraId="62B5BBC5" w14:textId="022CD997" w:rsidR="007D63A5" w:rsidRPr="00E451F7" w:rsidRDefault="007D63A5" w:rsidP="004D546D">
      <w:pPr>
        <w:rPr>
          <w:b/>
          <w:bCs/>
        </w:rPr>
        <w:sectPr w:rsidR="007D63A5" w:rsidRPr="00E451F7" w:rsidSect="00125C2B">
          <w:pgSz w:w="16838" w:h="11906" w:orient="landscape"/>
          <w:pgMar w:top="1440" w:right="1440" w:bottom="709" w:left="1440" w:header="709" w:footer="709" w:gutter="0"/>
          <w:cols w:space="708"/>
          <w:docGrid w:linePitch="360"/>
        </w:sectPr>
      </w:pPr>
    </w:p>
    <w:tbl>
      <w:tblPr>
        <w:tblStyle w:val="TableGrid"/>
        <w:tblpPr w:leftFromText="180" w:rightFromText="180" w:vertAnchor="page" w:horzAnchor="margin" w:tblpX="-284" w:tblpY="2328"/>
        <w:tblW w:w="9356" w:type="dxa"/>
        <w:tblLook w:val="04A0" w:firstRow="1" w:lastRow="0" w:firstColumn="1" w:lastColumn="0" w:noHBand="0" w:noVBand="1"/>
      </w:tblPr>
      <w:tblGrid>
        <w:gridCol w:w="2268"/>
        <w:gridCol w:w="2226"/>
        <w:gridCol w:w="2843"/>
        <w:gridCol w:w="2019"/>
      </w:tblGrid>
      <w:tr w:rsidR="00DE61CC" w14:paraId="3146679A" w14:textId="77777777" w:rsidTr="00FC15CB">
        <w:trPr>
          <w:trHeight w:val="510"/>
        </w:trPr>
        <w:tc>
          <w:tcPr>
            <w:tcW w:w="2268" w:type="dxa"/>
            <w:tcBorders>
              <w:top w:val="single" w:sz="18" w:space="0" w:color="auto"/>
              <w:left w:val="nil"/>
              <w:bottom w:val="single" w:sz="18" w:space="0" w:color="auto"/>
              <w:right w:val="nil"/>
            </w:tcBorders>
            <w:vAlign w:val="center"/>
          </w:tcPr>
          <w:p w14:paraId="311F5D74" w14:textId="77777777" w:rsidR="00DE61CC" w:rsidRPr="00217439" w:rsidRDefault="00DE61CC" w:rsidP="00F478BF">
            <w:pPr>
              <w:rPr>
                <w:b/>
                <w:bCs/>
              </w:rPr>
            </w:pPr>
            <w:r w:rsidRPr="00217439">
              <w:rPr>
                <w:b/>
                <w:bCs/>
              </w:rPr>
              <w:lastRenderedPageBreak/>
              <w:t xml:space="preserve">Study </w:t>
            </w:r>
          </w:p>
        </w:tc>
        <w:tc>
          <w:tcPr>
            <w:tcW w:w="2226" w:type="dxa"/>
            <w:tcBorders>
              <w:top w:val="single" w:sz="18" w:space="0" w:color="auto"/>
              <w:left w:val="nil"/>
              <w:bottom w:val="single" w:sz="18" w:space="0" w:color="auto"/>
              <w:right w:val="nil"/>
            </w:tcBorders>
            <w:vAlign w:val="center"/>
          </w:tcPr>
          <w:p w14:paraId="1B50F758" w14:textId="77777777" w:rsidR="00DE61CC" w:rsidRPr="00217439" w:rsidRDefault="00DE61CC" w:rsidP="00F478BF">
            <w:pPr>
              <w:jc w:val="right"/>
              <w:rPr>
                <w:b/>
                <w:bCs/>
              </w:rPr>
            </w:pPr>
            <w:r w:rsidRPr="00217439">
              <w:rPr>
                <w:b/>
                <w:bCs/>
              </w:rPr>
              <w:t xml:space="preserve">Number of Index Cases </w:t>
            </w:r>
          </w:p>
        </w:tc>
        <w:tc>
          <w:tcPr>
            <w:tcW w:w="2843" w:type="dxa"/>
            <w:tcBorders>
              <w:top w:val="single" w:sz="18" w:space="0" w:color="auto"/>
              <w:left w:val="nil"/>
              <w:bottom w:val="single" w:sz="18" w:space="0" w:color="auto"/>
              <w:right w:val="nil"/>
            </w:tcBorders>
            <w:vAlign w:val="center"/>
          </w:tcPr>
          <w:p w14:paraId="0C2DBA65" w14:textId="77777777" w:rsidR="00DE61CC" w:rsidRPr="00217439" w:rsidRDefault="00DE61CC" w:rsidP="00F478BF">
            <w:pPr>
              <w:jc w:val="right"/>
              <w:rPr>
                <w:b/>
                <w:bCs/>
              </w:rPr>
            </w:pPr>
            <w:r w:rsidRPr="00217439">
              <w:rPr>
                <w:b/>
                <w:bCs/>
              </w:rPr>
              <w:t xml:space="preserve">Number of Secondary cases </w:t>
            </w:r>
          </w:p>
        </w:tc>
        <w:tc>
          <w:tcPr>
            <w:tcW w:w="2019" w:type="dxa"/>
            <w:tcBorders>
              <w:top w:val="single" w:sz="18" w:space="0" w:color="auto"/>
              <w:left w:val="nil"/>
              <w:bottom w:val="single" w:sz="18" w:space="0" w:color="auto"/>
              <w:right w:val="nil"/>
            </w:tcBorders>
            <w:vAlign w:val="center"/>
          </w:tcPr>
          <w:p w14:paraId="51547CD9" w14:textId="77777777" w:rsidR="00DE61CC" w:rsidRPr="00217439" w:rsidRDefault="00DE61CC" w:rsidP="00F478BF">
            <w:pPr>
              <w:jc w:val="right"/>
              <w:rPr>
                <w:b/>
                <w:bCs/>
              </w:rPr>
            </w:pPr>
            <w:r w:rsidRPr="00217439">
              <w:rPr>
                <w:b/>
                <w:bCs/>
              </w:rPr>
              <w:t>R</w:t>
            </w:r>
            <w:r w:rsidRPr="00217439">
              <w:rPr>
                <w:b/>
                <w:bCs/>
                <w:vertAlign w:val="subscript"/>
              </w:rPr>
              <w:t>obs</w:t>
            </w:r>
          </w:p>
        </w:tc>
      </w:tr>
      <w:tr w:rsidR="00DE61CC" w14:paraId="466A4F13" w14:textId="77777777" w:rsidTr="00FC15CB">
        <w:trPr>
          <w:trHeight w:val="249"/>
        </w:trPr>
        <w:tc>
          <w:tcPr>
            <w:tcW w:w="2268" w:type="dxa"/>
            <w:tcBorders>
              <w:top w:val="single" w:sz="18" w:space="0" w:color="auto"/>
              <w:left w:val="nil"/>
              <w:bottom w:val="single" w:sz="8" w:space="0" w:color="auto"/>
              <w:right w:val="nil"/>
            </w:tcBorders>
            <w:vAlign w:val="bottom"/>
          </w:tcPr>
          <w:p w14:paraId="75013F75" w14:textId="09867621" w:rsidR="00DE61CC" w:rsidRDefault="00DE61CC" w:rsidP="00F478BF">
            <w:proofErr w:type="spellStart"/>
            <w:r>
              <w:rPr>
                <w:rFonts w:ascii="Calibri" w:hAnsi="Calibri" w:cs="Calibri"/>
                <w:color w:val="000000"/>
              </w:rPr>
              <w:t>Mahapure</w:t>
            </w:r>
            <w:proofErr w:type="spellEnd"/>
            <w:r>
              <w:rPr>
                <w:rFonts w:ascii="Calibri" w:hAnsi="Calibri" w:cs="Calibri"/>
                <w:color w:val="000000"/>
              </w:rPr>
              <w:t xml:space="preserve"> et al</w:t>
            </w:r>
            <w:r w:rsidR="00BD00A1">
              <w:rPr>
                <w:rFonts w:ascii="Calibri" w:hAnsi="Calibri" w:cs="Calibri"/>
                <w:color w:val="000000"/>
              </w:rPr>
              <w:t xml:space="preserve"> </w:t>
            </w:r>
            <w:r w:rsidR="00BD00A1">
              <w:rPr>
                <w:rFonts w:ascii="Calibri" w:hAnsi="Calibri" w:cs="Calibri"/>
                <w:color w:val="000000"/>
              </w:rPr>
              <w:fldChar w:fldCharType="begin" w:fldLock="1"/>
            </w:r>
            <w:r w:rsidR="001B3AB4">
              <w:rPr>
                <w:rFonts w:ascii="Calibri" w:hAnsi="Calibri" w:cs="Calibri"/>
                <w:color w:val="000000"/>
              </w:rPr>
              <w:instrText>ADDIN CSL_CITATION {"citationItems":[{"id":"ITEM-1","itemData":{"DOI":"10.4103/jgid.jgid_64_20","ISBN":"0974-777X\r0974-8245","PMID":"32774003","author":[{"dropping-particle":"","family":"Mahapure","given":"Kiran Sunil","non-dropping-particle":"","parse-names":false,"suffix":""},{"dropping-particle":"","family":"Kulkarni","given":"Nachiikait Shirish","non-dropping-particle":"","parse-names":false,"suffix":""}],"container-title":"Journal of global infectious diseases","id":"ITEM-1","issue":"2","issued":{"date-parts":[["2020"]]},"language":"eng","note":"32774003[pmid]\nPMC7384687[pmcid]\nJGID-12-115[PII]","page":"115-116","publisher":"Wolters Kluwer - Medknow","title":"Asymptomatic Transmission of Severe Acute Respiratory Syndrome-Coronavirus 2 within a Family Cluster of 26 Cases: Why Quarantine is Important?","type":"article-journal","volume":"12"},"uris":["http://www.mendeley.com/documents/?uuid=a17c5c90-ee64-4a01-8591-0eefb60cb58e"]}],"mendeley":{"formattedCitation":"[44]","plainTextFormattedCitation":"[44]","previouslyFormattedCitation":"[46]"},"properties":{"noteIndex":0},"schema":"https://github.com/citation-style-language/schema/raw/master/csl-citation.json"}</w:instrText>
            </w:r>
            <w:r w:rsidR="00BD00A1">
              <w:rPr>
                <w:rFonts w:ascii="Calibri" w:hAnsi="Calibri" w:cs="Calibri"/>
                <w:color w:val="000000"/>
              </w:rPr>
              <w:fldChar w:fldCharType="separate"/>
            </w:r>
            <w:r w:rsidR="001B3AB4" w:rsidRPr="001B3AB4">
              <w:rPr>
                <w:rFonts w:ascii="Calibri" w:hAnsi="Calibri" w:cs="Calibri"/>
                <w:noProof/>
                <w:color w:val="000000"/>
              </w:rPr>
              <w:t>[44]</w:t>
            </w:r>
            <w:r w:rsidR="00BD00A1">
              <w:rPr>
                <w:rFonts w:ascii="Calibri" w:hAnsi="Calibri" w:cs="Calibri"/>
                <w:color w:val="000000"/>
              </w:rPr>
              <w:fldChar w:fldCharType="end"/>
            </w:r>
          </w:p>
        </w:tc>
        <w:tc>
          <w:tcPr>
            <w:tcW w:w="2226" w:type="dxa"/>
            <w:tcBorders>
              <w:top w:val="single" w:sz="18" w:space="0" w:color="auto"/>
              <w:left w:val="nil"/>
              <w:bottom w:val="single" w:sz="8" w:space="0" w:color="auto"/>
              <w:right w:val="nil"/>
            </w:tcBorders>
            <w:vAlign w:val="center"/>
          </w:tcPr>
          <w:p w14:paraId="4BEC5467" w14:textId="77777777" w:rsidR="00DE61CC" w:rsidRDefault="00DE61CC" w:rsidP="00F478BF">
            <w:pPr>
              <w:jc w:val="right"/>
            </w:pPr>
            <w:r>
              <w:rPr>
                <w:rFonts w:ascii="Calibri" w:hAnsi="Calibri" w:cs="Calibri"/>
                <w:color w:val="000000"/>
              </w:rPr>
              <w:t>4</w:t>
            </w:r>
          </w:p>
        </w:tc>
        <w:tc>
          <w:tcPr>
            <w:tcW w:w="2843" w:type="dxa"/>
            <w:tcBorders>
              <w:top w:val="single" w:sz="18" w:space="0" w:color="auto"/>
              <w:left w:val="nil"/>
              <w:bottom w:val="single" w:sz="8" w:space="0" w:color="auto"/>
              <w:right w:val="nil"/>
            </w:tcBorders>
            <w:vAlign w:val="center"/>
          </w:tcPr>
          <w:p w14:paraId="446ED8A5" w14:textId="77777777" w:rsidR="00DE61CC" w:rsidRDefault="00DE61CC" w:rsidP="00F478BF">
            <w:pPr>
              <w:jc w:val="right"/>
            </w:pPr>
            <w:r>
              <w:rPr>
                <w:rFonts w:ascii="Calibri" w:hAnsi="Calibri" w:cs="Calibri"/>
                <w:color w:val="000000"/>
              </w:rPr>
              <w:t>22</w:t>
            </w:r>
          </w:p>
        </w:tc>
        <w:tc>
          <w:tcPr>
            <w:tcW w:w="2019" w:type="dxa"/>
            <w:tcBorders>
              <w:top w:val="single" w:sz="18" w:space="0" w:color="auto"/>
              <w:left w:val="nil"/>
              <w:bottom w:val="single" w:sz="8" w:space="0" w:color="auto"/>
              <w:right w:val="nil"/>
            </w:tcBorders>
            <w:vAlign w:val="center"/>
          </w:tcPr>
          <w:p w14:paraId="6B7A1AFD" w14:textId="09827041" w:rsidR="00DE61CC" w:rsidRDefault="00DE61CC" w:rsidP="00F478BF">
            <w:pPr>
              <w:jc w:val="right"/>
            </w:pPr>
            <w:r>
              <w:rPr>
                <w:rFonts w:ascii="Calibri" w:hAnsi="Calibri" w:cs="Calibri"/>
                <w:color w:val="000000"/>
              </w:rPr>
              <w:t>5.5</w:t>
            </w:r>
            <w:r w:rsidR="000900D3">
              <w:rPr>
                <w:rFonts w:ascii="Calibri" w:hAnsi="Calibri" w:cs="Calibri"/>
                <w:color w:val="000000"/>
              </w:rPr>
              <w:t>0</w:t>
            </w:r>
          </w:p>
        </w:tc>
      </w:tr>
      <w:tr w:rsidR="00DE61CC" w14:paraId="7350C55E" w14:textId="77777777" w:rsidTr="00FC15CB">
        <w:trPr>
          <w:trHeight w:val="260"/>
        </w:trPr>
        <w:tc>
          <w:tcPr>
            <w:tcW w:w="2268" w:type="dxa"/>
            <w:tcBorders>
              <w:top w:val="single" w:sz="8" w:space="0" w:color="auto"/>
              <w:left w:val="nil"/>
              <w:bottom w:val="single" w:sz="8" w:space="0" w:color="auto"/>
              <w:right w:val="nil"/>
            </w:tcBorders>
            <w:vAlign w:val="bottom"/>
          </w:tcPr>
          <w:p w14:paraId="77686CC8" w14:textId="5AB4750F" w:rsidR="00DE61CC" w:rsidRDefault="00DE61CC" w:rsidP="00F478BF">
            <w:r>
              <w:rPr>
                <w:rFonts w:ascii="Calibri" w:hAnsi="Calibri" w:cs="Calibri"/>
                <w:color w:val="000000"/>
              </w:rPr>
              <w:t>Burke et al</w:t>
            </w:r>
            <w:r w:rsidR="00BD00A1">
              <w:rPr>
                <w:rFonts w:ascii="Calibri" w:hAnsi="Calibri" w:cs="Calibri"/>
                <w:color w:val="000000"/>
              </w:rPr>
              <w:t xml:space="preserve"> </w:t>
            </w:r>
            <w:r w:rsidR="00BD00A1">
              <w:rPr>
                <w:rFonts w:ascii="Calibri" w:hAnsi="Calibri" w:cs="Calibri"/>
                <w:color w:val="000000"/>
              </w:rPr>
              <w:fldChar w:fldCharType="begin" w:fldLock="1"/>
            </w:r>
            <w:r w:rsidR="001B3AB4">
              <w:rPr>
                <w:rFonts w:ascii="Calibri" w:hAnsi="Calibri" w:cs="Calibri"/>
                <w:color w:val="000000"/>
              </w:rPr>
              <w:instrText>ADDIN CSL_CITATION {"citationItems":[{"id":"ITEM-1","itemData":{"DOI":"10.1371/journal.pone.0238342","ISSN":"19326203","PMID":"32877446","abstract":"Coronavirus disease 2019 (COVID-19), the respiratory disease caused by severe acute respiratory syndrome coronavirus 2 (SARS-CoV-2), was first identified in Wuhan, China and has since become pandemic. In response to the first cases identified in the United States, close contacts of confirmed COVID-19 cases were investigated to enable early identification and isolation of additional cases and to learn more about risk factors for transmission. Close contacts of nine early travel-related cases in the United States were identified and monitored daily for development of symptoms (active monitoring). Selected close contacts (including those with exposures categorized as higher risk) were targeted for collection of additional exposure information and respiratory samples. Respiratory samples were tested for SARS-CoV-2 by real-time reverse transcription polymerase chain reaction at the Centers for Disease Control and Prevention. Four hundred four close contacts were actively monitored in the jurisdictions that managed the travel-related cases. Three hundred thirty-eight of the 404 close contacts provided at least basic exposure information, of whom 159 close contacts had ≥1 set of respiratory samples collected and tested. Across all actively monitored close contacts, two additional symptomatic COVID-19 cases (i.e., secondary cases) were identified; both secondary cases were in spouses of travel-associated case patients. When considering only household members, all of whom had ≥1 respiratory sample tested for SARS-CoV-2, the secondary attack rate (i.e., the number of secondary cases as a proportion of total close contacts) was 13% (95% CI: 4–38%). The results from these contact tracing investigations suggest that household members, especially significant others, of COVID-19 cases are at highest risk of becoming infected. The importance of personal protective equipment for healthcare workers is also underlined. Isolation of persons with COVID-19, in combination with quarantine of exposed close contacts and practice of everyday preventive behaviors, is important to mitigate spread of COVID-19.","author":[{"dropping-particle":"","family":"Burke","given":"Rachel M.","non-dropping-particle":"","parse-names":false,"suffix":""},{"dropping-particle":"","family":"Balter","given":"Sharon","non-dropping-particle":"","parse-names":false,"suffix":""},{"dropping-particle":"","family":"Barnes","given":"Emily","non-dropping-particle":"","parse-names":false,"suffix":""},{"dropping-particle":"","family":"Barry","given":"Vaughn","non-dropping-particle":"","parse-names":false,"suffix":""},{"dropping-particle":"","family":"Bartlett","given":"Karri","non-dropping-particle":"","parse-names":false,"suffix":""},{"dropping-particle":"","family":"Beer","given":"Karlyn D.","non-dropping-particle":"","parse-names":false,"suffix":""},{"dropping-particle":"","family":"Benowitz","given":"Isaac","non-dropping-particle":"","parse-names":false,"suffix":""},{"dropping-particle":"","family":"Biggs","given":"Holly M.","non-dropping-particle":"","parse-names":false,"suffix":""},{"dropping-particle":"","family":"Bruce","given":"Hollianne","non-dropping-particle":"","parse-names":false,"suffix":""},{"dropping-particle":"","family":"Bryant-Genevier","given":"Jonathan","non-dropping-particle":"","parse-names":false,"suffix":""},{"dropping-particle":"","family":"Cates","given":"Jordan","non-dropping-particle":"","parse-names":false,"suffix":""},{"dropping-particle":"","family":"Chatham-Stephens","given":"Kevin","non-dropping-particle":"","parse-names":false,"suffix":""},{"dropping-particle":"","family":"Chea","given":"Nora","non-dropping-particle":"","parse-names":false,"suffix":""},{"dropping-particle":"","family":"Chiou","given":"Howard","non-dropping-particle":"","parse-names":false,"suffix":""},{"dropping-particle":"","family":"Christiansen","given":"Demian","non-dropping-particle":"","parse-names":false,"suffix":""},{"dropping-particle":"","family":"Chu","given":"Victoria T.","non-dropping-particle":"","parse-names":false,"suffix":""},{"dropping-particle":"","family":"Clark","given":"Shauna","non-dropping-particle":"","parse-names":false,"suffix":""},{"dropping-particle":"","family":"Cody","given":"Sara H.","non-dropping-particle":"","parse-names":false,"suffix":""},{"dropping-particle":"","family":"Cohen","given":"Max","non-dropping-particle":"","parse-names":false,"suffix":""},{"dropping-particle":"","family":"Conners","given":"Erin E.","non-dropping-particle":"","parse-names":false,"suffix":""},{"dropping-particle":"","family":"Dasari","given":"Vishal","non-dropping-particle":"","parse-names":false,"suffix":""},{"dropping-particle":"","family":"Dawson","given":"Patrick","non-dropping-particle":"","parse-names":false,"suffix":""},{"dropping-particle":"","family":"DeSalvo","given":"Traci","non-dropping-particle":"","parse-names":false,"suffix":""},{"dropping-particle":"","family":"Donahue","given":"Matthew","non-dropping-particle":"","parse-names":false,"suffix":""},{"dropping-particle":"","family":"Dratch","given":"Alissa","non-dropping-particle":"","parse-names":false,"suffix":""},{"dropping-particle":"","family":"Duca","given":"Lindsey","non-dropping-particle":"","parse-names":false,"suffix":""},{"dropping-particle":"","family":"Duchin","given":"Jeffrey","non-dropping-particle":"","parse-names":false,"suffix":""},{"dropping-particle":"","family":"Dyal","given":"Jonathan W.","non-dropping-particle":"","parse-names":false,"suffix":""},{"dropping-particle":"","family":"Feldstein","given":"Leora R.","non-dropping-particle":"","parse-names":false,"suffix":""},{"dropping-particle":"","family":"Fenstersheib","given":"Marty","non-dropping-particle":"","parse-names":false,"suffix":""},{"dropping-particle":"","family":"Fischer","given":"Marc","non-dropping-particle":"","parse-names":false,"suffix":""},{"dropping-particle":"","family":"Fisher","given":"Rebecca","non-dropping-particle":"","parse-names":false,"suffix":""},{"dropping-particle":"","family":"Foo","given":"Chelsea","non-dropping-particle":"","parse-names":false,"suffix":""},{"dropping-particle":"","family":"Freeman-Ponder","given":"Brandi","non-dropping-particle":"","parse-names":false,"suffix":""},{"dropping-particle":"","family":"Fry","given":"Alicia M.","non-dropping-particle":"","parse-names":false,"suffix":""},{"dropping-particle":"","family":"Gant","given":"Jessica","non-dropping-particle":"","parse-names":false,"suffix":""},{"dropping-particle":"","family":"Gautom","given":"Romesh","non-dropping-particle":"","parse-names":false,"suffix":""},{"dropping-particle":"","family":"Ghinai","given":"Isaac","non-dropping-particle":"","parse-names":false,"suffix":""},{"dropping-particle":"","family":"Gounder","given":"Prabhu","non-dropping-particle":"","parse-names":false,"suffix":""},{"dropping-particle":"","family":"Grigg","given":"Cheri T.","non-dropping-particle":"","parse-names":false,"suffix":""},{"dropping-particle":"","family":"Gunzenhauser","given":"Jeffrey","non-dropping-particle":"","parse-names":false,"suffix":""},{"dropping-particle":"","family":"Hall","given":"Aron J.","non-dropping-particle":"","parse-names":false,"suffix":""},{"dropping-particle":"","family":"Han","given":"George S.","non-dropping-particle":"","parse-names":false,"suffix":""},{"dropping-particle":"","family":"Haupt","given":"Thomas","non-dropping-particle":"","parse-names":false,"suffix":""},{"dropping-particle":"","family":"Holshue","given":"Michelle","non-dropping-particle":"","parse-names":false,"suffix":""},{"dropping-particle":"","family":"Hunter","given":"Jennifer","non-dropping-particle":"","parse-names":false,"suffix":""},{"dropping-particle":"","family":"Ibrahim","given":"Mireille B.","non-dropping-particle":"","parse-names":false,"suffix":""},{"dropping-particle":"","family":"Jacobs","given":"Max W.","non-dropping-particle":"","parse-names":false,"suffix":""},{"dropping-particle":"","family":"Jarashow","given":"M. Claire","non-dropping-particle":"","parse-names":false,"suffix":""},{"dropping-particle":"","family":"Joshi","given":"Kiran","non-dropping-particle":"","parse-names":false,"suffix":""},{"dropping-particle":"","family":"Kamali","given":"Talar","non-dropping-particle":"","parse-names":false,"suffix":""},{"dropping-particle":"","family":"Kawakami","given":"Vance","non-dropping-particle":"","parse-names":false,"suffix":""},{"dropping-particle":"","family":"Kim","given":"Moon","non-dropping-particle":"","parse-names":false,"suffix":""},{"dropping-particle":"","family":"Kirking","given":"Hannah L.","non-dropping-particle":"","parse-names":false,"suffix":""},{"dropping-particle":"","family":"Kita-Yarbro","given":"Amanda","non-dropping-particle":"","parse-names":false,"suffix":""},{"dropping-particle":"","family":"Klos","given":"Rachel","non-dropping-particle":"","parse-names":false,"suffix":""},{"dropping-particle":"","family":"Kobayashi","given":"Miwako","non-dropping-particle":"","parse-names":false,"suffix":""},{"dropping-particle":"","family":"Kocharian","given":"Anna","non-dropping-particle":"","parse-names":false,"suffix":""},{"dropping-particle":"","family":"Lang","given":"Misty","non-dropping-particle":"","parse-names":false,"suffix":""},{"dropping-particle":"","family":"Layden","given":"Jennifer","non-dropping-particle":"","parse-names":false,"suffix":""},{"dropping-particle":"","family":"Leidman","given":"Eva","non-dropping-particle":"","parse-names":false,"suffix":""},{"dropping-particle":"","family":"Lindquist","given":"Scott","non-dropping-particle":"","parse-names":false,"suffix":""},{"dropping-particle":"","family":"Lindstrom","given":"Stephen","non-dropping-particle":"","parse-names":false,"suffix":""},{"dropping-particle":"","family":"Link-Gelles","given":"Ruth","non-dropping-particle":"","parse-names":false,"suffix":""},{"dropping-particle":"","family":"Marlow","given":"Mariel","non-dropping-particle":"","parse-names":false,"suffix":""},{"dropping-particle":"","family":"Mattison","given":"Claire P.","non-dropping-particle":"","parse-names":false,"suffix":""},{"dropping-particle":"","family":"McClung","given":"Nancy","non-dropping-particle":"","parse-names":false,"suffix":""},{"dropping-particle":"","family":"McPherson","given":"Tristan D.","non-dropping-particle":"","parse-names":false,"suffix":""},{"dropping-particle":"","family":"Mello","given":"Lynn","non-dropping-particle":"","parse-names":false,"suffix":""},{"dropping-particle":"","family":"Midgley","given":"Claire M.","non-dropping-particle":"","parse-names":false,"suffix":""},{"dropping-particle":"","family":"Novosad","given":"Shannon","non-dropping-particle":"","parse-names":false,"suffix":""},{"dropping-particle":"","family":"Patel","given":"Megan T.","non-dropping-particle":"","parse-names":false,"suffix":""},{"dropping-particle":"","family":"Pettrone","given":"Kristen","non-dropping-particle":"","parse-names":false,"suffix":""},{"dropping-particle":"","family":"Pillai","given":"Satish K.","non-dropping-particle":"","parse-names":false,"suffix":""},{"dropping-particle":"","family":"Pray","given":"Ian W.","non-dropping-particle":"","parse-names":false,"suffix":""},{"dropping-particle":"","family":"Reese","given":"Heather E.","non-dropping-particle":"","parse-names":false,"suffix":""},{"dropping-particle":"","family":"Rhodes","given":"Heather","non-dropping-particle":"","parse-names":false,"suffix":""},{"dropping-particle":"","family":"Robinson","given":"Susan","non-dropping-particle":"","parse-names":false,"suffix":""},{"dropping-particle":"","family":"Rolfes","given":"Melissa","non-dropping-particle":"","parse-names":false,"suffix":""},{"dropping-particle":"","family":"Routh","given":"Janell","non-dropping-particle":"","parse-names":false,"suffix":""},{"dropping-particle":"","family":"Rubin","given":"Rachel","non-dropping-particle":"","parse-names":false,"suffix":""},{"dropping-particle":"","family":"Rudman","given":"Sarah L.","non-dropping-particle":"","parse-names":false,"suffix":""},{"dropping-particle":"","family":"Russell","given":"Denny","non-dropping-particle":"","parse-names":false,"suffix":""},{"dropping-particle":"","family":"Scott","given":"Sarah","non-dropping-particle":"","parse-names":false,"suffix":""},{"dropping-particle":"","family":"Shetty","given":"Varun","non-dropping-particle":"","parse-names":false,"suffix":""},{"dropping-particle":"","family":"Smith-Jeffcoat","given":"Sarah E.","non-dropping-particle":"","parse-names":false,"suffix":""},{"dropping-particle":"","family":"Soda","given":"Elizabeth A.","non-dropping-particle":"","parse-names":false,"suffix":""},{"dropping-particle":"","family":"Spitters","given":"Christopher","non-dropping-particle":"","parse-names":false,"suffix":""},{"dropping-particle":"","family":"Stierman","given":"Bryan","non-dropping-particle":"","parse-names":false,"suffix":""},{"dropping-particle":"","family":"Sunenshine","given":"Rebecca","non-dropping-particle":"","parse-names":false,"suffix":""},{"dropping-particle":"","family":"Terashita","given":"Dawn","non-dropping-particle":"","parse-names":false,"suffix":""},{"dropping-particle":"","family":"Traub","given":"Elizabeth","non-dropping-particle":"","parse-names":false,"suffix":""},{"dropping-particle":"","family":"Vahey","given":"Grace M.","non-dropping-particle":"","parse-names":false,"suffix":""},{"dropping-particle":"","family":"Verani","given":"Jennifer R.","non-dropping-particle":"","parse-names":false,"suffix":""},{"dropping-particle":"","family":"Wallace","given":"Megan","non-dropping-particle":"","parse-names":false,"suffix":""},{"dropping-particle":"","family":"Westercamp","given":"Matthew","non-dropping-particle":"","parse-names":false,"suffix":""},{"dropping-particle":"","family":"Wortham","given":"Jonathan","non-dropping-particle":"","parse-names":false,"suffix":""},{"dropping-particle":"","family":"Xie","given":"Amy","non-dropping-particle":"","parse-names":false,"suffix":""},{"dropping-particle":"","family":"Yousaf","given":"Anna","non-dropping-particle":"","parse-names":false,"suffix":""},{"dropping-particle":"","family":"Zahn","given":"Matthew","non-dropping-particle":"","parse-names":false,"suffix":""}],"container-title":"PLoS ONE","id":"ITEM-1","issue":"9 September","issued":{"date-parts":[["2020","9","1"]]},"publisher":"Public Library of Science","title":"Enhanced contact investigations for nine early travel-related cases of SARS-CoV-2 in the United States","type":"article-journal","volume":"15"},"uris":["http://www.mendeley.com/documents/?uuid=d05b388a-6090-3826-9e4c-776f6e1c71c8"]}],"mendeley":{"formattedCitation":"[26]","plainTextFormattedCitation":"[26]","previouslyFormattedCitation":"[28]"},"properties":{"noteIndex":0},"schema":"https://github.com/citation-style-language/schema/raw/master/csl-citation.json"}</w:instrText>
            </w:r>
            <w:r w:rsidR="00BD00A1">
              <w:rPr>
                <w:rFonts w:ascii="Calibri" w:hAnsi="Calibri" w:cs="Calibri"/>
                <w:color w:val="000000"/>
              </w:rPr>
              <w:fldChar w:fldCharType="separate"/>
            </w:r>
            <w:r w:rsidR="001B3AB4" w:rsidRPr="001B3AB4">
              <w:rPr>
                <w:rFonts w:ascii="Calibri" w:hAnsi="Calibri" w:cs="Calibri"/>
                <w:noProof/>
                <w:color w:val="000000"/>
              </w:rPr>
              <w:t>[26]</w:t>
            </w:r>
            <w:r w:rsidR="00BD00A1">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7C222F89" w14:textId="361841FB" w:rsidR="00DE61CC" w:rsidRDefault="00C84BA5" w:rsidP="00F478BF">
            <w:pPr>
              <w:jc w:val="right"/>
            </w:pPr>
            <w:r>
              <w:rPr>
                <w:rFonts w:ascii="Calibri" w:hAnsi="Calibri" w:cs="Calibri"/>
                <w:color w:val="000000"/>
              </w:rPr>
              <w:t>8</w:t>
            </w:r>
          </w:p>
        </w:tc>
        <w:tc>
          <w:tcPr>
            <w:tcW w:w="2843" w:type="dxa"/>
            <w:tcBorders>
              <w:top w:val="single" w:sz="8" w:space="0" w:color="auto"/>
              <w:left w:val="nil"/>
              <w:bottom w:val="single" w:sz="8" w:space="0" w:color="auto"/>
              <w:right w:val="nil"/>
            </w:tcBorders>
            <w:vAlign w:val="center"/>
          </w:tcPr>
          <w:p w14:paraId="468696C7" w14:textId="77777777" w:rsidR="00DE61CC" w:rsidRDefault="00DE61CC" w:rsidP="00F478BF">
            <w:pPr>
              <w:jc w:val="right"/>
            </w:pPr>
            <w:r>
              <w:rPr>
                <w:rFonts w:ascii="Calibri" w:hAnsi="Calibri" w:cs="Calibri"/>
                <w:color w:val="000000"/>
              </w:rPr>
              <w:t>2</w:t>
            </w:r>
          </w:p>
        </w:tc>
        <w:tc>
          <w:tcPr>
            <w:tcW w:w="2019" w:type="dxa"/>
            <w:tcBorders>
              <w:top w:val="single" w:sz="8" w:space="0" w:color="auto"/>
              <w:left w:val="nil"/>
              <w:bottom w:val="single" w:sz="8" w:space="0" w:color="auto"/>
              <w:right w:val="nil"/>
            </w:tcBorders>
            <w:vAlign w:val="center"/>
          </w:tcPr>
          <w:p w14:paraId="34531B72" w14:textId="41BCA80A" w:rsidR="00DE61CC" w:rsidRDefault="00347599" w:rsidP="00F478BF">
            <w:pPr>
              <w:jc w:val="right"/>
            </w:pPr>
            <w:r>
              <w:t>0.25</w:t>
            </w:r>
          </w:p>
        </w:tc>
      </w:tr>
      <w:tr w:rsidR="00DE61CC" w14:paraId="0B876164" w14:textId="77777777" w:rsidTr="00FC15CB">
        <w:trPr>
          <w:trHeight w:val="249"/>
        </w:trPr>
        <w:tc>
          <w:tcPr>
            <w:tcW w:w="2268" w:type="dxa"/>
            <w:tcBorders>
              <w:top w:val="single" w:sz="8" w:space="0" w:color="auto"/>
              <w:left w:val="nil"/>
              <w:bottom w:val="single" w:sz="8" w:space="0" w:color="auto"/>
              <w:right w:val="nil"/>
            </w:tcBorders>
            <w:vAlign w:val="bottom"/>
          </w:tcPr>
          <w:p w14:paraId="7CB0A8FF" w14:textId="37B14C57" w:rsidR="00DE61CC" w:rsidRDefault="00DE61CC" w:rsidP="00F478BF">
            <w:r>
              <w:rPr>
                <w:rFonts w:ascii="Calibri" w:hAnsi="Calibri" w:cs="Calibri"/>
                <w:color w:val="000000"/>
              </w:rPr>
              <w:t>Zhang et al</w:t>
            </w:r>
            <w:r w:rsidR="00BD00A1">
              <w:rPr>
                <w:rFonts w:ascii="Calibri" w:hAnsi="Calibri" w:cs="Calibri"/>
                <w:color w:val="000000"/>
              </w:rPr>
              <w:t xml:space="preserve"> </w:t>
            </w:r>
            <w:r w:rsidR="00BD00A1">
              <w:rPr>
                <w:rFonts w:ascii="Calibri" w:hAnsi="Calibri" w:cs="Calibri"/>
                <w:color w:val="000000"/>
              </w:rPr>
              <w:fldChar w:fldCharType="begin" w:fldLock="1"/>
            </w:r>
            <w:r w:rsidR="001B3AB4">
              <w:rPr>
                <w:rFonts w:ascii="Calibri" w:hAnsi="Calibri" w:cs="Calibri"/>
                <w:color w:val="000000"/>
              </w:rPr>
              <w:instrText>ADDIN CSL_CITATION {"citationItems":[{"id":"ITEM-1","itemData":{"DOI":"10.3760/cma.j.cn112338-20200228-00206","ISBN":"0254-6450","PMID":"32340093","author":[{"dropping-particle":"","family":"Zhang","given":"J Z","non-dropping-particle":"","parse-names":false,"suffix":""},{"dropping-particle":"","family":"Zhou","given":"P","non-dropping-particle":"","parse-names":false,"suffix":""},{"dropping-particle":"","family":"Han","given":"D B","non-dropping-particle":"","parse-names":false,"suffix":""},{"dropping-particle":"","family":"Wang","given":"W C","non-dropping-particle":"","parse-names":false,"suffix":""},{"dropping-particle":"","family":"Cui","given":"C","non-dropping-particle":"","parse-names":false,"suffix":""},{"dropping-particle":"","family":"Zhou","given":"R","non-dropping-particle":"","parse-names":false,"suffix":""},{"dropping-particle":"","family":"Xu","given":"K X","non-dropping-particle":"","parse-names":false,"suffix":""},{"dropping-particle":"","family":"Liu","given":"L","non-dropping-particle":"","parse-names":false,"suffix":""},{"dropping-particle":"","family":"Wang","given":"X H","non-dropping-particle":"","parse-names":false,"suffix":""},{"dropping-particle":"","family":"Bai","given":"X H","non-dropping-particle":"","parse-names":false,"suffix":""},{"dropping-particle":"","family":"Jiang","given":"X K","non-dropping-particle":"","parse-names":false,"suffix":""}],"container-title":"Zhonghua liu xing bing xue za zhi = Zhonghua liuxingbingxue zazhi","id":"ITEM-1","issue":"0","issued":{"date-parts":[["2020"]]},"language":"chi","page":"E055","title":"[Investigation on a cluster epidemic of COVID-19 in a supermarket in Liaocheng, Shandong province]","type":"article-journal","volume":"41"},"uris":["http://www.mendeley.com/documents/?uuid=cd0281b2-8239-43f2-bbec-1a9fdbb4025b"]}],"mendeley":{"formattedCitation":"[61]","plainTextFormattedCitation":"[61]","previouslyFormattedCitation":"[63]"},"properties":{"noteIndex":0},"schema":"https://github.com/citation-style-language/schema/raw/master/csl-citation.json"}</w:instrText>
            </w:r>
            <w:r w:rsidR="00BD00A1">
              <w:rPr>
                <w:rFonts w:ascii="Calibri" w:hAnsi="Calibri" w:cs="Calibri"/>
                <w:color w:val="000000"/>
              </w:rPr>
              <w:fldChar w:fldCharType="separate"/>
            </w:r>
            <w:r w:rsidR="001B3AB4" w:rsidRPr="001B3AB4">
              <w:rPr>
                <w:rFonts w:ascii="Calibri" w:hAnsi="Calibri" w:cs="Calibri"/>
                <w:noProof/>
                <w:color w:val="000000"/>
              </w:rPr>
              <w:t>[61]</w:t>
            </w:r>
            <w:r w:rsidR="00BD00A1">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20503699" w14:textId="77777777" w:rsidR="00DE61CC" w:rsidRDefault="00DE61CC" w:rsidP="00F478BF">
            <w:pPr>
              <w:jc w:val="right"/>
            </w:pPr>
            <w:r>
              <w:rPr>
                <w:rFonts w:ascii="Calibri" w:hAnsi="Calibri" w:cs="Calibri"/>
                <w:color w:val="000000"/>
              </w:rPr>
              <w:t>13</w:t>
            </w:r>
          </w:p>
        </w:tc>
        <w:tc>
          <w:tcPr>
            <w:tcW w:w="2843" w:type="dxa"/>
            <w:tcBorders>
              <w:top w:val="single" w:sz="8" w:space="0" w:color="auto"/>
              <w:left w:val="nil"/>
              <w:bottom w:val="single" w:sz="8" w:space="0" w:color="auto"/>
              <w:right w:val="nil"/>
            </w:tcBorders>
            <w:vAlign w:val="center"/>
          </w:tcPr>
          <w:p w14:paraId="404B5E14" w14:textId="77777777" w:rsidR="00DE61CC" w:rsidRDefault="00DE61CC" w:rsidP="00F478BF">
            <w:pPr>
              <w:jc w:val="right"/>
            </w:pPr>
            <w:r>
              <w:rPr>
                <w:rFonts w:ascii="Calibri" w:hAnsi="Calibri" w:cs="Calibri"/>
                <w:color w:val="000000"/>
              </w:rPr>
              <w:t>12</w:t>
            </w:r>
          </w:p>
        </w:tc>
        <w:tc>
          <w:tcPr>
            <w:tcW w:w="2019" w:type="dxa"/>
            <w:tcBorders>
              <w:top w:val="single" w:sz="8" w:space="0" w:color="auto"/>
              <w:left w:val="nil"/>
              <w:bottom w:val="single" w:sz="8" w:space="0" w:color="auto"/>
              <w:right w:val="nil"/>
            </w:tcBorders>
            <w:vAlign w:val="center"/>
          </w:tcPr>
          <w:p w14:paraId="2664FE95" w14:textId="49AE5120" w:rsidR="00DE61CC" w:rsidRDefault="00DE61CC" w:rsidP="00F478BF">
            <w:pPr>
              <w:jc w:val="right"/>
            </w:pPr>
            <w:r>
              <w:rPr>
                <w:rFonts w:ascii="Calibri" w:hAnsi="Calibri" w:cs="Calibri"/>
                <w:color w:val="000000"/>
              </w:rPr>
              <w:t>0.92</w:t>
            </w:r>
          </w:p>
        </w:tc>
      </w:tr>
      <w:tr w:rsidR="00DE61CC" w14:paraId="2A6BA0CD" w14:textId="77777777" w:rsidTr="00FC15CB">
        <w:trPr>
          <w:trHeight w:val="260"/>
        </w:trPr>
        <w:tc>
          <w:tcPr>
            <w:tcW w:w="2268" w:type="dxa"/>
            <w:tcBorders>
              <w:top w:val="single" w:sz="8" w:space="0" w:color="auto"/>
              <w:left w:val="nil"/>
              <w:bottom w:val="single" w:sz="8" w:space="0" w:color="auto"/>
              <w:right w:val="nil"/>
            </w:tcBorders>
            <w:vAlign w:val="bottom"/>
          </w:tcPr>
          <w:p w14:paraId="63AFE2D6" w14:textId="369F791C" w:rsidR="00DE61CC" w:rsidRDefault="00DE61CC" w:rsidP="00F478BF">
            <w:proofErr w:type="spellStart"/>
            <w:r>
              <w:rPr>
                <w:rFonts w:ascii="Calibri" w:hAnsi="Calibri" w:cs="Calibri"/>
                <w:color w:val="000000"/>
              </w:rPr>
              <w:t>Bohmer</w:t>
            </w:r>
            <w:proofErr w:type="spellEnd"/>
            <w:r>
              <w:rPr>
                <w:rFonts w:ascii="Calibri" w:hAnsi="Calibri" w:cs="Calibri"/>
                <w:color w:val="000000"/>
              </w:rPr>
              <w:t xml:space="preserve"> et al</w:t>
            </w:r>
            <w:r w:rsidR="00BD00A1">
              <w:rPr>
                <w:rFonts w:ascii="Calibri" w:hAnsi="Calibri" w:cs="Calibri"/>
                <w:color w:val="000000"/>
              </w:rPr>
              <w:t xml:space="preserve"> </w:t>
            </w:r>
            <w:r w:rsidR="00BD00A1">
              <w:rPr>
                <w:rFonts w:ascii="Calibri" w:hAnsi="Calibri" w:cs="Calibri"/>
                <w:color w:val="000000"/>
              </w:rPr>
              <w:fldChar w:fldCharType="begin" w:fldLock="1"/>
            </w:r>
            <w:r w:rsidR="001B3AB4">
              <w:rPr>
                <w:rFonts w:ascii="Calibri" w:hAnsi="Calibri" w:cs="Calibri"/>
                <w:color w:val="000000"/>
              </w:rPr>
              <w:instrText>ADDIN CSL_CITATION {"citationItems":[{"id":"ITEM-1","itemData":{"DOI":"10.1016/S1473-3099(20)30314-5","ISBN":"1474-4457\r1473-3099","PMID":"32422201","abstract":"BACKGROUND: In December, 2019, the newly identified severe acute respiratory syndrome coronavirus 2 (SARS-CoV-2) emerged in Wuhan, China, causing COVID-19, a respiratory disease presenting with fever, cough, and often pneumonia. WHO has set the strategic objective to interrupt spread of SARS-CoV-2 worldwide. An outbreak in Bavaria, Germany, starting at the end of January, 2020, provided the opportunity to study transmission events, incubation period, and secondary attack rates. METHODS: A case was defined as a person with SARS-CoV-2 infection confirmed by RT-PCR. Case interviews were done to describe timing of onset and nature of symptoms and to identify and classify contacts as high risk (had cumulative face-to-face contact with a confirmed case for ≥15 min, direct contact with secretions or body fluids of a patient with confirmed COVID-19, or, in the case of health-care workers, had worked within 2 m of a patient with confirmed COVID-19 without personal protective equipment) or low risk (all other contacts). High-risk contacts were ordered to stay at home in quarantine for 14 days and were actively followed up and monitored for symptoms, and low-risk contacts were tested upon self-reporting of symptoms. We defined fever and cough as specific symptoms, and defined a prodromal phase as the presence of non-specific symptoms for at least 1 day before the onset of specific symptoms. Whole genome sequencing was used to confirm epidemiological links and clarify transmission events where contact histories were ambiguous; integration with epidemiological data enabled precise reconstruction of exposure events and incubation periods. Secondary attack rates were calculated as the number of cases divided by the number of contacts, using Fisher's exact test for the 95% CIs. FINDINGS: Patient 0 was a Chinese resident who visited Germany for professional reasons. 16 subsequent cases, often with mild and non-specific symptoms, emerged in four transmission generations. Signature mutations in the viral genome occurred upon foundation of generation 2, as well as in one case pertaining to generation 4. The median incubation period was 4·0 days (IQR 2·3-4·3) and the median serial interval was 4·0 days (3·0-5·0). Transmission events were likely to have occurred presymptomatically for one case (possibly five more), at the day of symptom onset for four cases (possibly five more), and the remainder after the day of symptom onset or unknown. One or two cases resulted from conta…","author":[{"dropping-particle":"","family":"Böhmer","given":"Merle M","non-dropping-particle":"","parse-names":false,"suffix":""},{"dropping-particle":"","family":"Buchholz","given":"Udo","non-dropping-particle":"","parse-names":false,"suffix":""},{"dropping-particle":"","family":"Corman","given":"Victor M","non-dropping-particle":"","parse-names":false,"suffix":""},{"dropping-particle":"","family":"Hoch","given":"Martin","non-dropping-particle":"","parse-names":false,"suffix":""},{"dropping-particle":"","family":"Katz","given":"Katharina","non-dropping-particle":"","parse-names":false,"suffix":""},{"dropping-particle":"V","family":"Marosevic","given":"Durdica","non-dropping-particle":"","parse-names":false,"suffix":""},{"dropping-particle":"","family":"Böhm","given":"Stefanie","non-dropping-particle":"","parse-names":false,"suffix":""},{"dropping-particle":"","family":"Woudenberg","given":"Tom","non-dropping-particle":"","parse-names":false,"suffix":""},{"dropping-particle":"","family":"Ackermann","given":"Nikolaus","non-dropping-particle":"","parse-names":false,"suffix":""},{"dropping-particle":"","family":"Konrad","given":"Regina","non-dropping-particle":"","parse-names":false,"suffix":""},{"dropping-particle":"","family":"Eberle","given":"Ute","non-dropping-particle":"","parse-names":false,"suffix":""},{"dropping-particle":"","family":"Treis","given":"Bianca","non-dropping-particle":"","parse-names":false,"suffix":""},{"dropping-particle":"","family":"Dangel","given":"Alexandra","non-dropping-particle":"","parse-names":false,"suffix":""},{"dropping-particle":"","family":"Bengs","given":"Katja","non-dropping-particle":"","parse-names":false,"suffix":""},{"dropping-particle":"","family":"Fingerle","given":"Volker","non-dropping-particle":"","parse-names":false,"suffix":""},{"dropping-particle":"","family":"Berger","given":"Anja","non-dropping-particle":"","parse-names":false,"suffix":""},{"dropping-particle":"","family":"Hörmansdorfer","given":"Stefan","non-dropping-particle":"","parse-names":false,"suffix":""},{"dropping-particle":"","family":"Ippisch","given":"Siegfried","non-dropping-particle":"","parse-names":false,"suffix":""},{"dropping-particle":"","family":"Wicklein","given":"Bernd","non-dropping-particle":"","parse-names":false,"suffix":""},{"dropping-particle":"","family":"Grahl","given":"Andreas","non-dropping-particle":"","parse-names":false,"suffix":""},{"dropping-particle":"","family":"Pörtner","given":"Kirsten","non-dropping-particle":"","parse-names":false,"suffix":""},{"dropping-particle":"","family":"Muller","given":"Nadine","non-dropping-particle":"","parse-names":false,"suffix":""},{"dropping-particle":"","family":"Zeitlmann","given":"Nadine","non-dropping-particle":"","parse-names":false,"suffix":""},{"dropping-particle":"","family":"Boender","given":"T Sonia","non-dropping-particle":"","parse-names":false,"suffix":""},{"dropping-particle":"","family":"Cai","given":"Wei","non-dropping-particle":"","parse-names":false,"suffix":""},{"dropping-particle":"","family":"Reich","given":"Andreas","non-dropping-particle":"","parse-names":false,"suffix":""},{"dropping-particle":"","family":"An der Heiden","given":"Maria","non-dropping-particle":"","parse-names":false,"suffix":""},{"dropping-particle":"","family":"Rexroth","given":"Ute","non-dropping-particle":"","parse-names":false,"suffix":""},{"dropping-particle":"","family":"Hamouda","given":"Osamah","non-dropping-particle":"","parse-names":false,"suffix":""},{"dropping-particle":"","family":"Schneider","given":"Julia","non-dropping-particle":"","parse-names":false,"suffix":""},{"dropping-particle":"","family":"Veith","given":"Talitha","non-dropping-particle":"","parse-names":false,"suffix":""},{"dropping-particle":"","family":"Mühlemann","given":"Barbara","non-dropping-particle":"","parse-names":false,"suffix":""},{"dropping-particle":"","family":"Wölfel","given":"Roman","non-dropping-particle":"","parse-names":false,"suffix":""},{"dropping-particle":"","family":"Antwerpen","given":"Markus","non-dropping-particle":"","parse-names":false,"suffix":""},{"dropping-particle":"","family":"Walter","given":"Mathias","non-dropping-particle":"","parse-names":false,"suffix":""},{"dropping-particle":"","family":"Protzer","given":"Ulrike","non-dropping-particle":"","parse-names":false,"suffix":""},{"dropping-particle":"","family":"Liebl","given":"Bernhard","non-dropping-particle":"","parse-names":false,"suffix":""},{"dropping-particle":"","family":"Haas","given":"Walter","non-dropping-particle":"","parse-names":false,"suffix":""},{"dropping-particle":"","family":"Sing","given":"Andreas","non-dropping-particle":"","parse-names":false,"suffix":""},{"dropping-particle":"","family":"Drosten","given":"Christian","non-dropping-particle":"","parse-names":false,"suffix":""},{"dropping-particle":"","family":"Zapf","given":"Andreas","non-dropping-particle":"","parse-names":false,"suffix":""}],"container-title":"The Lancet. Infectious diseases","edition":"2020/05/15","id":"ITEM-1","issue":"8","issued":{"date-parts":[["2020"]]},"language":"eng","note":"32422201[pmid]\nPMC7228725[pmcid]\nS1473-3099(20)30314-5[PII]","page":"920-928","publisher":"Elsevier Ltd.","title":"Investigation of a COVID-19 outbreak in Germany resulting from a single travel-associated primary case: a case series","type":"article-journal","volume":"20"},"uris":["http://www.mendeley.com/documents/?uuid=4d8c40b8-ee69-496e-89da-71221888c618"]}],"mendeley":{"formattedCitation":"[25]","plainTextFormattedCitation":"[25]","previouslyFormattedCitation":"[27]"},"properties":{"noteIndex":0},"schema":"https://github.com/citation-style-language/schema/raw/master/csl-citation.json"}</w:instrText>
            </w:r>
            <w:r w:rsidR="00BD00A1">
              <w:rPr>
                <w:rFonts w:ascii="Calibri" w:hAnsi="Calibri" w:cs="Calibri"/>
                <w:color w:val="000000"/>
              </w:rPr>
              <w:fldChar w:fldCharType="separate"/>
            </w:r>
            <w:r w:rsidR="001B3AB4" w:rsidRPr="001B3AB4">
              <w:rPr>
                <w:rFonts w:ascii="Calibri" w:hAnsi="Calibri" w:cs="Calibri"/>
                <w:noProof/>
                <w:color w:val="000000"/>
              </w:rPr>
              <w:t>[25]</w:t>
            </w:r>
            <w:r w:rsidR="00BD00A1">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6D9E1DB5" w14:textId="77777777" w:rsidR="00DE61CC" w:rsidRDefault="00DE61CC" w:rsidP="00F478BF">
            <w:pPr>
              <w:jc w:val="right"/>
            </w:pPr>
            <w:r>
              <w:rPr>
                <w:rFonts w:ascii="Calibri" w:hAnsi="Calibri" w:cs="Calibri"/>
                <w:color w:val="000000"/>
              </w:rPr>
              <w:t>16</w:t>
            </w:r>
          </w:p>
        </w:tc>
        <w:tc>
          <w:tcPr>
            <w:tcW w:w="2843" w:type="dxa"/>
            <w:tcBorders>
              <w:top w:val="single" w:sz="8" w:space="0" w:color="auto"/>
              <w:left w:val="nil"/>
              <w:bottom w:val="single" w:sz="8" w:space="0" w:color="auto"/>
              <w:right w:val="nil"/>
            </w:tcBorders>
            <w:vAlign w:val="center"/>
          </w:tcPr>
          <w:p w14:paraId="65E68D28" w14:textId="77777777" w:rsidR="00DE61CC" w:rsidRDefault="00DE61CC" w:rsidP="00F478BF">
            <w:pPr>
              <w:jc w:val="right"/>
            </w:pPr>
            <w:r>
              <w:rPr>
                <w:rFonts w:ascii="Calibri" w:hAnsi="Calibri" w:cs="Calibri"/>
                <w:color w:val="000000"/>
              </w:rPr>
              <w:t>5</w:t>
            </w:r>
          </w:p>
        </w:tc>
        <w:tc>
          <w:tcPr>
            <w:tcW w:w="2019" w:type="dxa"/>
            <w:tcBorders>
              <w:top w:val="single" w:sz="8" w:space="0" w:color="auto"/>
              <w:left w:val="nil"/>
              <w:bottom w:val="single" w:sz="8" w:space="0" w:color="auto"/>
              <w:right w:val="nil"/>
            </w:tcBorders>
            <w:vAlign w:val="center"/>
          </w:tcPr>
          <w:p w14:paraId="58C220A8" w14:textId="09937233" w:rsidR="00DE61CC" w:rsidRDefault="00DE61CC" w:rsidP="00F478BF">
            <w:pPr>
              <w:jc w:val="right"/>
            </w:pPr>
            <w:r>
              <w:rPr>
                <w:rFonts w:ascii="Calibri" w:hAnsi="Calibri" w:cs="Calibri"/>
                <w:color w:val="000000"/>
              </w:rPr>
              <w:t>0.31</w:t>
            </w:r>
          </w:p>
        </w:tc>
      </w:tr>
      <w:tr w:rsidR="00DE61CC" w14:paraId="53C80A08" w14:textId="77777777" w:rsidTr="00FC15CB">
        <w:trPr>
          <w:trHeight w:val="249"/>
        </w:trPr>
        <w:tc>
          <w:tcPr>
            <w:tcW w:w="2268" w:type="dxa"/>
            <w:tcBorders>
              <w:top w:val="single" w:sz="8" w:space="0" w:color="auto"/>
              <w:left w:val="nil"/>
              <w:bottom w:val="single" w:sz="8" w:space="0" w:color="auto"/>
              <w:right w:val="nil"/>
            </w:tcBorders>
            <w:vAlign w:val="bottom"/>
          </w:tcPr>
          <w:p w14:paraId="7E04B528" w14:textId="1344E2AA" w:rsidR="00DE61CC" w:rsidRDefault="00DE61CC" w:rsidP="00F478BF">
            <w:r>
              <w:rPr>
                <w:rFonts w:ascii="Calibri" w:hAnsi="Calibri" w:cs="Calibri"/>
                <w:color w:val="000000"/>
              </w:rPr>
              <w:t>Chaw et al</w:t>
            </w:r>
            <w:r w:rsidR="00BD00A1">
              <w:rPr>
                <w:rFonts w:ascii="Calibri" w:hAnsi="Calibri" w:cs="Calibri"/>
                <w:color w:val="000000"/>
              </w:rPr>
              <w:t xml:space="preserve"> </w:t>
            </w:r>
            <w:r w:rsidR="00BD00A1">
              <w:rPr>
                <w:rFonts w:ascii="Calibri" w:hAnsi="Calibri" w:cs="Calibri"/>
                <w:color w:val="000000"/>
              </w:rPr>
              <w:fldChar w:fldCharType="begin" w:fldLock="1"/>
            </w:r>
            <w:r w:rsidR="001B3AB4">
              <w:rPr>
                <w:rFonts w:ascii="Calibri" w:hAnsi="Calibri" w:cs="Calibri"/>
                <w:color w:val="000000"/>
              </w:rPr>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rsidR="00BD00A1">
              <w:rPr>
                <w:rFonts w:ascii="Calibri" w:hAnsi="Calibri" w:cs="Calibri"/>
                <w:color w:val="000000"/>
              </w:rPr>
              <w:fldChar w:fldCharType="separate"/>
            </w:r>
            <w:r w:rsidR="001B3AB4" w:rsidRPr="001B3AB4">
              <w:rPr>
                <w:rFonts w:ascii="Calibri" w:hAnsi="Calibri" w:cs="Calibri"/>
                <w:noProof/>
                <w:color w:val="000000"/>
              </w:rPr>
              <w:t>[18]</w:t>
            </w:r>
            <w:r w:rsidR="00BD00A1">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15A6B3D3" w14:textId="77777777" w:rsidR="00DE61CC" w:rsidRDefault="00DE61CC" w:rsidP="00F478BF">
            <w:pPr>
              <w:jc w:val="right"/>
            </w:pPr>
            <w:r>
              <w:rPr>
                <w:rFonts w:ascii="Calibri" w:hAnsi="Calibri" w:cs="Calibri"/>
                <w:color w:val="000000"/>
              </w:rPr>
              <w:t>19</w:t>
            </w:r>
          </w:p>
        </w:tc>
        <w:tc>
          <w:tcPr>
            <w:tcW w:w="2843" w:type="dxa"/>
            <w:tcBorders>
              <w:top w:val="single" w:sz="8" w:space="0" w:color="auto"/>
              <w:left w:val="nil"/>
              <w:bottom w:val="single" w:sz="8" w:space="0" w:color="auto"/>
              <w:right w:val="nil"/>
            </w:tcBorders>
            <w:vAlign w:val="center"/>
          </w:tcPr>
          <w:p w14:paraId="374D5588" w14:textId="77777777" w:rsidR="00DE61CC" w:rsidRDefault="00DE61CC" w:rsidP="00F478BF">
            <w:pPr>
              <w:jc w:val="right"/>
            </w:pPr>
            <w:r>
              <w:rPr>
                <w:rFonts w:ascii="Calibri" w:hAnsi="Calibri" w:cs="Calibri"/>
                <w:color w:val="000000"/>
              </w:rPr>
              <w:t>16</w:t>
            </w:r>
          </w:p>
        </w:tc>
        <w:tc>
          <w:tcPr>
            <w:tcW w:w="2019" w:type="dxa"/>
            <w:tcBorders>
              <w:top w:val="single" w:sz="8" w:space="0" w:color="auto"/>
              <w:left w:val="nil"/>
              <w:bottom w:val="single" w:sz="8" w:space="0" w:color="auto"/>
              <w:right w:val="nil"/>
            </w:tcBorders>
            <w:vAlign w:val="center"/>
          </w:tcPr>
          <w:p w14:paraId="2CD71EDF" w14:textId="24F493DA" w:rsidR="00DE61CC" w:rsidRDefault="00DE61CC" w:rsidP="00F478BF">
            <w:pPr>
              <w:jc w:val="right"/>
            </w:pPr>
            <w:r>
              <w:rPr>
                <w:rFonts w:ascii="Calibri" w:hAnsi="Calibri" w:cs="Calibri"/>
                <w:color w:val="000000"/>
              </w:rPr>
              <w:t>0.84</w:t>
            </w:r>
          </w:p>
        </w:tc>
      </w:tr>
      <w:tr w:rsidR="00DE61CC" w14:paraId="085EFF8D" w14:textId="77777777" w:rsidTr="00FC15CB">
        <w:trPr>
          <w:trHeight w:val="260"/>
        </w:trPr>
        <w:tc>
          <w:tcPr>
            <w:tcW w:w="2268" w:type="dxa"/>
            <w:tcBorders>
              <w:top w:val="single" w:sz="8" w:space="0" w:color="auto"/>
              <w:left w:val="nil"/>
              <w:bottom w:val="single" w:sz="8" w:space="0" w:color="auto"/>
              <w:right w:val="nil"/>
            </w:tcBorders>
            <w:vAlign w:val="bottom"/>
          </w:tcPr>
          <w:p w14:paraId="3C35B783" w14:textId="6686E0AD" w:rsidR="00DE61CC" w:rsidRDefault="00DE61CC" w:rsidP="00F478BF">
            <w:r>
              <w:rPr>
                <w:rFonts w:ascii="Calibri" w:hAnsi="Calibri" w:cs="Calibri"/>
                <w:color w:val="000000"/>
              </w:rPr>
              <w:t>Dong et al</w:t>
            </w:r>
            <w:r w:rsidR="00BD00A1">
              <w:rPr>
                <w:rFonts w:ascii="Calibri" w:hAnsi="Calibri" w:cs="Calibri"/>
                <w:color w:val="000000"/>
              </w:rPr>
              <w:t xml:space="preserve"> </w:t>
            </w:r>
            <w:r w:rsidR="00BD00A1">
              <w:rPr>
                <w:rFonts w:ascii="Calibri" w:hAnsi="Calibri" w:cs="Calibri"/>
                <w:color w:val="000000"/>
              </w:rPr>
              <w:fldChar w:fldCharType="begin" w:fldLock="1"/>
            </w:r>
            <w:r w:rsidR="001B3AB4">
              <w:rPr>
                <w:rFonts w:ascii="Calibri" w:hAnsi="Calibri" w:cs="Calibri"/>
                <w:color w:val="000000"/>
              </w:rPr>
              <w:instrText>ADDIN CSL_CITATION {"citationItems":[{"id":"ITEM-1","itemData":{"DOI":"10.3760/cma.j.cn112338-20200221-00146","ISBN":"0254-6450","PMID":"32164400","author":[{"dropping-particle":"","family":"Dong","given":"X C","non-dropping-particle":"","parse-names":false,"suffix":""},{"dropping-particle":"","family":"Li","given":"J M","non-dropping-particle":"","parse-names":false,"suffix":""},{"dropping-particle":"","family":"Bai","given":"J Y","non-dropping-particle":"","parse-names":false,"suffix":""},{"dropping-particle":"","family":"Liu","given":"Z Q","non-dropping-particle":"","parse-names":false,"suffix":""},{"dropping-particle":"","family":"Zhou","given":"P H","non-dropping-particle":"","parse-names":false,"suffix":""},{"dropping-particle":"","family":"Gao","given":"L","non-dropping-particle":"","parse-names":false,"suffix":""},{"dropping-particle":"","family":"Li","given":"X Y","non-dropping-particle":"","parse-names":false,"suffix":""},{"dropping-particle":"","family":"Zhang","given":"Y","non-dropping-particle":"","parse-names":false,"suffix":""}],"container-title":"Zhonghua liu xing bing xue za zhi = Zhonghua liuxingbingxue zazhi","id":"ITEM-1","issue":"5","issued":{"date-parts":[["2020"]]},"language":"chi","page":"638-641","title":"[Epidemiological characteristics of confirmed COVID-19 cases in Tianjin]","type":"article-journal","volume":"41"},"uris":["http://www.mendeley.com/documents/?uuid=2f277ab4-02e9-4220-94ef-556459aef184"]}],"mendeley":{"formattedCitation":"[32]","plainTextFormattedCitation":"[32]","previouslyFormattedCitation":"[34]"},"properties":{"noteIndex":0},"schema":"https://github.com/citation-style-language/schema/raw/master/csl-citation.json"}</w:instrText>
            </w:r>
            <w:r w:rsidR="00BD00A1">
              <w:rPr>
                <w:rFonts w:ascii="Calibri" w:hAnsi="Calibri" w:cs="Calibri"/>
                <w:color w:val="000000"/>
              </w:rPr>
              <w:fldChar w:fldCharType="separate"/>
            </w:r>
            <w:r w:rsidR="001B3AB4" w:rsidRPr="001B3AB4">
              <w:rPr>
                <w:rFonts w:ascii="Calibri" w:hAnsi="Calibri" w:cs="Calibri"/>
                <w:noProof/>
                <w:color w:val="000000"/>
              </w:rPr>
              <w:t>[32]</w:t>
            </w:r>
            <w:r w:rsidR="00BD00A1">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73CDF7ED" w14:textId="77777777" w:rsidR="00DE61CC" w:rsidRDefault="00DE61CC" w:rsidP="00F478BF">
            <w:pPr>
              <w:jc w:val="right"/>
            </w:pPr>
            <w:r>
              <w:rPr>
                <w:rFonts w:ascii="Calibri" w:hAnsi="Calibri" w:cs="Calibri"/>
                <w:color w:val="000000"/>
              </w:rPr>
              <w:t>26</w:t>
            </w:r>
          </w:p>
        </w:tc>
        <w:tc>
          <w:tcPr>
            <w:tcW w:w="2843" w:type="dxa"/>
            <w:tcBorders>
              <w:top w:val="single" w:sz="8" w:space="0" w:color="auto"/>
              <w:left w:val="nil"/>
              <w:bottom w:val="single" w:sz="8" w:space="0" w:color="auto"/>
              <w:right w:val="nil"/>
            </w:tcBorders>
            <w:vAlign w:val="center"/>
          </w:tcPr>
          <w:p w14:paraId="3FAD290C" w14:textId="77777777" w:rsidR="00DE61CC" w:rsidRDefault="00DE61CC" w:rsidP="00F478BF">
            <w:pPr>
              <w:jc w:val="right"/>
            </w:pPr>
            <w:r>
              <w:rPr>
                <w:rFonts w:ascii="Calibri" w:hAnsi="Calibri" w:cs="Calibri"/>
                <w:color w:val="000000"/>
              </w:rPr>
              <w:t>53</w:t>
            </w:r>
          </w:p>
        </w:tc>
        <w:tc>
          <w:tcPr>
            <w:tcW w:w="2019" w:type="dxa"/>
            <w:tcBorders>
              <w:top w:val="single" w:sz="8" w:space="0" w:color="auto"/>
              <w:left w:val="nil"/>
              <w:bottom w:val="single" w:sz="8" w:space="0" w:color="auto"/>
              <w:right w:val="nil"/>
            </w:tcBorders>
            <w:vAlign w:val="center"/>
          </w:tcPr>
          <w:p w14:paraId="710C8534" w14:textId="20775FCD" w:rsidR="00DE61CC" w:rsidRDefault="00DE61CC" w:rsidP="00F478BF">
            <w:pPr>
              <w:jc w:val="right"/>
            </w:pPr>
            <w:r>
              <w:rPr>
                <w:rFonts w:ascii="Calibri" w:hAnsi="Calibri" w:cs="Calibri"/>
                <w:color w:val="000000"/>
              </w:rPr>
              <w:t>2.0</w:t>
            </w:r>
            <w:r w:rsidR="00E77573">
              <w:rPr>
                <w:rFonts w:ascii="Calibri" w:hAnsi="Calibri" w:cs="Calibri"/>
                <w:color w:val="000000"/>
              </w:rPr>
              <w:t>4</w:t>
            </w:r>
          </w:p>
        </w:tc>
      </w:tr>
      <w:tr w:rsidR="00DE61CC" w14:paraId="736D927A" w14:textId="77777777" w:rsidTr="00FC15CB">
        <w:trPr>
          <w:trHeight w:val="249"/>
        </w:trPr>
        <w:tc>
          <w:tcPr>
            <w:tcW w:w="2268" w:type="dxa"/>
            <w:tcBorders>
              <w:top w:val="single" w:sz="8" w:space="0" w:color="auto"/>
              <w:left w:val="nil"/>
              <w:bottom w:val="single" w:sz="8" w:space="0" w:color="auto"/>
              <w:right w:val="nil"/>
            </w:tcBorders>
            <w:vAlign w:val="bottom"/>
          </w:tcPr>
          <w:p w14:paraId="3F7E67D0" w14:textId="10470189" w:rsidR="00DE61CC" w:rsidRDefault="00DE61CC" w:rsidP="00F478BF">
            <w:r>
              <w:rPr>
                <w:rFonts w:ascii="Calibri" w:hAnsi="Calibri" w:cs="Calibri"/>
                <w:color w:val="000000"/>
              </w:rPr>
              <w:t>Dawson et al</w:t>
            </w:r>
            <w:r w:rsidR="00BD00A1">
              <w:rPr>
                <w:rFonts w:ascii="Calibri" w:hAnsi="Calibri" w:cs="Calibri"/>
                <w:color w:val="000000"/>
              </w:rPr>
              <w:t xml:space="preserve"> </w:t>
            </w:r>
            <w:r w:rsidR="00BD00A1">
              <w:rPr>
                <w:rFonts w:ascii="Calibri" w:hAnsi="Calibri" w:cs="Calibri"/>
                <w:color w:val="000000"/>
              </w:rPr>
              <w:fldChar w:fldCharType="begin" w:fldLock="1"/>
            </w:r>
            <w:r w:rsidR="001B3AB4">
              <w:rPr>
                <w:rFonts w:ascii="Calibri" w:hAnsi="Calibri" w:cs="Calibri"/>
                <w:color w:val="000000"/>
              </w:rPr>
              <w:instrText>ADDIN CSL_CITATION {"citationItems":[{"id":"ITEM-1","itemData":{"DOI":"10.1093/cid/ciaa799","ISSN":"1058-4838","abstract":"In a household study, loss of taste and/or smell was the fourth most reported symptom (26/42 [62%]) among coronavirus disease 2019 (COVID-19) case patients and had the highest positive predictive value (83% [95% confidence interval [CI], 55%–95%) among household contacts. Olfactory and taste dysfunctions should be considered for COVID-19 case identification and testing prioritization.","author":[{"dropping-particle":"","family":"Dawson","given":"Patrick","non-dropping-particle":"","parse-names":false,"suffix":""},{"dropping-particle":"","family":"Rabold","given":"Elizabeth M","non-dropping-particle":"","parse-names":false,"suffix":""},{"dropping-particle":"","family":"Laws","given":"Rebecca L","non-dropping-particle":"","parse-names":false,"suffix":""},{"dropping-particle":"","family":"Conners","given":"Erin E","non-dropping-particle":"","parse-names":false,"suffix":""},{"dropping-particle":"","family":"Gharpure","given":"Radhika","non-dropping-particle":"","parse-names":false,"suffix":""},{"dropping-particle":"","family":"Yin","given":"Sherry","non-dropping-particle":"","parse-names":false,"suffix":""},{"dropping-particle":"","family":"Buono","given":"Sean A","non-dropping-particle":"","parse-names":false,"suffix":""},{"dropping-particle":"","family":"Dasu","given":"Trivikram","non-dropping-particle":"","parse-names":false,"suffix":""},{"dropping-particle":"","family":"Bhattacharyya","given":"Sanjib","non-dropping-particle":"","parse-names":false,"suffix":""},{"dropping-particle":"","family":"Westergaard","given":"Ryan P","non-dropping-particle":"","parse-names":false,"suffix":""},{"dropping-particle":"","family":"Pray","given":"Ian W","non-dropping-particle":"","parse-names":false,"suffix":""},{"dropping-particle":"","family":"Ye","given":"Dongni","non-dropping-particle":"","parse-names":false,"suffix":""},{"dropping-particle":"","family":"Nabity","given":"Scott A","non-dropping-particle":"","parse-names":false,"suffix":""},{"dropping-particle":"","family":"Tate","given":"Jacqueline E","non-dropping-particle":"","parse-names":false,"suffix":""},{"dropping-particle":"","family":"Kirking","given":"Hannah L","non-dropping-particle":"","parse-names":false,"suffix":""}],"container-title":"Clinical Infectious Diseases","id":"ITEM-1","issued":{"date-parts":[["2020","6","21"]]},"title":"Loss of Taste and Smell as Distinguishing Symptoms of Coronavirus Disease 2019","type":"article-journal"},"uris":["http://www.mendeley.com/documents/?uuid=46595bc5-01cd-440c-b932-7a79d126499a"]}],"mendeley":{"formattedCitation":"[31]","plainTextFormattedCitation":"[31]","previouslyFormattedCitation":"[33]"},"properties":{"noteIndex":0},"schema":"https://github.com/citation-style-language/schema/raw/master/csl-citation.json"}</w:instrText>
            </w:r>
            <w:r w:rsidR="00BD00A1">
              <w:rPr>
                <w:rFonts w:ascii="Calibri" w:hAnsi="Calibri" w:cs="Calibri"/>
                <w:color w:val="000000"/>
              </w:rPr>
              <w:fldChar w:fldCharType="separate"/>
            </w:r>
            <w:r w:rsidR="001B3AB4" w:rsidRPr="001B3AB4">
              <w:rPr>
                <w:rFonts w:ascii="Calibri" w:hAnsi="Calibri" w:cs="Calibri"/>
                <w:noProof/>
                <w:color w:val="000000"/>
              </w:rPr>
              <w:t>[31]</w:t>
            </w:r>
            <w:r w:rsidR="00BD00A1">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6F617B1D" w14:textId="77777777" w:rsidR="00DE61CC" w:rsidRDefault="00DE61CC" w:rsidP="00F478BF">
            <w:pPr>
              <w:jc w:val="right"/>
            </w:pPr>
            <w:r>
              <w:rPr>
                <w:rFonts w:ascii="Calibri" w:hAnsi="Calibri" w:cs="Calibri"/>
                <w:color w:val="000000"/>
              </w:rPr>
              <w:t>26</w:t>
            </w:r>
          </w:p>
        </w:tc>
        <w:tc>
          <w:tcPr>
            <w:tcW w:w="2843" w:type="dxa"/>
            <w:tcBorders>
              <w:top w:val="single" w:sz="8" w:space="0" w:color="auto"/>
              <w:left w:val="nil"/>
              <w:bottom w:val="single" w:sz="8" w:space="0" w:color="auto"/>
              <w:right w:val="nil"/>
            </w:tcBorders>
            <w:vAlign w:val="center"/>
          </w:tcPr>
          <w:p w14:paraId="09BCFE9A" w14:textId="77777777" w:rsidR="00DE61CC" w:rsidRDefault="00DE61CC" w:rsidP="00F478BF">
            <w:pPr>
              <w:jc w:val="right"/>
            </w:pPr>
            <w:r>
              <w:rPr>
                <w:rFonts w:ascii="Calibri" w:hAnsi="Calibri" w:cs="Calibri"/>
                <w:color w:val="000000"/>
              </w:rPr>
              <w:t>16</w:t>
            </w:r>
          </w:p>
        </w:tc>
        <w:tc>
          <w:tcPr>
            <w:tcW w:w="2019" w:type="dxa"/>
            <w:tcBorders>
              <w:top w:val="single" w:sz="8" w:space="0" w:color="auto"/>
              <w:left w:val="nil"/>
              <w:bottom w:val="single" w:sz="8" w:space="0" w:color="auto"/>
              <w:right w:val="nil"/>
            </w:tcBorders>
            <w:vAlign w:val="center"/>
          </w:tcPr>
          <w:p w14:paraId="327FFF30" w14:textId="34102C81" w:rsidR="00DE61CC" w:rsidRDefault="00DE61CC" w:rsidP="00F478BF">
            <w:pPr>
              <w:jc w:val="right"/>
            </w:pPr>
            <w:r>
              <w:rPr>
                <w:rFonts w:ascii="Calibri" w:hAnsi="Calibri" w:cs="Calibri"/>
                <w:color w:val="000000"/>
              </w:rPr>
              <w:t>0.6</w:t>
            </w:r>
            <w:r w:rsidR="00E77573">
              <w:rPr>
                <w:rFonts w:ascii="Calibri" w:hAnsi="Calibri" w:cs="Calibri"/>
                <w:color w:val="000000"/>
              </w:rPr>
              <w:t>2</w:t>
            </w:r>
          </w:p>
        </w:tc>
      </w:tr>
      <w:tr w:rsidR="00DE61CC" w14:paraId="583DCAB9" w14:textId="77777777" w:rsidTr="00FC15CB">
        <w:trPr>
          <w:trHeight w:val="260"/>
        </w:trPr>
        <w:tc>
          <w:tcPr>
            <w:tcW w:w="2268" w:type="dxa"/>
            <w:tcBorders>
              <w:top w:val="single" w:sz="8" w:space="0" w:color="auto"/>
              <w:left w:val="nil"/>
              <w:bottom w:val="single" w:sz="8" w:space="0" w:color="auto"/>
              <w:right w:val="nil"/>
            </w:tcBorders>
            <w:vAlign w:val="bottom"/>
          </w:tcPr>
          <w:p w14:paraId="4D993B72" w14:textId="5E6CAF57" w:rsidR="00DE61CC" w:rsidRDefault="00DE61CC" w:rsidP="00F478BF">
            <w:r>
              <w:rPr>
                <w:rFonts w:ascii="Calibri" w:hAnsi="Calibri" w:cs="Calibri"/>
                <w:color w:val="000000"/>
              </w:rPr>
              <w:t>Xin et al</w:t>
            </w:r>
            <w:r w:rsidR="00BD00A1">
              <w:rPr>
                <w:rFonts w:ascii="Calibri" w:hAnsi="Calibri" w:cs="Calibri"/>
                <w:color w:val="000000"/>
              </w:rPr>
              <w:t xml:space="preserve"> </w:t>
            </w:r>
            <w:r w:rsidR="00BD00A1">
              <w:rPr>
                <w:rFonts w:ascii="Calibri" w:hAnsi="Calibri" w:cs="Calibri"/>
                <w:color w:val="000000"/>
              </w:rPr>
              <w:fldChar w:fldCharType="begin" w:fldLock="1"/>
            </w:r>
            <w:r w:rsidR="001B3AB4">
              <w:rPr>
                <w:rFonts w:ascii="Calibri" w:hAnsi="Calibri" w:cs="Calibri"/>
                <w:color w:val="000000"/>
              </w:rPr>
              <w:instrText>ADDIN CSL_CITATION {"citationItems":[{"id":"ITEM-1","itemData":{"DOI":"10.1007/s11427-020-1661-4","ISBN":"1674-7305 (Print)\r1674-7305","PMID":"32146694","abstract":"Previous studies have showed clinical characteristics of patients with the 2019 novel coronavirus disease (COVID-19) and the evidence of person-to-person transmission. Limited data are available for asymptomatic infections. This study aims to present the clinical characteristics of 24 cases with asymptomatic infection screened from close contacts and to show the transmission potential of asymptomatic COVID-19 virus carriers. Epidemiological investigations were conducted among all close contacts of COVID-19 patients (or suspected patients) in Nanjing, Jiangsu Province, China, from Jan 28 to Feb 9, 2020, both in clinic and in community. Asymptomatic carriers were laboratory-confirmed positive for the COVID-19 virus by testing the nucleic acid of the pharyngeal swab samples. Their clinical records, laboratory assessments, and chest CT scans were reviewed. As a result, none of the 24 asymptomatic cases presented any obvious symptoms while nucleic acid screening. Five cases (20.8%) developed symptoms (fever, cough, fatigue, etc.) during hospitalization. Twelve (50.0%) cases showed typical CT images of ground-glass chest and 5 (20.8%) presented stripe shadowing in the lungs. The remaining 7 (29.2%) cases showed normal CT image and had no symptoms during hospitalization. These 7 cases were younger (median age: 14.0 years; P=0.012) than the rest. None of the 24 cases developed severe COVID-19 pneumonia or died. The median communicable period, defined as the interval from the first day of positive nucleic acid tests to the first day of continuous negative tests, was 9.5 days (up to 21 days among the 24 asymptomatic cases). Through epidemiological investigation, we observed a typical asymptomatic transmission to the cohabiting family members, which even caused severe COVID-19 pneumonia. Overall, the asymptomatic carriers identified from close contacts were prone to be mildly ill during hospitalization. However, the communicable period could be up to three weeks and the communicated patients could develop severe illness. These results highlighted the importance of close contact tracing and longitudinally surveillance via virus nucleic acid tests. Further isolation recommendation and continuous nucleic acid tests may also be recommended to the patients discharged.","author":[{"dropping-particle":"","family":"Hu","given":"Z","non-dropping-particle":"","parse-names":false,"suffix":""},{"dropping-particle":"","family":"Song","given":"C","non-dropping-particle":"","parse-names":false,"suffix":""},{"dropping-particle":"","family":"Xu","given":"C","non-dropping-particle":"","parse-names":false,"suffix":""},{"dropping-particle":"","family":"Jin","given":"G","non-dropping-particle":"","parse-names":false,"suffix":""},{"dropping-particle":"","family":"Chen","given":"Y","non-dropping-particle":"","parse-names":false,"suffix":""},{"dropping-particle":"","family":"Xu","given":"X","non-dropping-particle":"","parse-names":false,"suffix":""},{"dropping-particle":"","family":"Ma","given":"H","non-dropping-particle":"","parse-names":false,"suffix":""},{"dropping-particle":"","family":"Chen","given":"W","non-dropping-particle":"","parse-names":false,"suffix":""},{"dropping-particle":"","family":"Lin","given":"Y","non-dropping-particle":"","parse-names":false,"suffix":""},{"dropping-particle":"","family":"Zheng","given":"Y","non-dropping-particle":"","parse-names":false,"suffix":""},{"dropping-particle":"","family":"Wang","given":"J","non-dropping-particle":"","parse-names":false,"suffix":""},{"dropping-particle":"","family":"Hu","given":"Z","non-dropping-particle":"","parse-names":false,"suffix":""},{"dropping-particle":"","family":"Yi","given":"Y","non-dropping-particle":"","parse-names":false,"suffix":""},{"dropping-particle":"","family":"Shen","given":"H","non-dropping-particle":"","parse-names":false,"suffix":""}],"container-title":"Sci China Life Sci","edition":"2020/03/09","id":"ITEM-1","issue":"5","issued":{"date-parts":[["2020"]]},"language":"eng","note":"1869-1889\nHu, Zhiliang\nSong, Ci\nXu, Chuanjun\nJin, Guangfu\nChen, Yaling\nXu, Xin\nMa, Hongxia\nChen, Wei\nLin, Yuan\nZheng, Yishan\nWang, Jianming\nHu, Zhibin\nYi, Yongxiang\nShen, Hongbing\nJournal Article\nResearch Support, Non-U.S. Gov't\nSci China Life Sci. 2020 May;63(5):706-711. doi: 10.1007/s11427-020-1661-4. Epub 2020 Mar 4.","page":"706-711","title":"Clinical characteristics of 24 asymptomatic infections with COVID-19 screened among close contacts in Nanjing, China","type":"article-journal","volume":"63"},"uris":["http://www.mendeley.com/documents/?uuid=58fffe87-d76a-4bde-be80-f7ace4a81bec"]}],"mendeley":{"formattedCitation":"[35]","plainTextFormattedCitation":"[35]","previouslyFormattedCitation":"[37]"},"properties":{"noteIndex":0},"schema":"https://github.com/citation-style-language/schema/raw/master/csl-citation.json"}</w:instrText>
            </w:r>
            <w:r w:rsidR="00BD00A1">
              <w:rPr>
                <w:rFonts w:ascii="Calibri" w:hAnsi="Calibri" w:cs="Calibri"/>
                <w:color w:val="000000"/>
              </w:rPr>
              <w:fldChar w:fldCharType="separate"/>
            </w:r>
            <w:r w:rsidR="001B3AB4" w:rsidRPr="001B3AB4">
              <w:rPr>
                <w:rFonts w:ascii="Calibri" w:hAnsi="Calibri" w:cs="Calibri"/>
                <w:noProof/>
                <w:color w:val="000000"/>
              </w:rPr>
              <w:t>[35]</w:t>
            </w:r>
            <w:r w:rsidR="00BD00A1">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0A8A5843" w14:textId="77777777" w:rsidR="00DE61CC" w:rsidRDefault="00DE61CC" w:rsidP="00F478BF">
            <w:pPr>
              <w:jc w:val="right"/>
            </w:pPr>
            <w:r>
              <w:rPr>
                <w:rFonts w:ascii="Calibri" w:hAnsi="Calibri" w:cs="Calibri"/>
                <w:color w:val="000000"/>
              </w:rPr>
              <w:t>31</w:t>
            </w:r>
          </w:p>
        </w:tc>
        <w:tc>
          <w:tcPr>
            <w:tcW w:w="2843" w:type="dxa"/>
            <w:tcBorders>
              <w:top w:val="single" w:sz="8" w:space="0" w:color="auto"/>
              <w:left w:val="nil"/>
              <w:bottom w:val="single" w:sz="8" w:space="0" w:color="auto"/>
              <w:right w:val="nil"/>
            </w:tcBorders>
            <w:vAlign w:val="center"/>
          </w:tcPr>
          <w:p w14:paraId="7868BFA1" w14:textId="77777777" w:rsidR="00DE61CC" w:rsidRDefault="00DE61CC" w:rsidP="00F478BF">
            <w:pPr>
              <w:jc w:val="right"/>
            </w:pPr>
            <w:r>
              <w:rPr>
                <w:rFonts w:ascii="Calibri" w:hAnsi="Calibri" w:cs="Calibri"/>
                <w:color w:val="000000"/>
              </w:rPr>
              <w:t>19</w:t>
            </w:r>
          </w:p>
        </w:tc>
        <w:tc>
          <w:tcPr>
            <w:tcW w:w="2019" w:type="dxa"/>
            <w:tcBorders>
              <w:top w:val="single" w:sz="8" w:space="0" w:color="auto"/>
              <w:left w:val="nil"/>
              <w:bottom w:val="single" w:sz="8" w:space="0" w:color="auto"/>
              <w:right w:val="nil"/>
            </w:tcBorders>
            <w:vAlign w:val="center"/>
          </w:tcPr>
          <w:p w14:paraId="658C73A7" w14:textId="7431C8E4" w:rsidR="00DE61CC" w:rsidRDefault="00DE61CC" w:rsidP="00F478BF">
            <w:pPr>
              <w:jc w:val="right"/>
            </w:pPr>
            <w:r>
              <w:rPr>
                <w:rFonts w:ascii="Calibri" w:hAnsi="Calibri" w:cs="Calibri"/>
                <w:color w:val="000000"/>
              </w:rPr>
              <w:t>0.61</w:t>
            </w:r>
          </w:p>
        </w:tc>
      </w:tr>
      <w:tr w:rsidR="00DE61CC" w14:paraId="1D8E5676" w14:textId="77777777" w:rsidTr="00FC15CB">
        <w:trPr>
          <w:trHeight w:val="249"/>
        </w:trPr>
        <w:tc>
          <w:tcPr>
            <w:tcW w:w="2268" w:type="dxa"/>
            <w:tcBorders>
              <w:top w:val="single" w:sz="8" w:space="0" w:color="auto"/>
              <w:left w:val="nil"/>
              <w:bottom w:val="single" w:sz="8" w:space="0" w:color="auto"/>
              <w:right w:val="nil"/>
            </w:tcBorders>
            <w:vAlign w:val="bottom"/>
          </w:tcPr>
          <w:p w14:paraId="5596FB1D" w14:textId="60022A38" w:rsidR="00DE61CC" w:rsidRDefault="00DE61CC" w:rsidP="00F478BF">
            <w:r>
              <w:rPr>
                <w:rFonts w:ascii="Calibri" w:hAnsi="Calibri" w:cs="Calibri"/>
                <w:color w:val="000000"/>
              </w:rPr>
              <w:t>Wu et al</w:t>
            </w:r>
            <w:r w:rsidR="002E4C54">
              <w:rPr>
                <w:rFonts w:ascii="Calibri" w:hAnsi="Calibri" w:cs="Calibri"/>
                <w:color w:val="000000"/>
              </w:rPr>
              <w:t xml:space="preserve"> </w:t>
            </w:r>
            <w:r w:rsidR="002E4C54">
              <w:rPr>
                <w:rFonts w:ascii="Calibri" w:hAnsi="Calibri" w:cs="Calibri"/>
                <w:color w:val="000000"/>
              </w:rPr>
              <w:fldChar w:fldCharType="begin" w:fldLock="1"/>
            </w:r>
            <w:r w:rsidR="001B3AB4">
              <w:rPr>
                <w:rFonts w:ascii="Calibri" w:hAnsi="Calibri" w:cs="Calibri"/>
                <w:color w:val="000000"/>
              </w:rPr>
              <w:instrText>ADDIN CSL_CITATION {"citationItems":[{"id":"ITEM-1","itemData":{"DOI":"10.1093/cid/ciaa557","ISBN":"1058-4838","abstract":"To illustrate the extent of transmission, identify affecting risk factors and estimate epidemiological modeling parameters of severe acute respiratory syndrome coronavirus 2 (SARS-CoV-2) in household setting.We enrolled 35 confirmed index cases and their 148 household contacts, January 2020–February 2020, in Zhuhai, China. All participants were interviewed and asked to complete questionnaires. Household contacts were then prospectively followed active symptom monitoring through the 21-day period and nasopharyngeal and/or oropharyngeal swabs were collected at 3–7 days intervals. Epidemiological, demographic, and clinical data (when available) were collected.Assuming that all these secondary cases were infected by their index cases, the second infection rate in household context is 32.4% (95% confidence interval [CI]: 22.4%–44.4%), with 10.4% of secondary cases being asymptomatic. Multivariate analysis showed that household contacts with underlying medical conditions, a history of direct exposure to Wuhan and its surrounding areas, and shared vehicle with an index patient were associated with higher susceptibility. Household members without protective measures after illness onset of the index patient seem to increase the risk for SARS-CoV-2 infection. The median incubation period and serial interval within household were estimated to be 4.3 days (95% CI: 3.4–5.3 days) and 5.1 days (95% CI: 4.3–6.2 days), respectively.Early isolation of patients with coronavirus disease 2019 and prioritizing rapid contact investigation, followed by active symptom monitoring and periodic laboratory evaluation, should be initiated immediately after confirming patients to address the underlying determinants driving the continuing pandemic.","author":[{"dropping-particle":"","family":"Wu","given":"Jian","non-dropping-particle":"","parse-names":false,"suffix":""},{"dropping-particle":"","family":"Huang","given":"Yiying","non-dropping-particle":"","parse-names":false,"suffix":""},{"dropping-particle":"","family":"Tu","given":"Changli","non-dropping-particle":"","parse-names":false,"suffix":""},{"dropping-particle":"","family":"Bi","given":"Chunping","non-dropping-particle":"","parse-names":false,"suffix":""},{"dropping-particle":"","family":"Chen","given":"Zhigang","non-dropping-particle":"","parse-names":false,"suffix":""},{"dropping-particle":"","family":"Luo","given":"Liyun","non-dropping-particle":"","parse-names":false,"suffix":""},{"dropping-particle":"","family":"Huang","given":"Mingxing","non-dropping-particle":"","parse-names":false,"suffix":""},{"dropping-particle":"","family":"Chen","given":"Meizhu","non-dropping-particle":"","parse-names":false,"suffix":""},{"dropping-particle":"","family":"Tan","given":"Cuiyan","non-dropping-particle":"","parse-names":false,"suffix":""},{"dropping-particle":"","family":"Wang","given":"Zhenguo","non-dropping-particle":"","parse-names":false,"suffix":""},{"dropping-particle":"","family":"Wang","given":"Kongqiu","non-dropping-particle":"","parse-names":false,"suffix":""},{"dropping-particle":"","family":"Liang","given":"YingJian","non-dropping-particle":"","parse-names":false,"suffix":""},{"dropping-particle":"","family":"Huang","given":"Jin","non-dropping-particle":"","parse-names":false,"suffix":""},{"dropping-particle":"","family":"Zheng","given":"Xiaobin","non-dropping-particle":"","parse-names":false,"suffix":""},{"dropping-particle":"","family":"Liu","given":"Jing","non-dropping-particle":"","parse-names":false,"suffix":""}],"container-title":"Clinical Infectious Diseases","id":"ITEM-1","issued":{"date-parts":[["2020"]]},"title":"Household Transmission of SARS-CoV-2, Zhuhai, China, 2020","type":"article-journal"},"uris":["http://www.mendeley.com/documents/?uuid=983fc74d-b23e-4779-b29e-3e5815de615f"]}],"mendeley":{"formattedCitation":"[55]","plainTextFormattedCitation":"[55]","previouslyFormattedCitation":"[57]"},"properties":{"noteIndex":0},"schema":"https://github.com/citation-style-language/schema/raw/master/csl-citation.json"}</w:instrText>
            </w:r>
            <w:r w:rsidR="002E4C54">
              <w:rPr>
                <w:rFonts w:ascii="Calibri" w:hAnsi="Calibri" w:cs="Calibri"/>
                <w:color w:val="000000"/>
              </w:rPr>
              <w:fldChar w:fldCharType="separate"/>
            </w:r>
            <w:r w:rsidR="001B3AB4" w:rsidRPr="001B3AB4">
              <w:rPr>
                <w:rFonts w:ascii="Calibri" w:hAnsi="Calibri" w:cs="Calibri"/>
                <w:noProof/>
                <w:color w:val="000000"/>
              </w:rPr>
              <w:t>[55]</w:t>
            </w:r>
            <w:r w:rsidR="002E4C54">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1C2C748F" w14:textId="77777777" w:rsidR="00DE61CC" w:rsidRDefault="00DE61CC" w:rsidP="00F478BF">
            <w:pPr>
              <w:jc w:val="right"/>
            </w:pPr>
            <w:r>
              <w:rPr>
                <w:rFonts w:ascii="Calibri" w:hAnsi="Calibri" w:cs="Calibri"/>
                <w:color w:val="000000"/>
              </w:rPr>
              <w:t>35</w:t>
            </w:r>
          </w:p>
        </w:tc>
        <w:tc>
          <w:tcPr>
            <w:tcW w:w="2843" w:type="dxa"/>
            <w:tcBorders>
              <w:top w:val="single" w:sz="8" w:space="0" w:color="auto"/>
              <w:left w:val="nil"/>
              <w:bottom w:val="single" w:sz="8" w:space="0" w:color="auto"/>
              <w:right w:val="nil"/>
            </w:tcBorders>
            <w:vAlign w:val="center"/>
          </w:tcPr>
          <w:p w14:paraId="70805070" w14:textId="77777777" w:rsidR="00DE61CC" w:rsidRDefault="00DE61CC" w:rsidP="00F478BF">
            <w:pPr>
              <w:jc w:val="right"/>
            </w:pPr>
            <w:r>
              <w:rPr>
                <w:rFonts w:ascii="Calibri" w:hAnsi="Calibri" w:cs="Calibri"/>
                <w:color w:val="000000"/>
              </w:rPr>
              <w:t>48</w:t>
            </w:r>
          </w:p>
        </w:tc>
        <w:tc>
          <w:tcPr>
            <w:tcW w:w="2019" w:type="dxa"/>
            <w:tcBorders>
              <w:top w:val="single" w:sz="8" w:space="0" w:color="auto"/>
              <w:left w:val="nil"/>
              <w:bottom w:val="single" w:sz="8" w:space="0" w:color="auto"/>
              <w:right w:val="nil"/>
            </w:tcBorders>
            <w:vAlign w:val="center"/>
          </w:tcPr>
          <w:p w14:paraId="059AC543" w14:textId="05593EF9" w:rsidR="00DE61CC" w:rsidRDefault="00DE61CC" w:rsidP="00F478BF">
            <w:pPr>
              <w:jc w:val="right"/>
            </w:pPr>
            <w:r>
              <w:rPr>
                <w:rFonts w:ascii="Calibri" w:hAnsi="Calibri" w:cs="Calibri"/>
                <w:color w:val="000000"/>
              </w:rPr>
              <w:t>1.37</w:t>
            </w:r>
          </w:p>
        </w:tc>
      </w:tr>
      <w:tr w:rsidR="00DE61CC" w14:paraId="26125AB7" w14:textId="77777777" w:rsidTr="00FC15CB">
        <w:trPr>
          <w:trHeight w:val="249"/>
        </w:trPr>
        <w:tc>
          <w:tcPr>
            <w:tcW w:w="2268" w:type="dxa"/>
            <w:tcBorders>
              <w:top w:val="single" w:sz="8" w:space="0" w:color="auto"/>
              <w:left w:val="nil"/>
              <w:bottom w:val="single" w:sz="8" w:space="0" w:color="auto"/>
              <w:right w:val="nil"/>
            </w:tcBorders>
            <w:vAlign w:val="bottom"/>
          </w:tcPr>
          <w:p w14:paraId="7897AC67" w14:textId="7CC4DB17" w:rsidR="00DE61CC" w:rsidRDefault="00DE61CC" w:rsidP="00F478BF">
            <w:r>
              <w:rPr>
                <w:rFonts w:ascii="Calibri" w:hAnsi="Calibri" w:cs="Calibri"/>
                <w:color w:val="000000"/>
              </w:rPr>
              <w:t>Zhang et al</w:t>
            </w:r>
            <w:r w:rsidR="00362219">
              <w:rPr>
                <w:rFonts w:ascii="Calibri" w:hAnsi="Calibri" w:cs="Calibri"/>
                <w:color w:val="000000"/>
              </w:rPr>
              <w:t xml:space="preserve"> </w:t>
            </w:r>
            <w:r w:rsidR="006852D7">
              <w:rPr>
                <w:rFonts w:ascii="Calibri" w:hAnsi="Calibri" w:cs="Calibri"/>
                <w:color w:val="000000"/>
              </w:rPr>
              <w:fldChar w:fldCharType="begin" w:fldLock="1"/>
            </w:r>
            <w:r w:rsidR="001B3AB4">
              <w:rPr>
                <w:rFonts w:ascii="Calibri" w:hAnsi="Calibri" w:cs="Calibri"/>
                <w:color w:val="000000"/>
              </w:rPr>
              <w:instrText>ADDIN CSL_CITATION {"citationItems":[{"id":"ITEM-1","itemData":{"DOI":"10.3201/eid2608.201142","ISBN":"1080-6040 (Print)\r1080-6040","PMID":"32453686","abstract":"We explored the secondary attack rate in different types of contact with persons presymptomatic for coronavirus disease (COVID-19). Close contacts who lived with or had frequent contact with an index case-patient had a higher risk for COVID-19. Our findings provide population-based evidence for transmission from persons with presymptomatic COVID-19 infections.","author":[{"dropping-particle":"","family":"Zhang","given":"W","non-dropping-particle":"","parse-names":false,"suffix":""},{"dropping-particle":"","family":"Cheng","given":"W","non-dropping-particle":"","parse-names":false,"suffix":""},{"dropping-particle":"","family":"Luo","given":"L","non-dropping-particle":"","parse-names":false,"suffix":""},{"dropping-particle":"","family":"Ma","given":"Y","non-dropping-particle":"","parse-names":false,"suffix":""},{"dropping-particle":"","family":"Xu","given":"C","non-dropping-particle":"","parse-names":false,"suffix":""},{"dropping-particle":"","family":"Qin","given":"P","non-dropping-particle":"","parse-names":false,"suffix":""},{"dropping-particle":"","family":"Zhang","given":"Z","non-dropping-particle":"","parse-names":false,"suffix":""}],"container-title":"Emerg Infect Dis","edition":"2020/05/27","id":"ITEM-1","issue":"8","issued":{"date-parts":[["2020"]]},"language":"eng","note":"1080-6059\nZhang, Weiwei\nCheng, Weibin\nLuo, Lei\nMa, Yu\nXu, Conghui\nQin, Pengzhe\nZhang, Zhoubin\nJournal Article\nEmerg Infect Dis. 2020 Aug;26(8):1924-1926. doi: 10.3201/eid2608.201142. Epub 2020 May 26.","page":"1924-1926","title":"Secondary Transmission of Coronavirus Disease from Presymptomatic Persons, China","type":"article-journal","volume":"26"},"uris":["http://www.mendeley.com/documents/?uuid=b2867ff7-16d0-4e23-8c1a-d14f2726f827"]}],"mendeley":{"formattedCitation":"[62]","plainTextFormattedCitation":"[62]","previouslyFormattedCitation":"[64]"},"properties":{"noteIndex":0},"schema":"https://github.com/citation-style-language/schema/raw/master/csl-citation.json"}</w:instrText>
            </w:r>
            <w:r w:rsidR="006852D7">
              <w:rPr>
                <w:rFonts w:ascii="Calibri" w:hAnsi="Calibri" w:cs="Calibri"/>
                <w:color w:val="000000"/>
              </w:rPr>
              <w:fldChar w:fldCharType="separate"/>
            </w:r>
            <w:r w:rsidR="001B3AB4" w:rsidRPr="001B3AB4">
              <w:rPr>
                <w:rFonts w:ascii="Calibri" w:hAnsi="Calibri" w:cs="Calibri"/>
                <w:noProof/>
                <w:color w:val="000000"/>
              </w:rPr>
              <w:t>[62]</w:t>
            </w:r>
            <w:r w:rsidR="006852D7">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6DBDECD1" w14:textId="77777777" w:rsidR="00DE61CC" w:rsidRDefault="00DE61CC" w:rsidP="00F478BF">
            <w:pPr>
              <w:jc w:val="right"/>
            </w:pPr>
            <w:r>
              <w:rPr>
                <w:rFonts w:ascii="Calibri" w:hAnsi="Calibri" w:cs="Calibri"/>
                <w:color w:val="000000"/>
              </w:rPr>
              <w:t>38</w:t>
            </w:r>
          </w:p>
        </w:tc>
        <w:tc>
          <w:tcPr>
            <w:tcW w:w="2843" w:type="dxa"/>
            <w:tcBorders>
              <w:top w:val="single" w:sz="8" w:space="0" w:color="auto"/>
              <w:left w:val="nil"/>
              <w:bottom w:val="single" w:sz="8" w:space="0" w:color="auto"/>
              <w:right w:val="nil"/>
            </w:tcBorders>
            <w:vAlign w:val="center"/>
          </w:tcPr>
          <w:p w14:paraId="2A330271" w14:textId="77777777" w:rsidR="00DE61CC" w:rsidRDefault="00DE61CC" w:rsidP="00F478BF">
            <w:pPr>
              <w:jc w:val="right"/>
            </w:pPr>
            <w:r>
              <w:rPr>
                <w:rFonts w:ascii="Calibri" w:hAnsi="Calibri" w:cs="Calibri"/>
                <w:color w:val="000000"/>
              </w:rPr>
              <w:t>10</w:t>
            </w:r>
          </w:p>
        </w:tc>
        <w:tc>
          <w:tcPr>
            <w:tcW w:w="2019" w:type="dxa"/>
            <w:tcBorders>
              <w:top w:val="single" w:sz="8" w:space="0" w:color="auto"/>
              <w:left w:val="nil"/>
              <w:bottom w:val="single" w:sz="8" w:space="0" w:color="auto"/>
              <w:right w:val="nil"/>
            </w:tcBorders>
            <w:vAlign w:val="center"/>
          </w:tcPr>
          <w:p w14:paraId="01F16DEA" w14:textId="5082CB5E" w:rsidR="00DE61CC" w:rsidRDefault="00DE61CC" w:rsidP="00F478BF">
            <w:pPr>
              <w:jc w:val="right"/>
            </w:pPr>
            <w:r>
              <w:rPr>
                <w:rFonts w:ascii="Calibri" w:hAnsi="Calibri" w:cs="Calibri"/>
                <w:color w:val="000000"/>
              </w:rPr>
              <w:t>0.26</w:t>
            </w:r>
          </w:p>
        </w:tc>
      </w:tr>
      <w:tr w:rsidR="00DE61CC" w14:paraId="1D081384" w14:textId="77777777" w:rsidTr="00FC15CB">
        <w:trPr>
          <w:trHeight w:val="260"/>
        </w:trPr>
        <w:tc>
          <w:tcPr>
            <w:tcW w:w="2268" w:type="dxa"/>
            <w:tcBorders>
              <w:top w:val="single" w:sz="8" w:space="0" w:color="auto"/>
              <w:left w:val="nil"/>
              <w:bottom w:val="single" w:sz="8" w:space="0" w:color="auto"/>
              <w:right w:val="nil"/>
            </w:tcBorders>
            <w:vAlign w:val="bottom"/>
          </w:tcPr>
          <w:p w14:paraId="292ED482" w14:textId="47E3E86C" w:rsidR="00DE61CC" w:rsidRDefault="00DE61CC" w:rsidP="00F478BF">
            <w:r w:rsidRPr="007934F2">
              <w:rPr>
                <w:rFonts w:ascii="Calibri" w:hAnsi="Calibri" w:cs="Calibri"/>
                <w:color w:val="000000"/>
                <w:lang w:val="nl-NL"/>
              </w:rPr>
              <w:t>van der Hoek et al</w:t>
            </w:r>
            <w:r w:rsidR="002E4C54" w:rsidRPr="007934F2">
              <w:rPr>
                <w:rFonts w:ascii="Calibri" w:hAnsi="Calibri" w:cs="Calibri"/>
                <w:color w:val="000000"/>
                <w:lang w:val="nl-NL"/>
              </w:rPr>
              <w:t xml:space="preserve"> </w:t>
            </w:r>
            <w:r w:rsidR="002E4C54">
              <w:rPr>
                <w:rFonts w:ascii="Calibri" w:hAnsi="Calibri" w:cs="Calibri"/>
                <w:color w:val="000000"/>
              </w:rPr>
              <w:fldChar w:fldCharType="begin" w:fldLock="1"/>
            </w:r>
            <w:r w:rsidR="001B3AB4">
              <w:rPr>
                <w:rFonts w:ascii="Calibri" w:hAnsi="Calibri" w:cs="Calibri"/>
                <w:color w:val="000000"/>
                <w:lang w:val="nl-NL"/>
              </w:rPr>
              <w:instrText>ADDIN CSL_CITATION {"citationItems":[{"id":"ITEM-1","itemData":{"ISBN":"0028-2162","PMID":"32749807","abstract":"OBJECTIVE: To determine whether children play a role in the transmission of SARS-CoV-2 to other children and adults, and to gain insight into symptomatic and asymptomatic infections in children. DESIGN: Analysis of national COVID-19 notifications and prospective observational study in families with children. METHOD: Information about COVID-19 patients and their contacts was obtained from the registration systems used by the public health services. In an ongoing study, patients with COVID-19 were asked to participate if they have a family with children. On two occasions nose-throat swabs and blood were collected for PCR analysis and determination of antibodies against SARS-CoV-2. RESULTS: The notifications suggest that transmission finds place mainly between adults and to a lesser extent between parents and children. For the family study, data were available from 54 households with a total of 227 participants. In families of a confirmed COVID-19 patient, children between 1 and 11 years were less often positive in PCR and serology than older children and adults. CONCLUSION: The study gives no indications that children play an important role in the transmission of SARS-CoV-2. Children can indeed become infected, but transmission mainly takes place between adult peers and from adult family members to children. Transmission among children or from children to adults, as is known in influenza, appears to be less common. Ongoing studies should provide important information for further decision-making on control measures, such as closure of schools.","author":[{"dropping-particle":"","family":"Hoek","given":"W","non-dropping-particle":"van der","parse-names":false,"suffix":""},{"dropping-particle":"","family":"Backer","given":"J A","non-dropping-particle":"","parse-names":false,"suffix":""},{"dropping-particle":"","family":"Bodewes","given":"R","non-dropping-particle":"","parse-names":false,"suffix":""},{"dropping-particle":"","family":"Friesema","given":"I","non-dropping-particle":"","parse-names":false,"suffix":""},{"dropping-particle":"","family":"Meijer","given":"A","non-dropping-particle":"","parse-names":false,"suffix":""},{"dropping-particle":"","family":"Pijnacker","given":"R","non-dropping-particle":"","parse-names":false,"suffix":""},{"dropping-particle":"","family":"Reukers","given":"D F M","non-dropping-particle":"","parse-names":false,"suffix":""},{"dropping-particle":"","family":"Reusken","given":"C","non-dropping-particle":"","parse-names":false,"suffix":""},{"dropping-particle":"","family":"Roof","given":"I","non-dropping-particle":"","parse-names":false,"suffix":""},{"dropping-particle":"","family":"Rots","given":"N","non-dropping-particle":"","parse-names":false,"suffix":""},{"dropping-particle":"","family":"Wierik","given":"M J M","non-dropping-particle":"Te","parse-names":false,"suffix":""},{"dropping-particle":"","family":"Gageldonk-Lafeber","given":"A B","non-dropping-particle":"van","parse-names":false,"suffix":""},{"dropping-particle":"","family":"Waegemaekers","given":"Chfm","non-dropping-particle":"","parse-names":false,"suffix":""},{"dropping-particle":"","family":"Hof","given":"S","non-dropping-particle":"van den","parse-names":false,"suffix":""}],"container-title":"Ned Tijdschr Geneeskd","edition":"2020/08/05","id":"ITEM-1","issued":{"date-parts":[["2020"]]},"language":"dut","note":"1876-8784\nvan der Hoek, Wim\nBacker, Jantien A\nBodewes, Rogier\nFriesema, Ingrid\nMeijer, Adam\nPijnacker, Roan\nReukers, Daphne F M\nReusken, Chantal\nRoof, Inge\nRots, Nynke\nTe Wierik, Margreet J M\nvan Gageldonk-Lafeber, A B\nWaegemaekers, C H F M\nvan den Hof, Susan\nEnglish Abstract\nJournal Article\nNetherlands\nNed Tijdschr Geneeskd. 2020 Jun 3;164:D5140.","title":"[The role of children in the transmission of SARS-CoV-2]","type":"article-journal","volume":"164"},"uris":["http://www.mendeley.com/documents/?uuid=a99bee26-210b-4094-9dae-8280ba985dac"]}],"mendeley":{"formattedCitation":"[50]","plainTextFormattedCitation":"[50]","previouslyFormattedCitation":"[52]"},"properties":{"noteIndex":0},"schema":"https://github.com/citation-style-language/schema/raw/master/csl-citation.json"}</w:instrText>
            </w:r>
            <w:r w:rsidR="002E4C54">
              <w:rPr>
                <w:rFonts w:ascii="Calibri" w:hAnsi="Calibri" w:cs="Calibri"/>
                <w:color w:val="000000"/>
              </w:rPr>
              <w:fldChar w:fldCharType="separate"/>
            </w:r>
            <w:r w:rsidR="001B3AB4" w:rsidRPr="001B3AB4">
              <w:rPr>
                <w:rFonts w:ascii="Calibri" w:hAnsi="Calibri" w:cs="Calibri"/>
                <w:noProof/>
                <w:color w:val="000000"/>
              </w:rPr>
              <w:t>[50]</w:t>
            </w:r>
            <w:r w:rsidR="002E4C54">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049B4849" w14:textId="77777777" w:rsidR="00DE61CC" w:rsidRDefault="00DE61CC" w:rsidP="00F478BF">
            <w:pPr>
              <w:jc w:val="right"/>
            </w:pPr>
            <w:r>
              <w:rPr>
                <w:rFonts w:ascii="Calibri" w:hAnsi="Calibri" w:cs="Calibri"/>
                <w:color w:val="000000"/>
              </w:rPr>
              <w:t>54</w:t>
            </w:r>
          </w:p>
        </w:tc>
        <w:tc>
          <w:tcPr>
            <w:tcW w:w="2843" w:type="dxa"/>
            <w:tcBorders>
              <w:top w:val="single" w:sz="8" w:space="0" w:color="auto"/>
              <w:left w:val="nil"/>
              <w:bottom w:val="single" w:sz="8" w:space="0" w:color="auto"/>
              <w:right w:val="nil"/>
            </w:tcBorders>
            <w:vAlign w:val="center"/>
          </w:tcPr>
          <w:p w14:paraId="5430CFD1" w14:textId="77777777" w:rsidR="00DE61CC" w:rsidRDefault="00DE61CC" w:rsidP="00F478BF">
            <w:pPr>
              <w:jc w:val="right"/>
            </w:pPr>
            <w:r>
              <w:rPr>
                <w:rFonts w:ascii="Calibri" w:hAnsi="Calibri" w:cs="Calibri"/>
                <w:color w:val="000000"/>
              </w:rPr>
              <w:t>49</w:t>
            </w:r>
          </w:p>
        </w:tc>
        <w:tc>
          <w:tcPr>
            <w:tcW w:w="2019" w:type="dxa"/>
            <w:tcBorders>
              <w:top w:val="single" w:sz="8" w:space="0" w:color="auto"/>
              <w:left w:val="nil"/>
              <w:bottom w:val="single" w:sz="8" w:space="0" w:color="auto"/>
              <w:right w:val="nil"/>
            </w:tcBorders>
            <w:vAlign w:val="center"/>
          </w:tcPr>
          <w:p w14:paraId="6FA160B6" w14:textId="796FA631" w:rsidR="00DE61CC" w:rsidRDefault="00DE61CC" w:rsidP="00F478BF">
            <w:pPr>
              <w:jc w:val="right"/>
            </w:pPr>
            <w:r>
              <w:rPr>
                <w:rFonts w:ascii="Calibri" w:hAnsi="Calibri" w:cs="Calibri"/>
                <w:color w:val="000000"/>
              </w:rPr>
              <w:t>0.9</w:t>
            </w:r>
            <w:r w:rsidR="00E77573">
              <w:rPr>
                <w:rFonts w:ascii="Calibri" w:hAnsi="Calibri" w:cs="Calibri"/>
                <w:color w:val="000000"/>
              </w:rPr>
              <w:t>1</w:t>
            </w:r>
          </w:p>
        </w:tc>
      </w:tr>
      <w:tr w:rsidR="00DE61CC" w14:paraId="1B840D68" w14:textId="77777777" w:rsidTr="00FC15CB">
        <w:trPr>
          <w:trHeight w:val="249"/>
        </w:trPr>
        <w:tc>
          <w:tcPr>
            <w:tcW w:w="2268" w:type="dxa"/>
            <w:tcBorders>
              <w:top w:val="single" w:sz="8" w:space="0" w:color="auto"/>
              <w:left w:val="nil"/>
              <w:bottom w:val="single" w:sz="8" w:space="0" w:color="auto"/>
              <w:right w:val="nil"/>
            </w:tcBorders>
            <w:vAlign w:val="bottom"/>
          </w:tcPr>
          <w:p w14:paraId="59E169EC" w14:textId="72CAE368" w:rsidR="00DE61CC" w:rsidRDefault="00DE61CC" w:rsidP="00F478BF">
            <w:r>
              <w:rPr>
                <w:rFonts w:ascii="Calibri" w:hAnsi="Calibri" w:cs="Calibri"/>
                <w:color w:val="000000"/>
              </w:rPr>
              <w:t>Li et al</w:t>
            </w:r>
            <w:r w:rsidR="00D44705">
              <w:rPr>
                <w:rFonts w:ascii="Calibri" w:hAnsi="Calibri" w:cs="Calibri"/>
                <w:color w:val="000000"/>
              </w:rPr>
              <w:t xml:space="preserve"> </w:t>
            </w:r>
            <w:r w:rsidR="00D44705">
              <w:rPr>
                <w:rFonts w:ascii="Calibri" w:hAnsi="Calibri" w:cs="Calibri"/>
                <w:color w:val="000000"/>
              </w:rPr>
              <w:fldChar w:fldCharType="begin" w:fldLock="1"/>
            </w:r>
            <w:r w:rsidR="001B3AB4">
              <w:rPr>
                <w:rFonts w:ascii="Calibri" w:hAnsi="Calibri" w:cs="Calibri"/>
                <w:color w:val="000000"/>
              </w:rPr>
              <w:instrText>ADDIN CSL_CITATION {"citationItems":[{"id":"ITEM-1","itemData":{"DOI":"10.1093/cid/ciaa450","ISBN":"1058-4838","abstract":"Since December 2019, SARS-CoV-2 has extended to most parts of China with &amp;gt;80 000 cases and to at least 100 countries with &amp;gt;60 000 international cases as of 15 March 2020. Here we used a household cohort study to determine the features of household transmission of COVID-19.A total of 105 index patients and 392 household contacts were enrolled. Both index patients and household members were tested by SARS-CoV-2 RT-PCR. Information on all recruited individuals was extracted from medical records and confirmed or supplemented by telephone interviews. The baseline characteristics of index cases and contact patients were described. Secondary attack rates of SARS-CoV-2 to contact members were computed and the risk factors for transmission within the household were estimated.Secondary transmission of SARS-CoV-2 developed in 64 of 392 household contacts (16.3%). The secondary attack rate to children was 4% compared with 17.1% for adults. The secondary attack rate to the contacts within the households with index patients quarantined by themselves since onset of symptoms was 0% compared with 16.9% for contacts without quarantined index patients. The secondary attack rate to contacts who were spouses of index cases was 27.8% compared with 17.3% for other adult members in the households.The secondary attack rate of SARS-CoV-2 in household is 16.3%. Age of household contacts and spousal relationship to the index case are risk factors for transmission of SARS-CoV-2 within a household. Quarantine of index patients at home since onset of symptoms is useful to prevent the transmission of SARS-Co-2 within a household.","author":[{"dropping-particle":"","family":"Li","given":"Wei","non-dropping-particle":"","parse-names":false,"suffix":""},{"dropping-particle":"","family":"Zhang","given":"Bo","non-dropping-particle":"","parse-names":false,"suffix":""},{"dropping-particle":"","family":"Lu","given":"Jianhua","non-dropping-particle":"","parse-names":false,"suffix":""},{"dropping-particle":"","family":"Liu","given":"Shihua","non-dropping-particle":"","parse-names":false,"suffix":""},{"dropping-particle":"","family":"Chang","given":"Zhiqiang","non-dropping-particle":"","parse-names":false,"suffix":""},{"dropping-particle":"","family":"Peng","given":"Cao","non-dropping-particle":"","parse-names":false,"suffix":""},{"dropping-particle":"","family":"Liu","given":"Xinghua","non-dropping-particle":"","parse-names":false,"suffix":""},{"dropping-particle":"","family":"Zhang","given":"Peng","non-dropping-particle":"","parse-names":false,"suffix":""},{"dropping-particle":"","family":"Ling","given":"Yan","non-dropping-particle":"","parse-names":false,"suffix":""},{"dropping-particle":"","family":"Tao","given":"Kaixiong","non-dropping-particle":"","parse-names":false,"suffix":""},{"dropping-particle":"","family":"Chen","given":"Jianying","non-dropping-particle":"","parse-names":false,"suffix":""}],"container-title":"Clinical Infectious Diseases","id":"ITEM-1","issued":{"date-parts":[["2020"]]},"title":"Characteristics of Household Transmission of COVID-19","type":"article-journal"},"uris":["http://www.mendeley.com/documents/?uuid=98b33ca6-5d12-4cec-bc24-67006aba725f"]}],"mendeley":{"formattedCitation":"[40]","plainTextFormattedCitation":"[40]","previouslyFormattedCitation":"[42]"},"properties":{"noteIndex":0},"schema":"https://github.com/citation-style-language/schema/raw/master/csl-citation.json"}</w:instrText>
            </w:r>
            <w:r w:rsidR="00D44705">
              <w:rPr>
                <w:rFonts w:ascii="Calibri" w:hAnsi="Calibri" w:cs="Calibri"/>
                <w:color w:val="000000"/>
              </w:rPr>
              <w:fldChar w:fldCharType="separate"/>
            </w:r>
            <w:r w:rsidR="001B3AB4" w:rsidRPr="001B3AB4">
              <w:rPr>
                <w:rFonts w:ascii="Calibri" w:hAnsi="Calibri" w:cs="Calibri"/>
                <w:noProof/>
                <w:color w:val="000000"/>
              </w:rPr>
              <w:t>[40]</w:t>
            </w:r>
            <w:r w:rsidR="00D44705">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37A95AB3" w14:textId="77777777" w:rsidR="00DE61CC" w:rsidRDefault="00DE61CC" w:rsidP="00F478BF">
            <w:pPr>
              <w:jc w:val="right"/>
            </w:pPr>
            <w:r>
              <w:rPr>
                <w:rFonts w:ascii="Calibri" w:hAnsi="Calibri" w:cs="Calibri"/>
                <w:color w:val="000000"/>
              </w:rPr>
              <w:t>105</w:t>
            </w:r>
          </w:p>
        </w:tc>
        <w:tc>
          <w:tcPr>
            <w:tcW w:w="2843" w:type="dxa"/>
            <w:tcBorders>
              <w:top w:val="single" w:sz="8" w:space="0" w:color="auto"/>
              <w:left w:val="nil"/>
              <w:bottom w:val="single" w:sz="8" w:space="0" w:color="auto"/>
              <w:right w:val="nil"/>
            </w:tcBorders>
            <w:vAlign w:val="center"/>
          </w:tcPr>
          <w:p w14:paraId="7709684E" w14:textId="77777777" w:rsidR="00DE61CC" w:rsidRDefault="00DE61CC" w:rsidP="00F478BF">
            <w:pPr>
              <w:jc w:val="right"/>
            </w:pPr>
            <w:r>
              <w:rPr>
                <w:rFonts w:ascii="Calibri" w:hAnsi="Calibri" w:cs="Calibri"/>
                <w:color w:val="000000"/>
              </w:rPr>
              <w:t>64</w:t>
            </w:r>
          </w:p>
        </w:tc>
        <w:tc>
          <w:tcPr>
            <w:tcW w:w="2019" w:type="dxa"/>
            <w:tcBorders>
              <w:top w:val="single" w:sz="8" w:space="0" w:color="auto"/>
              <w:left w:val="nil"/>
              <w:bottom w:val="single" w:sz="8" w:space="0" w:color="auto"/>
              <w:right w:val="nil"/>
            </w:tcBorders>
            <w:vAlign w:val="center"/>
          </w:tcPr>
          <w:p w14:paraId="3EF36C07" w14:textId="2A5FFA80" w:rsidR="00DE61CC" w:rsidRDefault="00DE61CC" w:rsidP="00F478BF">
            <w:pPr>
              <w:jc w:val="right"/>
            </w:pPr>
            <w:r>
              <w:rPr>
                <w:rFonts w:ascii="Calibri" w:hAnsi="Calibri" w:cs="Calibri"/>
                <w:color w:val="000000"/>
              </w:rPr>
              <w:t>0.6</w:t>
            </w:r>
            <w:r w:rsidR="00E77573">
              <w:rPr>
                <w:rFonts w:ascii="Calibri" w:hAnsi="Calibri" w:cs="Calibri"/>
                <w:color w:val="000000"/>
              </w:rPr>
              <w:t>1</w:t>
            </w:r>
          </w:p>
        </w:tc>
      </w:tr>
      <w:tr w:rsidR="00DE61CC" w14:paraId="70B29400" w14:textId="77777777" w:rsidTr="00FC15CB">
        <w:trPr>
          <w:trHeight w:val="260"/>
        </w:trPr>
        <w:tc>
          <w:tcPr>
            <w:tcW w:w="2268" w:type="dxa"/>
            <w:tcBorders>
              <w:top w:val="single" w:sz="8" w:space="0" w:color="auto"/>
              <w:left w:val="nil"/>
              <w:bottom w:val="single" w:sz="8" w:space="0" w:color="auto"/>
              <w:right w:val="nil"/>
            </w:tcBorders>
            <w:vAlign w:val="bottom"/>
          </w:tcPr>
          <w:p w14:paraId="3402FF7C" w14:textId="532A7A45" w:rsidR="00DE61CC" w:rsidRDefault="00DE61CC" w:rsidP="00F478BF">
            <w:r>
              <w:rPr>
                <w:rFonts w:ascii="Calibri" w:hAnsi="Calibri" w:cs="Calibri"/>
                <w:color w:val="000000"/>
              </w:rPr>
              <w:t>Wang et al</w:t>
            </w:r>
            <w:r w:rsidR="00D44705">
              <w:rPr>
                <w:rFonts w:ascii="Calibri" w:hAnsi="Calibri" w:cs="Calibri"/>
                <w:color w:val="000000"/>
              </w:rPr>
              <w:t xml:space="preserve"> </w:t>
            </w:r>
            <w:r w:rsidR="004108A5">
              <w:rPr>
                <w:rFonts w:ascii="Calibri" w:hAnsi="Calibri" w:cs="Calibri"/>
                <w:color w:val="000000"/>
              </w:rPr>
              <w:fldChar w:fldCharType="begin" w:fldLock="1"/>
            </w:r>
            <w:r w:rsidR="001B3AB4">
              <w:rPr>
                <w:rFonts w:ascii="Calibri" w:hAnsi="Calibri" w:cs="Calibri"/>
                <w:color w:val="000000"/>
              </w:rPr>
              <w:instrText>ADDIN CSL_CITATION {"citationItems":[{"id":"ITEM-1","itemData":{"DOI":"10.1136/bmjgh-2020-002794","ISBN":"2059-7908","PMID":"32467353","abstract":"INTRODUCTION: Transmission of COVID-19 within families and close contacts accounts for the majority of epidemic growth. Community mask wearing, hand washing and social distancing are thought to be effective but there is little evidence to inform or support community members on COVID-19 risk reduction within families. METHODS: A retrospective cohort study of 335 people in 124 families and with at least one laboratory confirmed COVID-19 case was conducted from 28 February to 27 March 2020, in Beijing, China. The outcome of interest was secondary transmission of severe acute respiratory syndrome coronavirus 2 (SARS-CoV-2) within the family. Characteristics and practices of primary cases, of well family contacts and household hygiene practices were analysed as predictors of secondary transmission. RESULTS: The secondary attack rate in families was 23.0% (77/335). Face mask use by the primary case and family contacts before the primary case developed symptoms was 79% effective in reducing transmission (OR=0.21, 95% CI 0.06 to 0.79). Daily use of chlorine or ethanol based disinfectant in households was 77% effective (OR=0.23, 95% CI 0.07 to 0.84). Wearing a mask after illness onset of the primary case was not significantly protective. The risk of household transmission was 18 times higher with frequent daily close contact with the primary case (OR=18.26, 95% CI 3.93 to 84.79), and four times higher if the primary case had diarrhoea (OR=4.10, 95% CI 1.08 to 15.60). Household crowding was not significant. CONCLUSION: The study confirms the highest risk of transmission prior to symptom onset, and provides the first evidence of the effectiveness of mask use, disinfection and social distancing in preventing COVID-19. We also found evidence of faecal transmission. This can inform guidelines for community prevention in settings of intense COVID-19 epidemics.","author":[{"dropping-particle":"","family":"Wang","given":"Yu","non-dropping-particle":"","parse-names":false,"suffix":""},{"dropping-particle":"","family":"Tian","given":"Huaiyu","non-dropping-particle":"","parse-names":false,"suffix":""},{"dropping-particle":"","family":"Zhang","given":"Li","non-dropping-particle":"","parse-names":false,"suffix":""},{"dropping-particle":"","family":"Zhang","given":"Man","non-dropping-particle":"","parse-names":false,"suffix":""},{"dropping-particle":"","family":"Guo","given":"Dandan","non-dropping-particle":"","parse-names":false,"suffix":""},{"dropping-particle":"","family":"Wu","given":"Wenting","non-dropping-particle":"","parse-names":false,"suffix":""},{"dropping-particle":"","family":"Zhang","given":"Xingxing","non-dropping-particle":"","parse-names":false,"suffix":""},{"dropping-particle":"","family":"Kan","given":"Ge Lin","non-dropping-particle":"","parse-names":false,"suffix":""},{"dropping-particle":"","family":"Jia","given":"Lei","non-dropping-particle":"","parse-names":false,"suffix":""},{"dropping-particle":"","family":"Huo","given":"Da","non-dropping-particle":"","parse-names":false,"suffix":""},{"dropping-particle":"","family":"Liu","given":"Baiwei","non-dropping-particle":"","parse-names":false,"suffix":""},{"dropping-particle":"","family":"Wang","given":"Xiaoli","non-dropping-particle":"","parse-names":false,"suffix":""},{"dropping-particle":"","family":"Sun","given":"Ying","non-dropping-particle":"","parse-names":false,"suffix":""},{"dropping-particle":"","family":"Wang","given":"Quanyi","non-dropping-particle":"","parse-names":false,"suffix":""},{"dropping-particle":"","family":"Yang","given":"Peng","non-dropping-particle":"","parse-names":false,"suffix":""},{"dropping-particle":"","family":"MacIntyre","given":"C Raina","non-dropping-particle":"","parse-names":false,"suffix":""}],"container-title":"BMJ global health","id":"ITEM-1","issue":"5","issued":{"date-parts":[["2020"]]},"language":"eng","note":"32467353[pmid]\nPMC7264640[pmcid]\nbmjgh-2020-002794[PII]","page":"e002794","publisher":"BMJ Publishing Group","title":"Reduction of secondary transmission of SARS-CoV-2 in households by face mask use, disinfection and social distancing: a cohort study in Beijing, China","type":"article-journal","volume":"5"},"uris":["http://www.mendeley.com/documents/?uuid=b836df0c-de59-4d7a-98d5-6e3dbce46add"]}],"mendeley":{"formattedCitation":"[52]","plainTextFormattedCitation":"[52]","previouslyFormattedCitation":"[54]"},"properties":{"noteIndex":0},"schema":"https://github.com/citation-style-language/schema/raw/master/csl-citation.json"}</w:instrText>
            </w:r>
            <w:r w:rsidR="004108A5">
              <w:rPr>
                <w:rFonts w:ascii="Calibri" w:hAnsi="Calibri" w:cs="Calibri"/>
                <w:color w:val="000000"/>
              </w:rPr>
              <w:fldChar w:fldCharType="separate"/>
            </w:r>
            <w:r w:rsidR="001B3AB4" w:rsidRPr="001B3AB4">
              <w:rPr>
                <w:rFonts w:ascii="Calibri" w:hAnsi="Calibri" w:cs="Calibri"/>
                <w:noProof/>
                <w:color w:val="000000"/>
              </w:rPr>
              <w:t>[52]</w:t>
            </w:r>
            <w:r w:rsidR="004108A5">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7210146E" w14:textId="77777777" w:rsidR="00DE61CC" w:rsidRDefault="00DE61CC" w:rsidP="00F478BF">
            <w:pPr>
              <w:jc w:val="right"/>
            </w:pPr>
            <w:r>
              <w:rPr>
                <w:rFonts w:ascii="Calibri" w:hAnsi="Calibri" w:cs="Calibri"/>
                <w:color w:val="000000"/>
              </w:rPr>
              <w:t>124</w:t>
            </w:r>
          </w:p>
        </w:tc>
        <w:tc>
          <w:tcPr>
            <w:tcW w:w="2843" w:type="dxa"/>
            <w:tcBorders>
              <w:top w:val="single" w:sz="8" w:space="0" w:color="auto"/>
              <w:left w:val="nil"/>
              <w:bottom w:val="single" w:sz="8" w:space="0" w:color="auto"/>
              <w:right w:val="nil"/>
            </w:tcBorders>
            <w:vAlign w:val="center"/>
          </w:tcPr>
          <w:p w14:paraId="6DECBEBD" w14:textId="77777777" w:rsidR="00DE61CC" w:rsidRDefault="00DE61CC" w:rsidP="00F478BF">
            <w:pPr>
              <w:jc w:val="right"/>
            </w:pPr>
            <w:r>
              <w:rPr>
                <w:rFonts w:ascii="Calibri" w:hAnsi="Calibri" w:cs="Calibri"/>
                <w:color w:val="000000"/>
              </w:rPr>
              <w:t>77</w:t>
            </w:r>
          </w:p>
        </w:tc>
        <w:tc>
          <w:tcPr>
            <w:tcW w:w="2019" w:type="dxa"/>
            <w:tcBorders>
              <w:top w:val="single" w:sz="8" w:space="0" w:color="auto"/>
              <w:left w:val="nil"/>
              <w:bottom w:val="single" w:sz="8" w:space="0" w:color="auto"/>
              <w:right w:val="nil"/>
            </w:tcBorders>
            <w:vAlign w:val="center"/>
          </w:tcPr>
          <w:p w14:paraId="2E5E3F63" w14:textId="4D82780E" w:rsidR="00DE61CC" w:rsidRDefault="00DE61CC" w:rsidP="00F478BF">
            <w:pPr>
              <w:jc w:val="right"/>
            </w:pPr>
            <w:r>
              <w:rPr>
                <w:rFonts w:ascii="Calibri" w:hAnsi="Calibri" w:cs="Calibri"/>
                <w:color w:val="000000"/>
              </w:rPr>
              <w:t>0.62</w:t>
            </w:r>
          </w:p>
        </w:tc>
      </w:tr>
      <w:tr w:rsidR="00DE61CC" w14:paraId="797DF49F" w14:textId="77777777" w:rsidTr="00FC15CB">
        <w:trPr>
          <w:trHeight w:val="249"/>
        </w:trPr>
        <w:tc>
          <w:tcPr>
            <w:tcW w:w="2268" w:type="dxa"/>
            <w:tcBorders>
              <w:top w:val="single" w:sz="8" w:space="0" w:color="auto"/>
              <w:left w:val="nil"/>
              <w:bottom w:val="single" w:sz="8" w:space="0" w:color="auto"/>
              <w:right w:val="nil"/>
            </w:tcBorders>
            <w:vAlign w:val="bottom"/>
          </w:tcPr>
          <w:p w14:paraId="0DE4B871" w14:textId="104424EA" w:rsidR="00DE61CC" w:rsidRDefault="00DE61CC" w:rsidP="00F478BF">
            <w:r>
              <w:rPr>
                <w:rFonts w:ascii="Calibri" w:hAnsi="Calibri" w:cs="Calibri"/>
                <w:color w:val="000000"/>
              </w:rPr>
              <w:t>Sun et al</w:t>
            </w:r>
            <w:r w:rsidR="002E4C54">
              <w:rPr>
                <w:rFonts w:ascii="Calibri" w:hAnsi="Calibri" w:cs="Calibri"/>
                <w:color w:val="000000"/>
              </w:rPr>
              <w:t xml:space="preserve"> </w:t>
            </w:r>
            <w:r w:rsidR="002E4C54">
              <w:rPr>
                <w:rFonts w:ascii="Calibri" w:hAnsi="Calibri" w:cs="Calibri"/>
                <w:color w:val="000000"/>
              </w:rPr>
              <w:fldChar w:fldCharType="begin" w:fldLock="1"/>
            </w:r>
            <w:r w:rsidR="001B3AB4">
              <w:rPr>
                <w:rFonts w:ascii="Calibri" w:hAnsi="Calibri" w:cs="Calibri"/>
                <w:color w:val="000000"/>
              </w:rPr>
              <w:instrText>ADDIN CSL_CITATION {"citationItems":[{"id":"ITEM-1","itemData":{"DOI":"10.3760/cma.j.cn112150-20200227-00199","ISBN":"0253-9624 (Print)\r0253-9624","PMID":"32171192","abstract":"Objective: Family clusters of Novel coronavirus pneumonia in Zhejiang province were analyzed to provide epidemiological basis for disease control. Methods: The data of family clusters occurred from January 20 to February 10 in Zhejiang Province were collected. Descriptive analysis was used to analyze the clinical symptoms and the serial interval between the subsequent cases and the index cases. Chi-square test was used to analyze the age distribution, gender distribution and the relationship between the subsequent cases and the index cases. Results: 391 cases including 148 family index cases, 189 subsequent cases and 54 asymptomatic infected cases. The clinical symptoms between family index cases and subsequent cases are similar, fever is the most common symptoms in the two groups 114 (77.03%) and 92 (48.68%) respectively, the cases with diarrhea symptoms accounted for the least proportion, which were 7 (4.73%) and 5 (2.65%). The serial interval between the family index cases and the subsequent cases [M (P(25), P(75))] was 3.00 (1.00, 6.00) days. Family secondary attack rate for subsequent cases and asymptomatic infected cases are 31.61% and 43.20% respectively, the family secondary attack rate of the spouses of the family index cases is 63.87%, and are higher than that of their children (30.53%), parents (28.37%) and other family members (20.93%), the difference was statistically significant. Conclusion: 2019 novel coronavirus has shorter serial interval and higher family secondary attack rate, the secondary attack rate of spouses is higher than other family members.","author":[{"dropping-particle":"","family":"Sun","given":"W W","non-dropping-particle":"","parse-names":false,"suffix":""},{"dropping-particle":"","family":"Ling","given":"F","non-dropping-particle":"","parse-names":false,"suffix":""},{"dropping-particle":"","family":"Pan","given":"J R","non-dropping-particle":"","parse-names":false,"suffix":""},{"dropping-particle":"","family":"Cai","given":"J","non-dropping-particle":"","parse-names":false,"suffix":""},{"dropping-particle":"","family":"Miao","given":"Z P","non-dropping-particle":"","parse-names":false,"suffix":""},{"dropping-particle":"","family":"Liu","given":"S L","non-dropping-particle":"","parse-names":false,"suffix":""},{"dropping-particle":"","family":"Cheng","given":"W","non-dropping-particle":"","parse-names":false,"suffix":""},{"dropping-particle":"","family":"Chen","given":"E F","non-dropping-particle":"","parse-names":false,"suffix":""}],"container-title":"Zhonghua Yu Fang Yi Xue Za Zhi","edition":"2020/03/17","id":"ITEM-1","issue":"0","issued":{"date-parts":[["2020"]]},"language":"chi","note":"Sun, W W\nLing, F\nPan, J R\nCai, J\nMiao, Z P\nLiu, S L\nCheng, W\nChen, E F\n2020C03124/Key Technologies for Prevention and Control of Pneumonia Caused by Novel Coronavirus Infection/\nEnglish Abstract\nJournal Article\nChina\nZhonghua Yu Fang Yi Xue Za Zhi. 2020 Mar 15;54(0):E027. doi: 10.3760/cma.j.cn112150-20200227-00199.","page":"E027","title":"[Epidemiological characteristics of 2019 novel coronavirus family clustering in Zhejiang Province]","type":"article-journal","volume":"54"},"uris":["http://www.mendeley.com/documents/?uuid=cc39ddcf-ea84-4738-8e42-8a4daa996532"]}],"mendeley":{"formattedCitation":"[49]","plainTextFormattedCitation":"[49]","previouslyFormattedCitation":"[51]"},"properties":{"noteIndex":0},"schema":"https://github.com/citation-style-language/schema/raw/master/csl-citation.json"}</w:instrText>
            </w:r>
            <w:r w:rsidR="002E4C54">
              <w:rPr>
                <w:rFonts w:ascii="Calibri" w:hAnsi="Calibri" w:cs="Calibri"/>
                <w:color w:val="000000"/>
              </w:rPr>
              <w:fldChar w:fldCharType="separate"/>
            </w:r>
            <w:r w:rsidR="001B3AB4" w:rsidRPr="001B3AB4">
              <w:rPr>
                <w:rFonts w:ascii="Calibri" w:hAnsi="Calibri" w:cs="Calibri"/>
                <w:noProof/>
                <w:color w:val="000000"/>
              </w:rPr>
              <w:t>[49]</w:t>
            </w:r>
            <w:r w:rsidR="002E4C54">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1A848505" w14:textId="77777777" w:rsidR="00DE61CC" w:rsidRDefault="00DE61CC" w:rsidP="00F478BF">
            <w:pPr>
              <w:jc w:val="right"/>
            </w:pPr>
            <w:r>
              <w:rPr>
                <w:rFonts w:ascii="Calibri" w:hAnsi="Calibri" w:cs="Calibri"/>
                <w:color w:val="000000"/>
              </w:rPr>
              <w:t>148</w:t>
            </w:r>
          </w:p>
        </w:tc>
        <w:tc>
          <w:tcPr>
            <w:tcW w:w="2843" w:type="dxa"/>
            <w:tcBorders>
              <w:top w:val="single" w:sz="8" w:space="0" w:color="auto"/>
              <w:left w:val="nil"/>
              <w:bottom w:val="single" w:sz="8" w:space="0" w:color="auto"/>
              <w:right w:val="nil"/>
            </w:tcBorders>
            <w:vAlign w:val="center"/>
          </w:tcPr>
          <w:p w14:paraId="68EFCC9B" w14:textId="77777777" w:rsidR="00DE61CC" w:rsidRDefault="00DE61CC" w:rsidP="00F478BF">
            <w:pPr>
              <w:jc w:val="right"/>
            </w:pPr>
            <w:r>
              <w:rPr>
                <w:rFonts w:ascii="Calibri" w:hAnsi="Calibri" w:cs="Calibri"/>
                <w:color w:val="000000"/>
              </w:rPr>
              <w:t>189</w:t>
            </w:r>
          </w:p>
        </w:tc>
        <w:tc>
          <w:tcPr>
            <w:tcW w:w="2019" w:type="dxa"/>
            <w:tcBorders>
              <w:top w:val="single" w:sz="8" w:space="0" w:color="auto"/>
              <w:left w:val="nil"/>
              <w:bottom w:val="single" w:sz="8" w:space="0" w:color="auto"/>
              <w:right w:val="nil"/>
            </w:tcBorders>
            <w:vAlign w:val="center"/>
          </w:tcPr>
          <w:p w14:paraId="52895490" w14:textId="36517E63" w:rsidR="00DE61CC" w:rsidRDefault="00DE61CC" w:rsidP="00F478BF">
            <w:pPr>
              <w:jc w:val="right"/>
            </w:pPr>
            <w:r>
              <w:rPr>
                <w:rFonts w:ascii="Calibri" w:hAnsi="Calibri" w:cs="Calibri"/>
                <w:color w:val="000000"/>
              </w:rPr>
              <w:t>1.2</w:t>
            </w:r>
            <w:r w:rsidR="00E77573">
              <w:rPr>
                <w:rFonts w:ascii="Calibri" w:hAnsi="Calibri" w:cs="Calibri"/>
                <w:color w:val="000000"/>
              </w:rPr>
              <w:t>8</w:t>
            </w:r>
          </w:p>
        </w:tc>
      </w:tr>
      <w:tr w:rsidR="00DE61CC" w14:paraId="190D2145" w14:textId="77777777" w:rsidTr="00FC15CB">
        <w:trPr>
          <w:trHeight w:val="260"/>
        </w:trPr>
        <w:tc>
          <w:tcPr>
            <w:tcW w:w="2268" w:type="dxa"/>
            <w:tcBorders>
              <w:top w:val="single" w:sz="8" w:space="0" w:color="auto"/>
              <w:left w:val="nil"/>
              <w:bottom w:val="single" w:sz="8" w:space="0" w:color="auto"/>
              <w:right w:val="nil"/>
            </w:tcBorders>
            <w:vAlign w:val="bottom"/>
          </w:tcPr>
          <w:p w14:paraId="701E6F92" w14:textId="6D444B2A" w:rsidR="00DE61CC" w:rsidRDefault="00DE61CC" w:rsidP="00F478BF">
            <w:r>
              <w:rPr>
                <w:rFonts w:ascii="Calibri" w:hAnsi="Calibri" w:cs="Calibri"/>
                <w:color w:val="000000"/>
              </w:rPr>
              <w:t>Rosenberg et al</w:t>
            </w:r>
            <w:r w:rsidR="0056560A">
              <w:rPr>
                <w:rFonts w:ascii="Calibri" w:hAnsi="Calibri" w:cs="Calibri"/>
                <w:color w:val="000000"/>
              </w:rPr>
              <w:t xml:space="preserve"> </w:t>
            </w:r>
            <w:r w:rsidR="0056560A">
              <w:rPr>
                <w:rFonts w:ascii="Calibri" w:hAnsi="Calibri" w:cs="Calibri"/>
                <w:color w:val="000000"/>
              </w:rPr>
              <w:fldChar w:fldCharType="begin" w:fldLock="1"/>
            </w:r>
            <w:r w:rsidR="001B3AB4">
              <w:rPr>
                <w:rFonts w:ascii="Calibri" w:hAnsi="Calibri" w:cs="Calibri"/>
                <w:color w:val="000000"/>
              </w:rPr>
              <w:instrText>ADDIN CSL_CITATION {"citationItems":[{"id":"ITEM-1","itemData":{"DOI":"10.1093/cid/ciaa549","ISBN":"1537-6591\r1058-4838","PMID":"32382743","abstract":"BACKGROUND: The United States' COVID-19 epidemic has grown extensively since February 2020, with substantial associated hospitalizations and mortality; New York State (NYS) has emerged as the national epicenter. We report on the extent of testing and test results during the month of March in NYS, along with risk factors, outcomes, and household prevalence among initial cases subject to in-depth investigations. METHODS: Specimen collection for COVID-19 testing was conducted in healthcare settings, community-based collection sites, and by home testing teams. Information on demographics, risk factors, and hospital outcomes of cases was obtained through epidemiological investigations and an electronic medical records match, and summarized descriptively. Active testing of initial case's households enabled estimation of household prevalence. RESULTS: During March In NYS, outside of New York City, a total of 47,326 persons tested positive for SARS-CoV-2, out of 141,495 tests (33% test-positive), with the highest number of cases located in the metropolitan region counties. Among 229 initial cases diagnosed through March 12, by March 30 13% were hospitalized and 2% died. Testing conducted among 498 members of these case's households found prevalent infection among 57%; excluding first-reported cases 38%. In these homes, we found a significant age gradient in prevalence, from 23% among those &lt;5 years to 68% among those ≥65 years (p&lt;.0001). CONCLUSIONS: New York State faced a substantial and increasing COVID-19 outbreak during March 2020. The earliest cases had high levels of infection in their households and by the end of the month, the risks of hospitalization and death were high.","author":[{"dropping-particle":"","family":"Rosenberg","given":"Eli S","non-dropping-particle":"","parse-names":false,"suffix":""},{"dropping-particle":"","family":"Dufort","given":"Elizabeth M","non-dropping-particle":"","parse-names":false,"suffix":""},{"dropping-particle":"","family":"Blog","given":"Debra S","non-dropping-particle":"","parse-names":false,"suffix":""},{"dropping-particle":"","family":"Hall","given":"Eric W","non-dropping-particle":"","parse-names":false,"suffix":""},{"dropping-particle":"","family":"Hoefer","given":"Dina","non-dropping-particle":"","parse-names":false,"suffix":""},{"dropping-particle":"","family":"Backenson","given":"Bryon P","non-dropping-particle":"","parse-names":false,"suffix":""},{"dropping-particle":"","family":"Muse","given":"Alison T","non-dropping-particle":"","parse-names":false,"suffix":""},{"dropping-particle":"","family":"Kirkwood","given":"James N","non-dropping-particle":"","parse-names":false,"suffix":""},{"dropping-particle":"","family":"George","given":"Kirsten St","non-dropping-particle":"","parse-names":false,"suffix":""},{"dropping-particle":"","family":"Holtgrave","given":"David R","non-dropping-particle":"","parse-names":false,"suffix":""},{"dropping-particle":"","family":"Hutton","given":"Brad J","non-dropping-particle":"","parse-names":false,"suffix":""},{"dropping-particle":"","family":"Zucker","given":"Howard A","non-dropping-particle":"","parse-names":false,"suffix":""},{"dropping-particle":"","family":"New York State Coronavirus Response","given":"Team","non-dropping-particle":"","parse-names":false,"suffix":""}],"container-title":"Clinical infectious diseases : an official publication of the Infectious Diseases Society of America","id":"ITEM-1","issued":{"date-parts":[["2020"]]},"language":"eng","note":"32382743[pmid]\nPMC7239264[pmcid]\n5831986[PII]","page":"ciaa549","publisher":"Oxford University Press","title":"COVID-19 Testing, Epidemic Features, Hospital Outcomes, and Household Prevalence, New York State-March 2020","type":"article-journal"},"uris":["http://www.mendeley.com/documents/?uuid=5cbea1a1-3350-401c-9720-eb7162f1fbde"]}],"mendeley":{"formattedCitation":"[48]","plainTextFormattedCitation":"[48]","previouslyFormattedCitation":"[50]"},"properties":{"noteIndex":0},"schema":"https://github.com/citation-style-language/schema/raw/master/csl-citation.json"}</w:instrText>
            </w:r>
            <w:r w:rsidR="0056560A">
              <w:rPr>
                <w:rFonts w:ascii="Calibri" w:hAnsi="Calibri" w:cs="Calibri"/>
                <w:color w:val="000000"/>
              </w:rPr>
              <w:fldChar w:fldCharType="separate"/>
            </w:r>
            <w:r w:rsidR="001B3AB4" w:rsidRPr="001B3AB4">
              <w:rPr>
                <w:rFonts w:ascii="Calibri" w:hAnsi="Calibri" w:cs="Calibri"/>
                <w:noProof/>
                <w:color w:val="000000"/>
              </w:rPr>
              <w:t>[48]</w:t>
            </w:r>
            <w:r w:rsidR="0056560A">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5AAB1EF6" w14:textId="77777777" w:rsidR="00DE61CC" w:rsidRDefault="00DE61CC" w:rsidP="00F478BF">
            <w:pPr>
              <w:jc w:val="right"/>
            </w:pPr>
            <w:r>
              <w:rPr>
                <w:rFonts w:ascii="Calibri" w:hAnsi="Calibri" w:cs="Calibri"/>
                <w:color w:val="000000"/>
              </w:rPr>
              <w:t>155</w:t>
            </w:r>
          </w:p>
        </w:tc>
        <w:tc>
          <w:tcPr>
            <w:tcW w:w="2843" w:type="dxa"/>
            <w:tcBorders>
              <w:top w:val="single" w:sz="8" w:space="0" w:color="auto"/>
              <w:left w:val="nil"/>
              <w:bottom w:val="single" w:sz="8" w:space="0" w:color="auto"/>
              <w:right w:val="nil"/>
            </w:tcBorders>
            <w:vAlign w:val="center"/>
          </w:tcPr>
          <w:p w14:paraId="71CFA4FF" w14:textId="77777777" w:rsidR="00DE61CC" w:rsidRDefault="00DE61CC" w:rsidP="00F478BF">
            <w:pPr>
              <w:jc w:val="right"/>
            </w:pPr>
            <w:r>
              <w:rPr>
                <w:rFonts w:ascii="Calibri" w:hAnsi="Calibri" w:cs="Calibri"/>
                <w:color w:val="000000"/>
              </w:rPr>
              <w:t>131</w:t>
            </w:r>
          </w:p>
        </w:tc>
        <w:tc>
          <w:tcPr>
            <w:tcW w:w="2019" w:type="dxa"/>
            <w:tcBorders>
              <w:top w:val="single" w:sz="8" w:space="0" w:color="auto"/>
              <w:left w:val="nil"/>
              <w:bottom w:val="single" w:sz="8" w:space="0" w:color="auto"/>
              <w:right w:val="nil"/>
            </w:tcBorders>
            <w:vAlign w:val="center"/>
          </w:tcPr>
          <w:p w14:paraId="45F9BE7A" w14:textId="239F3D4D" w:rsidR="00DE61CC" w:rsidRDefault="00DE61CC" w:rsidP="00F478BF">
            <w:pPr>
              <w:jc w:val="right"/>
            </w:pPr>
            <w:r>
              <w:rPr>
                <w:rFonts w:ascii="Calibri" w:hAnsi="Calibri" w:cs="Calibri"/>
                <w:color w:val="000000"/>
              </w:rPr>
              <w:t>0.8</w:t>
            </w:r>
            <w:r w:rsidR="00E77573">
              <w:rPr>
                <w:rFonts w:ascii="Calibri" w:hAnsi="Calibri" w:cs="Calibri"/>
                <w:color w:val="000000"/>
              </w:rPr>
              <w:t>5</w:t>
            </w:r>
          </w:p>
        </w:tc>
      </w:tr>
      <w:tr w:rsidR="00DE61CC" w14:paraId="682633A4" w14:textId="77777777" w:rsidTr="00FC15CB">
        <w:trPr>
          <w:trHeight w:val="249"/>
        </w:trPr>
        <w:tc>
          <w:tcPr>
            <w:tcW w:w="2268" w:type="dxa"/>
            <w:tcBorders>
              <w:top w:val="single" w:sz="8" w:space="0" w:color="auto"/>
              <w:left w:val="nil"/>
              <w:bottom w:val="single" w:sz="8" w:space="0" w:color="auto"/>
              <w:right w:val="nil"/>
            </w:tcBorders>
            <w:vAlign w:val="bottom"/>
          </w:tcPr>
          <w:p w14:paraId="27C20A77" w14:textId="5D27A885" w:rsidR="00DE61CC" w:rsidRDefault="00DE61CC" w:rsidP="00F478BF">
            <w:r>
              <w:rPr>
                <w:rFonts w:ascii="Calibri" w:hAnsi="Calibri" w:cs="Calibri"/>
                <w:color w:val="000000"/>
              </w:rPr>
              <w:t>Jing et al</w:t>
            </w:r>
            <w:r w:rsidR="00C52415">
              <w:rPr>
                <w:rFonts w:ascii="Calibri" w:hAnsi="Calibri" w:cs="Calibri"/>
                <w:color w:val="000000"/>
              </w:rPr>
              <w:t xml:space="preserve"> </w:t>
            </w:r>
            <w:r w:rsidR="00C52415">
              <w:rPr>
                <w:rFonts w:ascii="Calibri" w:hAnsi="Calibri" w:cs="Calibri"/>
                <w:color w:val="000000"/>
              </w:rPr>
              <w:fldChar w:fldCharType="begin" w:fldLock="1"/>
            </w:r>
            <w:r w:rsidR="001B3AB4">
              <w:rPr>
                <w:rFonts w:ascii="Calibri" w:hAnsi="Calibri" w:cs="Calibri"/>
                <w:color w:val="000000"/>
              </w:rPr>
              <w:instrText>ADDIN CSL_CITATION {"citationItems":[{"id":"ITEM-1","itemData":{"ISBN":"1473-3099","author":[{"dropping-particle":"","family":"Jing","given":"Qin-Long","non-dropping-particle":"","parse-names":false,"suffix":""},{"dropping-particle":"","family":"Liu","given":"Ming-Jin","non-dropping-particle":"","parse-names":false,"suffix":""},{"dropping-particle":"","family":"Zhang","given":"Zhou-Bin","non-dropping-particle":"","parse-names":false,"suffix":""},{"dropping-particle":"","family":"Fang","given":"Li-Qun","non-dropping-particle":"","parse-names":false,"suffix":""},{"dropping-particle":"","family":"Yuan","given":"Jun","non-dropping-particle":"","parse-names":false,"suffix":""},{"dropping-particle":"","family":"Zhang","given":"An-Ran","non-dropping-particle":"","parse-names":false,"suffix":""},{"dropping-particle":"","family":"Dean","given":"Natalie E","non-dropping-particle":"","parse-names":false,"suffix":""},{"dropping-particle":"","family":"Luo","given":"Lei","non-dropping-particle":"","parse-names":false,"suffix":""},{"dropping-particle":"","family":"Ma","given":"Meng-Meng","non-dropping-particle":"","parse-names":false,"suffix":""},{"dropping-particle":"","family":"Longini","given":"Ira","non-dropping-particle":"","parse-names":false,"suffix":""}],"container-title":"The Lancet Infectious Diseases","id":"ITEM-1","issued":{"date-parts":[["2020"]]},"title":"Household secondary attack rate of COVID-19 and associated determinants in Guangzhou, China: a retrospective cohort study","type":"article-journal"},"uris":["http://www.mendeley.com/documents/?uuid=bf18fc7e-31b3-490c-a428-7aeea8d8096a"]}],"mendeley":{"formattedCitation":"[38]","plainTextFormattedCitation":"[38]","previouslyFormattedCitation":"[40]"},"properties":{"noteIndex":0},"schema":"https://github.com/citation-style-language/schema/raw/master/csl-citation.json"}</w:instrText>
            </w:r>
            <w:r w:rsidR="00C52415">
              <w:rPr>
                <w:rFonts w:ascii="Calibri" w:hAnsi="Calibri" w:cs="Calibri"/>
                <w:color w:val="000000"/>
              </w:rPr>
              <w:fldChar w:fldCharType="separate"/>
            </w:r>
            <w:r w:rsidR="001B3AB4" w:rsidRPr="001B3AB4">
              <w:rPr>
                <w:rFonts w:ascii="Calibri" w:hAnsi="Calibri" w:cs="Calibri"/>
                <w:noProof/>
                <w:color w:val="000000"/>
              </w:rPr>
              <w:t>[38]</w:t>
            </w:r>
            <w:r w:rsidR="00C52415">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5A184C1F" w14:textId="77777777" w:rsidR="00DE61CC" w:rsidRDefault="00DE61CC" w:rsidP="00F478BF">
            <w:pPr>
              <w:jc w:val="right"/>
            </w:pPr>
            <w:r>
              <w:rPr>
                <w:rFonts w:ascii="Calibri" w:hAnsi="Calibri" w:cs="Calibri"/>
                <w:color w:val="000000"/>
              </w:rPr>
              <w:t>215</w:t>
            </w:r>
          </w:p>
        </w:tc>
        <w:tc>
          <w:tcPr>
            <w:tcW w:w="2843" w:type="dxa"/>
            <w:tcBorders>
              <w:top w:val="single" w:sz="8" w:space="0" w:color="auto"/>
              <w:left w:val="nil"/>
              <w:bottom w:val="single" w:sz="8" w:space="0" w:color="auto"/>
              <w:right w:val="nil"/>
            </w:tcBorders>
            <w:vAlign w:val="center"/>
          </w:tcPr>
          <w:p w14:paraId="712D39BE" w14:textId="77777777" w:rsidR="00DE61CC" w:rsidRDefault="00DE61CC" w:rsidP="00F478BF">
            <w:pPr>
              <w:jc w:val="right"/>
            </w:pPr>
            <w:r>
              <w:rPr>
                <w:rFonts w:ascii="Calibri" w:hAnsi="Calibri" w:cs="Calibri"/>
                <w:color w:val="000000"/>
              </w:rPr>
              <w:t>103</w:t>
            </w:r>
          </w:p>
        </w:tc>
        <w:tc>
          <w:tcPr>
            <w:tcW w:w="2019" w:type="dxa"/>
            <w:tcBorders>
              <w:top w:val="single" w:sz="8" w:space="0" w:color="auto"/>
              <w:left w:val="nil"/>
              <w:bottom w:val="single" w:sz="8" w:space="0" w:color="auto"/>
              <w:right w:val="nil"/>
            </w:tcBorders>
            <w:vAlign w:val="center"/>
          </w:tcPr>
          <w:p w14:paraId="6F0D3138" w14:textId="041E5441" w:rsidR="00DE61CC" w:rsidRDefault="00DE61CC" w:rsidP="00F478BF">
            <w:pPr>
              <w:jc w:val="right"/>
            </w:pPr>
            <w:r>
              <w:rPr>
                <w:rFonts w:ascii="Calibri" w:hAnsi="Calibri" w:cs="Calibri"/>
                <w:color w:val="000000"/>
              </w:rPr>
              <w:t>0.4</w:t>
            </w:r>
            <w:r w:rsidR="00E77573">
              <w:rPr>
                <w:rFonts w:ascii="Calibri" w:hAnsi="Calibri" w:cs="Calibri"/>
                <w:color w:val="000000"/>
              </w:rPr>
              <w:t>8</w:t>
            </w:r>
          </w:p>
        </w:tc>
      </w:tr>
      <w:tr w:rsidR="00DE61CC" w14:paraId="0012CC5E" w14:textId="77777777" w:rsidTr="00FC15CB">
        <w:trPr>
          <w:trHeight w:val="260"/>
        </w:trPr>
        <w:tc>
          <w:tcPr>
            <w:tcW w:w="2268" w:type="dxa"/>
            <w:tcBorders>
              <w:top w:val="single" w:sz="8" w:space="0" w:color="auto"/>
              <w:left w:val="nil"/>
              <w:bottom w:val="single" w:sz="8" w:space="0" w:color="auto"/>
              <w:right w:val="nil"/>
            </w:tcBorders>
            <w:vAlign w:val="bottom"/>
          </w:tcPr>
          <w:p w14:paraId="1C9815FD" w14:textId="6B0E6721" w:rsidR="00DE61CC" w:rsidRDefault="00DE61CC" w:rsidP="00F478BF">
            <w:r>
              <w:rPr>
                <w:rFonts w:ascii="Calibri" w:hAnsi="Calibri" w:cs="Calibri"/>
                <w:color w:val="000000"/>
              </w:rPr>
              <w:t>Yung et al</w:t>
            </w:r>
            <w:r w:rsidR="0056560A">
              <w:rPr>
                <w:rFonts w:ascii="Calibri" w:hAnsi="Calibri" w:cs="Calibri"/>
                <w:color w:val="000000"/>
              </w:rPr>
              <w:t xml:space="preserve"> </w:t>
            </w:r>
            <w:r w:rsidR="0056560A">
              <w:rPr>
                <w:rFonts w:ascii="Calibri" w:hAnsi="Calibri" w:cs="Calibri"/>
                <w:color w:val="000000"/>
              </w:rPr>
              <w:fldChar w:fldCharType="begin" w:fldLock="1"/>
            </w:r>
            <w:r w:rsidR="001B3AB4">
              <w:rPr>
                <w:rFonts w:ascii="Calibri" w:hAnsi="Calibri" w:cs="Calibri"/>
                <w:color w:val="000000"/>
              </w:rPr>
              <w:instrText>ADDIN CSL_CITATION {"citationItems":[{"id":"ITEM-1","itemData":{"ISSN":"0022-3476","author":[{"dropping-particle":"","family":"Yung","given":"Chee Fu","non-dropping-particle":"","parse-names":false,"suffix":""},{"dropping-particle":"","family":"Kam","given":"Kai-Qian","non-dropping-particle":"","parse-names":false,"suffix":""},{"dropping-particle":"","family":"Chong","given":"Chia Yin","non-dropping-particle":"","parse-names":false,"suffix":""},{"dropping-particle":"","family":"Nadua","given":"Karen Donceras","non-dropping-particle":"","parse-names":false,"suffix":""},{"dropping-particle":"","family":"Li","given":"Jiahui","non-dropping-particle":"","parse-names":false,"suffix":""},{"dropping-particle":"","family":"Tan","given":"Natalie Woon Hui","non-dropping-particle":"","parse-names":false,"suffix":""},{"dropping-particle":"","family":"Ganapathy","given":"Sashikumar","non-dropping-particle":"","parse-names":false,"suffix":""},{"dropping-particle":"","family":"Lee","given":"Khai Pin","non-dropping-particle":"","parse-names":false,"suffix":""},{"dropping-particle":"","family":"Ng","given":"Kee Chong","non-dropping-particle":"","parse-names":false,"suffix":""},{"dropping-particle":"","family":"Chan","given":"Yoke Hwee","non-dropping-particle":"","parse-names":false,"suffix":""}],"container-title":"The Journal of pediatrics","id":"ITEM-1","issued":{"date-parts":[["2020"]]},"page":"249-251","publisher":"Elsevier","title":"Household Transmission of Severe Acute Respiratory Syndrome Coronavirus 2 from Adults to Children","type":"article-journal","volume":"225"},"uris":["http://www.mendeley.com/documents/?uuid=65e4d97b-183e-47c5-aad7-61fbddf570d2"]}],"mendeley":{"formattedCitation":"[60]","plainTextFormattedCitation":"[60]","previouslyFormattedCitation":"[62]"},"properties":{"noteIndex":0},"schema":"https://github.com/citation-style-language/schema/raw/master/csl-citation.json"}</w:instrText>
            </w:r>
            <w:r w:rsidR="0056560A">
              <w:rPr>
                <w:rFonts w:ascii="Calibri" w:hAnsi="Calibri" w:cs="Calibri"/>
                <w:color w:val="000000"/>
              </w:rPr>
              <w:fldChar w:fldCharType="separate"/>
            </w:r>
            <w:r w:rsidR="001B3AB4" w:rsidRPr="001B3AB4">
              <w:rPr>
                <w:rFonts w:ascii="Calibri" w:hAnsi="Calibri" w:cs="Calibri"/>
                <w:noProof/>
                <w:color w:val="000000"/>
              </w:rPr>
              <w:t>[60]</w:t>
            </w:r>
            <w:r w:rsidR="0056560A">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1190449C" w14:textId="77777777" w:rsidR="00DE61CC" w:rsidRDefault="00DE61CC" w:rsidP="00F478BF">
            <w:pPr>
              <w:jc w:val="right"/>
            </w:pPr>
            <w:r>
              <w:rPr>
                <w:rFonts w:ascii="Calibri" w:hAnsi="Calibri" w:cs="Calibri"/>
                <w:color w:val="000000"/>
              </w:rPr>
              <w:t>223</w:t>
            </w:r>
          </w:p>
        </w:tc>
        <w:tc>
          <w:tcPr>
            <w:tcW w:w="2843" w:type="dxa"/>
            <w:tcBorders>
              <w:top w:val="single" w:sz="8" w:space="0" w:color="auto"/>
              <w:left w:val="nil"/>
              <w:bottom w:val="single" w:sz="8" w:space="0" w:color="auto"/>
              <w:right w:val="nil"/>
            </w:tcBorders>
            <w:vAlign w:val="center"/>
          </w:tcPr>
          <w:p w14:paraId="66A4C2E7" w14:textId="77777777" w:rsidR="00DE61CC" w:rsidRDefault="00DE61CC" w:rsidP="00F478BF">
            <w:pPr>
              <w:jc w:val="right"/>
            </w:pPr>
            <w:r>
              <w:rPr>
                <w:rFonts w:ascii="Calibri" w:hAnsi="Calibri" w:cs="Calibri"/>
                <w:color w:val="000000"/>
              </w:rPr>
              <w:t>13</w:t>
            </w:r>
          </w:p>
        </w:tc>
        <w:tc>
          <w:tcPr>
            <w:tcW w:w="2019" w:type="dxa"/>
            <w:tcBorders>
              <w:top w:val="single" w:sz="8" w:space="0" w:color="auto"/>
              <w:left w:val="nil"/>
              <w:bottom w:val="single" w:sz="8" w:space="0" w:color="auto"/>
              <w:right w:val="nil"/>
            </w:tcBorders>
            <w:vAlign w:val="center"/>
          </w:tcPr>
          <w:p w14:paraId="59D5F487" w14:textId="2E26F15A" w:rsidR="00DE61CC" w:rsidRDefault="00DE61CC" w:rsidP="00F478BF">
            <w:pPr>
              <w:jc w:val="right"/>
            </w:pPr>
            <w:r>
              <w:rPr>
                <w:rFonts w:ascii="Calibri" w:hAnsi="Calibri" w:cs="Calibri"/>
                <w:color w:val="000000"/>
              </w:rPr>
              <w:t>0.0</w:t>
            </w:r>
            <w:r w:rsidR="00E77573">
              <w:rPr>
                <w:rFonts w:ascii="Calibri" w:hAnsi="Calibri" w:cs="Calibri"/>
                <w:color w:val="000000"/>
              </w:rPr>
              <w:t>6</w:t>
            </w:r>
          </w:p>
        </w:tc>
      </w:tr>
      <w:tr w:rsidR="00DE61CC" w14:paraId="1644BBE6" w14:textId="77777777" w:rsidTr="00FC15CB">
        <w:trPr>
          <w:trHeight w:val="249"/>
        </w:trPr>
        <w:tc>
          <w:tcPr>
            <w:tcW w:w="2268" w:type="dxa"/>
            <w:tcBorders>
              <w:top w:val="single" w:sz="8" w:space="0" w:color="auto"/>
              <w:left w:val="nil"/>
              <w:bottom w:val="single" w:sz="8" w:space="0" w:color="auto"/>
              <w:right w:val="nil"/>
            </w:tcBorders>
            <w:vAlign w:val="bottom"/>
          </w:tcPr>
          <w:p w14:paraId="6C36E625" w14:textId="4686DA31" w:rsidR="00DE61CC" w:rsidRDefault="00DE61CC" w:rsidP="00F478BF">
            <w:r>
              <w:rPr>
                <w:rFonts w:ascii="Calibri" w:hAnsi="Calibri" w:cs="Calibri"/>
                <w:color w:val="000000"/>
              </w:rPr>
              <w:t>Dattner et al</w:t>
            </w:r>
            <w:r w:rsidR="0056560A">
              <w:rPr>
                <w:rFonts w:ascii="Calibri" w:hAnsi="Calibri" w:cs="Calibri"/>
                <w:color w:val="000000"/>
              </w:rPr>
              <w:t xml:space="preserve"> </w:t>
            </w:r>
            <w:r w:rsidR="0056560A">
              <w:rPr>
                <w:rFonts w:ascii="Calibri" w:hAnsi="Calibri" w:cs="Calibri"/>
                <w:color w:val="000000"/>
              </w:rPr>
              <w:fldChar w:fldCharType="begin" w:fldLock="1"/>
            </w:r>
            <w:r w:rsidR="001B3AB4">
              <w:rPr>
                <w:rFonts w:ascii="Calibri" w:hAnsi="Calibri" w:cs="Calibri"/>
                <w:color w:val="000000"/>
              </w:rPr>
              <w:instrText>ADDIN CSL_CITATION {"citationItems":[{"id":"ITEM-1","itemData":{"author":[{"dropping-particle":"","family":"Dattner","given":"Itai","non-dropping-particle":"","parse-names":false,"suffix":""},{"dropping-particle":"","family":"Goldberg","given":"Yair","non-dropping-particle":"","parse-names":false,"suffix":""},{"dropping-particle":"","family":"Katriel","given":"Guy","non-dropping-particle":"","parse-names":false,"suffix":""},{"dropping-particle":"","family":"Yaari","given":"Rami","non-dropping-particle":"","parse-names":false,"suffix":""},{"dropping-particle":"","family":"Gal","given":"Nurit","non-dropping-particle":"","parse-names":false,"suffix":""},{"dropping-particle":"","family":"Miron","given":"Yoav","non-dropping-particle":"","parse-names":false,"suffix":""},{"dropping-particle":"","family":"Ziv","given":"Arnona","non-dropping-particle":"","parse-names":false,"suffix":""},{"dropping-particle":"","family":"Hamo","given":"Yoram","non-dropping-particle":"","parse-names":false,"suffix":""},{"dropping-particle":"","family":"Huppert","given":"Amit","non-dropping-particle":"","parse-names":false,"suffix":""}],"container-title":"medRxiv","id":"ITEM-1","issued":{"date-parts":[["2020"]]},"publisher":"Cold Spring Harbor Laboratory Press","title":"The role of children in the spread of COVID-19: Using household data from Bnei Brak, Israel, to estimate the relative susceptibility and infectivity of children","type":"article-journal"},"uris":["http://www.mendeley.com/documents/?uuid=b58dc6e5-e75a-4e42-b322-76d4d8d48db0"]}],"mendeley":{"formattedCitation":"[30]","plainTextFormattedCitation":"[30]","previouslyFormattedCitation":"[32]"},"properties":{"noteIndex":0},"schema":"https://github.com/citation-style-language/schema/raw/master/csl-citation.json"}</w:instrText>
            </w:r>
            <w:r w:rsidR="0056560A">
              <w:rPr>
                <w:rFonts w:ascii="Calibri" w:hAnsi="Calibri" w:cs="Calibri"/>
                <w:color w:val="000000"/>
              </w:rPr>
              <w:fldChar w:fldCharType="separate"/>
            </w:r>
            <w:r w:rsidR="001B3AB4" w:rsidRPr="001B3AB4">
              <w:rPr>
                <w:rFonts w:ascii="Calibri" w:hAnsi="Calibri" w:cs="Calibri"/>
                <w:noProof/>
                <w:color w:val="000000"/>
              </w:rPr>
              <w:t>[30]</w:t>
            </w:r>
            <w:r w:rsidR="0056560A">
              <w:rPr>
                <w:rFonts w:ascii="Calibri" w:hAnsi="Calibri" w:cs="Calibri"/>
                <w:color w:val="000000"/>
              </w:rPr>
              <w:fldChar w:fldCharType="end"/>
            </w:r>
          </w:p>
        </w:tc>
        <w:tc>
          <w:tcPr>
            <w:tcW w:w="2226" w:type="dxa"/>
            <w:tcBorders>
              <w:top w:val="single" w:sz="8" w:space="0" w:color="auto"/>
              <w:left w:val="nil"/>
              <w:bottom w:val="single" w:sz="8" w:space="0" w:color="auto"/>
              <w:right w:val="nil"/>
            </w:tcBorders>
            <w:vAlign w:val="center"/>
          </w:tcPr>
          <w:p w14:paraId="11281BE5" w14:textId="77777777" w:rsidR="00DE61CC" w:rsidRDefault="00DE61CC" w:rsidP="00F478BF">
            <w:pPr>
              <w:jc w:val="right"/>
            </w:pPr>
            <w:r>
              <w:rPr>
                <w:rFonts w:ascii="Calibri" w:hAnsi="Calibri" w:cs="Calibri"/>
                <w:color w:val="000000"/>
              </w:rPr>
              <w:t>637</w:t>
            </w:r>
          </w:p>
        </w:tc>
        <w:tc>
          <w:tcPr>
            <w:tcW w:w="2843" w:type="dxa"/>
            <w:tcBorders>
              <w:top w:val="single" w:sz="8" w:space="0" w:color="auto"/>
              <w:left w:val="nil"/>
              <w:bottom w:val="single" w:sz="8" w:space="0" w:color="auto"/>
              <w:right w:val="nil"/>
            </w:tcBorders>
            <w:vAlign w:val="center"/>
          </w:tcPr>
          <w:p w14:paraId="4AC2EA72" w14:textId="77777777" w:rsidR="00DE61CC" w:rsidRDefault="00DE61CC" w:rsidP="00F478BF">
            <w:pPr>
              <w:jc w:val="right"/>
            </w:pPr>
            <w:r>
              <w:rPr>
                <w:rFonts w:ascii="Calibri" w:hAnsi="Calibri" w:cs="Calibri"/>
                <w:color w:val="000000"/>
              </w:rPr>
              <w:t>873</w:t>
            </w:r>
          </w:p>
        </w:tc>
        <w:tc>
          <w:tcPr>
            <w:tcW w:w="2019" w:type="dxa"/>
            <w:tcBorders>
              <w:top w:val="single" w:sz="8" w:space="0" w:color="auto"/>
              <w:left w:val="nil"/>
              <w:bottom w:val="single" w:sz="8" w:space="0" w:color="auto"/>
              <w:right w:val="nil"/>
            </w:tcBorders>
            <w:vAlign w:val="center"/>
          </w:tcPr>
          <w:p w14:paraId="32A8F17B" w14:textId="60C04224" w:rsidR="00DE61CC" w:rsidRDefault="00DE61CC" w:rsidP="00F478BF">
            <w:pPr>
              <w:jc w:val="right"/>
            </w:pPr>
            <w:r>
              <w:rPr>
                <w:rFonts w:ascii="Calibri" w:hAnsi="Calibri" w:cs="Calibri"/>
                <w:color w:val="000000"/>
              </w:rPr>
              <w:t>1.37</w:t>
            </w:r>
          </w:p>
        </w:tc>
      </w:tr>
      <w:tr w:rsidR="00DE61CC" w14:paraId="765AA80E" w14:textId="77777777" w:rsidTr="00FC15CB">
        <w:trPr>
          <w:trHeight w:val="249"/>
        </w:trPr>
        <w:tc>
          <w:tcPr>
            <w:tcW w:w="2268" w:type="dxa"/>
            <w:tcBorders>
              <w:top w:val="single" w:sz="8" w:space="0" w:color="auto"/>
              <w:left w:val="nil"/>
              <w:bottom w:val="single" w:sz="12" w:space="0" w:color="auto"/>
              <w:right w:val="nil"/>
            </w:tcBorders>
            <w:vAlign w:val="bottom"/>
          </w:tcPr>
          <w:p w14:paraId="65E93394" w14:textId="410D1858" w:rsidR="00DE61CC" w:rsidRDefault="00DE61CC" w:rsidP="00F478BF">
            <w:r>
              <w:rPr>
                <w:rFonts w:ascii="Calibri" w:hAnsi="Calibri" w:cs="Calibri"/>
                <w:color w:val="000000"/>
              </w:rPr>
              <w:t>Park et al</w:t>
            </w:r>
            <w:r w:rsidR="0056560A">
              <w:rPr>
                <w:rFonts w:ascii="Calibri" w:hAnsi="Calibri" w:cs="Calibri"/>
                <w:color w:val="000000"/>
              </w:rPr>
              <w:t xml:space="preserve"> </w:t>
            </w:r>
            <w:r w:rsidR="0056560A">
              <w:rPr>
                <w:rFonts w:ascii="Calibri" w:hAnsi="Calibri" w:cs="Calibri"/>
                <w:color w:val="000000"/>
              </w:rPr>
              <w:fldChar w:fldCharType="begin" w:fldLock="1"/>
            </w:r>
            <w:r w:rsidR="001B3AB4">
              <w:rPr>
                <w:rFonts w:ascii="Calibri" w:hAnsi="Calibri" w:cs="Calibri"/>
                <w:color w:val="000000"/>
              </w:rPr>
              <w:instrText>ADDIN CSL_CITATION {"citationItems":[{"id":"ITEM-1","itemData":{"DOI":"10.3201/eid2610.201315","ISBN":"1080-6040","PMID":"32673193","abstract":"We analyzed reports for 59,073 contacts of 5,706 coronavirus disease (COVID-19) index patients reported in South Korea during January 20-March 27, 2020. Of 10,592 household contacts, 11.8% had COVID-19. Of 48,481 nonhousehold contacts, 1.9% had COVID-19. Use of personal protective measures and social distancing reduces the likelihood of transmission.","author":[{"dropping-particle":"","family":"Park","given":"Y J","non-dropping-particle":"","parse-names":false,"suffix":""},{"dropping-particle":"","family":"Choe","given":"Y J","non-dropping-particle":"","parse-names":false,"suffix":""},{"dropping-particle":"","family":"Park","given":"O","non-dropping-particle":"","parse-names":false,"suffix":""},{"dropping-particle":"","family":"Park","given":"S Y","non-dropping-particle":"","parse-names":false,"suffix":""},{"dropping-particle":"","family":"Kim","given":"Y M","non-dropping-particle":"","parse-names":false,"suffix":""},{"dropping-particle":"","family":"Kim","given":"J","non-dropping-particle":"","parse-names":false,"suffix":""},{"dropping-particle":"","family":"Kweon","given":"S","non-dropping-particle":"","parse-names":false,"suffix":""},{"dropping-particle":"","family":"Woo","given":"Y","non-dropping-particle":"","parse-names":false,"suffix":""},{"dropping-particle":"","family":"Gwack","given":"J","non-dropping-particle":"","parse-names":false,"suffix":""},{"dropping-particle":"","family":"Kim","given":"S S","non-dropping-particle":"","parse-names":false,"suffix":""},{"dropping-particle":"","family":"Lee","given":"J","non-dropping-particle":"","parse-names":false,"suffix":""},{"dropping-particle":"","family":"Hyun","given":"J","non-dropping-particle":"","parse-names":false,"suffix":""},{"dropping-particle":"","family":"Ryu","given":"B","non-dropping-particle":"","parse-names":false,"suffix":""},{"dropping-particle":"","family":"Jang","given":"Y S","non-dropping-particle":"","parse-names":false,"suffix":""},{"dropping-particle":"","family":"Kim","given":"H","non-dropping-particle":"","parse-names":false,"suffix":""},{"dropping-particle":"","family":"Shin","given":"S H","non-dropping-particle":"","parse-names":false,"suffix":""},{"dropping-particle":"","family":"Yi","given":"S","non-dropping-particle":"","parse-names":false,"suffix":""},{"dropping-particle":"","family":"Lee","given":"S","non-dropping-particle":"","parse-names":false,"suffix":""},{"dropping-particle":"","family":"Kim","given":"H K","non-dropping-particle":"","parse-names":false,"suffix":""},{"dropping-particle":"","family":"Lee","given":"H","non-dropping-particle":"","parse-names":false,"suffix":""},{"dropping-particle":"","family":"Jin","given":"Y","non-dropping-particle":"","parse-names":false,"suffix":""},{"dropping-particle":"","family":"Park","given":"E","non-dropping-particle":"","parse-names":false,"suffix":""},{"dropping-particle":"","family":"Choi","given":"S W","non-dropping-particle":"","parse-names":false,"suffix":""},{"dropping-particle":"","family":"Kim","given":"M","non-dropping-particle":"","parse-names":false,"suffix":""},{"dropping-particle":"","family":"Song","given":"J","non-dropping-particle":"","parse-names":false,"suffix":""},{"dropping-particle":"","family":"Choi","given":"S W","non-dropping-particle":"","parse-names":false,"suffix":""},{"dropping-particle":"","family":"Kim","given":"D","non-dropping-particle":"","parse-names":false,"suffix":""},{"dropping-particle":"","family":"Jeon","given":"B H","non-dropping-particle":"","parse-names":false,"suffix":""},{"dropping-particle":"","family":"Yoo","given":"H","non-dropping-particle":"","parse-names":false,"suffix":""},{"dropping-particle":"","family":"Jeong","given":"E K","non-dropping-particle":"","parse-names":false,"suffix":""}],"container-title":"Emerg Infect Dis","edition":"2020/07/17","id":"ITEM-1","issue":"10","issued":{"date-parts":[["2020"]]},"language":"eng","note":"1080-6059\nPark, Young Joon\nChoe, Young June\nPark, Ok\nPark, Shin Young\nKim, Young-Man\nKim, Jieun\nKweon, Sanghui\nWoo, Yeonhee\nGwack, Jin\nKim, Seong Sun\nLee, Jin\nHyun, Junghee\nRyu, Boyeong\nJang, Yoon Suk\nKim, Hwami\nShin, Seung Hwan\nYi, Seonju\nLee, Sangeun\nKim, Hee Kyoung\nLee, Hyeyoung\nJin, Yeowon\nPark, Eunmi\nChoi, Seung Woo\nKim, Miyoung\nSong, Jeongsuk\nChoi, Si Won\nKim, Dongwook\nJeon, Byoung-Hak\nYoo, Hyosoon\nJeong, Eun Kyeong\nCOVID-19 National Emergency Response Center, Epidemiology and Case Management Team\nJournal Article\nUnited States\nEmerg Infect Dis. 2020 Jul 16;26(10). doi: 10.3201/eid2610.201315.","title":"Contact Tracing during Coronavirus Disease Outbreak, South Korea, 2020","type":"article-journal","volume":"26"},"uris":["http://www.mendeley.com/documents/?uuid=bb979aaa-ef20-41ed-a970-eaf21073cbba"]}],"mendeley":{"formattedCitation":"[45]","plainTextFormattedCitation":"[45]","previouslyFormattedCitation":"[47]"},"properties":{"noteIndex":0},"schema":"https://github.com/citation-style-language/schema/raw/master/csl-citation.json"}</w:instrText>
            </w:r>
            <w:r w:rsidR="0056560A">
              <w:rPr>
                <w:rFonts w:ascii="Calibri" w:hAnsi="Calibri" w:cs="Calibri"/>
                <w:color w:val="000000"/>
              </w:rPr>
              <w:fldChar w:fldCharType="separate"/>
            </w:r>
            <w:r w:rsidR="001B3AB4" w:rsidRPr="001B3AB4">
              <w:rPr>
                <w:rFonts w:ascii="Calibri" w:hAnsi="Calibri" w:cs="Calibri"/>
                <w:noProof/>
                <w:color w:val="000000"/>
              </w:rPr>
              <w:t>[45]</w:t>
            </w:r>
            <w:r w:rsidR="0056560A">
              <w:rPr>
                <w:rFonts w:ascii="Calibri" w:hAnsi="Calibri" w:cs="Calibri"/>
                <w:color w:val="000000"/>
              </w:rPr>
              <w:fldChar w:fldCharType="end"/>
            </w:r>
          </w:p>
        </w:tc>
        <w:tc>
          <w:tcPr>
            <w:tcW w:w="2226" w:type="dxa"/>
            <w:tcBorders>
              <w:top w:val="single" w:sz="8" w:space="0" w:color="auto"/>
              <w:left w:val="nil"/>
              <w:bottom w:val="single" w:sz="12" w:space="0" w:color="auto"/>
              <w:right w:val="nil"/>
            </w:tcBorders>
            <w:vAlign w:val="center"/>
          </w:tcPr>
          <w:p w14:paraId="3E6CAA7A" w14:textId="77777777" w:rsidR="00DE61CC" w:rsidRDefault="00DE61CC" w:rsidP="00F478BF">
            <w:pPr>
              <w:jc w:val="right"/>
            </w:pPr>
            <w:r>
              <w:rPr>
                <w:rFonts w:ascii="Calibri" w:hAnsi="Calibri" w:cs="Calibri"/>
                <w:color w:val="000000"/>
              </w:rPr>
              <w:t>5706</w:t>
            </w:r>
          </w:p>
        </w:tc>
        <w:tc>
          <w:tcPr>
            <w:tcW w:w="2843" w:type="dxa"/>
            <w:tcBorders>
              <w:top w:val="single" w:sz="8" w:space="0" w:color="auto"/>
              <w:left w:val="nil"/>
              <w:bottom w:val="single" w:sz="12" w:space="0" w:color="auto"/>
              <w:right w:val="nil"/>
            </w:tcBorders>
            <w:vAlign w:val="center"/>
          </w:tcPr>
          <w:p w14:paraId="69D4F1DE" w14:textId="77777777" w:rsidR="00DE61CC" w:rsidRDefault="00DE61CC" w:rsidP="00F478BF">
            <w:pPr>
              <w:jc w:val="right"/>
            </w:pPr>
            <w:r>
              <w:rPr>
                <w:rFonts w:ascii="Calibri" w:hAnsi="Calibri" w:cs="Calibri"/>
                <w:color w:val="000000"/>
              </w:rPr>
              <w:t>1248</w:t>
            </w:r>
          </w:p>
        </w:tc>
        <w:tc>
          <w:tcPr>
            <w:tcW w:w="2019" w:type="dxa"/>
            <w:tcBorders>
              <w:top w:val="single" w:sz="8" w:space="0" w:color="auto"/>
              <w:left w:val="nil"/>
              <w:bottom w:val="single" w:sz="12" w:space="0" w:color="auto"/>
              <w:right w:val="nil"/>
            </w:tcBorders>
            <w:vAlign w:val="center"/>
          </w:tcPr>
          <w:p w14:paraId="294FD2E7" w14:textId="3BB54BA7" w:rsidR="00DE61CC" w:rsidRDefault="00DE61CC" w:rsidP="00F478BF">
            <w:pPr>
              <w:jc w:val="right"/>
            </w:pPr>
            <w:r>
              <w:rPr>
                <w:rFonts w:ascii="Calibri" w:hAnsi="Calibri" w:cs="Calibri"/>
                <w:color w:val="000000"/>
              </w:rPr>
              <w:t>0.2</w:t>
            </w:r>
            <w:r w:rsidR="00E77573">
              <w:rPr>
                <w:rFonts w:ascii="Calibri" w:hAnsi="Calibri" w:cs="Calibri"/>
                <w:color w:val="000000"/>
              </w:rPr>
              <w:t>2</w:t>
            </w:r>
          </w:p>
        </w:tc>
      </w:tr>
      <w:tr w:rsidR="00DE61CC" w14:paraId="1A676669" w14:textId="77777777" w:rsidTr="00F478BF">
        <w:trPr>
          <w:trHeight w:val="510"/>
        </w:trPr>
        <w:tc>
          <w:tcPr>
            <w:tcW w:w="7337" w:type="dxa"/>
            <w:gridSpan w:val="3"/>
            <w:tcBorders>
              <w:top w:val="nil"/>
              <w:left w:val="nil"/>
              <w:bottom w:val="single" w:sz="18" w:space="0" w:color="auto"/>
              <w:right w:val="nil"/>
            </w:tcBorders>
            <w:vAlign w:val="center"/>
          </w:tcPr>
          <w:p w14:paraId="0EEE0D83" w14:textId="77777777" w:rsidR="00DE61CC" w:rsidRDefault="00DE61CC" w:rsidP="00F478BF">
            <w:pPr>
              <w:jc w:val="right"/>
              <w:rPr>
                <w:rFonts w:ascii="Calibri" w:hAnsi="Calibri" w:cs="Calibri"/>
                <w:color w:val="000000"/>
              </w:rPr>
            </w:pPr>
            <w:r w:rsidRPr="00D72DF4">
              <w:rPr>
                <w:rFonts w:ascii="Calibri" w:hAnsi="Calibri" w:cs="Calibri"/>
                <w:b/>
                <w:bCs/>
                <w:color w:val="000000"/>
              </w:rPr>
              <w:t xml:space="preserve">Summary </w:t>
            </w:r>
          </w:p>
        </w:tc>
        <w:tc>
          <w:tcPr>
            <w:tcW w:w="2019" w:type="dxa"/>
            <w:tcBorders>
              <w:top w:val="single" w:sz="12" w:space="0" w:color="auto"/>
              <w:left w:val="nil"/>
              <w:bottom w:val="single" w:sz="18" w:space="0" w:color="auto"/>
              <w:right w:val="nil"/>
            </w:tcBorders>
            <w:vAlign w:val="center"/>
          </w:tcPr>
          <w:p w14:paraId="5D8907C5" w14:textId="77777777" w:rsidR="00DE61CC" w:rsidRPr="0025612E" w:rsidRDefault="00DE61CC" w:rsidP="00F478BF">
            <w:pPr>
              <w:jc w:val="right"/>
              <w:rPr>
                <w:rFonts w:ascii="Calibri" w:hAnsi="Calibri" w:cs="Calibri"/>
                <w:b/>
                <w:bCs/>
                <w:color w:val="000000"/>
              </w:rPr>
            </w:pPr>
            <w:r w:rsidRPr="0025612E">
              <w:rPr>
                <w:rFonts w:ascii="Calibri" w:hAnsi="Calibri" w:cs="Calibri"/>
                <w:b/>
                <w:bCs/>
                <w:color w:val="000000"/>
              </w:rPr>
              <w:t xml:space="preserve">0.96 </w:t>
            </w:r>
          </w:p>
          <w:p w14:paraId="6CFBFEB5" w14:textId="5BA7FD05" w:rsidR="00DE61CC" w:rsidRDefault="00DE61CC" w:rsidP="00F478BF">
            <w:pPr>
              <w:jc w:val="right"/>
              <w:rPr>
                <w:rFonts w:ascii="Calibri" w:hAnsi="Calibri" w:cs="Calibri"/>
                <w:color w:val="000000"/>
              </w:rPr>
            </w:pPr>
            <w:r w:rsidRPr="0025612E">
              <w:rPr>
                <w:rFonts w:ascii="Calibri" w:hAnsi="Calibri" w:cs="Calibri"/>
                <w:b/>
                <w:bCs/>
                <w:color w:val="000000"/>
              </w:rPr>
              <w:t>(95% CI: 0.67-1.3</w:t>
            </w:r>
            <w:r w:rsidR="001446A8">
              <w:rPr>
                <w:rFonts w:ascii="Calibri" w:hAnsi="Calibri" w:cs="Calibri"/>
                <w:b/>
                <w:bCs/>
                <w:color w:val="000000"/>
              </w:rPr>
              <w:t>2</w:t>
            </w:r>
            <w:r w:rsidRPr="0025612E">
              <w:rPr>
                <w:rFonts w:ascii="Calibri" w:hAnsi="Calibri" w:cs="Calibri"/>
                <w:b/>
                <w:bCs/>
                <w:color w:val="000000"/>
              </w:rPr>
              <w:t>)</w:t>
            </w:r>
          </w:p>
        </w:tc>
      </w:tr>
    </w:tbl>
    <w:p w14:paraId="2910FB83" w14:textId="3B051074" w:rsidR="001815C3" w:rsidRPr="000D1FB5" w:rsidRDefault="000221B4" w:rsidP="00F93ADE">
      <w:pPr>
        <w:rPr>
          <w:b/>
          <w:bCs/>
          <w:sz w:val="20"/>
          <w:szCs w:val="20"/>
        </w:rPr>
      </w:pPr>
      <w:r w:rsidRPr="000D1FB5">
        <w:rPr>
          <w:b/>
          <w:bCs/>
          <w:sz w:val="20"/>
          <w:szCs w:val="20"/>
        </w:rPr>
        <w:t xml:space="preserve">Table 8 </w:t>
      </w:r>
      <w:r w:rsidR="00125C2B" w:rsidRPr="000D1FB5">
        <w:rPr>
          <w:b/>
          <w:bCs/>
          <w:sz w:val="20"/>
          <w:szCs w:val="20"/>
        </w:rPr>
        <w:t xml:space="preserve">Observed and </w:t>
      </w:r>
      <w:r w:rsidR="00F57880" w:rsidRPr="000D1FB5">
        <w:rPr>
          <w:b/>
          <w:bCs/>
          <w:sz w:val="20"/>
          <w:szCs w:val="20"/>
        </w:rPr>
        <w:t>Poisson-Gamma model estimated R</w:t>
      </w:r>
      <w:r w:rsidR="00F57880" w:rsidRPr="000D1FB5">
        <w:rPr>
          <w:b/>
          <w:bCs/>
          <w:sz w:val="20"/>
          <w:szCs w:val="20"/>
          <w:vertAlign w:val="subscript"/>
        </w:rPr>
        <w:t>obs</w:t>
      </w:r>
      <w:r w:rsidR="00F57880" w:rsidRPr="000D1FB5">
        <w:rPr>
          <w:b/>
          <w:bCs/>
          <w:sz w:val="20"/>
          <w:szCs w:val="20"/>
        </w:rPr>
        <w:t xml:space="preserve"> across household settings. </w:t>
      </w:r>
      <w:r w:rsidR="00F57880" w:rsidRPr="000D1FB5">
        <w:rPr>
          <w:sz w:val="20"/>
          <w:szCs w:val="20"/>
        </w:rPr>
        <w:t xml:space="preserve">Studies were included in the pooling where </w:t>
      </w:r>
      <w:r w:rsidR="00F60C07" w:rsidRPr="000D1FB5">
        <w:rPr>
          <w:sz w:val="20"/>
          <w:szCs w:val="20"/>
        </w:rPr>
        <w:t>it was clear the number of index cases listed all had household contacts</w:t>
      </w:r>
      <w:r w:rsidR="001815C3" w:rsidRPr="000D1FB5">
        <w:rPr>
          <w:b/>
          <w:bCs/>
          <w:sz w:val="20"/>
          <w:szCs w:val="20"/>
        </w:rPr>
        <w:br w:type="page"/>
      </w:r>
    </w:p>
    <w:tbl>
      <w:tblPr>
        <w:tblStyle w:val="TableGrid"/>
        <w:tblpPr w:leftFromText="180" w:rightFromText="180" w:vertAnchor="page" w:horzAnchor="margin" w:tblpY="2295"/>
        <w:tblW w:w="9529" w:type="dxa"/>
        <w:tblLook w:val="04A0" w:firstRow="1" w:lastRow="0" w:firstColumn="1" w:lastColumn="0" w:noHBand="0" w:noVBand="1"/>
      </w:tblPr>
      <w:tblGrid>
        <w:gridCol w:w="2367"/>
        <w:gridCol w:w="2311"/>
        <w:gridCol w:w="2659"/>
        <w:gridCol w:w="2192"/>
      </w:tblGrid>
      <w:tr w:rsidR="003B0894" w14:paraId="1745C149" w14:textId="77777777" w:rsidTr="003B0894">
        <w:trPr>
          <w:trHeight w:val="510"/>
        </w:trPr>
        <w:tc>
          <w:tcPr>
            <w:tcW w:w="2367" w:type="dxa"/>
            <w:tcBorders>
              <w:top w:val="single" w:sz="18" w:space="0" w:color="auto"/>
              <w:left w:val="nil"/>
              <w:bottom w:val="single" w:sz="18" w:space="0" w:color="auto"/>
              <w:right w:val="nil"/>
            </w:tcBorders>
            <w:vAlign w:val="center"/>
          </w:tcPr>
          <w:p w14:paraId="442F4039" w14:textId="77777777" w:rsidR="003B0894" w:rsidRPr="00E22BD4" w:rsidRDefault="003B0894" w:rsidP="003B0894">
            <w:pPr>
              <w:rPr>
                <w:b/>
                <w:bCs/>
              </w:rPr>
            </w:pPr>
            <w:r w:rsidRPr="00E22BD4">
              <w:rPr>
                <w:b/>
                <w:bCs/>
              </w:rPr>
              <w:lastRenderedPageBreak/>
              <w:t xml:space="preserve">Study </w:t>
            </w:r>
          </w:p>
        </w:tc>
        <w:tc>
          <w:tcPr>
            <w:tcW w:w="2311" w:type="dxa"/>
            <w:tcBorders>
              <w:top w:val="single" w:sz="18" w:space="0" w:color="auto"/>
              <w:left w:val="nil"/>
              <w:bottom w:val="single" w:sz="18" w:space="0" w:color="auto"/>
              <w:right w:val="nil"/>
            </w:tcBorders>
            <w:vAlign w:val="center"/>
          </w:tcPr>
          <w:p w14:paraId="63BF9855" w14:textId="77777777" w:rsidR="003B0894" w:rsidRPr="00E22BD4" w:rsidRDefault="003B0894" w:rsidP="003B0894">
            <w:pPr>
              <w:jc w:val="right"/>
              <w:rPr>
                <w:b/>
                <w:bCs/>
              </w:rPr>
            </w:pPr>
            <w:r w:rsidRPr="00E22BD4">
              <w:rPr>
                <w:b/>
                <w:bCs/>
              </w:rPr>
              <w:t xml:space="preserve">Number of Index Cases </w:t>
            </w:r>
          </w:p>
        </w:tc>
        <w:tc>
          <w:tcPr>
            <w:tcW w:w="2659" w:type="dxa"/>
            <w:tcBorders>
              <w:top w:val="single" w:sz="18" w:space="0" w:color="auto"/>
              <w:left w:val="nil"/>
              <w:bottom w:val="single" w:sz="18" w:space="0" w:color="auto"/>
              <w:right w:val="nil"/>
            </w:tcBorders>
            <w:vAlign w:val="center"/>
          </w:tcPr>
          <w:p w14:paraId="4843D59C" w14:textId="77777777" w:rsidR="003B0894" w:rsidRPr="00E22BD4" w:rsidRDefault="003B0894" w:rsidP="003B0894">
            <w:pPr>
              <w:jc w:val="right"/>
              <w:rPr>
                <w:b/>
                <w:bCs/>
              </w:rPr>
            </w:pPr>
            <w:r w:rsidRPr="00E22BD4">
              <w:rPr>
                <w:b/>
                <w:bCs/>
              </w:rPr>
              <w:t xml:space="preserve">Number of Secondary cases </w:t>
            </w:r>
          </w:p>
        </w:tc>
        <w:tc>
          <w:tcPr>
            <w:tcW w:w="2192" w:type="dxa"/>
            <w:tcBorders>
              <w:top w:val="single" w:sz="18" w:space="0" w:color="auto"/>
              <w:left w:val="nil"/>
              <w:bottom w:val="single" w:sz="12" w:space="0" w:color="auto"/>
              <w:right w:val="nil"/>
            </w:tcBorders>
            <w:vAlign w:val="center"/>
          </w:tcPr>
          <w:p w14:paraId="6D66AE9D" w14:textId="77777777" w:rsidR="003B0894" w:rsidRPr="00E22BD4" w:rsidRDefault="003B0894" w:rsidP="003B0894">
            <w:pPr>
              <w:jc w:val="right"/>
              <w:rPr>
                <w:b/>
                <w:bCs/>
              </w:rPr>
            </w:pPr>
            <w:r w:rsidRPr="00E22BD4">
              <w:rPr>
                <w:b/>
                <w:bCs/>
              </w:rPr>
              <w:t>R</w:t>
            </w:r>
            <w:r w:rsidRPr="00E22BD4">
              <w:rPr>
                <w:b/>
                <w:bCs/>
                <w:vertAlign w:val="subscript"/>
              </w:rPr>
              <w:t>obs</w:t>
            </w:r>
          </w:p>
        </w:tc>
      </w:tr>
      <w:tr w:rsidR="003B0894" w14:paraId="3CAC60BC" w14:textId="77777777" w:rsidTr="003B0894">
        <w:trPr>
          <w:trHeight w:val="401"/>
        </w:trPr>
        <w:tc>
          <w:tcPr>
            <w:tcW w:w="9529" w:type="dxa"/>
            <w:gridSpan w:val="4"/>
            <w:tcBorders>
              <w:top w:val="single" w:sz="18" w:space="0" w:color="auto"/>
              <w:left w:val="nil"/>
              <w:bottom w:val="single" w:sz="8" w:space="0" w:color="auto"/>
              <w:right w:val="nil"/>
            </w:tcBorders>
            <w:vAlign w:val="center"/>
          </w:tcPr>
          <w:p w14:paraId="6A14D7EC" w14:textId="77777777" w:rsidR="003B0894" w:rsidRPr="008E7E2B" w:rsidRDefault="003B0894" w:rsidP="003B0894">
            <w:pPr>
              <w:rPr>
                <w:b/>
                <w:bCs/>
              </w:rPr>
            </w:pPr>
            <w:r w:rsidRPr="008E7E2B">
              <w:rPr>
                <w:b/>
                <w:bCs/>
              </w:rPr>
              <w:t>U</w:t>
            </w:r>
            <w:r>
              <w:rPr>
                <w:b/>
                <w:bCs/>
              </w:rPr>
              <w:t>p to</w:t>
            </w:r>
            <w:r w:rsidRPr="008E7E2B">
              <w:rPr>
                <w:b/>
                <w:bCs/>
              </w:rPr>
              <w:t xml:space="preserve"> 5 days </w:t>
            </w:r>
          </w:p>
        </w:tc>
      </w:tr>
      <w:tr w:rsidR="003B0894" w14:paraId="7BF1C069" w14:textId="77777777" w:rsidTr="003B0894">
        <w:trPr>
          <w:trHeight w:val="260"/>
        </w:trPr>
        <w:tc>
          <w:tcPr>
            <w:tcW w:w="2367" w:type="dxa"/>
            <w:tcBorders>
              <w:top w:val="single" w:sz="8" w:space="0" w:color="auto"/>
              <w:left w:val="nil"/>
              <w:bottom w:val="single" w:sz="8" w:space="0" w:color="auto"/>
              <w:right w:val="nil"/>
            </w:tcBorders>
            <w:vAlign w:val="bottom"/>
          </w:tcPr>
          <w:p w14:paraId="3C07EAA2" w14:textId="1A6A4557" w:rsidR="003B0894" w:rsidRDefault="003B0894" w:rsidP="003B0894">
            <w:r>
              <w:t xml:space="preserve">Burke et al </w:t>
            </w:r>
            <w:r>
              <w:fldChar w:fldCharType="begin" w:fldLock="1"/>
            </w:r>
            <w:r w:rsidR="001B3AB4">
              <w:instrText>ADDIN CSL_CITATION {"citationItems":[{"id":"ITEM-1","itemData":{"DOI":"10.1371/journal.pone.0238342","ISSN":"19326203","PMID":"32877446","abstract":"Coronavirus disease 2019 (COVID-19), the respiratory disease caused by severe acute respiratory syndrome coronavirus 2 (SARS-CoV-2), was first identified in Wuhan, China and has since become pandemic. In response to the first cases identified in the United States, close contacts of confirmed COVID-19 cases were investigated to enable early identification and isolation of additional cases and to learn more about risk factors for transmission. Close contacts of nine early travel-related cases in the United States were identified and monitored daily for development of symptoms (active monitoring). Selected close contacts (including those with exposures categorized as higher risk) were targeted for collection of additional exposure information and respiratory samples. Respiratory samples were tested for SARS-CoV-2 by real-time reverse transcription polymerase chain reaction at the Centers for Disease Control and Prevention. Four hundred four close contacts were actively monitored in the jurisdictions that managed the travel-related cases. Three hundred thirty-eight of the 404 close contacts provided at least basic exposure information, of whom 159 close contacts had ≥1 set of respiratory samples collected and tested. Across all actively monitored close contacts, two additional symptomatic COVID-19 cases (i.e., secondary cases) were identified; both secondary cases were in spouses of travel-associated case patients. When considering only household members, all of whom had ≥1 respiratory sample tested for SARS-CoV-2, the secondary attack rate (i.e., the number of secondary cases as a proportion of total close contacts) was 13% (95% CI: 4–38%). The results from these contact tracing investigations suggest that household members, especially significant others, of COVID-19 cases are at highest risk of becoming infected. The importance of personal protective equipment for healthcare workers is also underlined. Isolation of persons with COVID-19, in combination with quarantine of exposed close contacts and practice of everyday preventive behaviors, is important to mitigate spread of COVID-19.","author":[{"dropping-particle":"","family":"Burke","given":"Rachel M.","non-dropping-particle":"","parse-names":false,"suffix":""},{"dropping-particle":"","family":"Balter","given":"Sharon","non-dropping-particle":"","parse-names":false,"suffix":""},{"dropping-particle":"","family":"Barnes","given":"Emily","non-dropping-particle":"","parse-names":false,"suffix":""},{"dropping-particle":"","family":"Barry","given":"Vaughn","non-dropping-particle":"","parse-names":false,"suffix":""},{"dropping-particle":"","family":"Bartlett","given":"Karri","non-dropping-particle":"","parse-names":false,"suffix":""},{"dropping-particle":"","family":"Beer","given":"Karlyn D.","non-dropping-particle":"","parse-names":false,"suffix":""},{"dropping-particle":"","family":"Benowitz","given":"Isaac","non-dropping-particle":"","parse-names":false,"suffix":""},{"dropping-particle":"","family":"Biggs","given":"Holly M.","non-dropping-particle":"","parse-names":false,"suffix":""},{"dropping-particle":"","family":"Bruce","given":"Hollianne","non-dropping-particle":"","parse-names":false,"suffix":""},{"dropping-particle":"","family":"Bryant-Genevier","given":"Jonathan","non-dropping-particle":"","parse-names":false,"suffix":""},{"dropping-particle":"","family":"Cates","given":"Jordan","non-dropping-particle":"","parse-names":false,"suffix":""},{"dropping-particle":"","family":"Chatham-Stephens","given":"Kevin","non-dropping-particle":"","parse-names":false,"suffix":""},{"dropping-particle":"","family":"Chea","given":"Nora","non-dropping-particle":"","parse-names":false,"suffix":""},{"dropping-particle":"","family":"Chiou","given":"Howard","non-dropping-particle":"","parse-names":false,"suffix":""},{"dropping-particle":"","family":"Christiansen","given":"Demian","non-dropping-particle":"","parse-names":false,"suffix":""},{"dropping-particle":"","family":"Chu","given":"Victoria T.","non-dropping-particle":"","parse-names":false,"suffix":""},{"dropping-particle":"","family":"Clark","given":"Shauna","non-dropping-particle":"","parse-names":false,"suffix":""},{"dropping-particle":"","family":"Cody","given":"Sara H.","non-dropping-particle":"","parse-names":false,"suffix":""},{"dropping-particle":"","family":"Cohen","given":"Max","non-dropping-particle":"","parse-names":false,"suffix":""},{"dropping-particle":"","family":"Conners","given":"Erin E.","non-dropping-particle":"","parse-names":false,"suffix":""},{"dropping-particle":"","family":"Dasari","given":"Vishal","non-dropping-particle":"","parse-names":false,"suffix":""},{"dropping-particle":"","family":"Dawson","given":"Patrick","non-dropping-particle":"","parse-names":false,"suffix":""},{"dropping-particle":"","family":"DeSalvo","given":"Traci","non-dropping-particle":"","parse-names":false,"suffix":""},{"dropping-particle":"","family":"Donahue","given":"Matthew","non-dropping-particle":"","parse-names":false,"suffix":""},{"dropping-particle":"","family":"Dratch","given":"Alissa","non-dropping-particle":"","parse-names":false,"suffix":""},{"dropping-particle":"","family":"Duca","given":"Lindsey","non-dropping-particle":"","parse-names":false,"suffix":""},{"dropping-particle":"","family":"Duchin","given":"Jeffrey","non-dropping-particle":"","parse-names":false,"suffix":""},{"dropping-particle":"","family":"Dyal","given":"Jonathan W.","non-dropping-particle":"","parse-names":false,"suffix":""},{"dropping-particle":"","family":"Feldstein","given":"Leora R.","non-dropping-particle":"","parse-names":false,"suffix":""},{"dropping-particle":"","family":"Fenstersheib","given":"Marty","non-dropping-particle":"","parse-names":false,"suffix":""},{"dropping-particle":"","family":"Fischer","given":"Marc","non-dropping-particle":"","parse-names":false,"suffix":""},{"dropping-particle":"","family":"Fisher","given":"Rebecca","non-dropping-particle":"","parse-names":false,"suffix":""},{"dropping-particle":"","family":"Foo","given":"Chelsea","non-dropping-particle":"","parse-names":false,"suffix":""},{"dropping-particle":"","family":"Freeman-Ponder","given":"Brandi","non-dropping-particle":"","parse-names":false,"suffix":""},{"dropping-particle":"","family":"Fry","given":"Alicia M.","non-dropping-particle":"","parse-names":false,"suffix":""},{"dropping-particle":"","family":"Gant","given":"Jessica","non-dropping-particle":"","parse-names":false,"suffix":""},{"dropping-particle":"","family":"Gautom","given":"Romesh","non-dropping-particle":"","parse-names":false,"suffix":""},{"dropping-particle":"","family":"Ghinai","given":"Isaac","non-dropping-particle":"","parse-names":false,"suffix":""},{"dropping-particle":"","family":"Gounder","given":"Prabhu","non-dropping-particle":"","parse-names":false,"suffix":""},{"dropping-particle":"","family":"Grigg","given":"Cheri T.","non-dropping-particle":"","parse-names":false,"suffix":""},{"dropping-particle":"","family":"Gunzenhauser","given":"Jeffrey","non-dropping-particle":"","parse-names":false,"suffix":""},{"dropping-particle":"","family":"Hall","given":"Aron J.","non-dropping-particle":"","parse-names":false,"suffix":""},{"dropping-particle":"","family":"Han","given":"George S.","non-dropping-particle":"","parse-names":false,"suffix":""},{"dropping-particle":"","family":"Haupt","given":"Thomas","non-dropping-particle":"","parse-names":false,"suffix":""},{"dropping-particle":"","family":"Holshue","given":"Michelle","non-dropping-particle":"","parse-names":false,"suffix":""},{"dropping-particle":"","family":"Hunter","given":"Jennifer","non-dropping-particle":"","parse-names":false,"suffix":""},{"dropping-particle":"","family":"Ibrahim","given":"Mireille B.","non-dropping-particle":"","parse-names":false,"suffix":""},{"dropping-particle":"","family":"Jacobs","given":"Max W.","non-dropping-particle":"","parse-names":false,"suffix":""},{"dropping-particle":"","family":"Jarashow","given":"M. Claire","non-dropping-particle":"","parse-names":false,"suffix":""},{"dropping-particle":"","family":"Joshi","given":"Kiran","non-dropping-particle":"","parse-names":false,"suffix":""},{"dropping-particle":"","family":"Kamali","given":"Talar","non-dropping-particle":"","parse-names":false,"suffix":""},{"dropping-particle":"","family":"Kawakami","given":"Vance","non-dropping-particle":"","parse-names":false,"suffix":""},{"dropping-particle":"","family":"Kim","given":"Moon","non-dropping-particle":"","parse-names":false,"suffix":""},{"dropping-particle":"","family":"Kirking","given":"Hannah L.","non-dropping-particle":"","parse-names":false,"suffix":""},{"dropping-particle":"","family":"Kita-Yarbro","given":"Amanda","non-dropping-particle":"","parse-names":false,"suffix":""},{"dropping-particle":"","family":"Klos","given":"Rachel","non-dropping-particle":"","parse-names":false,"suffix":""},{"dropping-particle":"","family":"Kobayashi","given":"Miwako","non-dropping-particle":"","parse-names":false,"suffix":""},{"dropping-particle":"","family":"Kocharian","given":"Anna","non-dropping-particle":"","parse-names":false,"suffix":""},{"dropping-particle":"","family":"Lang","given":"Misty","non-dropping-particle":"","parse-names":false,"suffix":""},{"dropping-particle":"","family":"Layden","given":"Jennifer","non-dropping-particle":"","parse-names":false,"suffix":""},{"dropping-particle":"","family":"Leidman","given":"Eva","non-dropping-particle":"","parse-names":false,"suffix":""},{"dropping-particle":"","family":"Lindquist","given":"Scott","non-dropping-particle":"","parse-names":false,"suffix":""},{"dropping-particle":"","family":"Lindstrom","given":"Stephen","non-dropping-particle":"","parse-names":false,"suffix":""},{"dropping-particle":"","family":"Link-Gelles","given":"Ruth","non-dropping-particle":"","parse-names":false,"suffix":""},{"dropping-particle":"","family":"Marlow","given":"Mariel","non-dropping-particle":"","parse-names":false,"suffix":""},{"dropping-particle":"","family":"Mattison","given":"Claire P.","non-dropping-particle":"","parse-names":false,"suffix":""},{"dropping-particle":"","family":"McClung","given":"Nancy","non-dropping-particle":"","parse-names":false,"suffix":""},{"dropping-particle":"","family":"McPherson","given":"Tristan D.","non-dropping-particle":"","parse-names":false,"suffix":""},{"dropping-particle":"","family":"Mello","given":"Lynn","non-dropping-particle":"","parse-names":false,"suffix":""},{"dropping-particle":"","family":"Midgley","given":"Claire M.","non-dropping-particle":"","parse-names":false,"suffix":""},{"dropping-particle":"","family":"Novosad","given":"Shannon","non-dropping-particle":"","parse-names":false,"suffix":""},{"dropping-particle":"","family":"Patel","given":"Megan T.","non-dropping-particle":"","parse-names":false,"suffix":""},{"dropping-particle":"","family":"Pettrone","given":"Kristen","non-dropping-particle":"","parse-names":false,"suffix":""},{"dropping-particle":"","family":"Pillai","given":"Satish K.","non-dropping-particle":"","parse-names":false,"suffix":""},{"dropping-particle":"","family":"Pray","given":"Ian W.","non-dropping-particle":"","parse-names":false,"suffix":""},{"dropping-particle":"","family":"Reese","given":"Heather E.","non-dropping-particle":"","parse-names":false,"suffix":""},{"dropping-particle":"","family":"Rhodes","given":"Heather","non-dropping-particle":"","parse-names":false,"suffix":""},{"dropping-particle":"","family":"Robinson","given":"Susan","non-dropping-particle":"","parse-names":false,"suffix":""},{"dropping-particle":"","family":"Rolfes","given":"Melissa","non-dropping-particle":"","parse-names":false,"suffix":""},{"dropping-particle":"","family":"Routh","given":"Janell","non-dropping-particle":"","parse-names":false,"suffix":""},{"dropping-particle":"","family":"Rubin","given":"Rachel","non-dropping-particle":"","parse-names":false,"suffix":""},{"dropping-particle":"","family":"Rudman","given":"Sarah L.","non-dropping-particle":"","parse-names":false,"suffix":""},{"dropping-particle":"","family":"Russell","given":"Denny","non-dropping-particle":"","parse-names":false,"suffix":""},{"dropping-particle":"","family":"Scott","given":"Sarah","non-dropping-particle":"","parse-names":false,"suffix":""},{"dropping-particle":"","family":"Shetty","given":"Varun","non-dropping-particle":"","parse-names":false,"suffix":""},{"dropping-particle":"","family":"Smith-Jeffcoat","given":"Sarah E.","non-dropping-particle":"","parse-names":false,"suffix":""},{"dropping-particle":"","family":"Soda","given":"Elizabeth A.","non-dropping-particle":"","parse-names":false,"suffix":""},{"dropping-particle":"","family":"Spitters","given":"Christopher","non-dropping-particle":"","parse-names":false,"suffix":""},{"dropping-particle":"","family":"Stierman","given":"Bryan","non-dropping-particle":"","parse-names":false,"suffix":""},{"dropping-particle":"","family":"Sunenshine","given":"Rebecca","non-dropping-particle":"","parse-names":false,"suffix":""},{"dropping-particle":"","family":"Terashita","given":"Dawn","non-dropping-particle":"","parse-names":false,"suffix":""},{"dropping-particle":"","family":"Traub","given":"Elizabeth","non-dropping-particle":"","parse-names":false,"suffix":""},{"dropping-particle":"","family":"Vahey","given":"Grace M.","non-dropping-particle":"","parse-names":false,"suffix":""},{"dropping-particle":"","family":"Verani","given":"Jennifer R.","non-dropping-particle":"","parse-names":false,"suffix":""},{"dropping-particle":"","family":"Wallace","given":"Megan","non-dropping-particle":"","parse-names":false,"suffix":""},{"dropping-particle":"","family":"Westercamp","given":"Matthew","non-dropping-particle":"","parse-names":false,"suffix":""},{"dropping-particle":"","family":"Wortham","given":"Jonathan","non-dropping-particle":"","parse-names":false,"suffix":""},{"dropping-particle":"","family":"Xie","given":"Amy","non-dropping-particle":"","parse-names":false,"suffix":""},{"dropping-particle":"","family":"Yousaf","given":"Anna","non-dropping-particle":"","parse-names":false,"suffix":""},{"dropping-particle":"","family":"Zahn","given":"Matthew","non-dropping-particle":"","parse-names":false,"suffix":""}],"container-title":"PLoS ONE","id":"ITEM-1","issue":"9 September","issued":{"date-parts":[["2020","9","1"]]},"publisher":"Public Library of Science","title":"Enhanced contact investigations for nine early travel-related cases of SARS-CoV-2 in the United States","type":"article-journal","volume":"15"},"uris":["http://www.mendeley.com/documents/?uuid=d05b388a-6090-3826-9e4c-776f6e1c71c8"]}],"mendeley":{"formattedCitation":"[26]","plainTextFormattedCitation":"[26]","previouslyFormattedCitation":"[28]"},"properties":{"noteIndex":0},"schema":"https://github.com/citation-style-language/schema/raw/master/csl-citation.json"}</w:instrText>
            </w:r>
            <w:r>
              <w:fldChar w:fldCharType="separate"/>
            </w:r>
            <w:r w:rsidR="001B3AB4" w:rsidRPr="001B3AB4">
              <w:rPr>
                <w:noProof/>
              </w:rPr>
              <w:t>[26]</w:t>
            </w:r>
            <w:r>
              <w:fldChar w:fldCharType="end"/>
            </w:r>
          </w:p>
        </w:tc>
        <w:tc>
          <w:tcPr>
            <w:tcW w:w="2311" w:type="dxa"/>
            <w:tcBorders>
              <w:top w:val="single" w:sz="8" w:space="0" w:color="auto"/>
              <w:left w:val="nil"/>
              <w:bottom w:val="single" w:sz="8" w:space="0" w:color="auto"/>
              <w:right w:val="nil"/>
            </w:tcBorders>
            <w:vAlign w:val="center"/>
          </w:tcPr>
          <w:p w14:paraId="16C116A1" w14:textId="77777777" w:rsidR="003B0894" w:rsidRDefault="003B0894" w:rsidP="003B0894">
            <w:pPr>
              <w:jc w:val="right"/>
            </w:pPr>
            <w:r>
              <w:t>6</w:t>
            </w:r>
          </w:p>
        </w:tc>
        <w:tc>
          <w:tcPr>
            <w:tcW w:w="2659" w:type="dxa"/>
            <w:tcBorders>
              <w:top w:val="single" w:sz="8" w:space="0" w:color="auto"/>
              <w:left w:val="nil"/>
              <w:bottom w:val="single" w:sz="8" w:space="0" w:color="auto"/>
              <w:right w:val="nil"/>
            </w:tcBorders>
            <w:vAlign w:val="center"/>
          </w:tcPr>
          <w:p w14:paraId="088DE6CC" w14:textId="77777777" w:rsidR="003B0894" w:rsidRDefault="003B0894" w:rsidP="003B0894">
            <w:pPr>
              <w:jc w:val="right"/>
            </w:pPr>
            <w:r>
              <w:t>0</w:t>
            </w:r>
          </w:p>
        </w:tc>
        <w:tc>
          <w:tcPr>
            <w:tcW w:w="2192" w:type="dxa"/>
            <w:tcBorders>
              <w:top w:val="single" w:sz="8" w:space="0" w:color="auto"/>
              <w:left w:val="nil"/>
              <w:bottom w:val="single" w:sz="8" w:space="0" w:color="auto"/>
              <w:right w:val="nil"/>
            </w:tcBorders>
            <w:vAlign w:val="center"/>
          </w:tcPr>
          <w:p w14:paraId="46DBDE73" w14:textId="77777777" w:rsidR="003B0894" w:rsidRDefault="003B0894" w:rsidP="003B0894">
            <w:pPr>
              <w:jc w:val="right"/>
            </w:pPr>
            <w:r>
              <w:t>0.0</w:t>
            </w:r>
          </w:p>
        </w:tc>
      </w:tr>
      <w:tr w:rsidR="003B0894" w14:paraId="657C08C5" w14:textId="77777777" w:rsidTr="003B0894">
        <w:trPr>
          <w:trHeight w:val="249"/>
        </w:trPr>
        <w:tc>
          <w:tcPr>
            <w:tcW w:w="2367" w:type="dxa"/>
            <w:tcBorders>
              <w:top w:val="single" w:sz="8" w:space="0" w:color="auto"/>
              <w:left w:val="nil"/>
              <w:bottom w:val="single" w:sz="8" w:space="0" w:color="auto"/>
              <w:right w:val="nil"/>
            </w:tcBorders>
            <w:vAlign w:val="bottom"/>
          </w:tcPr>
          <w:p w14:paraId="046F65CC" w14:textId="3C738582" w:rsidR="003B0894" w:rsidRDefault="003B0894" w:rsidP="003B0894">
            <w:proofErr w:type="spellStart"/>
            <w:r>
              <w:t>Bohmer</w:t>
            </w:r>
            <w:proofErr w:type="spellEnd"/>
            <w:r>
              <w:t xml:space="preserve"> et al </w:t>
            </w:r>
            <w:r>
              <w:fldChar w:fldCharType="begin" w:fldLock="1"/>
            </w:r>
            <w:r w:rsidR="001B3AB4">
              <w:instrText>ADDIN CSL_CITATION {"citationItems":[{"id":"ITEM-1","itemData":{"DOI":"10.1016/S1473-3099(20)30314-5","ISBN":"1474-4457\r1473-3099","PMID":"32422201","abstract":"BACKGROUND: In December, 2019, the newly identified severe acute respiratory syndrome coronavirus 2 (SARS-CoV-2) emerged in Wuhan, China, causing COVID-19, a respiratory disease presenting with fever, cough, and often pneumonia. WHO has set the strategic objective to interrupt spread of SARS-CoV-2 worldwide. An outbreak in Bavaria, Germany, starting at the end of January, 2020, provided the opportunity to study transmission events, incubation period, and secondary attack rates. METHODS: A case was defined as a person with SARS-CoV-2 infection confirmed by RT-PCR. Case interviews were done to describe timing of onset and nature of symptoms and to identify and classify contacts as high risk (had cumulative face-to-face contact with a confirmed case for ≥15 min, direct contact with secretions or body fluids of a patient with confirmed COVID-19, or, in the case of health-care workers, had worked within 2 m of a patient with confirmed COVID-19 without personal protective equipment) or low risk (all other contacts). High-risk contacts were ordered to stay at home in quarantine for 14 days and were actively followed up and monitored for symptoms, and low-risk contacts were tested upon self-reporting of symptoms. We defined fever and cough as specific symptoms, and defined a prodromal phase as the presence of non-specific symptoms for at least 1 day before the onset of specific symptoms. Whole genome sequencing was used to confirm epidemiological links and clarify transmission events where contact histories were ambiguous; integration with epidemiological data enabled precise reconstruction of exposure events and incubation periods. Secondary attack rates were calculated as the number of cases divided by the number of contacts, using Fisher's exact test for the 95% CIs. FINDINGS: Patient 0 was a Chinese resident who visited Germany for professional reasons. 16 subsequent cases, often with mild and non-specific symptoms, emerged in four transmission generations. Signature mutations in the viral genome occurred upon foundation of generation 2, as well as in one case pertaining to generation 4. The median incubation period was 4·0 days (IQR 2·3-4·3) and the median serial interval was 4·0 days (3·0-5·0). Transmission events were likely to have occurred presymptomatically for one case (possibly five more), at the day of symptom onset for four cases (possibly five more), and the remainder after the day of symptom onset or unknown. One or two cases resulted from conta…","author":[{"dropping-particle":"","family":"Böhmer","given":"Merle M","non-dropping-particle":"","parse-names":false,"suffix":""},{"dropping-particle":"","family":"Buchholz","given":"Udo","non-dropping-particle":"","parse-names":false,"suffix":""},{"dropping-particle":"","family":"Corman","given":"Victor M","non-dropping-particle":"","parse-names":false,"suffix":""},{"dropping-particle":"","family":"Hoch","given":"Martin","non-dropping-particle":"","parse-names":false,"suffix":""},{"dropping-particle":"","family":"Katz","given":"Katharina","non-dropping-particle":"","parse-names":false,"suffix":""},{"dropping-particle":"V","family":"Marosevic","given":"Durdica","non-dropping-particle":"","parse-names":false,"suffix":""},{"dropping-particle":"","family":"Böhm","given":"Stefanie","non-dropping-particle":"","parse-names":false,"suffix":""},{"dropping-particle":"","family":"Woudenberg","given":"Tom","non-dropping-particle":"","parse-names":false,"suffix":""},{"dropping-particle":"","family":"Ackermann","given":"Nikolaus","non-dropping-particle":"","parse-names":false,"suffix":""},{"dropping-particle":"","family":"Konrad","given":"Regina","non-dropping-particle":"","parse-names":false,"suffix":""},{"dropping-particle":"","family":"Eberle","given":"Ute","non-dropping-particle":"","parse-names":false,"suffix":""},{"dropping-particle":"","family":"Treis","given":"Bianca","non-dropping-particle":"","parse-names":false,"suffix":""},{"dropping-particle":"","family":"Dangel","given":"Alexandra","non-dropping-particle":"","parse-names":false,"suffix":""},{"dropping-particle":"","family":"Bengs","given":"Katja","non-dropping-particle":"","parse-names":false,"suffix":""},{"dropping-particle":"","family":"Fingerle","given":"Volker","non-dropping-particle":"","parse-names":false,"suffix":""},{"dropping-particle":"","family":"Berger","given":"Anja","non-dropping-particle":"","parse-names":false,"suffix":""},{"dropping-particle":"","family":"Hörmansdorfer","given":"Stefan","non-dropping-particle":"","parse-names":false,"suffix":""},{"dropping-particle":"","family":"Ippisch","given":"Siegfried","non-dropping-particle":"","parse-names":false,"suffix":""},{"dropping-particle":"","family":"Wicklein","given":"Bernd","non-dropping-particle":"","parse-names":false,"suffix":""},{"dropping-particle":"","family":"Grahl","given":"Andreas","non-dropping-particle":"","parse-names":false,"suffix":""},{"dropping-particle":"","family":"Pörtner","given":"Kirsten","non-dropping-particle":"","parse-names":false,"suffix":""},{"dropping-particle":"","family":"Muller","given":"Nadine","non-dropping-particle":"","parse-names":false,"suffix":""},{"dropping-particle":"","family":"Zeitlmann","given":"Nadine","non-dropping-particle":"","parse-names":false,"suffix":""},{"dropping-particle":"","family":"Boender","given":"T Sonia","non-dropping-particle":"","parse-names":false,"suffix":""},{"dropping-particle":"","family":"Cai","given":"Wei","non-dropping-particle":"","parse-names":false,"suffix":""},{"dropping-particle":"","family":"Reich","given":"Andreas","non-dropping-particle":"","parse-names":false,"suffix":""},{"dropping-particle":"","family":"An der Heiden","given":"Maria","non-dropping-particle":"","parse-names":false,"suffix":""},{"dropping-particle":"","family":"Rexroth","given":"Ute","non-dropping-particle":"","parse-names":false,"suffix":""},{"dropping-particle":"","family":"Hamouda","given":"Osamah","non-dropping-particle":"","parse-names":false,"suffix":""},{"dropping-particle":"","family":"Schneider","given":"Julia","non-dropping-particle":"","parse-names":false,"suffix":""},{"dropping-particle":"","family":"Veith","given":"Talitha","non-dropping-particle":"","parse-names":false,"suffix":""},{"dropping-particle":"","family":"Mühlemann","given":"Barbara","non-dropping-particle":"","parse-names":false,"suffix":""},{"dropping-particle":"","family":"Wölfel","given":"Roman","non-dropping-particle":"","parse-names":false,"suffix":""},{"dropping-particle":"","family":"Antwerpen","given":"Markus","non-dropping-particle":"","parse-names":false,"suffix":""},{"dropping-particle":"","family":"Walter","given":"Mathias","non-dropping-particle":"","parse-names":false,"suffix":""},{"dropping-particle":"","family":"Protzer","given":"Ulrike","non-dropping-particle":"","parse-names":false,"suffix":""},{"dropping-particle":"","family":"Liebl","given":"Bernhard","non-dropping-particle":"","parse-names":false,"suffix":""},{"dropping-particle":"","family":"Haas","given":"Walter","non-dropping-particle":"","parse-names":false,"suffix":""},{"dropping-particle":"","family":"Sing","given":"Andreas","non-dropping-particle":"","parse-names":false,"suffix":""},{"dropping-particle":"","family":"Drosten","given":"Christian","non-dropping-particle":"","parse-names":false,"suffix":""},{"dropping-particle":"","family":"Zapf","given":"Andreas","non-dropping-particle":"","parse-names":false,"suffix":""}],"container-title":"The Lancet. Infectious diseases","edition":"2020/05/15","id":"ITEM-1","issue":"8","issued":{"date-parts":[["2020"]]},"language":"eng","note":"32422201[pmid]\nPMC7228725[pmcid]\nS1473-3099(20)30314-5[PII]","page":"920-928","publisher":"Elsevier Ltd.","title":"Investigation of a COVID-19 outbreak in Germany resulting from a single travel-associated primary case: a case series","type":"article-journal","volume":"20"},"uris":["http://www.mendeley.com/documents/?uuid=4d8c40b8-ee69-496e-89da-71221888c618"]}],"mendeley":{"formattedCitation":"[25]","plainTextFormattedCitation":"[25]","previouslyFormattedCitation":"[27]"},"properties":{"noteIndex":0},"schema":"https://github.com/citation-style-language/schema/raw/master/csl-citation.json"}</w:instrText>
            </w:r>
            <w:r>
              <w:fldChar w:fldCharType="separate"/>
            </w:r>
            <w:r w:rsidR="001B3AB4" w:rsidRPr="001B3AB4">
              <w:rPr>
                <w:noProof/>
              </w:rPr>
              <w:t>[25]</w:t>
            </w:r>
            <w:r>
              <w:fldChar w:fldCharType="end"/>
            </w:r>
          </w:p>
        </w:tc>
        <w:tc>
          <w:tcPr>
            <w:tcW w:w="2311" w:type="dxa"/>
            <w:tcBorders>
              <w:top w:val="single" w:sz="8" w:space="0" w:color="auto"/>
              <w:left w:val="nil"/>
              <w:bottom w:val="single" w:sz="8" w:space="0" w:color="auto"/>
              <w:right w:val="nil"/>
            </w:tcBorders>
            <w:vAlign w:val="center"/>
          </w:tcPr>
          <w:p w14:paraId="40A0FB15" w14:textId="77777777" w:rsidR="003B0894" w:rsidRDefault="003B0894" w:rsidP="003B0894">
            <w:pPr>
              <w:jc w:val="right"/>
            </w:pPr>
            <w:r>
              <w:t>15</w:t>
            </w:r>
          </w:p>
        </w:tc>
        <w:tc>
          <w:tcPr>
            <w:tcW w:w="2659" w:type="dxa"/>
            <w:tcBorders>
              <w:top w:val="single" w:sz="8" w:space="0" w:color="auto"/>
              <w:left w:val="nil"/>
              <w:bottom w:val="single" w:sz="8" w:space="0" w:color="auto"/>
              <w:right w:val="nil"/>
            </w:tcBorders>
            <w:vAlign w:val="center"/>
          </w:tcPr>
          <w:p w14:paraId="7ACD2267" w14:textId="77777777" w:rsidR="003B0894" w:rsidRDefault="003B0894" w:rsidP="003B0894">
            <w:pPr>
              <w:jc w:val="right"/>
            </w:pPr>
            <w:r>
              <w:t>2</w:t>
            </w:r>
          </w:p>
        </w:tc>
        <w:tc>
          <w:tcPr>
            <w:tcW w:w="2192" w:type="dxa"/>
            <w:tcBorders>
              <w:top w:val="single" w:sz="8" w:space="0" w:color="auto"/>
              <w:left w:val="nil"/>
              <w:bottom w:val="single" w:sz="8" w:space="0" w:color="auto"/>
              <w:right w:val="nil"/>
            </w:tcBorders>
            <w:vAlign w:val="center"/>
          </w:tcPr>
          <w:p w14:paraId="2AADB817" w14:textId="77777777" w:rsidR="003B0894" w:rsidRDefault="003B0894" w:rsidP="003B0894">
            <w:pPr>
              <w:jc w:val="right"/>
            </w:pPr>
            <w:r>
              <w:t>0.13</w:t>
            </w:r>
          </w:p>
        </w:tc>
      </w:tr>
      <w:tr w:rsidR="003B0894" w14:paraId="45AC4747" w14:textId="77777777" w:rsidTr="003B0894">
        <w:trPr>
          <w:trHeight w:val="260"/>
        </w:trPr>
        <w:tc>
          <w:tcPr>
            <w:tcW w:w="2367" w:type="dxa"/>
            <w:tcBorders>
              <w:top w:val="single" w:sz="8" w:space="0" w:color="auto"/>
              <w:left w:val="nil"/>
              <w:bottom w:val="single" w:sz="8" w:space="0" w:color="auto"/>
              <w:right w:val="nil"/>
            </w:tcBorders>
            <w:vAlign w:val="bottom"/>
          </w:tcPr>
          <w:p w14:paraId="6269532B" w14:textId="44AC0CE2" w:rsidR="003B0894" w:rsidRDefault="003B0894" w:rsidP="003B0894">
            <w:r>
              <w:t xml:space="preserve">Chaw et al </w:t>
            </w:r>
            <w:r>
              <w:fldChar w:fldCharType="begin" w:fldLock="1"/>
            </w:r>
            <w:r w:rsidR="001B3AB4">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fldChar w:fldCharType="separate"/>
            </w:r>
            <w:r w:rsidR="001B3AB4" w:rsidRPr="001B3AB4">
              <w:rPr>
                <w:noProof/>
              </w:rPr>
              <w:t>[18]</w:t>
            </w:r>
            <w:r>
              <w:fldChar w:fldCharType="end"/>
            </w:r>
          </w:p>
        </w:tc>
        <w:tc>
          <w:tcPr>
            <w:tcW w:w="2311" w:type="dxa"/>
            <w:tcBorders>
              <w:top w:val="single" w:sz="8" w:space="0" w:color="auto"/>
              <w:left w:val="nil"/>
              <w:bottom w:val="single" w:sz="8" w:space="0" w:color="auto"/>
              <w:right w:val="nil"/>
            </w:tcBorders>
            <w:vAlign w:val="center"/>
          </w:tcPr>
          <w:p w14:paraId="7DA87E25" w14:textId="77777777" w:rsidR="003B0894" w:rsidRDefault="003B0894" w:rsidP="003B0894">
            <w:pPr>
              <w:jc w:val="right"/>
            </w:pPr>
            <w:r>
              <w:t>16</w:t>
            </w:r>
          </w:p>
        </w:tc>
        <w:tc>
          <w:tcPr>
            <w:tcW w:w="2659" w:type="dxa"/>
            <w:tcBorders>
              <w:top w:val="single" w:sz="8" w:space="0" w:color="auto"/>
              <w:left w:val="nil"/>
              <w:bottom w:val="single" w:sz="8" w:space="0" w:color="auto"/>
              <w:right w:val="nil"/>
            </w:tcBorders>
            <w:vAlign w:val="center"/>
          </w:tcPr>
          <w:p w14:paraId="43FC565D" w14:textId="77777777" w:rsidR="003B0894" w:rsidRDefault="003B0894" w:rsidP="003B0894">
            <w:pPr>
              <w:jc w:val="right"/>
            </w:pPr>
            <w:r>
              <w:t>14</w:t>
            </w:r>
          </w:p>
        </w:tc>
        <w:tc>
          <w:tcPr>
            <w:tcW w:w="2192" w:type="dxa"/>
            <w:tcBorders>
              <w:top w:val="single" w:sz="8" w:space="0" w:color="auto"/>
              <w:left w:val="nil"/>
              <w:bottom w:val="single" w:sz="8" w:space="0" w:color="auto"/>
              <w:right w:val="nil"/>
            </w:tcBorders>
            <w:vAlign w:val="center"/>
          </w:tcPr>
          <w:p w14:paraId="428A109E" w14:textId="77777777" w:rsidR="003B0894" w:rsidRDefault="003B0894" w:rsidP="003B0894">
            <w:pPr>
              <w:jc w:val="right"/>
            </w:pPr>
            <w:r>
              <w:t>0.88</w:t>
            </w:r>
          </w:p>
        </w:tc>
      </w:tr>
      <w:tr w:rsidR="003B0894" w14:paraId="7959D967" w14:textId="77777777" w:rsidTr="003B0894">
        <w:trPr>
          <w:trHeight w:val="249"/>
        </w:trPr>
        <w:tc>
          <w:tcPr>
            <w:tcW w:w="2367" w:type="dxa"/>
            <w:tcBorders>
              <w:top w:val="single" w:sz="8" w:space="0" w:color="auto"/>
              <w:left w:val="nil"/>
              <w:bottom w:val="single" w:sz="8" w:space="0" w:color="auto"/>
              <w:right w:val="nil"/>
            </w:tcBorders>
            <w:vAlign w:val="bottom"/>
          </w:tcPr>
          <w:p w14:paraId="7D374C60" w14:textId="6DD4EEA8" w:rsidR="003B0894" w:rsidRDefault="003B0894" w:rsidP="003B0894">
            <w:r>
              <w:t xml:space="preserve">Li et al </w:t>
            </w:r>
            <w:r>
              <w:fldChar w:fldCharType="begin" w:fldLock="1"/>
            </w:r>
            <w:r w:rsidR="001B3AB4">
              <w:instrText>ADDIN CSL_CITATION {"citationItems":[{"id":"ITEM-1","itemData":{"DOI":"10.1093/cid/ciaa450","ISBN":"1058-4838","abstract":"Since December 2019, SARS-CoV-2 has extended to most parts of China with &amp;gt;80 000 cases and to at least 100 countries with &amp;gt;60 000 international cases as of 15 March 2020. Here we used a household cohort study to determine the features of household transmission of COVID-19.A total of 105 index patients and 392 household contacts were enrolled. Both index patients and household members were tested by SARS-CoV-2 RT-PCR. Information on all recruited individuals was extracted from medical records and confirmed or supplemented by telephone interviews. The baseline characteristics of index cases and contact patients were described. Secondary attack rates of SARS-CoV-2 to contact members were computed and the risk factors for transmission within the household were estimated.Secondary transmission of SARS-CoV-2 developed in 64 of 392 household contacts (16.3%). The secondary attack rate to children was 4% compared with 17.1% for adults. The secondary attack rate to the contacts within the households with index patients quarantined by themselves since onset of symptoms was 0% compared with 16.9% for contacts without quarantined index patients. The secondary attack rate to contacts who were spouses of index cases was 27.8% compared with 17.3% for other adult members in the households.The secondary attack rate of SARS-CoV-2 in household is 16.3%. Age of household contacts and spousal relationship to the index case are risk factors for transmission of SARS-CoV-2 within a household. Quarantine of index patients at home since onset of symptoms is useful to prevent the transmission of SARS-Co-2 within a household.","author":[{"dropping-particle":"","family":"Li","given":"Wei","non-dropping-particle":"","parse-names":false,"suffix":""},{"dropping-particle":"","family":"Zhang","given":"Bo","non-dropping-particle":"","parse-names":false,"suffix":""},{"dropping-particle":"","family":"Lu","given":"Jianhua","non-dropping-particle":"","parse-names":false,"suffix":""},{"dropping-particle":"","family":"Liu","given":"Shihua","non-dropping-particle":"","parse-names":false,"suffix":""},{"dropping-particle":"","family":"Chang","given":"Zhiqiang","non-dropping-particle":"","parse-names":false,"suffix":""},{"dropping-particle":"","family":"Peng","given":"Cao","non-dropping-particle":"","parse-names":false,"suffix":""},{"dropping-particle":"","family":"Liu","given":"Xinghua","non-dropping-particle":"","parse-names":false,"suffix":""},{"dropping-particle":"","family":"Zhang","given":"Peng","non-dropping-particle":"","parse-names":false,"suffix":""},{"dropping-particle":"","family":"Ling","given":"Yan","non-dropping-particle":"","parse-names":false,"suffix":""},{"dropping-particle":"","family":"Tao","given":"Kaixiong","non-dropping-particle":"","parse-names":false,"suffix":""},{"dropping-particle":"","family":"Chen","given":"Jianying","non-dropping-particle":"","parse-names":false,"suffix":""}],"container-title":"Clinical Infectious Diseases","id":"ITEM-1","issued":{"date-parts":[["2020"]]},"title":"Characteristics of Household Transmission of COVID-19","type":"article-journal"},"uris":["http://www.mendeley.com/documents/?uuid=98b33ca6-5d12-4cec-bc24-67006aba725f"]}],"mendeley":{"formattedCitation":"[40]","plainTextFormattedCitation":"[40]","previouslyFormattedCitation":"[42]"},"properties":{"noteIndex":0},"schema":"https://github.com/citation-style-language/schema/raw/master/csl-citation.json"}</w:instrText>
            </w:r>
            <w:r>
              <w:fldChar w:fldCharType="separate"/>
            </w:r>
            <w:r w:rsidR="001B3AB4" w:rsidRPr="001B3AB4">
              <w:rPr>
                <w:noProof/>
              </w:rPr>
              <w:t>[40]</w:t>
            </w:r>
            <w:r>
              <w:fldChar w:fldCharType="end"/>
            </w:r>
          </w:p>
        </w:tc>
        <w:tc>
          <w:tcPr>
            <w:tcW w:w="2311" w:type="dxa"/>
            <w:tcBorders>
              <w:top w:val="single" w:sz="8" w:space="0" w:color="auto"/>
              <w:left w:val="nil"/>
              <w:bottom w:val="single" w:sz="8" w:space="0" w:color="auto"/>
              <w:right w:val="nil"/>
            </w:tcBorders>
            <w:vAlign w:val="center"/>
          </w:tcPr>
          <w:p w14:paraId="4D79FA0E" w14:textId="77777777" w:rsidR="003B0894" w:rsidRDefault="003B0894" w:rsidP="003B0894">
            <w:pPr>
              <w:jc w:val="right"/>
            </w:pPr>
            <w:r>
              <w:t>46</w:t>
            </w:r>
          </w:p>
        </w:tc>
        <w:tc>
          <w:tcPr>
            <w:tcW w:w="2659" w:type="dxa"/>
            <w:tcBorders>
              <w:top w:val="single" w:sz="8" w:space="0" w:color="auto"/>
              <w:left w:val="nil"/>
              <w:bottom w:val="single" w:sz="8" w:space="0" w:color="auto"/>
              <w:right w:val="nil"/>
            </w:tcBorders>
            <w:vAlign w:val="center"/>
          </w:tcPr>
          <w:p w14:paraId="5B7ADC9A" w14:textId="77777777" w:rsidR="003B0894" w:rsidRDefault="003B0894" w:rsidP="003B0894">
            <w:pPr>
              <w:jc w:val="right"/>
            </w:pPr>
            <w:r>
              <w:t>24</w:t>
            </w:r>
          </w:p>
        </w:tc>
        <w:tc>
          <w:tcPr>
            <w:tcW w:w="2192" w:type="dxa"/>
            <w:tcBorders>
              <w:top w:val="single" w:sz="8" w:space="0" w:color="auto"/>
              <w:left w:val="nil"/>
              <w:bottom w:val="single" w:sz="8" w:space="0" w:color="auto"/>
              <w:right w:val="nil"/>
            </w:tcBorders>
            <w:vAlign w:val="center"/>
          </w:tcPr>
          <w:p w14:paraId="136DE0E8" w14:textId="77777777" w:rsidR="003B0894" w:rsidRDefault="003B0894" w:rsidP="003B0894">
            <w:pPr>
              <w:jc w:val="right"/>
            </w:pPr>
            <w:r>
              <w:t>0.52</w:t>
            </w:r>
          </w:p>
        </w:tc>
      </w:tr>
      <w:tr w:rsidR="003B0894" w:rsidRPr="008E7E2B" w14:paraId="738F0432" w14:textId="77777777" w:rsidTr="003B0894">
        <w:trPr>
          <w:trHeight w:val="260"/>
        </w:trPr>
        <w:tc>
          <w:tcPr>
            <w:tcW w:w="7337" w:type="dxa"/>
            <w:gridSpan w:val="3"/>
            <w:tcBorders>
              <w:top w:val="single" w:sz="8" w:space="0" w:color="auto"/>
              <w:left w:val="nil"/>
              <w:bottom w:val="single" w:sz="18" w:space="0" w:color="auto"/>
              <w:right w:val="nil"/>
            </w:tcBorders>
            <w:vAlign w:val="center"/>
          </w:tcPr>
          <w:p w14:paraId="06F63C4F" w14:textId="77777777" w:rsidR="003B0894" w:rsidRDefault="003B0894" w:rsidP="003B0894">
            <w:pPr>
              <w:jc w:val="right"/>
            </w:pPr>
            <w:r>
              <w:rPr>
                <w:b/>
                <w:bCs/>
              </w:rPr>
              <w:t xml:space="preserve">Summary </w:t>
            </w:r>
          </w:p>
        </w:tc>
        <w:tc>
          <w:tcPr>
            <w:tcW w:w="2192" w:type="dxa"/>
            <w:tcBorders>
              <w:top w:val="single" w:sz="8" w:space="0" w:color="auto"/>
              <w:left w:val="nil"/>
              <w:bottom w:val="single" w:sz="8" w:space="0" w:color="auto"/>
              <w:right w:val="nil"/>
            </w:tcBorders>
            <w:vAlign w:val="center"/>
          </w:tcPr>
          <w:p w14:paraId="2F7447CA" w14:textId="77777777" w:rsidR="003B0894" w:rsidRPr="008E7E2B" w:rsidRDefault="003B0894" w:rsidP="003B0894">
            <w:pPr>
              <w:jc w:val="right"/>
              <w:rPr>
                <w:b/>
                <w:bCs/>
              </w:rPr>
            </w:pPr>
            <w:r w:rsidRPr="008E7E2B">
              <w:rPr>
                <w:b/>
                <w:bCs/>
              </w:rPr>
              <w:t>0.40</w:t>
            </w:r>
          </w:p>
          <w:p w14:paraId="1AF2E6DA" w14:textId="77777777" w:rsidR="003B0894" w:rsidRPr="008E7E2B" w:rsidRDefault="003B0894" w:rsidP="003B0894">
            <w:pPr>
              <w:jc w:val="right"/>
              <w:rPr>
                <w:b/>
                <w:bCs/>
              </w:rPr>
            </w:pPr>
            <w:r w:rsidRPr="008E7E2B">
              <w:rPr>
                <w:b/>
                <w:bCs/>
              </w:rPr>
              <w:t>(95% CI: 0.21-0.72)</w:t>
            </w:r>
          </w:p>
        </w:tc>
      </w:tr>
      <w:tr w:rsidR="003B0894" w14:paraId="48793D97" w14:textId="77777777" w:rsidTr="003B0894">
        <w:trPr>
          <w:trHeight w:val="501"/>
        </w:trPr>
        <w:tc>
          <w:tcPr>
            <w:tcW w:w="9529" w:type="dxa"/>
            <w:gridSpan w:val="4"/>
            <w:tcBorders>
              <w:top w:val="single" w:sz="18" w:space="0" w:color="auto"/>
              <w:left w:val="nil"/>
              <w:bottom w:val="single" w:sz="8" w:space="0" w:color="auto"/>
              <w:right w:val="nil"/>
            </w:tcBorders>
            <w:vAlign w:val="center"/>
          </w:tcPr>
          <w:p w14:paraId="50A0EB8C" w14:textId="77777777" w:rsidR="003B0894" w:rsidRDefault="003B0894" w:rsidP="003B0894">
            <w:r>
              <w:rPr>
                <w:b/>
                <w:bCs/>
              </w:rPr>
              <w:t xml:space="preserve">5 days or more </w:t>
            </w:r>
          </w:p>
        </w:tc>
      </w:tr>
      <w:tr w:rsidR="003B0894" w14:paraId="51332F42" w14:textId="77777777" w:rsidTr="003B0894">
        <w:trPr>
          <w:trHeight w:val="260"/>
        </w:trPr>
        <w:tc>
          <w:tcPr>
            <w:tcW w:w="2367" w:type="dxa"/>
            <w:tcBorders>
              <w:top w:val="single" w:sz="8" w:space="0" w:color="auto"/>
              <w:left w:val="nil"/>
              <w:bottom w:val="single" w:sz="8" w:space="0" w:color="auto"/>
              <w:right w:val="nil"/>
            </w:tcBorders>
            <w:vAlign w:val="bottom"/>
          </w:tcPr>
          <w:p w14:paraId="6E3C9AA0" w14:textId="726A94ED" w:rsidR="003B0894" w:rsidRDefault="003B0894" w:rsidP="003B0894">
            <w:proofErr w:type="spellStart"/>
            <w:r>
              <w:t>Bohmer</w:t>
            </w:r>
            <w:proofErr w:type="spellEnd"/>
            <w:r>
              <w:t xml:space="preserve"> et al </w:t>
            </w:r>
            <w:r>
              <w:fldChar w:fldCharType="begin" w:fldLock="1"/>
            </w:r>
            <w:r w:rsidR="001B3AB4">
              <w:instrText>ADDIN CSL_CITATION {"citationItems":[{"id":"ITEM-1","itemData":{"DOI":"10.1016/S1473-3099(20)30314-5","ISBN":"1474-4457\r1473-3099","PMID":"32422201","abstract":"BACKGROUND: In December, 2019, the newly identified severe acute respiratory syndrome coronavirus 2 (SARS-CoV-2) emerged in Wuhan, China, causing COVID-19, a respiratory disease presenting with fever, cough, and often pneumonia. WHO has set the strategic objective to interrupt spread of SARS-CoV-2 worldwide. An outbreak in Bavaria, Germany, starting at the end of January, 2020, provided the opportunity to study transmission events, incubation period, and secondary attack rates. METHODS: A case was defined as a person with SARS-CoV-2 infection confirmed by RT-PCR. Case interviews were done to describe timing of onset and nature of symptoms and to identify and classify contacts as high risk (had cumulative face-to-face contact with a confirmed case for ≥15 min, direct contact with secretions or body fluids of a patient with confirmed COVID-19, or, in the case of health-care workers, had worked within 2 m of a patient with confirmed COVID-19 without personal protective equipment) or low risk (all other contacts). High-risk contacts were ordered to stay at home in quarantine for 14 days and were actively followed up and monitored for symptoms, and low-risk contacts were tested upon self-reporting of symptoms. We defined fever and cough as specific symptoms, and defined a prodromal phase as the presence of non-specific symptoms for at least 1 day before the onset of specific symptoms. Whole genome sequencing was used to confirm epidemiological links and clarify transmission events where contact histories were ambiguous; integration with epidemiological data enabled precise reconstruction of exposure events and incubation periods. Secondary attack rates were calculated as the number of cases divided by the number of contacts, using Fisher's exact test for the 95% CIs. FINDINGS: Patient 0 was a Chinese resident who visited Germany for professional reasons. 16 subsequent cases, often with mild and non-specific symptoms, emerged in four transmission generations. Signature mutations in the viral genome occurred upon foundation of generation 2, as well as in one case pertaining to generation 4. The median incubation period was 4·0 days (IQR 2·3-4·3) and the median serial interval was 4·0 days (3·0-5·0). Transmission events were likely to have occurred presymptomatically for one case (possibly five more), at the day of symptom onset for four cases (possibly five more), and the remainder after the day of symptom onset or unknown. One or two cases resulted from conta…","author":[{"dropping-particle":"","family":"Böhmer","given":"Merle M","non-dropping-particle":"","parse-names":false,"suffix":""},{"dropping-particle":"","family":"Buchholz","given":"Udo","non-dropping-particle":"","parse-names":false,"suffix":""},{"dropping-particle":"","family":"Corman","given":"Victor M","non-dropping-particle":"","parse-names":false,"suffix":""},{"dropping-particle":"","family":"Hoch","given":"Martin","non-dropping-particle":"","parse-names":false,"suffix":""},{"dropping-particle":"","family":"Katz","given":"Katharina","non-dropping-particle":"","parse-names":false,"suffix":""},{"dropping-particle":"V","family":"Marosevic","given":"Durdica","non-dropping-particle":"","parse-names":false,"suffix":""},{"dropping-particle":"","family":"Böhm","given":"Stefanie","non-dropping-particle":"","parse-names":false,"suffix":""},{"dropping-particle":"","family":"Woudenberg","given":"Tom","non-dropping-particle":"","parse-names":false,"suffix":""},{"dropping-particle":"","family":"Ackermann","given":"Nikolaus","non-dropping-particle":"","parse-names":false,"suffix":""},{"dropping-particle":"","family":"Konrad","given":"Regina","non-dropping-particle":"","parse-names":false,"suffix":""},{"dropping-particle":"","family":"Eberle","given":"Ute","non-dropping-particle":"","parse-names":false,"suffix":""},{"dropping-particle":"","family":"Treis","given":"Bianca","non-dropping-particle":"","parse-names":false,"suffix":""},{"dropping-particle":"","family":"Dangel","given":"Alexandra","non-dropping-particle":"","parse-names":false,"suffix":""},{"dropping-particle":"","family":"Bengs","given":"Katja","non-dropping-particle":"","parse-names":false,"suffix":""},{"dropping-particle":"","family":"Fingerle","given":"Volker","non-dropping-particle":"","parse-names":false,"suffix":""},{"dropping-particle":"","family":"Berger","given":"Anja","non-dropping-particle":"","parse-names":false,"suffix":""},{"dropping-particle":"","family":"Hörmansdorfer","given":"Stefan","non-dropping-particle":"","parse-names":false,"suffix":""},{"dropping-particle":"","family":"Ippisch","given":"Siegfried","non-dropping-particle":"","parse-names":false,"suffix":""},{"dropping-particle":"","family":"Wicklein","given":"Bernd","non-dropping-particle":"","parse-names":false,"suffix":""},{"dropping-particle":"","family":"Grahl","given":"Andreas","non-dropping-particle":"","parse-names":false,"suffix":""},{"dropping-particle":"","family":"Pörtner","given":"Kirsten","non-dropping-particle":"","parse-names":false,"suffix":""},{"dropping-particle":"","family":"Muller","given":"Nadine","non-dropping-particle":"","parse-names":false,"suffix":""},{"dropping-particle":"","family":"Zeitlmann","given":"Nadine","non-dropping-particle":"","parse-names":false,"suffix":""},{"dropping-particle":"","family":"Boender","given":"T Sonia","non-dropping-particle":"","parse-names":false,"suffix":""},{"dropping-particle":"","family":"Cai","given":"Wei","non-dropping-particle":"","parse-names":false,"suffix":""},{"dropping-particle":"","family":"Reich","given":"Andreas","non-dropping-particle":"","parse-names":false,"suffix":""},{"dropping-particle":"","family":"An der Heiden","given":"Maria","non-dropping-particle":"","parse-names":false,"suffix":""},{"dropping-particle":"","family":"Rexroth","given":"Ute","non-dropping-particle":"","parse-names":false,"suffix":""},{"dropping-particle":"","family":"Hamouda","given":"Osamah","non-dropping-particle":"","parse-names":false,"suffix":""},{"dropping-particle":"","family":"Schneider","given":"Julia","non-dropping-particle":"","parse-names":false,"suffix":""},{"dropping-particle":"","family":"Veith","given":"Talitha","non-dropping-particle":"","parse-names":false,"suffix":""},{"dropping-particle":"","family":"Mühlemann","given":"Barbara","non-dropping-particle":"","parse-names":false,"suffix":""},{"dropping-particle":"","family":"Wölfel","given":"Roman","non-dropping-particle":"","parse-names":false,"suffix":""},{"dropping-particle":"","family":"Antwerpen","given":"Markus","non-dropping-particle":"","parse-names":false,"suffix":""},{"dropping-particle":"","family":"Walter","given":"Mathias","non-dropping-particle":"","parse-names":false,"suffix":""},{"dropping-particle":"","family":"Protzer","given":"Ulrike","non-dropping-particle":"","parse-names":false,"suffix":""},{"dropping-particle":"","family":"Liebl","given":"Bernhard","non-dropping-particle":"","parse-names":false,"suffix":""},{"dropping-particle":"","family":"Haas","given":"Walter","non-dropping-particle":"","parse-names":false,"suffix":""},{"dropping-particle":"","family":"Sing","given":"Andreas","non-dropping-particle":"","parse-names":false,"suffix":""},{"dropping-particle":"","family":"Drosten","given":"Christian","non-dropping-particle":"","parse-names":false,"suffix":""},{"dropping-particle":"","family":"Zapf","given":"Andreas","non-dropping-particle":"","parse-names":false,"suffix":""}],"container-title":"The Lancet. Infectious diseases","edition":"2020/05/15","id":"ITEM-1","issue":"8","issued":{"date-parts":[["2020"]]},"language":"eng","note":"32422201[pmid]\nPMC7228725[pmcid]\nS1473-3099(20)30314-5[PII]","page":"920-928","publisher":"Elsevier Ltd.","title":"Investigation of a COVID-19 outbreak in Germany resulting from a single travel-associated primary case: a case series","type":"article-journal","volume":"20"},"uris":["http://www.mendeley.com/documents/?uuid=4d8c40b8-ee69-496e-89da-71221888c618"]}],"mendeley":{"formattedCitation":"[25]","plainTextFormattedCitation":"[25]","previouslyFormattedCitation":"[27]"},"properties":{"noteIndex":0},"schema":"https://github.com/citation-style-language/schema/raw/master/csl-citation.json"}</w:instrText>
            </w:r>
            <w:r>
              <w:fldChar w:fldCharType="separate"/>
            </w:r>
            <w:r w:rsidR="001B3AB4" w:rsidRPr="001B3AB4">
              <w:rPr>
                <w:noProof/>
              </w:rPr>
              <w:t>[25]</w:t>
            </w:r>
            <w:r>
              <w:fldChar w:fldCharType="end"/>
            </w:r>
          </w:p>
        </w:tc>
        <w:tc>
          <w:tcPr>
            <w:tcW w:w="2311" w:type="dxa"/>
            <w:tcBorders>
              <w:top w:val="single" w:sz="8" w:space="0" w:color="auto"/>
              <w:left w:val="nil"/>
              <w:bottom w:val="single" w:sz="8" w:space="0" w:color="auto"/>
              <w:right w:val="nil"/>
            </w:tcBorders>
            <w:vAlign w:val="center"/>
          </w:tcPr>
          <w:p w14:paraId="2604E4FC" w14:textId="77777777" w:rsidR="003B0894" w:rsidRDefault="003B0894" w:rsidP="003B0894">
            <w:pPr>
              <w:jc w:val="right"/>
            </w:pPr>
            <w:r>
              <w:t>1</w:t>
            </w:r>
          </w:p>
        </w:tc>
        <w:tc>
          <w:tcPr>
            <w:tcW w:w="2659" w:type="dxa"/>
            <w:tcBorders>
              <w:top w:val="single" w:sz="8" w:space="0" w:color="auto"/>
              <w:left w:val="nil"/>
              <w:bottom w:val="single" w:sz="8" w:space="0" w:color="auto"/>
              <w:right w:val="nil"/>
            </w:tcBorders>
            <w:vAlign w:val="center"/>
          </w:tcPr>
          <w:p w14:paraId="24D170F0" w14:textId="77777777" w:rsidR="003B0894" w:rsidRDefault="003B0894" w:rsidP="003B0894">
            <w:pPr>
              <w:jc w:val="right"/>
            </w:pPr>
            <w:r>
              <w:t>3</w:t>
            </w:r>
          </w:p>
        </w:tc>
        <w:tc>
          <w:tcPr>
            <w:tcW w:w="2192" w:type="dxa"/>
            <w:tcBorders>
              <w:top w:val="single" w:sz="8" w:space="0" w:color="auto"/>
              <w:left w:val="nil"/>
              <w:bottom w:val="single" w:sz="8" w:space="0" w:color="auto"/>
              <w:right w:val="nil"/>
            </w:tcBorders>
            <w:vAlign w:val="center"/>
          </w:tcPr>
          <w:p w14:paraId="11E6756A" w14:textId="77777777" w:rsidR="003B0894" w:rsidRDefault="003B0894" w:rsidP="003B0894">
            <w:pPr>
              <w:jc w:val="right"/>
            </w:pPr>
            <w:r>
              <w:t>3.00</w:t>
            </w:r>
          </w:p>
        </w:tc>
      </w:tr>
      <w:tr w:rsidR="003B0894" w14:paraId="4B3DF9FD" w14:textId="77777777" w:rsidTr="003B0894">
        <w:trPr>
          <w:trHeight w:val="249"/>
        </w:trPr>
        <w:tc>
          <w:tcPr>
            <w:tcW w:w="2367" w:type="dxa"/>
            <w:tcBorders>
              <w:top w:val="single" w:sz="8" w:space="0" w:color="auto"/>
              <w:left w:val="nil"/>
              <w:bottom w:val="single" w:sz="8" w:space="0" w:color="auto"/>
              <w:right w:val="nil"/>
            </w:tcBorders>
            <w:vAlign w:val="bottom"/>
          </w:tcPr>
          <w:p w14:paraId="33A8E951" w14:textId="5EFB3C7E" w:rsidR="003B0894" w:rsidRDefault="003B0894" w:rsidP="003B0894">
            <w:r>
              <w:t xml:space="preserve">Burke et al </w:t>
            </w:r>
            <w:r>
              <w:fldChar w:fldCharType="begin" w:fldLock="1"/>
            </w:r>
            <w:r w:rsidR="001B3AB4">
              <w:instrText>ADDIN CSL_CITATION {"citationItems":[{"id":"ITEM-1","itemData":{"DOI":"10.1371/journal.pone.0238342","ISSN":"19326203","PMID":"32877446","abstract":"Coronavirus disease 2019 (COVID-19), the respiratory disease caused by severe acute respiratory syndrome coronavirus 2 (SARS-CoV-2), was first identified in Wuhan, China and has since become pandemic. In response to the first cases identified in the United States, close contacts of confirmed COVID-19 cases were investigated to enable early identification and isolation of additional cases and to learn more about risk factors for transmission. Close contacts of nine early travel-related cases in the United States were identified and monitored daily for development of symptoms (active monitoring). Selected close contacts (including those with exposures categorized as higher risk) were targeted for collection of additional exposure information and respiratory samples. Respiratory samples were tested for SARS-CoV-2 by real-time reverse transcription polymerase chain reaction at the Centers for Disease Control and Prevention. Four hundred four close contacts were actively monitored in the jurisdictions that managed the travel-related cases. Three hundred thirty-eight of the 404 close contacts provided at least basic exposure information, of whom 159 close contacts had ≥1 set of respiratory samples collected and tested. Across all actively monitored close contacts, two additional symptomatic COVID-19 cases (i.e., secondary cases) were identified; both secondary cases were in spouses of travel-associated case patients. When considering only household members, all of whom had ≥1 respiratory sample tested for SARS-CoV-2, the secondary attack rate (i.e., the number of secondary cases as a proportion of total close contacts) was 13% (95% CI: 4–38%). The results from these contact tracing investigations suggest that household members, especially significant others, of COVID-19 cases are at highest risk of becoming infected. The importance of personal protective equipment for healthcare workers is also underlined. Isolation of persons with COVID-19, in combination with quarantine of exposed close contacts and practice of everyday preventive behaviors, is important to mitigate spread of COVID-19.","author":[{"dropping-particle":"","family":"Burke","given":"Rachel M.","non-dropping-particle":"","parse-names":false,"suffix":""},{"dropping-particle":"","family":"Balter","given":"Sharon","non-dropping-particle":"","parse-names":false,"suffix":""},{"dropping-particle":"","family":"Barnes","given":"Emily","non-dropping-particle":"","parse-names":false,"suffix":""},{"dropping-particle":"","family":"Barry","given":"Vaughn","non-dropping-particle":"","parse-names":false,"suffix":""},{"dropping-particle":"","family":"Bartlett","given":"Karri","non-dropping-particle":"","parse-names":false,"suffix":""},{"dropping-particle":"","family":"Beer","given":"Karlyn D.","non-dropping-particle":"","parse-names":false,"suffix":""},{"dropping-particle":"","family":"Benowitz","given":"Isaac","non-dropping-particle":"","parse-names":false,"suffix":""},{"dropping-particle":"","family":"Biggs","given":"Holly M.","non-dropping-particle":"","parse-names":false,"suffix":""},{"dropping-particle":"","family":"Bruce","given":"Hollianne","non-dropping-particle":"","parse-names":false,"suffix":""},{"dropping-particle":"","family":"Bryant-Genevier","given":"Jonathan","non-dropping-particle":"","parse-names":false,"suffix":""},{"dropping-particle":"","family":"Cates","given":"Jordan","non-dropping-particle":"","parse-names":false,"suffix":""},{"dropping-particle":"","family":"Chatham-Stephens","given":"Kevin","non-dropping-particle":"","parse-names":false,"suffix":""},{"dropping-particle":"","family":"Chea","given":"Nora","non-dropping-particle":"","parse-names":false,"suffix":""},{"dropping-particle":"","family":"Chiou","given":"Howard","non-dropping-particle":"","parse-names":false,"suffix":""},{"dropping-particle":"","family":"Christiansen","given":"Demian","non-dropping-particle":"","parse-names":false,"suffix":""},{"dropping-particle":"","family":"Chu","given":"Victoria T.","non-dropping-particle":"","parse-names":false,"suffix":""},{"dropping-particle":"","family":"Clark","given":"Shauna","non-dropping-particle":"","parse-names":false,"suffix":""},{"dropping-particle":"","family":"Cody","given":"Sara H.","non-dropping-particle":"","parse-names":false,"suffix":""},{"dropping-particle":"","family":"Cohen","given":"Max","non-dropping-particle":"","parse-names":false,"suffix":""},{"dropping-particle":"","family":"Conners","given":"Erin E.","non-dropping-particle":"","parse-names":false,"suffix":""},{"dropping-particle":"","family":"Dasari","given":"Vishal","non-dropping-particle":"","parse-names":false,"suffix":""},{"dropping-particle":"","family":"Dawson","given":"Patrick","non-dropping-particle":"","parse-names":false,"suffix":""},{"dropping-particle":"","family":"DeSalvo","given":"Traci","non-dropping-particle":"","parse-names":false,"suffix":""},{"dropping-particle":"","family":"Donahue","given":"Matthew","non-dropping-particle":"","parse-names":false,"suffix":""},{"dropping-particle":"","family":"Dratch","given":"Alissa","non-dropping-particle":"","parse-names":false,"suffix":""},{"dropping-particle":"","family":"Duca","given":"Lindsey","non-dropping-particle":"","parse-names":false,"suffix":""},{"dropping-particle":"","family":"Duchin","given":"Jeffrey","non-dropping-particle":"","parse-names":false,"suffix":""},{"dropping-particle":"","family":"Dyal","given":"Jonathan W.","non-dropping-particle":"","parse-names":false,"suffix":""},{"dropping-particle":"","family":"Feldstein","given":"Leora R.","non-dropping-particle":"","parse-names":false,"suffix":""},{"dropping-particle":"","family":"Fenstersheib","given":"Marty","non-dropping-particle":"","parse-names":false,"suffix":""},{"dropping-particle":"","family":"Fischer","given":"Marc","non-dropping-particle":"","parse-names":false,"suffix":""},{"dropping-particle":"","family":"Fisher","given":"Rebecca","non-dropping-particle":"","parse-names":false,"suffix":""},{"dropping-particle":"","family":"Foo","given":"Chelsea","non-dropping-particle":"","parse-names":false,"suffix":""},{"dropping-particle":"","family":"Freeman-Ponder","given":"Brandi","non-dropping-particle":"","parse-names":false,"suffix":""},{"dropping-particle":"","family":"Fry","given":"Alicia M.","non-dropping-particle":"","parse-names":false,"suffix":""},{"dropping-particle":"","family":"Gant","given":"Jessica","non-dropping-particle":"","parse-names":false,"suffix":""},{"dropping-particle":"","family":"Gautom","given":"Romesh","non-dropping-particle":"","parse-names":false,"suffix":""},{"dropping-particle":"","family":"Ghinai","given":"Isaac","non-dropping-particle":"","parse-names":false,"suffix":""},{"dropping-particle":"","family":"Gounder","given":"Prabhu","non-dropping-particle":"","parse-names":false,"suffix":""},{"dropping-particle":"","family":"Grigg","given":"Cheri T.","non-dropping-particle":"","parse-names":false,"suffix":""},{"dropping-particle":"","family":"Gunzenhauser","given":"Jeffrey","non-dropping-particle":"","parse-names":false,"suffix":""},{"dropping-particle":"","family":"Hall","given":"Aron J.","non-dropping-particle":"","parse-names":false,"suffix":""},{"dropping-particle":"","family":"Han","given":"George S.","non-dropping-particle":"","parse-names":false,"suffix":""},{"dropping-particle":"","family":"Haupt","given":"Thomas","non-dropping-particle":"","parse-names":false,"suffix":""},{"dropping-particle":"","family":"Holshue","given":"Michelle","non-dropping-particle":"","parse-names":false,"suffix":""},{"dropping-particle":"","family":"Hunter","given":"Jennifer","non-dropping-particle":"","parse-names":false,"suffix":""},{"dropping-particle":"","family":"Ibrahim","given":"Mireille B.","non-dropping-particle":"","parse-names":false,"suffix":""},{"dropping-particle":"","family":"Jacobs","given":"Max W.","non-dropping-particle":"","parse-names":false,"suffix":""},{"dropping-particle":"","family":"Jarashow","given":"M. Claire","non-dropping-particle":"","parse-names":false,"suffix":""},{"dropping-particle":"","family":"Joshi","given":"Kiran","non-dropping-particle":"","parse-names":false,"suffix":""},{"dropping-particle":"","family":"Kamali","given":"Talar","non-dropping-particle":"","parse-names":false,"suffix":""},{"dropping-particle":"","family":"Kawakami","given":"Vance","non-dropping-particle":"","parse-names":false,"suffix":""},{"dropping-particle":"","family":"Kim","given":"Moon","non-dropping-particle":"","parse-names":false,"suffix":""},{"dropping-particle":"","family":"Kirking","given":"Hannah L.","non-dropping-particle":"","parse-names":false,"suffix":""},{"dropping-particle":"","family":"Kita-Yarbro","given":"Amanda","non-dropping-particle":"","parse-names":false,"suffix":""},{"dropping-particle":"","family":"Klos","given":"Rachel","non-dropping-particle":"","parse-names":false,"suffix":""},{"dropping-particle":"","family":"Kobayashi","given":"Miwako","non-dropping-particle":"","parse-names":false,"suffix":""},{"dropping-particle":"","family":"Kocharian","given":"Anna","non-dropping-particle":"","parse-names":false,"suffix":""},{"dropping-particle":"","family":"Lang","given":"Misty","non-dropping-particle":"","parse-names":false,"suffix":""},{"dropping-particle":"","family":"Layden","given":"Jennifer","non-dropping-particle":"","parse-names":false,"suffix":""},{"dropping-particle":"","family":"Leidman","given":"Eva","non-dropping-particle":"","parse-names":false,"suffix":""},{"dropping-particle":"","family":"Lindquist","given":"Scott","non-dropping-particle":"","parse-names":false,"suffix":""},{"dropping-particle":"","family":"Lindstrom","given":"Stephen","non-dropping-particle":"","parse-names":false,"suffix":""},{"dropping-particle":"","family":"Link-Gelles","given":"Ruth","non-dropping-particle":"","parse-names":false,"suffix":""},{"dropping-particle":"","family":"Marlow","given":"Mariel","non-dropping-particle":"","parse-names":false,"suffix":""},{"dropping-particle":"","family":"Mattison","given":"Claire P.","non-dropping-particle":"","parse-names":false,"suffix":""},{"dropping-particle":"","family":"McClung","given":"Nancy","non-dropping-particle":"","parse-names":false,"suffix":""},{"dropping-particle":"","family":"McPherson","given":"Tristan D.","non-dropping-particle":"","parse-names":false,"suffix":""},{"dropping-particle":"","family":"Mello","given":"Lynn","non-dropping-particle":"","parse-names":false,"suffix":""},{"dropping-particle":"","family":"Midgley","given":"Claire M.","non-dropping-particle":"","parse-names":false,"suffix":""},{"dropping-particle":"","family":"Novosad","given":"Shannon","non-dropping-particle":"","parse-names":false,"suffix":""},{"dropping-particle":"","family":"Patel","given":"Megan T.","non-dropping-particle":"","parse-names":false,"suffix":""},{"dropping-particle":"","family":"Pettrone","given":"Kristen","non-dropping-particle":"","parse-names":false,"suffix":""},{"dropping-particle":"","family":"Pillai","given":"Satish K.","non-dropping-particle":"","parse-names":false,"suffix":""},{"dropping-particle":"","family":"Pray","given":"Ian W.","non-dropping-particle":"","parse-names":false,"suffix":""},{"dropping-particle":"","family":"Reese","given":"Heather E.","non-dropping-particle":"","parse-names":false,"suffix":""},{"dropping-particle":"","family":"Rhodes","given":"Heather","non-dropping-particle":"","parse-names":false,"suffix":""},{"dropping-particle":"","family":"Robinson","given":"Susan","non-dropping-particle":"","parse-names":false,"suffix":""},{"dropping-particle":"","family":"Rolfes","given":"Melissa","non-dropping-particle":"","parse-names":false,"suffix":""},{"dropping-particle":"","family":"Routh","given":"Janell","non-dropping-particle":"","parse-names":false,"suffix":""},{"dropping-particle":"","family":"Rubin","given":"Rachel","non-dropping-particle":"","parse-names":false,"suffix":""},{"dropping-particle":"","family":"Rudman","given":"Sarah L.","non-dropping-particle":"","parse-names":false,"suffix":""},{"dropping-particle":"","family":"Russell","given":"Denny","non-dropping-particle":"","parse-names":false,"suffix":""},{"dropping-particle":"","family":"Scott","given":"Sarah","non-dropping-particle":"","parse-names":false,"suffix":""},{"dropping-particle":"","family":"Shetty","given":"Varun","non-dropping-particle":"","parse-names":false,"suffix":""},{"dropping-particle":"","family":"Smith-Jeffcoat","given":"Sarah E.","non-dropping-particle":"","parse-names":false,"suffix":""},{"dropping-particle":"","family":"Soda","given":"Elizabeth A.","non-dropping-particle":"","parse-names":false,"suffix":""},{"dropping-particle":"","family":"Spitters","given":"Christopher","non-dropping-particle":"","parse-names":false,"suffix":""},{"dropping-particle":"","family":"Stierman","given":"Bryan","non-dropping-particle":"","parse-names":false,"suffix":""},{"dropping-particle":"","family":"Sunenshine","given":"Rebecca","non-dropping-particle":"","parse-names":false,"suffix":""},{"dropping-particle":"","family":"Terashita","given":"Dawn","non-dropping-particle":"","parse-names":false,"suffix":""},{"dropping-particle":"","family":"Traub","given":"Elizabeth","non-dropping-particle":"","parse-names":false,"suffix":""},{"dropping-particle":"","family":"Vahey","given":"Grace M.","non-dropping-particle":"","parse-names":false,"suffix":""},{"dropping-particle":"","family":"Verani","given":"Jennifer R.","non-dropping-particle":"","parse-names":false,"suffix":""},{"dropping-particle":"","family":"Wallace","given":"Megan","non-dropping-particle":"","parse-names":false,"suffix":""},{"dropping-particle":"","family":"Westercamp","given":"Matthew","non-dropping-particle":"","parse-names":false,"suffix":""},{"dropping-particle":"","family":"Wortham","given":"Jonathan","non-dropping-particle":"","parse-names":false,"suffix":""},{"dropping-particle":"","family":"Xie","given":"Amy","non-dropping-particle":"","parse-names":false,"suffix":""},{"dropping-particle":"","family":"Yousaf","given":"Anna","non-dropping-particle":"","parse-names":false,"suffix":""},{"dropping-particle":"","family":"Zahn","given":"Matthew","non-dropping-particle":"","parse-names":false,"suffix":""}],"container-title":"PLoS ONE","id":"ITEM-1","issue":"9 September","issued":{"date-parts":[["2020","9","1"]]},"publisher":"Public Library of Science","title":"Enhanced contact investigations for nine early travel-related cases of SARS-CoV-2 in the United States","type":"article-journal","volume":"15"},"uris":["http://www.mendeley.com/documents/?uuid=d05b388a-6090-3826-9e4c-776f6e1c71c8"]}],"mendeley":{"formattedCitation":"[26]","plainTextFormattedCitation":"[26]","previouslyFormattedCitation":"[28]"},"properties":{"noteIndex":0},"schema":"https://github.com/citation-style-language/schema/raw/master/csl-citation.json"}</w:instrText>
            </w:r>
            <w:r>
              <w:fldChar w:fldCharType="separate"/>
            </w:r>
            <w:r w:rsidR="001B3AB4" w:rsidRPr="001B3AB4">
              <w:rPr>
                <w:noProof/>
              </w:rPr>
              <w:t>[26]</w:t>
            </w:r>
            <w:r>
              <w:fldChar w:fldCharType="end"/>
            </w:r>
          </w:p>
        </w:tc>
        <w:tc>
          <w:tcPr>
            <w:tcW w:w="2311" w:type="dxa"/>
            <w:tcBorders>
              <w:top w:val="single" w:sz="8" w:space="0" w:color="auto"/>
              <w:left w:val="nil"/>
              <w:bottom w:val="single" w:sz="8" w:space="0" w:color="auto"/>
              <w:right w:val="nil"/>
            </w:tcBorders>
            <w:vAlign w:val="center"/>
          </w:tcPr>
          <w:p w14:paraId="720BA94E" w14:textId="77777777" w:rsidR="003B0894" w:rsidRDefault="003B0894" w:rsidP="003B0894">
            <w:pPr>
              <w:jc w:val="right"/>
            </w:pPr>
            <w:r>
              <w:t>2</w:t>
            </w:r>
          </w:p>
        </w:tc>
        <w:tc>
          <w:tcPr>
            <w:tcW w:w="2659" w:type="dxa"/>
            <w:tcBorders>
              <w:top w:val="single" w:sz="8" w:space="0" w:color="auto"/>
              <w:left w:val="nil"/>
              <w:bottom w:val="single" w:sz="8" w:space="0" w:color="auto"/>
              <w:right w:val="nil"/>
            </w:tcBorders>
            <w:vAlign w:val="center"/>
          </w:tcPr>
          <w:p w14:paraId="446B1038" w14:textId="77777777" w:rsidR="003B0894" w:rsidRDefault="003B0894" w:rsidP="003B0894">
            <w:pPr>
              <w:jc w:val="right"/>
            </w:pPr>
            <w:r>
              <w:t>2</w:t>
            </w:r>
          </w:p>
        </w:tc>
        <w:tc>
          <w:tcPr>
            <w:tcW w:w="2192" w:type="dxa"/>
            <w:tcBorders>
              <w:top w:val="single" w:sz="8" w:space="0" w:color="auto"/>
              <w:left w:val="nil"/>
              <w:bottom w:val="single" w:sz="8" w:space="0" w:color="auto"/>
              <w:right w:val="nil"/>
            </w:tcBorders>
            <w:vAlign w:val="center"/>
          </w:tcPr>
          <w:p w14:paraId="5A5A09FC" w14:textId="77777777" w:rsidR="003B0894" w:rsidRDefault="003B0894" w:rsidP="003B0894">
            <w:pPr>
              <w:jc w:val="right"/>
            </w:pPr>
            <w:r>
              <w:t>1.00</w:t>
            </w:r>
          </w:p>
        </w:tc>
      </w:tr>
      <w:tr w:rsidR="003B0894" w14:paraId="10059257" w14:textId="77777777" w:rsidTr="003B0894">
        <w:trPr>
          <w:trHeight w:val="249"/>
        </w:trPr>
        <w:tc>
          <w:tcPr>
            <w:tcW w:w="2367" w:type="dxa"/>
            <w:tcBorders>
              <w:top w:val="single" w:sz="8" w:space="0" w:color="auto"/>
              <w:left w:val="nil"/>
              <w:bottom w:val="single" w:sz="8" w:space="0" w:color="auto"/>
              <w:right w:val="nil"/>
            </w:tcBorders>
            <w:vAlign w:val="bottom"/>
          </w:tcPr>
          <w:p w14:paraId="23AC38E7" w14:textId="3F25BD2B" w:rsidR="003B0894" w:rsidRDefault="003B0894" w:rsidP="003B0894">
            <w:r>
              <w:t xml:space="preserve">Chaw et al </w:t>
            </w:r>
            <w:r>
              <w:fldChar w:fldCharType="begin" w:fldLock="1"/>
            </w:r>
            <w:r w:rsidR="001B3AB4">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fldChar w:fldCharType="separate"/>
            </w:r>
            <w:r w:rsidR="001B3AB4" w:rsidRPr="001B3AB4">
              <w:rPr>
                <w:noProof/>
              </w:rPr>
              <w:t>[18]</w:t>
            </w:r>
            <w:r>
              <w:fldChar w:fldCharType="end"/>
            </w:r>
          </w:p>
        </w:tc>
        <w:tc>
          <w:tcPr>
            <w:tcW w:w="2311" w:type="dxa"/>
            <w:tcBorders>
              <w:top w:val="single" w:sz="8" w:space="0" w:color="auto"/>
              <w:left w:val="nil"/>
              <w:bottom w:val="single" w:sz="8" w:space="0" w:color="auto"/>
              <w:right w:val="nil"/>
            </w:tcBorders>
            <w:vAlign w:val="center"/>
          </w:tcPr>
          <w:p w14:paraId="210FAF2A" w14:textId="77777777" w:rsidR="003B0894" w:rsidRDefault="003B0894" w:rsidP="003B0894">
            <w:pPr>
              <w:jc w:val="right"/>
            </w:pPr>
            <w:r>
              <w:t>3</w:t>
            </w:r>
          </w:p>
        </w:tc>
        <w:tc>
          <w:tcPr>
            <w:tcW w:w="2659" w:type="dxa"/>
            <w:tcBorders>
              <w:top w:val="single" w:sz="8" w:space="0" w:color="auto"/>
              <w:left w:val="nil"/>
              <w:bottom w:val="single" w:sz="8" w:space="0" w:color="auto"/>
              <w:right w:val="nil"/>
            </w:tcBorders>
            <w:vAlign w:val="center"/>
          </w:tcPr>
          <w:p w14:paraId="71BFAF67" w14:textId="77777777" w:rsidR="003B0894" w:rsidRDefault="003B0894" w:rsidP="003B0894">
            <w:pPr>
              <w:jc w:val="right"/>
            </w:pPr>
            <w:r>
              <w:t>2</w:t>
            </w:r>
          </w:p>
        </w:tc>
        <w:tc>
          <w:tcPr>
            <w:tcW w:w="2192" w:type="dxa"/>
            <w:tcBorders>
              <w:top w:val="single" w:sz="8" w:space="0" w:color="auto"/>
              <w:left w:val="nil"/>
              <w:bottom w:val="single" w:sz="8" w:space="0" w:color="auto"/>
              <w:right w:val="nil"/>
            </w:tcBorders>
            <w:vAlign w:val="center"/>
          </w:tcPr>
          <w:p w14:paraId="61B8F7C1" w14:textId="77777777" w:rsidR="003B0894" w:rsidRDefault="003B0894" w:rsidP="003B0894">
            <w:pPr>
              <w:jc w:val="right"/>
            </w:pPr>
            <w:r>
              <w:t>0.67</w:t>
            </w:r>
          </w:p>
        </w:tc>
      </w:tr>
      <w:tr w:rsidR="003B0894" w14:paraId="73AC2930" w14:textId="77777777" w:rsidTr="003B0894">
        <w:trPr>
          <w:trHeight w:val="249"/>
        </w:trPr>
        <w:tc>
          <w:tcPr>
            <w:tcW w:w="2367" w:type="dxa"/>
            <w:tcBorders>
              <w:top w:val="single" w:sz="8" w:space="0" w:color="auto"/>
              <w:left w:val="nil"/>
              <w:bottom w:val="single" w:sz="8" w:space="0" w:color="auto"/>
              <w:right w:val="nil"/>
            </w:tcBorders>
            <w:vAlign w:val="bottom"/>
          </w:tcPr>
          <w:p w14:paraId="40CBC44F" w14:textId="53561DB3" w:rsidR="003B0894" w:rsidRDefault="003B0894" w:rsidP="003B0894">
            <w:proofErr w:type="spellStart"/>
            <w:r>
              <w:t>Mahapure</w:t>
            </w:r>
            <w:proofErr w:type="spellEnd"/>
            <w:r>
              <w:t xml:space="preserve"> et al </w:t>
            </w:r>
            <w:r>
              <w:fldChar w:fldCharType="begin" w:fldLock="1"/>
            </w:r>
            <w:r w:rsidR="001B3AB4">
              <w:instrText>ADDIN CSL_CITATION {"citationItems":[{"id":"ITEM-1","itemData":{"DOI":"10.4103/jgid.jgid_64_20","ISBN":"0974-777X\r0974-8245","PMID":"32774003","author":[{"dropping-particle":"","family":"Mahapure","given":"Kiran Sunil","non-dropping-particle":"","parse-names":false,"suffix":""},{"dropping-particle":"","family":"Kulkarni","given":"Nachiikait Shirish","non-dropping-particle":"","parse-names":false,"suffix":""}],"container-title":"Journal of global infectious diseases","id":"ITEM-1","issue":"2","issued":{"date-parts":[["2020"]]},"language":"eng","note":"32774003[pmid]\nPMC7384687[pmcid]\nJGID-12-115[PII]","page":"115-116","publisher":"Wolters Kluwer - Medknow","title":"Asymptomatic Transmission of Severe Acute Respiratory Syndrome-Coronavirus 2 within a Family Cluster of 26 Cases: Why Quarantine is Important?","type":"article-journal","volume":"12"},"uris":["http://www.mendeley.com/documents/?uuid=a17c5c90-ee64-4a01-8591-0eefb60cb58e"]}],"mendeley":{"formattedCitation":"[44]","plainTextFormattedCitation":"[44]","previouslyFormattedCitation":"[46]"},"properties":{"noteIndex":0},"schema":"https://github.com/citation-style-language/schema/raw/master/csl-citation.json"}</w:instrText>
            </w:r>
            <w:r>
              <w:fldChar w:fldCharType="separate"/>
            </w:r>
            <w:r w:rsidR="001B3AB4" w:rsidRPr="001B3AB4">
              <w:rPr>
                <w:noProof/>
              </w:rPr>
              <w:t>[44]</w:t>
            </w:r>
            <w:r>
              <w:fldChar w:fldCharType="end"/>
            </w:r>
          </w:p>
        </w:tc>
        <w:tc>
          <w:tcPr>
            <w:tcW w:w="2311" w:type="dxa"/>
            <w:tcBorders>
              <w:top w:val="single" w:sz="8" w:space="0" w:color="auto"/>
              <w:left w:val="nil"/>
              <w:bottom w:val="single" w:sz="8" w:space="0" w:color="auto"/>
              <w:right w:val="nil"/>
            </w:tcBorders>
            <w:vAlign w:val="center"/>
          </w:tcPr>
          <w:p w14:paraId="6436E715" w14:textId="77777777" w:rsidR="003B0894" w:rsidRDefault="003B0894" w:rsidP="003B0894">
            <w:pPr>
              <w:jc w:val="right"/>
            </w:pPr>
            <w:r>
              <w:t>4</w:t>
            </w:r>
          </w:p>
        </w:tc>
        <w:tc>
          <w:tcPr>
            <w:tcW w:w="2659" w:type="dxa"/>
            <w:tcBorders>
              <w:top w:val="single" w:sz="8" w:space="0" w:color="auto"/>
              <w:left w:val="nil"/>
              <w:bottom w:val="single" w:sz="8" w:space="0" w:color="auto"/>
              <w:right w:val="nil"/>
            </w:tcBorders>
            <w:vAlign w:val="center"/>
          </w:tcPr>
          <w:p w14:paraId="294C0F69" w14:textId="77777777" w:rsidR="003B0894" w:rsidRDefault="003B0894" w:rsidP="003B0894">
            <w:pPr>
              <w:jc w:val="right"/>
            </w:pPr>
            <w:r>
              <w:t>22</w:t>
            </w:r>
          </w:p>
        </w:tc>
        <w:tc>
          <w:tcPr>
            <w:tcW w:w="2192" w:type="dxa"/>
            <w:tcBorders>
              <w:top w:val="single" w:sz="8" w:space="0" w:color="auto"/>
              <w:left w:val="nil"/>
              <w:bottom w:val="single" w:sz="8" w:space="0" w:color="auto"/>
              <w:right w:val="nil"/>
            </w:tcBorders>
            <w:vAlign w:val="center"/>
          </w:tcPr>
          <w:p w14:paraId="65F7EF82" w14:textId="77777777" w:rsidR="003B0894" w:rsidRDefault="003B0894" w:rsidP="003B0894">
            <w:pPr>
              <w:jc w:val="right"/>
            </w:pPr>
            <w:r>
              <w:t>5.50</w:t>
            </w:r>
          </w:p>
        </w:tc>
      </w:tr>
      <w:tr w:rsidR="003B0894" w14:paraId="790E4FA4" w14:textId="77777777" w:rsidTr="003B0894">
        <w:trPr>
          <w:trHeight w:val="249"/>
        </w:trPr>
        <w:tc>
          <w:tcPr>
            <w:tcW w:w="2367" w:type="dxa"/>
            <w:tcBorders>
              <w:top w:val="single" w:sz="8" w:space="0" w:color="auto"/>
              <w:left w:val="nil"/>
              <w:bottom w:val="single" w:sz="8" w:space="0" w:color="auto"/>
              <w:right w:val="nil"/>
            </w:tcBorders>
            <w:vAlign w:val="bottom"/>
          </w:tcPr>
          <w:p w14:paraId="727E210A" w14:textId="412A4FFB" w:rsidR="003B0894" w:rsidRDefault="003B0894" w:rsidP="003B0894">
            <w:r>
              <w:t xml:space="preserve">Li et al </w:t>
            </w:r>
            <w:r>
              <w:fldChar w:fldCharType="begin" w:fldLock="1"/>
            </w:r>
            <w:r w:rsidR="001B3AB4">
              <w:instrText>ADDIN CSL_CITATION {"citationItems":[{"id":"ITEM-1","itemData":{"DOI":"10.1093/cid/ciaa450","ISBN":"1058-4838","abstract":"Since December 2019, SARS-CoV-2 has extended to most parts of China with &amp;gt;80 000 cases and to at least 100 countries with &amp;gt;60 000 international cases as of 15 March 2020. Here we used a household cohort study to determine the features of household transmission of COVID-19.A total of 105 index patients and 392 household contacts were enrolled. Both index patients and household members were tested by SARS-CoV-2 RT-PCR. Information on all recruited individuals was extracted from medical records and confirmed or supplemented by telephone interviews. The baseline characteristics of index cases and contact patients were described. Secondary attack rates of SARS-CoV-2 to contact members were computed and the risk factors for transmission within the household were estimated.Secondary transmission of SARS-CoV-2 developed in 64 of 392 household contacts (16.3%). The secondary attack rate to children was 4% compared with 17.1% for adults. The secondary attack rate to the contacts within the households with index patients quarantined by themselves since onset of symptoms was 0% compared with 16.9% for contacts without quarantined index patients. The secondary attack rate to contacts who were spouses of index cases was 27.8% compared with 17.3% for other adult members in the households.The secondary attack rate of SARS-CoV-2 in household is 16.3%. Age of household contacts and spousal relationship to the index case are risk factors for transmission of SARS-CoV-2 within a household. Quarantine of index patients at home since onset of symptoms is useful to prevent the transmission of SARS-Co-2 within a household.","author":[{"dropping-particle":"","family":"Li","given":"Wei","non-dropping-particle":"","parse-names":false,"suffix":""},{"dropping-particle":"","family":"Zhang","given":"Bo","non-dropping-particle":"","parse-names":false,"suffix":""},{"dropping-particle":"","family":"Lu","given":"Jianhua","non-dropping-particle":"","parse-names":false,"suffix":""},{"dropping-particle":"","family":"Liu","given":"Shihua","non-dropping-particle":"","parse-names":false,"suffix":""},{"dropping-particle":"","family":"Chang","given":"Zhiqiang","non-dropping-particle":"","parse-names":false,"suffix":""},{"dropping-particle":"","family":"Peng","given":"Cao","non-dropping-particle":"","parse-names":false,"suffix":""},{"dropping-particle":"","family":"Liu","given":"Xinghua","non-dropping-particle":"","parse-names":false,"suffix":""},{"dropping-particle":"","family":"Zhang","given":"Peng","non-dropping-particle":"","parse-names":false,"suffix":""},{"dropping-particle":"","family":"Ling","given":"Yan","non-dropping-particle":"","parse-names":false,"suffix":""},{"dropping-particle":"","family":"Tao","given":"Kaixiong","non-dropping-particle":"","parse-names":false,"suffix":""},{"dropping-particle":"","family":"Chen","given":"Jianying","non-dropping-particle":"","parse-names":false,"suffix":""}],"container-title":"Clinical Infectious Diseases","id":"ITEM-1","issued":{"date-parts":[["2020"]]},"title":"Characteristics of Household Transmission of COVID-19","type":"article-journal"},"uris":["http://www.mendeley.com/documents/?uuid=98b33ca6-5d12-4cec-bc24-67006aba725f"]}],"mendeley":{"formattedCitation":"[40]","plainTextFormattedCitation":"[40]","previouslyFormattedCitation":"[42]"},"properties":{"noteIndex":0},"schema":"https://github.com/citation-style-language/schema/raw/master/csl-citation.json"}</w:instrText>
            </w:r>
            <w:r>
              <w:fldChar w:fldCharType="separate"/>
            </w:r>
            <w:r w:rsidR="001B3AB4" w:rsidRPr="001B3AB4">
              <w:rPr>
                <w:noProof/>
              </w:rPr>
              <w:t>[40]</w:t>
            </w:r>
            <w:r>
              <w:fldChar w:fldCharType="end"/>
            </w:r>
          </w:p>
        </w:tc>
        <w:tc>
          <w:tcPr>
            <w:tcW w:w="2311" w:type="dxa"/>
            <w:tcBorders>
              <w:top w:val="single" w:sz="8" w:space="0" w:color="auto"/>
              <w:left w:val="nil"/>
              <w:bottom w:val="single" w:sz="8" w:space="0" w:color="auto"/>
              <w:right w:val="nil"/>
            </w:tcBorders>
            <w:vAlign w:val="center"/>
          </w:tcPr>
          <w:p w14:paraId="6BC674BE" w14:textId="77777777" w:rsidR="003B0894" w:rsidRDefault="003B0894" w:rsidP="003B0894">
            <w:pPr>
              <w:jc w:val="right"/>
            </w:pPr>
            <w:r>
              <w:t>59</w:t>
            </w:r>
          </w:p>
        </w:tc>
        <w:tc>
          <w:tcPr>
            <w:tcW w:w="2659" w:type="dxa"/>
            <w:tcBorders>
              <w:top w:val="single" w:sz="8" w:space="0" w:color="auto"/>
              <w:left w:val="nil"/>
              <w:bottom w:val="single" w:sz="8" w:space="0" w:color="auto"/>
              <w:right w:val="nil"/>
            </w:tcBorders>
            <w:vAlign w:val="center"/>
          </w:tcPr>
          <w:p w14:paraId="37797D75" w14:textId="77777777" w:rsidR="003B0894" w:rsidRDefault="003B0894" w:rsidP="003B0894">
            <w:pPr>
              <w:jc w:val="right"/>
            </w:pPr>
            <w:r>
              <w:t>40</w:t>
            </w:r>
          </w:p>
        </w:tc>
        <w:tc>
          <w:tcPr>
            <w:tcW w:w="2192" w:type="dxa"/>
            <w:tcBorders>
              <w:top w:val="single" w:sz="8" w:space="0" w:color="auto"/>
              <w:left w:val="nil"/>
              <w:bottom w:val="single" w:sz="8" w:space="0" w:color="auto"/>
              <w:right w:val="nil"/>
            </w:tcBorders>
            <w:vAlign w:val="center"/>
          </w:tcPr>
          <w:p w14:paraId="4ACEC2A7" w14:textId="77777777" w:rsidR="003B0894" w:rsidRDefault="003B0894" w:rsidP="003B0894">
            <w:pPr>
              <w:jc w:val="right"/>
            </w:pPr>
            <w:r>
              <w:t>0.68</w:t>
            </w:r>
          </w:p>
        </w:tc>
      </w:tr>
      <w:tr w:rsidR="003B0894" w14:paraId="29E2EE38" w14:textId="77777777" w:rsidTr="003B0894">
        <w:trPr>
          <w:trHeight w:val="510"/>
        </w:trPr>
        <w:tc>
          <w:tcPr>
            <w:tcW w:w="7337" w:type="dxa"/>
            <w:gridSpan w:val="3"/>
            <w:tcBorders>
              <w:top w:val="nil"/>
              <w:left w:val="nil"/>
              <w:bottom w:val="nil"/>
              <w:right w:val="nil"/>
            </w:tcBorders>
            <w:vAlign w:val="center"/>
          </w:tcPr>
          <w:p w14:paraId="351231A7" w14:textId="77777777" w:rsidR="003B0894" w:rsidRDefault="003B0894" w:rsidP="003B0894">
            <w:pPr>
              <w:jc w:val="right"/>
              <w:rPr>
                <w:rFonts w:ascii="Calibri" w:hAnsi="Calibri" w:cs="Calibri"/>
                <w:color w:val="000000"/>
              </w:rPr>
            </w:pPr>
            <w:r w:rsidRPr="00D72DF4">
              <w:rPr>
                <w:rFonts w:ascii="Calibri" w:hAnsi="Calibri" w:cs="Calibri"/>
                <w:b/>
                <w:bCs/>
                <w:color w:val="000000"/>
              </w:rPr>
              <w:t xml:space="preserve">Summary </w:t>
            </w:r>
          </w:p>
        </w:tc>
        <w:tc>
          <w:tcPr>
            <w:tcW w:w="2192" w:type="dxa"/>
            <w:tcBorders>
              <w:top w:val="single" w:sz="8" w:space="0" w:color="auto"/>
              <w:left w:val="nil"/>
              <w:bottom w:val="single" w:sz="8" w:space="0" w:color="auto"/>
              <w:right w:val="nil"/>
            </w:tcBorders>
            <w:vAlign w:val="center"/>
          </w:tcPr>
          <w:p w14:paraId="16079CE0" w14:textId="3EA6A1EB" w:rsidR="003B0894" w:rsidRPr="0025612E" w:rsidRDefault="003B0894" w:rsidP="003B0894">
            <w:pPr>
              <w:jc w:val="right"/>
              <w:rPr>
                <w:rFonts w:ascii="Calibri" w:hAnsi="Calibri" w:cs="Calibri"/>
                <w:b/>
                <w:bCs/>
                <w:color w:val="000000"/>
              </w:rPr>
            </w:pPr>
            <w:r>
              <w:rPr>
                <w:rFonts w:ascii="Calibri" w:hAnsi="Calibri" w:cs="Calibri"/>
                <w:b/>
                <w:bCs/>
                <w:color w:val="000000"/>
              </w:rPr>
              <w:t>1.</w:t>
            </w:r>
            <w:r w:rsidR="00916AF7">
              <w:rPr>
                <w:rFonts w:ascii="Calibri" w:hAnsi="Calibri" w:cs="Calibri"/>
                <w:b/>
                <w:bCs/>
                <w:color w:val="000000"/>
              </w:rPr>
              <w:t>91</w:t>
            </w:r>
            <w:r w:rsidR="00916AF7" w:rsidRPr="0025612E">
              <w:rPr>
                <w:rFonts w:ascii="Calibri" w:hAnsi="Calibri" w:cs="Calibri"/>
                <w:b/>
                <w:bCs/>
                <w:color w:val="000000"/>
              </w:rPr>
              <w:t xml:space="preserve"> </w:t>
            </w:r>
          </w:p>
          <w:p w14:paraId="3D1A029C" w14:textId="741E4FA3" w:rsidR="003B0894" w:rsidRDefault="003B0894" w:rsidP="003B0894">
            <w:pPr>
              <w:jc w:val="right"/>
              <w:rPr>
                <w:rFonts w:ascii="Calibri" w:hAnsi="Calibri" w:cs="Calibri"/>
                <w:color w:val="000000"/>
              </w:rPr>
            </w:pPr>
            <w:r w:rsidRPr="0025612E">
              <w:rPr>
                <w:rFonts w:ascii="Calibri" w:hAnsi="Calibri" w:cs="Calibri"/>
                <w:b/>
                <w:bCs/>
                <w:color w:val="000000"/>
              </w:rPr>
              <w:t xml:space="preserve">(95% CI: </w:t>
            </w:r>
            <w:r>
              <w:rPr>
                <w:rFonts w:ascii="Calibri" w:hAnsi="Calibri" w:cs="Calibri"/>
                <w:b/>
                <w:bCs/>
                <w:color w:val="000000"/>
              </w:rPr>
              <w:t>0.</w:t>
            </w:r>
            <w:r w:rsidR="00916AF7">
              <w:rPr>
                <w:rFonts w:ascii="Calibri" w:hAnsi="Calibri" w:cs="Calibri"/>
                <w:b/>
                <w:bCs/>
                <w:color w:val="000000"/>
              </w:rPr>
              <w:t>86</w:t>
            </w:r>
            <w:r>
              <w:rPr>
                <w:rFonts w:ascii="Calibri" w:hAnsi="Calibri" w:cs="Calibri"/>
                <w:b/>
                <w:bCs/>
                <w:color w:val="000000"/>
              </w:rPr>
              <w:t>-</w:t>
            </w:r>
            <w:r w:rsidR="00916AF7">
              <w:rPr>
                <w:rFonts w:ascii="Calibri" w:hAnsi="Calibri" w:cs="Calibri"/>
                <w:b/>
                <w:bCs/>
                <w:color w:val="000000"/>
              </w:rPr>
              <w:t>3.55</w:t>
            </w:r>
            <w:r w:rsidRPr="0025612E">
              <w:rPr>
                <w:rFonts w:ascii="Calibri" w:hAnsi="Calibri" w:cs="Calibri"/>
                <w:b/>
                <w:bCs/>
                <w:color w:val="000000"/>
              </w:rPr>
              <w:t>)</w:t>
            </w:r>
          </w:p>
        </w:tc>
      </w:tr>
      <w:tr w:rsidR="003B0894" w14:paraId="10180EA8" w14:textId="77777777" w:rsidTr="003B0894">
        <w:trPr>
          <w:trHeight w:val="510"/>
        </w:trPr>
        <w:tc>
          <w:tcPr>
            <w:tcW w:w="7337" w:type="dxa"/>
            <w:gridSpan w:val="3"/>
            <w:tcBorders>
              <w:top w:val="nil"/>
              <w:left w:val="nil"/>
              <w:bottom w:val="single" w:sz="18" w:space="0" w:color="auto"/>
              <w:right w:val="nil"/>
            </w:tcBorders>
            <w:vAlign w:val="center"/>
          </w:tcPr>
          <w:p w14:paraId="01D9A221" w14:textId="77777777" w:rsidR="003B0894" w:rsidRPr="00D72DF4" w:rsidRDefault="003B0894" w:rsidP="003B0894">
            <w:pPr>
              <w:jc w:val="right"/>
              <w:rPr>
                <w:rFonts w:ascii="Calibri" w:hAnsi="Calibri" w:cs="Calibri"/>
                <w:b/>
                <w:bCs/>
                <w:color w:val="000000"/>
              </w:rPr>
            </w:pPr>
            <w:r>
              <w:rPr>
                <w:rFonts w:ascii="Calibri" w:hAnsi="Calibri" w:cs="Calibri"/>
                <w:b/>
                <w:bCs/>
                <w:color w:val="000000"/>
              </w:rPr>
              <w:t xml:space="preserve">Summary (excluding </w:t>
            </w:r>
            <w:proofErr w:type="spellStart"/>
            <w:r>
              <w:rPr>
                <w:rFonts w:ascii="Calibri" w:hAnsi="Calibri" w:cs="Calibri"/>
                <w:b/>
                <w:bCs/>
                <w:color w:val="000000"/>
              </w:rPr>
              <w:t>Mahapure</w:t>
            </w:r>
            <w:proofErr w:type="spellEnd"/>
            <w:r>
              <w:rPr>
                <w:rFonts w:ascii="Calibri" w:hAnsi="Calibri" w:cs="Calibri"/>
                <w:b/>
                <w:bCs/>
                <w:color w:val="000000"/>
              </w:rPr>
              <w:t xml:space="preserve"> et al)*</w:t>
            </w:r>
          </w:p>
        </w:tc>
        <w:tc>
          <w:tcPr>
            <w:tcW w:w="2192" w:type="dxa"/>
            <w:tcBorders>
              <w:top w:val="single" w:sz="8" w:space="0" w:color="auto"/>
              <w:left w:val="nil"/>
              <w:bottom w:val="single" w:sz="18" w:space="0" w:color="auto"/>
              <w:right w:val="nil"/>
            </w:tcBorders>
            <w:vAlign w:val="center"/>
          </w:tcPr>
          <w:p w14:paraId="152D7FEB" w14:textId="49E2200B" w:rsidR="003B0894" w:rsidRDefault="00122294" w:rsidP="003B0894">
            <w:pPr>
              <w:jc w:val="right"/>
              <w:rPr>
                <w:rFonts w:ascii="Calibri" w:hAnsi="Calibri" w:cs="Calibri"/>
                <w:b/>
                <w:bCs/>
                <w:color w:val="000000"/>
              </w:rPr>
            </w:pPr>
            <w:r>
              <w:rPr>
                <w:rFonts w:ascii="Calibri" w:hAnsi="Calibri" w:cs="Calibri"/>
                <w:b/>
                <w:bCs/>
                <w:color w:val="000000"/>
              </w:rPr>
              <w:t>1.05</w:t>
            </w:r>
          </w:p>
          <w:p w14:paraId="0D910922" w14:textId="69C9AE2C" w:rsidR="003B0894" w:rsidRDefault="003B0894" w:rsidP="003B0894">
            <w:pPr>
              <w:jc w:val="right"/>
              <w:rPr>
                <w:rFonts w:ascii="Calibri" w:hAnsi="Calibri" w:cs="Calibri"/>
                <w:b/>
                <w:bCs/>
                <w:color w:val="000000"/>
              </w:rPr>
            </w:pPr>
            <w:r>
              <w:rPr>
                <w:rFonts w:ascii="Calibri" w:hAnsi="Calibri" w:cs="Calibri"/>
                <w:b/>
                <w:bCs/>
                <w:color w:val="000000"/>
              </w:rPr>
              <w:t>(95% CI: 0.</w:t>
            </w:r>
            <w:r w:rsidR="00122294">
              <w:rPr>
                <w:rFonts w:ascii="Calibri" w:hAnsi="Calibri" w:cs="Calibri"/>
                <w:b/>
                <w:bCs/>
                <w:color w:val="000000"/>
              </w:rPr>
              <w:t>32</w:t>
            </w:r>
            <w:r>
              <w:rPr>
                <w:rFonts w:ascii="Calibri" w:hAnsi="Calibri" w:cs="Calibri"/>
                <w:b/>
                <w:bCs/>
                <w:color w:val="000000"/>
              </w:rPr>
              <w:t>-</w:t>
            </w:r>
            <w:r w:rsidR="00122294">
              <w:rPr>
                <w:rFonts w:ascii="Calibri" w:hAnsi="Calibri" w:cs="Calibri"/>
                <w:b/>
                <w:bCs/>
                <w:color w:val="000000"/>
              </w:rPr>
              <w:t>2.26</w:t>
            </w:r>
            <w:r>
              <w:rPr>
                <w:rFonts w:ascii="Calibri" w:hAnsi="Calibri" w:cs="Calibri"/>
                <w:b/>
                <w:bCs/>
                <w:color w:val="000000"/>
              </w:rPr>
              <w:t>)</w:t>
            </w:r>
          </w:p>
        </w:tc>
      </w:tr>
    </w:tbl>
    <w:p w14:paraId="7158487F" w14:textId="77777777" w:rsidR="003B0894" w:rsidRDefault="001815C3" w:rsidP="001815C3">
      <w:pPr>
        <w:rPr>
          <w:sz w:val="20"/>
          <w:szCs w:val="20"/>
        </w:rPr>
      </w:pPr>
      <w:r w:rsidRPr="000D1FB5">
        <w:rPr>
          <w:b/>
          <w:bCs/>
          <w:sz w:val="20"/>
          <w:szCs w:val="20"/>
        </w:rPr>
        <w:t xml:space="preserve">Table 9 </w:t>
      </w:r>
      <w:r w:rsidR="00125C2B" w:rsidRPr="000D1FB5">
        <w:rPr>
          <w:b/>
          <w:bCs/>
          <w:sz w:val="20"/>
          <w:szCs w:val="20"/>
        </w:rPr>
        <w:t xml:space="preserve">Observed and </w:t>
      </w:r>
      <w:r w:rsidR="00F1394A" w:rsidRPr="000D1FB5">
        <w:rPr>
          <w:b/>
          <w:bCs/>
          <w:sz w:val="20"/>
          <w:szCs w:val="20"/>
        </w:rPr>
        <w:t>Poisson-Gamma model estimated R</w:t>
      </w:r>
      <w:r w:rsidR="00F1394A" w:rsidRPr="000D1FB5">
        <w:rPr>
          <w:b/>
          <w:bCs/>
          <w:sz w:val="20"/>
          <w:szCs w:val="20"/>
          <w:vertAlign w:val="subscript"/>
        </w:rPr>
        <w:t>obs</w:t>
      </w:r>
      <w:r w:rsidR="00F1394A" w:rsidRPr="000D1FB5">
        <w:rPr>
          <w:b/>
          <w:bCs/>
          <w:sz w:val="20"/>
          <w:szCs w:val="20"/>
        </w:rPr>
        <w:t xml:space="preserve"> across household settings where contacts experienced different durations of exposure to symptomatic index cases</w:t>
      </w:r>
      <w:r w:rsidR="00125C2B" w:rsidRPr="000D1FB5">
        <w:rPr>
          <w:b/>
          <w:bCs/>
          <w:sz w:val="20"/>
          <w:szCs w:val="20"/>
        </w:rPr>
        <w:t xml:space="preserve">. </w:t>
      </w:r>
      <w:r w:rsidR="00125C2B" w:rsidRPr="000D1FB5">
        <w:rPr>
          <w:sz w:val="20"/>
          <w:szCs w:val="20"/>
        </w:rPr>
        <w:t xml:space="preserve">Studies were included </w:t>
      </w:r>
      <w:r w:rsidR="0019602A" w:rsidRPr="000D1FB5">
        <w:rPr>
          <w:sz w:val="20"/>
          <w:szCs w:val="20"/>
        </w:rPr>
        <w:t xml:space="preserve">only </w:t>
      </w:r>
      <w:r w:rsidR="00125C2B" w:rsidRPr="000D1FB5">
        <w:rPr>
          <w:sz w:val="20"/>
          <w:szCs w:val="20"/>
        </w:rPr>
        <w:t>where the number of index cases</w:t>
      </w:r>
      <w:r w:rsidR="0019602A" w:rsidRPr="000D1FB5">
        <w:rPr>
          <w:sz w:val="20"/>
          <w:szCs w:val="20"/>
        </w:rPr>
        <w:t xml:space="preserve">, their contacts and secondary cases were stratified by exposure duration. </w:t>
      </w:r>
    </w:p>
    <w:p w14:paraId="6D523C0B" w14:textId="6BA39304" w:rsidR="001815C3" w:rsidRPr="000D1FB5" w:rsidRDefault="003B0894" w:rsidP="001815C3">
      <w:pPr>
        <w:rPr>
          <w:b/>
          <w:bCs/>
          <w:sz w:val="20"/>
          <w:szCs w:val="20"/>
        </w:rPr>
      </w:pPr>
      <w:r>
        <w:rPr>
          <w:sz w:val="20"/>
          <w:szCs w:val="20"/>
        </w:rPr>
        <w:t xml:space="preserve">* </w:t>
      </w:r>
      <w:r>
        <w:t xml:space="preserve">This </w:t>
      </w:r>
      <w:r>
        <w:rPr>
          <w:rFonts w:cstheme="minorHAnsi"/>
        </w:rPr>
        <w:t>≤</w:t>
      </w:r>
      <w:r>
        <w:t xml:space="preserve">5 days </w:t>
      </w:r>
      <w:r w:rsidRPr="00BB7CC6">
        <w:t>estimate</w:t>
      </w:r>
      <w:r>
        <w:t xml:space="preserve"> was sensitive to the inclusion of </w:t>
      </w:r>
      <w:r w:rsidRPr="00BB7CC6">
        <w:t>a familial outbreak from a large dwelling in India</w:t>
      </w:r>
      <w:r>
        <w:t xml:space="preserve"> whose exclusion </w:t>
      </w:r>
      <w:r w:rsidRPr="00BB7CC6">
        <w:t>resulted in an R</w:t>
      </w:r>
      <w:r w:rsidRPr="00BB7CC6">
        <w:rPr>
          <w:vertAlign w:val="subscript"/>
        </w:rPr>
        <w:t>obs</w:t>
      </w:r>
      <w:r w:rsidRPr="00BB7CC6">
        <w:t xml:space="preserve"> of</w:t>
      </w:r>
      <w:r w:rsidR="00122294">
        <w:t>1.05 (95% CI: 0.32-2.26).</w:t>
      </w:r>
      <w:r w:rsidRPr="000D1FB5">
        <w:rPr>
          <w:sz w:val="20"/>
          <w:szCs w:val="20"/>
        </w:rPr>
        <w:t xml:space="preserve"> </w:t>
      </w:r>
      <w:r w:rsidR="001815C3" w:rsidRPr="000D1FB5">
        <w:rPr>
          <w:sz w:val="20"/>
          <w:szCs w:val="20"/>
        </w:rPr>
        <w:br w:type="page"/>
      </w:r>
    </w:p>
    <w:p w14:paraId="05D849F0" w14:textId="72AB9108" w:rsidR="001815C3" w:rsidRPr="000D1FB5" w:rsidRDefault="001815C3" w:rsidP="001815C3">
      <w:pPr>
        <w:rPr>
          <w:sz w:val="20"/>
          <w:szCs w:val="20"/>
        </w:rPr>
      </w:pPr>
      <w:r w:rsidRPr="000D1FB5">
        <w:rPr>
          <w:b/>
          <w:bCs/>
          <w:sz w:val="20"/>
          <w:szCs w:val="20"/>
        </w:rPr>
        <w:lastRenderedPageBreak/>
        <w:t xml:space="preserve">Table 10 </w:t>
      </w:r>
      <w:r w:rsidR="00BC5314" w:rsidRPr="000D1FB5">
        <w:rPr>
          <w:b/>
          <w:bCs/>
          <w:sz w:val="20"/>
          <w:szCs w:val="20"/>
        </w:rPr>
        <w:t xml:space="preserve">Observed and </w:t>
      </w:r>
      <w:r w:rsidR="00F60C07" w:rsidRPr="000D1FB5">
        <w:rPr>
          <w:b/>
          <w:bCs/>
          <w:sz w:val="20"/>
          <w:szCs w:val="20"/>
        </w:rPr>
        <w:t>Poisson-Gamma estimated R</w:t>
      </w:r>
      <w:r w:rsidR="00F60C07" w:rsidRPr="000D1FB5">
        <w:rPr>
          <w:b/>
          <w:bCs/>
          <w:sz w:val="20"/>
          <w:szCs w:val="20"/>
          <w:vertAlign w:val="subscript"/>
        </w:rPr>
        <w:t>obs</w:t>
      </w:r>
      <w:r w:rsidR="00F60C07" w:rsidRPr="000D1FB5">
        <w:rPr>
          <w:b/>
          <w:bCs/>
          <w:sz w:val="20"/>
          <w:szCs w:val="20"/>
        </w:rPr>
        <w:t xml:space="preserve"> across healthcare settings. </w:t>
      </w:r>
      <w:r w:rsidR="00F60C07" w:rsidRPr="000D1FB5">
        <w:rPr>
          <w:sz w:val="20"/>
          <w:szCs w:val="20"/>
        </w:rPr>
        <w:t>Studies were included in the pooling where it was clear the number of index cases listed all had healthcare contacts</w:t>
      </w:r>
      <w:r w:rsidR="00BC5314" w:rsidRPr="000D1FB5">
        <w:rPr>
          <w:sz w:val="20"/>
          <w:szCs w:val="20"/>
        </w:rPr>
        <w:t xml:space="preserve">. </w:t>
      </w:r>
    </w:p>
    <w:tbl>
      <w:tblPr>
        <w:tblStyle w:val="TableGrid"/>
        <w:tblpPr w:leftFromText="180" w:rightFromText="180" w:vertAnchor="page" w:horzAnchor="margin" w:tblpY="2462"/>
        <w:tblW w:w="9529" w:type="dxa"/>
        <w:tblLook w:val="04A0" w:firstRow="1" w:lastRow="0" w:firstColumn="1" w:lastColumn="0" w:noHBand="0" w:noVBand="1"/>
      </w:tblPr>
      <w:tblGrid>
        <w:gridCol w:w="2367"/>
        <w:gridCol w:w="2311"/>
        <w:gridCol w:w="2659"/>
        <w:gridCol w:w="2192"/>
      </w:tblGrid>
      <w:tr w:rsidR="00F60C07" w14:paraId="6FEA8D67" w14:textId="77777777" w:rsidTr="00F60C07">
        <w:trPr>
          <w:trHeight w:val="510"/>
        </w:trPr>
        <w:tc>
          <w:tcPr>
            <w:tcW w:w="2367" w:type="dxa"/>
            <w:tcBorders>
              <w:top w:val="single" w:sz="18" w:space="0" w:color="auto"/>
              <w:left w:val="nil"/>
              <w:bottom w:val="single" w:sz="18" w:space="0" w:color="auto"/>
              <w:right w:val="nil"/>
            </w:tcBorders>
            <w:vAlign w:val="center"/>
          </w:tcPr>
          <w:p w14:paraId="2C9D3637" w14:textId="77777777" w:rsidR="00F60C07" w:rsidRPr="00E22BD4" w:rsidRDefault="00F60C07" w:rsidP="00F60C07">
            <w:pPr>
              <w:rPr>
                <w:b/>
                <w:bCs/>
              </w:rPr>
            </w:pPr>
            <w:r w:rsidRPr="00E22BD4">
              <w:rPr>
                <w:b/>
                <w:bCs/>
              </w:rPr>
              <w:t xml:space="preserve">Study </w:t>
            </w:r>
          </w:p>
        </w:tc>
        <w:tc>
          <w:tcPr>
            <w:tcW w:w="2311" w:type="dxa"/>
            <w:tcBorders>
              <w:top w:val="single" w:sz="18" w:space="0" w:color="auto"/>
              <w:left w:val="nil"/>
              <w:bottom w:val="single" w:sz="18" w:space="0" w:color="auto"/>
              <w:right w:val="nil"/>
            </w:tcBorders>
            <w:vAlign w:val="center"/>
          </w:tcPr>
          <w:p w14:paraId="26359407" w14:textId="77777777" w:rsidR="00F60C07" w:rsidRPr="00E22BD4" w:rsidRDefault="00F60C07" w:rsidP="00F60C07">
            <w:pPr>
              <w:jc w:val="right"/>
              <w:rPr>
                <w:b/>
                <w:bCs/>
              </w:rPr>
            </w:pPr>
            <w:r w:rsidRPr="00E22BD4">
              <w:rPr>
                <w:b/>
                <w:bCs/>
              </w:rPr>
              <w:t xml:space="preserve">Number of Index Cases </w:t>
            </w:r>
          </w:p>
        </w:tc>
        <w:tc>
          <w:tcPr>
            <w:tcW w:w="2659" w:type="dxa"/>
            <w:tcBorders>
              <w:top w:val="single" w:sz="18" w:space="0" w:color="auto"/>
              <w:left w:val="nil"/>
              <w:bottom w:val="single" w:sz="18" w:space="0" w:color="auto"/>
              <w:right w:val="nil"/>
            </w:tcBorders>
            <w:vAlign w:val="center"/>
          </w:tcPr>
          <w:p w14:paraId="707CA549" w14:textId="77777777" w:rsidR="00F60C07" w:rsidRPr="00E22BD4" w:rsidRDefault="00F60C07" w:rsidP="00F60C07">
            <w:pPr>
              <w:jc w:val="right"/>
              <w:rPr>
                <w:b/>
                <w:bCs/>
              </w:rPr>
            </w:pPr>
            <w:r w:rsidRPr="00E22BD4">
              <w:rPr>
                <w:b/>
                <w:bCs/>
              </w:rPr>
              <w:t xml:space="preserve">Number of Secondary cases </w:t>
            </w:r>
          </w:p>
        </w:tc>
        <w:tc>
          <w:tcPr>
            <w:tcW w:w="2192" w:type="dxa"/>
            <w:tcBorders>
              <w:top w:val="single" w:sz="18" w:space="0" w:color="auto"/>
              <w:left w:val="nil"/>
              <w:bottom w:val="single" w:sz="18" w:space="0" w:color="auto"/>
              <w:right w:val="nil"/>
            </w:tcBorders>
            <w:vAlign w:val="center"/>
          </w:tcPr>
          <w:p w14:paraId="78DDCC10" w14:textId="77777777" w:rsidR="00F60C07" w:rsidRPr="00E22BD4" w:rsidRDefault="00F60C07" w:rsidP="00F60C07">
            <w:pPr>
              <w:jc w:val="right"/>
              <w:rPr>
                <w:b/>
                <w:bCs/>
              </w:rPr>
            </w:pPr>
            <w:r w:rsidRPr="00E22BD4">
              <w:rPr>
                <w:b/>
                <w:bCs/>
              </w:rPr>
              <w:t>R</w:t>
            </w:r>
            <w:r w:rsidRPr="00E22BD4">
              <w:rPr>
                <w:b/>
                <w:bCs/>
                <w:vertAlign w:val="subscript"/>
              </w:rPr>
              <w:t>obs</w:t>
            </w:r>
          </w:p>
        </w:tc>
      </w:tr>
      <w:tr w:rsidR="00F60C07" w14:paraId="1A4E2423" w14:textId="77777777" w:rsidTr="00F60C07">
        <w:trPr>
          <w:trHeight w:val="260"/>
        </w:trPr>
        <w:tc>
          <w:tcPr>
            <w:tcW w:w="2367" w:type="dxa"/>
            <w:tcBorders>
              <w:top w:val="single" w:sz="18" w:space="0" w:color="auto"/>
              <w:left w:val="nil"/>
              <w:bottom w:val="single" w:sz="8" w:space="0" w:color="auto"/>
              <w:right w:val="nil"/>
            </w:tcBorders>
            <w:vAlign w:val="bottom"/>
          </w:tcPr>
          <w:p w14:paraId="143F918C" w14:textId="4A57B7D2" w:rsidR="00F60C07" w:rsidRDefault="00F60C07" w:rsidP="00F60C07">
            <w:r>
              <w:t>Burke et al</w:t>
            </w:r>
            <w:r w:rsidR="00CD3624">
              <w:t xml:space="preserve"> </w:t>
            </w:r>
            <w:r w:rsidR="00CD3624">
              <w:fldChar w:fldCharType="begin" w:fldLock="1"/>
            </w:r>
            <w:r w:rsidR="001B3AB4">
              <w:instrText>ADDIN CSL_CITATION {"citationItems":[{"id":"ITEM-1","itemData":{"DOI":"10.1371/journal.pone.0238342","ISSN":"19326203","PMID":"32877446","abstract":"Coronavirus disease 2019 (COVID-19), the respiratory disease caused by severe acute respiratory syndrome coronavirus 2 (SARS-CoV-2), was first identified in Wuhan, China and has since become pandemic. In response to the first cases identified in the United States, close contacts of confirmed COVID-19 cases were investigated to enable early identification and isolation of additional cases and to learn more about risk factors for transmission. Close contacts of nine early travel-related cases in the United States were identified and monitored daily for development of symptoms (active monitoring). Selected close contacts (including those with exposures categorized as higher risk) were targeted for collection of additional exposure information and respiratory samples. Respiratory samples were tested for SARS-CoV-2 by real-time reverse transcription polymerase chain reaction at the Centers for Disease Control and Prevention. Four hundred four close contacts were actively monitored in the jurisdictions that managed the travel-related cases. Three hundred thirty-eight of the 404 close contacts provided at least basic exposure information, of whom 159 close contacts had ≥1 set of respiratory samples collected and tested. Across all actively monitored close contacts, two additional symptomatic COVID-19 cases (i.e., secondary cases) were identified; both secondary cases were in spouses of travel-associated case patients. When considering only household members, all of whom had ≥1 respiratory sample tested for SARS-CoV-2, the secondary attack rate (i.e., the number of secondary cases as a proportion of total close contacts) was 13% (95% CI: 4–38%). The results from these contact tracing investigations suggest that household members, especially significant others, of COVID-19 cases are at highest risk of becoming infected. The importance of personal protective equipment for healthcare workers is also underlined. Isolation of persons with COVID-19, in combination with quarantine of exposed close contacts and practice of everyday preventive behaviors, is important to mitigate spread of COVID-19.","author":[{"dropping-particle":"","family":"Burke","given":"Rachel M.","non-dropping-particle":"","parse-names":false,"suffix":""},{"dropping-particle":"","family":"Balter","given":"Sharon","non-dropping-particle":"","parse-names":false,"suffix":""},{"dropping-particle":"","family":"Barnes","given":"Emily","non-dropping-particle":"","parse-names":false,"suffix":""},{"dropping-particle":"","family":"Barry","given":"Vaughn","non-dropping-particle":"","parse-names":false,"suffix":""},{"dropping-particle":"","family":"Bartlett","given":"Karri","non-dropping-particle":"","parse-names":false,"suffix":""},{"dropping-particle":"","family":"Beer","given":"Karlyn D.","non-dropping-particle":"","parse-names":false,"suffix":""},{"dropping-particle":"","family":"Benowitz","given":"Isaac","non-dropping-particle":"","parse-names":false,"suffix":""},{"dropping-particle":"","family":"Biggs","given":"Holly M.","non-dropping-particle":"","parse-names":false,"suffix":""},{"dropping-particle":"","family":"Bruce","given":"Hollianne","non-dropping-particle":"","parse-names":false,"suffix":""},{"dropping-particle":"","family":"Bryant-Genevier","given":"Jonathan","non-dropping-particle":"","parse-names":false,"suffix":""},{"dropping-particle":"","family":"Cates","given":"Jordan","non-dropping-particle":"","parse-names":false,"suffix":""},{"dropping-particle":"","family":"Chatham-Stephens","given":"Kevin","non-dropping-particle":"","parse-names":false,"suffix":""},{"dropping-particle":"","family":"Chea","given":"Nora","non-dropping-particle":"","parse-names":false,"suffix":""},{"dropping-particle":"","family":"Chiou","given":"Howard","non-dropping-particle":"","parse-names":false,"suffix":""},{"dropping-particle":"","family":"Christiansen","given":"Demian","non-dropping-particle":"","parse-names":false,"suffix":""},{"dropping-particle":"","family":"Chu","given":"Victoria T.","non-dropping-particle":"","parse-names":false,"suffix":""},{"dropping-particle":"","family":"Clark","given":"Shauna","non-dropping-particle":"","parse-names":false,"suffix":""},{"dropping-particle":"","family":"Cody","given":"Sara H.","non-dropping-particle":"","parse-names":false,"suffix":""},{"dropping-particle":"","family":"Cohen","given":"Max","non-dropping-particle":"","parse-names":false,"suffix":""},{"dropping-particle":"","family":"Conners","given":"Erin E.","non-dropping-particle":"","parse-names":false,"suffix":""},{"dropping-particle":"","family":"Dasari","given":"Vishal","non-dropping-particle":"","parse-names":false,"suffix":""},{"dropping-particle":"","family":"Dawson","given":"Patrick","non-dropping-particle":"","parse-names":false,"suffix":""},{"dropping-particle":"","family":"DeSalvo","given":"Traci","non-dropping-particle":"","parse-names":false,"suffix":""},{"dropping-particle":"","family":"Donahue","given":"Matthew","non-dropping-particle":"","parse-names":false,"suffix":""},{"dropping-particle":"","family":"Dratch","given":"Alissa","non-dropping-particle":"","parse-names":false,"suffix":""},{"dropping-particle":"","family":"Duca","given":"Lindsey","non-dropping-particle":"","parse-names":false,"suffix":""},{"dropping-particle":"","family":"Duchin","given":"Jeffrey","non-dropping-particle":"","parse-names":false,"suffix":""},{"dropping-particle":"","family":"Dyal","given":"Jonathan W.","non-dropping-particle":"","parse-names":false,"suffix":""},{"dropping-particle":"","family":"Feldstein","given":"Leora R.","non-dropping-particle":"","parse-names":false,"suffix":""},{"dropping-particle":"","family":"Fenstersheib","given":"Marty","non-dropping-particle":"","parse-names":false,"suffix":""},{"dropping-particle":"","family":"Fischer","given":"Marc","non-dropping-particle":"","parse-names":false,"suffix":""},{"dropping-particle":"","family":"Fisher","given":"Rebecca","non-dropping-particle":"","parse-names":false,"suffix":""},{"dropping-particle":"","family":"Foo","given":"Chelsea","non-dropping-particle":"","parse-names":false,"suffix":""},{"dropping-particle":"","family":"Freeman-Ponder","given":"Brandi","non-dropping-particle":"","parse-names":false,"suffix":""},{"dropping-particle":"","family":"Fry","given":"Alicia M.","non-dropping-particle":"","parse-names":false,"suffix":""},{"dropping-particle":"","family":"Gant","given":"Jessica","non-dropping-particle":"","parse-names":false,"suffix":""},{"dropping-particle":"","family":"Gautom","given":"Romesh","non-dropping-particle":"","parse-names":false,"suffix":""},{"dropping-particle":"","family":"Ghinai","given":"Isaac","non-dropping-particle":"","parse-names":false,"suffix":""},{"dropping-particle":"","family":"Gounder","given":"Prabhu","non-dropping-particle":"","parse-names":false,"suffix":""},{"dropping-particle":"","family":"Grigg","given":"Cheri T.","non-dropping-particle":"","parse-names":false,"suffix":""},{"dropping-particle":"","family":"Gunzenhauser","given":"Jeffrey","non-dropping-particle":"","parse-names":false,"suffix":""},{"dropping-particle":"","family":"Hall","given":"Aron J.","non-dropping-particle":"","parse-names":false,"suffix":""},{"dropping-particle":"","family":"Han","given":"George S.","non-dropping-particle":"","parse-names":false,"suffix":""},{"dropping-particle":"","family":"Haupt","given":"Thomas","non-dropping-particle":"","parse-names":false,"suffix":""},{"dropping-particle":"","family":"Holshue","given":"Michelle","non-dropping-particle":"","parse-names":false,"suffix":""},{"dropping-particle":"","family":"Hunter","given":"Jennifer","non-dropping-particle":"","parse-names":false,"suffix":""},{"dropping-particle":"","family":"Ibrahim","given":"Mireille B.","non-dropping-particle":"","parse-names":false,"suffix":""},{"dropping-particle":"","family":"Jacobs","given":"Max W.","non-dropping-particle":"","parse-names":false,"suffix":""},{"dropping-particle":"","family":"Jarashow","given":"M. Claire","non-dropping-particle":"","parse-names":false,"suffix":""},{"dropping-particle":"","family":"Joshi","given":"Kiran","non-dropping-particle":"","parse-names":false,"suffix":""},{"dropping-particle":"","family":"Kamali","given":"Talar","non-dropping-particle":"","parse-names":false,"suffix":""},{"dropping-particle":"","family":"Kawakami","given":"Vance","non-dropping-particle":"","parse-names":false,"suffix":""},{"dropping-particle":"","family":"Kim","given":"Moon","non-dropping-particle":"","parse-names":false,"suffix":""},{"dropping-particle":"","family":"Kirking","given":"Hannah L.","non-dropping-particle":"","parse-names":false,"suffix":""},{"dropping-particle":"","family":"Kita-Yarbro","given":"Amanda","non-dropping-particle":"","parse-names":false,"suffix":""},{"dropping-particle":"","family":"Klos","given":"Rachel","non-dropping-particle":"","parse-names":false,"suffix":""},{"dropping-particle":"","family":"Kobayashi","given":"Miwako","non-dropping-particle":"","parse-names":false,"suffix":""},{"dropping-particle":"","family":"Kocharian","given":"Anna","non-dropping-particle":"","parse-names":false,"suffix":""},{"dropping-particle":"","family":"Lang","given":"Misty","non-dropping-particle":"","parse-names":false,"suffix":""},{"dropping-particle":"","family":"Layden","given":"Jennifer","non-dropping-particle":"","parse-names":false,"suffix":""},{"dropping-particle":"","family":"Leidman","given":"Eva","non-dropping-particle":"","parse-names":false,"suffix":""},{"dropping-particle":"","family":"Lindquist","given":"Scott","non-dropping-particle":"","parse-names":false,"suffix":""},{"dropping-particle":"","family":"Lindstrom","given":"Stephen","non-dropping-particle":"","parse-names":false,"suffix":""},{"dropping-particle":"","family":"Link-Gelles","given":"Ruth","non-dropping-particle":"","parse-names":false,"suffix":""},{"dropping-particle":"","family":"Marlow","given":"Mariel","non-dropping-particle":"","parse-names":false,"suffix":""},{"dropping-particle":"","family":"Mattison","given":"Claire P.","non-dropping-particle":"","parse-names":false,"suffix":""},{"dropping-particle":"","family":"McClung","given":"Nancy","non-dropping-particle":"","parse-names":false,"suffix":""},{"dropping-particle":"","family":"McPherson","given":"Tristan D.","non-dropping-particle":"","parse-names":false,"suffix":""},{"dropping-particle":"","family":"Mello","given":"Lynn","non-dropping-particle":"","parse-names":false,"suffix":""},{"dropping-particle":"","family":"Midgley","given":"Claire M.","non-dropping-particle":"","parse-names":false,"suffix":""},{"dropping-particle":"","family":"Novosad","given":"Shannon","non-dropping-particle":"","parse-names":false,"suffix":""},{"dropping-particle":"","family":"Patel","given":"Megan T.","non-dropping-particle":"","parse-names":false,"suffix":""},{"dropping-particle":"","family":"Pettrone","given":"Kristen","non-dropping-particle":"","parse-names":false,"suffix":""},{"dropping-particle":"","family":"Pillai","given":"Satish K.","non-dropping-particle":"","parse-names":false,"suffix":""},{"dropping-particle":"","family":"Pray","given":"Ian W.","non-dropping-particle":"","parse-names":false,"suffix":""},{"dropping-particle":"","family":"Reese","given":"Heather E.","non-dropping-particle":"","parse-names":false,"suffix":""},{"dropping-particle":"","family":"Rhodes","given":"Heather","non-dropping-particle":"","parse-names":false,"suffix":""},{"dropping-particle":"","family":"Robinson","given":"Susan","non-dropping-particle":"","parse-names":false,"suffix":""},{"dropping-particle":"","family":"Rolfes","given":"Melissa","non-dropping-particle":"","parse-names":false,"suffix":""},{"dropping-particle":"","family":"Routh","given":"Janell","non-dropping-particle":"","parse-names":false,"suffix":""},{"dropping-particle":"","family":"Rubin","given":"Rachel","non-dropping-particle":"","parse-names":false,"suffix":""},{"dropping-particle":"","family":"Rudman","given":"Sarah L.","non-dropping-particle":"","parse-names":false,"suffix":""},{"dropping-particle":"","family":"Russell","given":"Denny","non-dropping-particle":"","parse-names":false,"suffix":""},{"dropping-particle":"","family":"Scott","given":"Sarah","non-dropping-particle":"","parse-names":false,"suffix":""},{"dropping-particle":"","family":"Shetty","given":"Varun","non-dropping-particle":"","parse-names":false,"suffix":""},{"dropping-particle":"","family":"Smith-Jeffcoat","given":"Sarah E.","non-dropping-particle":"","parse-names":false,"suffix":""},{"dropping-particle":"","family":"Soda","given":"Elizabeth A.","non-dropping-particle":"","parse-names":false,"suffix":""},{"dropping-particle":"","family":"Spitters","given":"Christopher","non-dropping-particle":"","parse-names":false,"suffix":""},{"dropping-particle":"","family":"Stierman","given":"Bryan","non-dropping-particle":"","parse-names":false,"suffix":""},{"dropping-particle":"","family":"Sunenshine","given":"Rebecca","non-dropping-particle":"","parse-names":false,"suffix":""},{"dropping-particle":"","family":"Terashita","given":"Dawn","non-dropping-particle":"","parse-names":false,"suffix":""},{"dropping-particle":"","family":"Traub","given":"Elizabeth","non-dropping-particle":"","parse-names":false,"suffix":""},{"dropping-particle":"","family":"Vahey","given":"Grace M.","non-dropping-particle":"","parse-names":false,"suffix":""},{"dropping-particle":"","family":"Verani","given":"Jennifer R.","non-dropping-particle":"","parse-names":false,"suffix":""},{"dropping-particle":"","family":"Wallace","given":"Megan","non-dropping-particle":"","parse-names":false,"suffix":""},{"dropping-particle":"","family":"Westercamp","given":"Matthew","non-dropping-particle":"","parse-names":false,"suffix":""},{"dropping-particle":"","family":"Wortham","given":"Jonathan","non-dropping-particle":"","parse-names":false,"suffix":""},{"dropping-particle":"","family":"Xie","given":"Amy","non-dropping-particle":"","parse-names":false,"suffix":""},{"dropping-particle":"","family":"Yousaf","given":"Anna","non-dropping-particle":"","parse-names":false,"suffix":""},{"dropping-particle":"","family":"Zahn","given":"Matthew","non-dropping-particle":"","parse-names":false,"suffix":""}],"container-title":"PLoS ONE","id":"ITEM-1","issue":"9 September","issued":{"date-parts":[["2020","9","1"]]},"publisher":"Public Library of Science","title":"Enhanced contact investigations for nine early travel-related cases of SARS-CoV-2 in the United States","type":"article-journal","volume":"15"},"uris":["http://www.mendeley.com/documents/?uuid=d05b388a-6090-3826-9e4c-776f6e1c71c8"]}],"mendeley":{"formattedCitation":"[26]","plainTextFormattedCitation":"[26]","previouslyFormattedCitation":"[28]"},"properties":{"noteIndex":0},"schema":"https://github.com/citation-style-language/schema/raw/master/csl-citation.json"}</w:instrText>
            </w:r>
            <w:r w:rsidR="00CD3624">
              <w:fldChar w:fldCharType="separate"/>
            </w:r>
            <w:r w:rsidR="001B3AB4" w:rsidRPr="001B3AB4">
              <w:rPr>
                <w:noProof/>
              </w:rPr>
              <w:t>[26]</w:t>
            </w:r>
            <w:r w:rsidR="00CD3624">
              <w:fldChar w:fldCharType="end"/>
            </w:r>
          </w:p>
        </w:tc>
        <w:tc>
          <w:tcPr>
            <w:tcW w:w="2311" w:type="dxa"/>
            <w:tcBorders>
              <w:top w:val="single" w:sz="18" w:space="0" w:color="auto"/>
              <w:left w:val="nil"/>
              <w:bottom w:val="single" w:sz="8" w:space="0" w:color="auto"/>
              <w:right w:val="nil"/>
            </w:tcBorders>
            <w:vAlign w:val="center"/>
          </w:tcPr>
          <w:p w14:paraId="65BF5557" w14:textId="77777777" w:rsidR="00F60C07" w:rsidRDefault="00F60C07" w:rsidP="00F60C07">
            <w:pPr>
              <w:jc w:val="right"/>
            </w:pPr>
            <w:r>
              <w:t>2</w:t>
            </w:r>
          </w:p>
        </w:tc>
        <w:tc>
          <w:tcPr>
            <w:tcW w:w="2659" w:type="dxa"/>
            <w:tcBorders>
              <w:top w:val="single" w:sz="18" w:space="0" w:color="auto"/>
              <w:left w:val="nil"/>
              <w:bottom w:val="single" w:sz="8" w:space="0" w:color="auto"/>
              <w:right w:val="nil"/>
            </w:tcBorders>
            <w:vAlign w:val="center"/>
          </w:tcPr>
          <w:p w14:paraId="7839CE42" w14:textId="77777777" w:rsidR="00F60C07" w:rsidRDefault="00F60C07" w:rsidP="00F60C07">
            <w:pPr>
              <w:jc w:val="right"/>
            </w:pPr>
            <w:r>
              <w:t>0</w:t>
            </w:r>
          </w:p>
        </w:tc>
        <w:tc>
          <w:tcPr>
            <w:tcW w:w="2192" w:type="dxa"/>
            <w:tcBorders>
              <w:top w:val="single" w:sz="18" w:space="0" w:color="auto"/>
              <w:left w:val="nil"/>
              <w:bottom w:val="single" w:sz="8" w:space="0" w:color="auto"/>
              <w:right w:val="nil"/>
            </w:tcBorders>
            <w:vAlign w:val="center"/>
          </w:tcPr>
          <w:p w14:paraId="5CAAAA25" w14:textId="77777777" w:rsidR="00F60C07" w:rsidRDefault="00F60C07" w:rsidP="00F60C07">
            <w:pPr>
              <w:jc w:val="right"/>
            </w:pPr>
            <w:r>
              <w:t>0.00</w:t>
            </w:r>
          </w:p>
        </w:tc>
      </w:tr>
      <w:tr w:rsidR="00F60C07" w14:paraId="36B83897" w14:textId="77777777" w:rsidTr="00F60C07">
        <w:trPr>
          <w:trHeight w:val="249"/>
        </w:trPr>
        <w:tc>
          <w:tcPr>
            <w:tcW w:w="2367" w:type="dxa"/>
            <w:tcBorders>
              <w:top w:val="single" w:sz="8" w:space="0" w:color="auto"/>
              <w:left w:val="nil"/>
              <w:bottom w:val="single" w:sz="8" w:space="0" w:color="auto"/>
              <w:right w:val="nil"/>
            </w:tcBorders>
            <w:vAlign w:val="bottom"/>
          </w:tcPr>
          <w:p w14:paraId="42CD0C43" w14:textId="2C29B7A7" w:rsidR="00F60C07" w:rsidRDefault="00F60C07" w:rsidP="00F60C07">
            <w:proofErr w:type="spellStart"/>
            <w:r>
              <w:t>Bohmer</w:t>
            </w:r>
            <w:proofErr w:type="spellEnd"/>
            <w:r>
              <w:t xml:space="preserve"> et al</w:t>
            </w:r>
            <w:r w:rsidR="00CD3624">
              <w:t xml:space="preserve"> </w:t>
            </w:r>
            <w:r w:rsidR="00CD3624">
              <w:fldChar w:fldCharType="begin" w:fldLock="1"/>
            </w:r>
            <w:r w:rsidR="001B3AB4">
              <w:instrText>ADDIN CSL_CITATION {"citationItems":[{"id":"ITEM-1","itemData":{"DOI":"10.1016/S1473-3099(20)30314-5","ISBN":"1474-4457\r1473-3099","PMID":"32422201","abstract":"BACKGROUND: In December, 2019, the newly identified severe acute respiratory syndrome coronavirus 2 (SARS-CoV-2) emerged in Wuhan, China, causing COVID-19, a respiratory disease presenting with fever, cough, and often pneumonia. WHO has set the strategic objective to interrupt spread of SARS-CoV-2 worldwide. An outbreak in Bavaria, Germany, starting at the end of January, 2020, provided the opportunity to study transmission events, incubation period, and secondary attack rates. METHODS: A case was defined as a person with SARS-CoV-2 infection confirmed by RT-PCR. Case interviews were done to describe timing of onset and nature of symptoms and to identify and classify contacts as high risk (had cumulative face-to-face contact with a confirmed case for ≥15 min, direct contact with secretions or body fluids of a patient with confirmed COVID-19, or, in the case of health-care workers, had worked within 2 m of a patient with confirmed COVID-19 without personal protective equipment) or low risk (all other contacts). High-risk contacts were ordered to stay at home in quarantine for 14 days and were actively followed up and monitored for symptoms, and low-risk contacts were tested upon self-reporting of symptoms. We defined fever and cough as specific symptoms, and defined a prodromal phase as the presence of non-specific symptoms for at least 1 day before the onset of specific symptoms. Whole genome sequencing was used to confirm epidemiological links and clarify transmission events where contact histories were ambiguous; integration with epidemiological data enabled precise reconstruction of exposure events and incubation periods. Secondary attack rates were calculated as the number of cases divided by the number of contacts, using Fisher's exact test for the 95% CIs. FINDINGS: Patient 0 was a Chinese resident who visited Germany for professional reasons. 16 subsequent cases, often with mild and non-specific symptoms, emerged in four transmission generations. Signature mutations in the viral genome occurred upon foundation of generation 2, as well as in one case pertaining to generation 4. The median incubation period was 4·0 days (IQR 2·3-4·3) and the median serial interval was 4·0 days (3·0-5·0). Transmission events were likely to have occurred presymptomatically for one case (possibly five more), at the day of symptom onset for four cases (possibly five more), and the remainder after the day of symptom onset or unknown. One or two cases resulted from conta…","author":[{"dropping-particle":"","family":"Böhmer","given":"Merle M","non-dropping-particle":"","parse-names":false,"suffix":""},{"dropping-particle":"","family":"Buchholz","given":"Udo","non-dropping-particle":"","parse-names":false,"suffix":""},{"dropping-particle":"","family":"Corman","given":"Victor M","non-dropping-particle":"","parse-names":false,"suffix":""},{"dropping-particle":"","family":"Hoch","given":"Martin","non-dropping-particle":"","parse-names":false,"suffix":""},{"dropping-particle":"","family":"Katz","given":"Katharina","non-dropping-particle":"","parse-names":false,"suffix":""},{"dropping-particle":"V","family":"Marosevic","given":"Durdica","non-dropping-particle":"","parse-names":false,"suffix":""},{"dropping-particle":"","family":"Böhm","given":"Stefanie","non-dropping-particle":"","parse-names":false,"suffix":""},{"dropping-particle":"","family":"Woudenberg","given":"Tom","non-dropping-particle":"","parse-names":false,"suffix":""},{"dropping-particle":"","family":"Ackermann","given":"Nikolaus","non-dropping-particle":"","parse-names":false,"suffix":""},{"dropping-particle":"","family":"Konrad","given":"Regina","non-dropping-particle":"","parse-names":false,"suffix":""},{"dropping-particle":"","family":"Eberle","given":"Ute","non-dropping-particle":"","parse-names":false,"suffix":""},{"dropping-particle":"","family":"Treis","given":"Bianca","non-dropping-particle":"","parse-names":false,"suffix":""},{"dropping-particle":"","family":"Dangel","given":"Alexandra","non-dropping-particle":"","parse-names":false,"suffix":""},{"dropping-particle":"","family":"Bengs","given":"Katja","non-dropping-particle":"","parse-names":false,"suffix":""},{"dropping-particle":"","family":"Fingerle","given":"Volker","non-dropping-particle":"","parse-names":false,"suffix":""},{"dropping-particle":"","family":"Berger","given":"Anja","non-dropping-particle":"","parse-names":false,"suffix":""},{"dropping-particle":"","family":"Hörmansdorfer","given":"Stefan","non-dropping-particle":"","parse-names":false,"suffix":""},{"dropping-particle":"","family":"Ippisch","given":"Siegfried","non-dropping-particle":"","parse-names":false,"suffix":""},{"dropping-particle":"","family":"Wicklein","given":"Bernd","non-dropping-particle":"","parse-names":false,"suffix":""},{"dropping-particle":"","family":"Grahl","given":"Andreas","non-dropping-particle":"","parse-names":false,"suffix":""},{"dropping-particle":"","family":"Pörtner","given":"Kirsten","non-dropping-particle":"","parse-names":false,"suffix":""},{"dropping-particle":"","family":"Muller","given":"Nadine","non-dropping-particle":"","parse-names":false,"suffix":""},{"dropping-particle":"","family":"Zeitlmann","given":"Nadine","non-dropping-particle":"","parse-names":false,"suffix":""},{"dropping-particle":"","family":"Boender","given":"T Sonia","non-dropping-particle":"","parse-names":false,"suffix":""},{"dropping-particle":"","family":"Cai","given":"Wei","non-dropping-particle":"","parse-names":false,"suffix":""},{"dropping-particle":"","family":"Reich","given":"Andreas","non-dropping-particle":"","parse-names":false,"suffix":""},{"dropping-particle":"","family":"An der Heiden","given":"Maria","non-dropping-particle":"","parse-names":false,"suffix":""},{"dropping-particle":"","family":"Rexroth","given":"Ute","non-dropping-particle":"","parse-names":false,"suffix":""},{"dropping-particle":"","family":"Hamouda","given":"Osamah","non-dropping-particle":"","parse-names":false,"suffix":""},{"dropping-particle":"","family":"Schneider","given":"Julia","non-dropping-particle":"","parse-names":false,"suffix":""},{"dropping-particle":"","family":"Veith","given":"Talitha","non-dropping-particle":"","parse-names":false,"suffix":""},{"dropping-particle":"","family":"Mühlemann","given":"Barbara","non-dropping-particle":"","parse-names":false,"suffix":""},{"dropping-particle":"","family":"Wölfel","given":"Roman","non-dropping-particle":"","parse-names":false,"suffix":""},{"dropping-particle":"","family":"Antwerpen","given":"Markus","non-dropping-particle":"","parse-names":false,"suffix":""},{"dropping-particle":"","family":"Walter","given":"Mathias","non-dropping-particle":"","parse-names":false,"suffix":""},{"dropping-particle":"","family":"Protzer","given":"Ulrike","non-dropping-particle":"","parse-names":false,"suffix":""},{"dropping-particle":"","family":"Liebl","given":"Bernhard","non-dropping-particle":"","parse-names":false,"suffix":""},{"dropping-particle":"","family":"Haas","given":"Walter","non-dropping-particle":"","parse-names":false,"suffix":""},{"dropping-particle":"","family":"Sing","given":"Andreas","non-dropping-particle":"","parse-names":false,"suffix":""},{"dropping-particle":"","family":"Drosten","given":"Christian","non-dropping-particle":"","parse-names":false,"suffix":""},{"dropping-particle":"","family":"Zapf","given":"Andreas","non-dropping-particle":"","parse-names":false,"suffix":""}],"container-title":"The Lancet. Infectious diseases","edition":"2020/05/15","id":"ITEM-1","issue":"8","issued":{"date-parts":[["2020"]]},"language":"eng","note":"32422201[pmid]\nPMC7228725[pmcid]\nS1473-3099(20)30314-5[PII]","page":"920-928","publisher":"Elsevier Ltd.","title":"Investigation of a COVID-19 outbreak in Germany resulting from a single travel-associated primary case: a case series","type":"article-journal","volume":"20"},"uris":["http://www.mendeley.com/documents/?uuid=4d8c40b8-ee69-496e-89da-71221888c618"]}],"mendeley":{"formattedCitation":"[25]","plainTextFormattedCitation":"[25]","previouslyFormattedCitation":"[27]"},"properties":{"noteIndex":0},"schema":"https://github.com/citation-style-language/schema/raw/master/csl-citation.json"}</w:instrText>
            </w:r>
            <w:r w:rsidR="00CD3624">
              <w:fldChar w:fldCharType="separate"/>
            </w:r>
            <w:r w:rsidR="001B3AB4" w:rsidRPr="001B3AB4">
              <w:rPr>
                <w:noProof/>
              </w:rPr>
              <w:t>[25]</w:t>
            </w:r>
            <w:r w:rsidR="00CD3624">
              <w:fldChar w:fldCharType="end"/>
            </w:r>
          </w:p>
        </w:tc>
        <w:tc>
          <w:tcPr>
            <w:tcW w:w="2311" w:type="dxa"/>
            <w:tcBorders>
              <w:top w:val="single" w:sz="8" w:space="0" w:color="auto"/>
              <w:left w:val="nil"/>
              <w:bottom w:val="single" w:sz="8" w:space="0" w:color="auto"/>
              <w:right w:val="nil"/>
            </w:tcBorders>
            <w:vAlign w:val="center"/>
          </w:tcPr>
          <w:p w14:paraId="4F5C2CFF" w14:textId="77777777" w:rsidR="00F60C07" w:rsidRDefault="00F60C07" w:rsidP="00F60C07">
            <w:pPr>
              <w:jc w:val="right"/>
            </w:pPr>
            <w:r>
              <w:t>4</w:t>
            </w:r>
          </w:p>
        </w:tc>
        <w:tc>
          <w:tcPr>
            <w:tcW w:w="2659" w:type="dxa"/>
            <w:tcBorders>
              <w:top w:val="single" w:sz="8" w:space="0" w:color="auto"/>
              <w:left w:val="nil"/>
              <w:bottom w:val="single" w:sz="8" w:space="0" w:color="auto"/>
              <w:right w:val="nil"/>
            </w:tcBorders>
            <w:vAlign w:val="center"/>
          </w:tcPr>
          <w:p w14:paraId="1E37177E" w14:textId="77777777" w:rsidR="00F60C07" w:rsidRDefault="00F60C07" w:rsidP="00F60C07">
            <w:pPr>
              <w:jc w:val="right"/>
            </w:pPr>
            <w:r>
              <w:t>18</w:t>
            </w:r>
          </w:p>
        </w:tc>
        <w:tc>
          <w:tcPr>
            <w:tcW w:w="2192" w:type="dxa"/>
            <w:tcBorders>
              <w:top w:val="single" w:sz="8" w:space="0" w:color="auto"/>
              <w:left w:val="nil"/>
              <w:bottom w:val="single" w:sz="8" w:space="0" w:color="auto"/>
              <w:right w:val="nil"/>
            </w:tcBorders>
            <w:vAlign w:val="center"/>
          </w:tcPr>
          <w:p w14:paraId="428D02FB" w14:textId="77777777" w:rsidR="00F60C07" w:rsidRDefault="00F60C07" w:rsidP="00F60C07">
            <w:pPr>
              <w:jc w:val="right"/>
            </w:pPr>
            <w:r>
              <w:t>4.50</w:t>
            </w:r>
          </w:p>
        </w:tc>
      </w:tr>
      <w:tr w:rsidR="00F60C07" w14:paraId="325104FB" w14:textId="77777777" w:rsidTr="00F60C07">
        <w:trPr>
          <w:trHeight w:val="260"/>
        </w:trPr>
        <w:tc>
          <w:tcPr>
            <w:tcW w:w="2367" w:type="dxa"/>
            <w:tcBorders>
              <w:top w:val="single" w:sz="8" w:space="0" w:color="auto"/>
              <w:left w:val="nil"/>
              <w:bottom w:val="single" w:sz="8" w:space="0" w:color="auto"/>
              <w:right w:val="nil"/>
            </w:tcBorders>
            <w:vAlign w:val="bottom"/>
          </w:tcPr>
          <w:p w14:paraId="545FD7CA" w14:textId="196BC70D" w:rsidR="00F60C07" w:rsidRDefault="00D53344" w:rsidP="00F60C07">
            <w:r>
              <w:t xml:space="preserve">Wee </w:t>
            </w:r>
            <w:r w:rsidR="00F60C07">
              <w:t>et al</w:t>
            </w:r>
            <w:r w:rsidR="00CD3624">
              <w:t xml:space="preserve"> </w:t>
            </w:r>
            <w:r w:rsidR="00CD3624">
              <w:fldChar w:fldCharType="begin" w:fldLock="1"/>
            </w:r>
            <w:r w:rsidR="001B3AB4">
              <w:instrText>ADDIN CSL_CITATION {"citationItems":[{"id":"ITEM-1","itemData":{"DOI":"10.1017/ice.2020.207","ISBN":"1559-6834\r0899-823X","PMID":"32381147","abstract":"OBJECTIVES: Patients with COVID-19 may present with respiratory syndromes indistinguishable from those caused by common viruses. Early isolation and containment is challenging. Although screening all patients with respiratory symptoms for COVID-19 has been recommended, the practicality of such an effort has yet to be assessed. METHODS: Over a 6-week period during a SARS-CoV-2 outbreak, our institution introduced a \"respiratory surveillance ward\" (RSW) to segregate all patients with respiratory symptoms in designated areas, where appropriate personal protective equipment (PPE) could be utilized until SARS-CoV-2 testing was done. Patients could be transferred when SARS-CoV-2 tests were negative on 2 consecutive occasions, 24 hours apart. RESULTS: Over the study period, 1,178 patients were admitted to the RSWs. The mean length-of-stay (LOS) was 1.89 days (SD, 1.23). Among confirmed cases of pneumonia admitted to the RSW, 5 of 310 patients (1.61%) tested positive for SARS-CoV-2. This finding was comparable to the pickup rate from our isolation ward. In total, 126 HCWs were potentially exposed to these cases; however, only 3 (2.38%) required quarantine because most used appropriate PPE. In addition, 13 inpatients overlapped with the index cases during their stay in the RSW; of these 13 exposed inpatients, 1 patient subsequently developed COVID-19 after exposure. No patient-HCW transmission was detected despite intensive surveillance. CONCLUSIONS: Our institution successfully utilized the strategy of an RSW over a 6-week period to contain a cluster of COVID-19 cases and to prevent patient-HCW transmission. However, this method was resource-intensive in terms of testing and bed capacity.","author":[{"dropping-particle":"","family":"Wee","given":"Liang En","non-dropping-particle":"","parse-names":false,"suffix":""},{"dropping-particle":"","family":"Hsieh","given":"Jenny Yi Chen","non-dropping-particle":"","parse-names":false,"suffix":""},{"dropping-particle":"","family":"Phua","given":"Ghee Chee","non-dropping-particle":"","parse-names":false,"suffix":""},{"dropping-particle":"","family":"Tan","given":"Yuyang","non-dropping-particle":"","parse-names":false,"suffix":""},{"dropping-particle":"","family":"Conceicao","given":"Edwin Philip","non-dropping-particle":"","parse-names":false,"suffix":""},{"dropping-particle":"","family":"Wijaya","given":"Limin","non-dropping-particle":"","parse-names":false,"suffix":""},{"dropping-particle":"","family":"Tan","given":"Thuan Tong","non-dropping-particle":"","parse-names":false,"suffix":""},{"dropping-particle":"","family":"Tan","given":"Ban Hock","non-dropping-particle":"","parse-names":false,"suffix":""}],"container-title":"Infection control and hospital epidemiology","id":"ITEM-1","issued":{"date-parts":[["2020"]]},"language":"eng","note":"32381147[pmid]\nPMC7248590[pmcid]\nS0899823X2000207X[PII]","page":"1-6","publisher":"Cambridge University Press","title":"Respiratory surveillance wards as a strategy to reduce nosocomial transmission of COVID-19 through early detection: The experience of a tertiary-care hospital in Singapore","type":"article-journal"},"uris":["http://www.mendeley.com/documents/?uuid=b61be9f4-bd82-49bf-b3bc-74596718fbc8"]}],"mendeley":{"formattedCitation":"[82]","plainTextFormattedCitation":"[82]","previouslyFormattedCitation":"[84]"},"properties":{"noteIndex":0},"schema":"https://github.com/citation-style-language/schema/raw/master/csl-citation.json"}</w:instrText>
            </w:r>
            <w:r w:rsidR="00CD3624">
              <w:fldChar w:fldCharType="separate"/>
            </w:r>
            <w:r w:rsidR="001B3AB4" w:rsidRPr="001B3AB4">
              <w:rPr>
                <w:noProof/>
              </w:rPr>
              <w:t>[82]</w:t>
            </w:r>
            <w:r w:rsidR="00CD3624">
              <w:fldChar w:fldCharType="end"/>
            </w:r>
          </w:p>
        </w:tc>
        <w:tc>
          <w:tcPr>
            <w:tcW w:w="2311" w:type="dxa"/>
            <w:tcBorders>
              <w:top w:val="single" w:sz="8" w:space="0" w:color="auto"/>
              <w:left w:val="nil"/>
              <w:bottom w:val="single" w:sz="8" w:space="0" w:color="auto"/>
              <w:right w:val="nil"/>
            </w:tcBorders>
            <w:vAlign w:val="center"/>
          </w:tcPr>
          <w:p w14:paraId="7BE63F8A" w14:textId="77777777" w:rsidR="00F60C07" w:rsidRDefault="00F60C07" w:rsidP="00F60C07">
            <w:pPr>
              <w:jc w:val="right"/>
            </w:pPr>
            <w:r>
              <w:t>5</w:t>
            </w:r>
          </w:p>
        </w:tc>
        <w:tc>
          <w:tcPr>
            <w:tcW w:w="2659" w:type="dxa"/>
            <w:tcBorders>
              <w:top w:val="single" w:sz="8" w:space="0" w:color="auto"/>
              <w:left w:val="nil"/>
              <w:bottom w:val="single" w:sz="8" w:space="0" w:color="auto"/>
              <w:right w:val="nil"/>
            </w:tcBorders>
            <w:vAlign w:val="center"/>
          </w:tcPr>
          <w:p w14:paraId="4B208532" w14:textId="77777777" w:rsidR="00F60C07" w:rsidRDefault="00F60C07" w:rsidP="00F60C07">
            <w:pPr>
              <w:jc w:val="right"/>
            </w:pPr>
            <w:r>
              <w:t>1</w:t>
            </w:r>
          </w:p>
        </w:tc>
        <w:tc>
          <w:tcPr>
            <w:tcW w:w="2192" w:type="dxa"/>
            <w:tcBorders>
              <w:top w:val="single" w:sz="8" w:space="0" w:color="auto"/>
              <w:left w:val="nil"/>
              <w:bottom w:val="single" w:sz="8" w:space="0" w:color="auto"/>
              <w:right w:val="nil"/>
            </w:tcBorders>
            <w:vAlign w:val="center"/>
          </w:tcPr>
          <w:p w14:paraId="39A2B6F1" w14:textId="77777777" w:rsidR="00F60C07" w:rsidRDefault="00F60C07" w:rsidP="00F60C07">
            <w:pPr>
              <w:jc w:val="right"/>
            </w:pPr>
            <w:r>
              <w:t>0.20</w:t>
            </w:r>
          </w:p>
        </w:tc>
      </w:tr>
      <w:tr w:rsidR="00F60C07" w14:paraId="7C9EF612" w14:textId="77777777" w:rsidTr="00F60C07">
        <w:trPr>
          <w:trHeight w:val="249"/>
        </w:trPr>
        <w:tc>
          <w:tcPr>
            <w:tcW w:w="2367" w:type="dxa"/>
            <w:tcBorders>
              <w:top w:val="single" w:sz="8" w:space="0" w:color="auto"/>
              <w:left w:val="nil"/>
              <w:bottom w:val="single" w:sz="8" w:space="0" w:color="auto"/>
              <w:right w:val="nil"/>
            </w:tcBorders>
            <w:vAlign w:val="bottom"/>
          </w:tcPr>
          <w:p w14:paraId="6938EB52" w14:textId="6C90B734" w:rsidR="00F60C07" w:rsidRDefault="00F60C07" w:rsidP="00F60C07">
            <w:r>
              <w:t>Li et al</w:t>
            </w:r>
            <w:r w:rsidR="00CD3624">
              <w:t xml:space="preserve"> </w:t>
            </w:r>
            <w:r w:rsidR="00503538">
              <w:fldChar w:fldCharType="begin" w:fldLock="1"/>
            </w:r>
            <w:r w:rsidR="001B3AB4">
              <w:instrText>ADDIN CSL_CITATION {"citationItems":[{"id":"ITEM-1","itemData":{"DOI":"10.1093/cid/ciaa450","ISBN":"1058-4838","abstract":"Since December 2019, SARS-CoV-2 has extended to most parts of China with &amp;gt;80 000 cases and to at least 100 countries with &amp;gt;60 000 international cases as of 15 March 2020. Here we used a household cohort study to determine the features of household transmission of COVID-19.A total of 105 index patients and 392 household contacts were enrolled. Both index patients and household members were tested by SARS-CoV-2 RT-PCR. Information on all recruited individuals was extracted from medical records and confirmed or supplemented by telephone interviews. The baseline characteristics of index cases and contact patients were described. Secondary attack rates of SARS-CoV-2 to contact members were computed and the risk factors for transmission within the household were estimated.Secondary transmission of SARS-CoV-2 developed in 64 of 392 household contacts (16.3%). The secondary attack rate to children was 4% compared with 17.1% for adults. The secondary attack rate to the contacts within the households with index patients quarantined by themselves since onset of symptoms was 0% compared with 16.9% for contacts without quarantined index patients. The secondary attack rate to contacts who were spouses of index cases was 27.8% compared with 17.3% for other adult members in the households.The secondary attack rate of SARS-CoV-2 in household is 16.3%. Age of household contacts and spousal relationship to the index case are risk factors for transmission of SARS-CoV-2 within a household. Quarantine of index patients at home since onset of symptoms is useful to prevent the transmission of SARS-Co-2 within a household.","author":[{"dropping-particle":"","family":"Li","given":"Wei","non-dropping-particle":"","parse-names":false,"suffix":""},{"dropping-particle":"","family":"Zhang","given":"Bo","non-dropping-particle":"","parse-names":false,"suffix":""},{"dropping-particle":"","family":"Lu","given":"Jianhua","non-dropping-particle":"","parse-names":false,"suffix":""},{"dropping-particle":"","family":"Liu","given":"Shihua","non-dropping-particle":"","parse-names":false,"suffix":""},{"dropping-particle":"","family":"Chang","given":"Zhiqiang","non-dropping-particle":"","parse-names":false,"suffix":""},{"dropping-particle":"","family":"Peng","given":"Cao","non-dropping-particle":"","parse-names":false,"suffix":""},{"dropping-particle":"","family":"Liu","given":"Xinghua","non-dropping-particle":"","parse-names":false,"suffix":""},{"dropping-particle":"","family":"Zhang","given":"Peng","non-dropping-particle":"","parse-names":false,"suffix":""},{"dropping-particle":"","family":"Ling","given":"Yan","non-dropping-particle":"","parse-names":false,"suffix":""},{"dropping-particle":"","family":"Tao","given":"Kaixiong","non-dropping-particle":"","parse-names":false,"suffix":""},{"dropping-particle":"","family":"Chen","given":"Jianying","non-dropping-particle":"","parse-names":false,"suffix":""}],"container-title":"Clinical Infectious Diseases","id":"ITEM-1","issued":{"date-parts":[["2020"]]},"title":"Characteristics of Household Transmission of COVID-19","type":"article-journal"},"uris":["http://www.mendeley.com/documents/?uuid=98b33ca6-5d12-4cec-bc24-67006aba725f"]}],"mendeley":{"formattedCitation":"[40]","plainTextFormattedCitation":"[40]","previouslyFormattedCitation":"[42]"},"properties":{"noteIndex":0},"schema":"https://github.com/citation-style-language/schema/raw/master/csl-citation.json"}</w:instrText>
            </w:r>
            <w:r w:rsidR="00503538">
              <w:fldChar w:fldCharType="separate"/>
            </w:r>
            <w:r w:rsidR="001B3AB4" w:rsidRPr="001B3AB4">
              <w:rPr>
                <w:noProof/>
              </w:rPr>
              <w:t>[40]</w:t>
            </w:r>
            <w:r w:rsidR="00503538">
              <w:fldChar w:fldCharType="end"/>
            </w:r>
          </w:p>
        </w:tc>
        <w:tc>
          <w:tcPr>
            <w:tcW w:w="2311" w:type="dxa"/>
            <w:tcBorders>
              <w:top w:val="single" w:sz="8" w:space="0" w:color="auto"/>
              <w:left w:val="nil"/>
              <w:bottom w:val="single" w:sz="8" w:space="0" w:color="auto"/>
              <w:right w:val="nil"/>
            </w:tcBorders>
            <w:vAlign w:val="center"/>
          </w:tcPr>
          <w:p w14:paraId="47A89656" w14:textId="77777777" w:rsidR="00F60C07" w:rsidRDefault="00F60C07" w:rsidP="00F60C07">
            <w:pPr>
              <w:jc w:val="right"/>
            </w:pPr>
            <w:r>
              <w:t>100</w:t>
            </w:r>
          </w:p>
        </w:tc>
        <w:tc>
          <w:tcPr>
            <w:tcW w:w="2659" w:type="dxa"/>
            <w:tcBorders>
              <w:top w:val="single" w:sz="8" w:space="0" w:color="auto"/>
              <w:left w:val="nil"/>
              <w:bottom w:val="single" w:sz="8" w:space="0" w:color="auto"/>
              <w:right w:val="nil"/>
            </w:tcBorders>
            <w:vAlign w:val="center"/>
          </w:tcPr>
          <w:p w14:paraId="299C2A26" w14:textId="77777777" w:rsidR="00F60C07" w:rsidRDefault="00F60C07" w:rsidP="00F60C07">
            <w:pPr>
              <w:jc w:val="right"/>
            </w:pPr>
            <w:r>
              <w:t>6</w:t>
            </w:r>
          </w:p>
        </w:tc>
        <w:tc>
          <w:tcPr>
            <w:tcW w:w="2192" w:type="dxa"/>
            <w:tcBorders>
              <w:top w:val="single" w:sz="8" w:space="0" w:color="auto"/>
              <w:left w:val="nil"/>
              <w:bottom w:val="single" w:sz="8" w:space="0" w:color="auto"/>
              <w:right w:val="nil"/>
            </w:tcBorders>
            <w:vAlign w:val="center"/>
          </w:tcPr>
          <w:p w14:paraId="6709C387" w14:textId="77777777" w:rsidR="00F60C07" w:rsidRDefault="00F60C07" w:rsidP="00F60C07">
            <w:pPr>
              <w:jc w:val="right"/>
            </w:pPr>
            <w:r>
              <w:t>0.06</w:t>
            </w:r>
          </w:p>
        </w:tc>
      </w:tr>
      <w:tr w:rsidR="00F60C07" w:rsidRPr="008E7E2B" w14:paraId="4E3CEE1E" w14:textId="77777777" w:rsidTr="000900D3">
        <w:trPr>
          <w:trHeight w:val="260"/>
        </w:trPr>
        <w:tc>
          <w:tcPr>
            <w:tcW w:w="7337" w:type="dxa"/>
            <w:gridSpan w:val="3"/>
            <w:tcBorders>
              <w:top w:val="single" w:sz="8" w:space="0" w:color="auto"/>
              <w:left w:val="nil"/>
              <w:bottom w:val="single" w:sz="18" w:space="0" w:color="auto"/>
              <w:right w:val="nil"/>
            </w:tcBorders>
            <w:vAlign w:val="center"/>
          </w:tcPr>
          <w:p w14:paraId="7952FD2F" w14:textId="77777777" w:rsidR="00F60C07" w:rsidRDefault="00F60C07" w:rsidP="000900D3">
            <w:pPr>
              <w:jc w:val="right"/>
            </w:pPr>
            <w:r>
              <w:rPr>
                <w:b/>
                <w:bCs/>
              </w:rPr>
              <w:t xml:space="preserve">Summary </w:t>
            </w:r>
          </w:p>
        </w:tc>
        <w:tc>
          <w:tcPr>
            <w:tcW w:w="2192" w:type="dxa"/>
            <w:tcBorders>
              <w:top w:val="single" w:sz="8" w:space="0" w:color="auto"/>
              <w:left w:val="nil"/>
              <w:bottom w:val="single" w:sz="18" w:space="0" w:color="auto"/>
              <w:right w:val="nil"/>
            </w:tcBorders>
            <w:vAlign w:val="center"/>
          </w:tcPr>
          <w:p w14:paraId="7FC7DC98" w14:textId="77777777" w:rsidR="00F60C07" w:rsidRDefault="00F60C07" w:rsidP="00F60C07">
            <w:pPr>
              <w:jc w:val="right"/>
              <w:rPr>
                <w:b/>
                <w:bCs/>
              </w:rPr>
            </w:pPr>
            <w:r>
              <w:rPr>
                <w:b/>
                <w:bCs/>
              </w:rPr>
              <w:t xml:space="preserve">1.17 </w:t>
            </w:r>
          </w:p>
          <w:p w14:paraId="3166C268" w14:textId="77777777" w:rsidR="00F60C07" w:rsidRPr="008E7E2B" w:rsidRDefault="00F60C07" w:rsidP="00F60C07">
            <w:pPr>
              <w:jc w:val="right"/>
              <w:rPr>
                <w:b/>
                <w:bCs/>
              </w:rPr>
            </w:pPr>
            <w:r>
              <w:rPr>
                <w:b/>
                <w:bCs/>
              </w:rPr>
              <w:t>(95% CI: 0.65-2.04)</w:t>
            </w:r>
          </w:p>
        </w:tc>
      </w:tr>
    </w:tbl>
    <w:p w14:paraId="71D77224" w14:textId="1287C2AD" w:rsidR="001815C3" w:rsidRDefault="00F60C07" w:rsidP="001815C3">
      <w:r>
        <w:t xml:space="preserve"> </w:t>
      </w:r>
      <w:r w:rsidR="001815C3">
        <w:br w:type="page"/>
      </w:r>
    </w:p>
    <w:tbl>
      <w:tblPr>
        <w:tblStyle w:val="TableGrid"/>
        <w:tblpPr w:leftFromText="180" w:rightFromText="180" w:vertAnchor="page" w:horzAnchor="margin" w:tblpY="2496"/>
        <w:tblW w:w="9529" w:type="dxa"/>
        <w:tblLook w:val="04A0" w:firstRow="1" w:lastRow="0" w:firstColumn="1" w:lastColumn="0" w:noHBand="0" w:noVBand="1"/>
      </w:tblPr>
      <w:tblGrid>
        <w:gridCol w:w="2367"/>
        <w:gridCol w:w="2311"/>
        <w:gridCol w:w="2659"/>
        <w:gridCol w:w="2192"/>
      </w:tblGrid>
      <w:tr w:rsidR="001815C3" w14:paraId="54CE8869" w14:textId="77777777" w:rsidTr="001C5BB0">
        <w:trPr>
          <w:trHeight w:val="510"/>
        </w:trPr>
        <w:tc>
          <w:tcPr>
            <w:tcW w:w="2367" w:type="dxa"/>
            <w:tcBorders>
              <w:top w:val="single" w:sz="18" w:space="0" w:color="auto"/>
              <w:left w:val="nil"/>
              <w:bottom w:val="single" w:sz="18" w:space="0" w:color="auto"/>
              <w:right w:val="nil"/>
            </w:tcBorders>
            <w:vAlign w:val="center"/>
          </w:tcPr>
          <w:p w14:paraId="7142C6F6" w14:textId="77777777" w:rsidR="001815C3" w:rsidRPr="00E22BD4" w:rsidRDefault="001815C3" w:rsidP="001C5BB0">
            <w:pPr>
              <w:rPr>
                <w:b/>
                <w:bCs/>
              </w:rPr>
            </w:pPr>
            <w:r w:rsidRPr="00E22BD4">
              <w:rPr>
                <w:b/>
                <w:bCs/>
              </w:rPr>
              <w:lastRenderedPageBreak/>
              <w:t xml:space="preserve">Study </w:t>
            </w:r>
          </w:p>
        </w:tc>
        <w:tc>
          <w:tcPr>
            <w:tcW w:w="2311" w:type="dxa"/>
            <w:tcBorders>
              <w:top w:val="single" w:sz="18" w:space="0" w:color="auto"/>
              <w:left w:val="nil"/>
              <w:bottom w:val="single" w:sz="18" w:space="0" w:color="auto"/>
              <w:right w:val="nil"/>
            </w:tcBorders>
            <w:vAlign w:val="center"/>
          </w:tcPr>
          <w:p w14:paraId="29D7BD2F" w14:textId="77777777" w:rsidR="001815C3" w:rsidRPr="00E22BD4" w:rsidRDefault="001815C3" w:rsidP="001C5BB0">
            <w:pPr>
              <w:jc w:val="right"/>
              <w:rPr>
                <w:b/>
                <w:bCs/>
              </w:rPr>
            </w:pPr>
            <w:r w:rsidRPr="00E22BD4">
              <w:rPr>
                <w:b/>
                <w:bCs/>
              </w:rPr>
              <w:t xml:space="preserve">Number of Index Cases </w:t>
            </w:r>
          </w:p>
        </w:tc>
        <w:tc>
          <w:tcPr>
            <w:tcW w:w="2659" w:type="dxa"/>
            <w:tcBorders>
              <w:top w:val="single" w:sz="18" w:space="0" w:color="auto"/>
              <w:left w:val="nil"/>
              <w:bottom w:val="single" w:sz="18" w:space="0" w:color="auto"/>
              <w:right w:val="nil"/>
            </w:tcBorders>
            <w:vAlign w:val="center"/>
          </w:tcPr>
          <w:p w14:paraId="54818A9E" w14:textId="77777777" w:rsidR="001815C3" w:rsidRPr="00E22BD4" w:rsidRDefault="001815C3" w:rsidP="001C5BB0">
            <w:pPr>
              <w:jc w:val="right"/>
              <w:rPr>
                <w:b/>
                <w:bCs/>
              </w:rPr>
            </w:pPr>
            <w:r w:rsidRPr="00E22BD4">
              <w:rPr>
                <w:b/>
                <w:bCs/>
              </w:rPr>
              <w:t xml:space="preserve">Number of Secondary cases </w:t>
            </w:r>
          </w:p>
        </w:tc>
        <w:tc>
          <w:tcPr>
            <w:tcW w:w="2192" w:type="dxa"/>
            <w:tcBorders>
              <w:top w:val="single" w:sz="18" w:space="0" w:color="auto"/>
              <w:left w:val="nil"/>
              <w:bottom w:val="single" w:sz="18" w:space="0" w:color="auto"/>
              <w:right w:val="nil"/>
            </w:tcBorders>
            <w:vAlign w:val="center"/>
          </w:tcPr>
          <w:p w14:paraId="08AFA160" w14:textId="77777777" w:rsidR="001815C3" w:rsidRPr="00E22BD4" w:rsidRDefault="001815C3" w:rsidP="001C5BB0">
            <w:pPr>
              <w:jc w:val="right"/>
              <w:rPr>
                <w:b/>
                <w:bCs/>
              </w:rPr>
            </w:pPr>
            <w:r w:rsidRPr="00E22BD4">
              <w:rPr>
                <w:b/>
                <w:bCs/>
              </w:rPr>
              <w:t>R</w:t>
            </w:r>
            <w:r w:rsidRPr="00E22BD4">
              <w:rPr>
                <w:b/>
                <w:bCs/>
                <w:vertAlign w:val="subscript"/>
              </w:rPr>
              <w:t>obs</w:t>
            </w:r>
          </w:p>
        </w:tc>
      </w:tr>
      <w:tr w:rsidR="001815C3" w14:paraId="4BAA4EFC" w14:textId="77777777" w:rsidTr="001C5BB0">
        <w:trPr>
          <w:trHeight w:val="249"/>
        </w:trPr>
        <w:tc>
          <w:tcPr>
            <w:tcW w:w="2367" w:type="dxa"/>
            <w:tcBorders>
              <w:top w:val="single" w:sz="18" w:space="0" w:color="auto"/>
              <w:left w:val="nil"/>
              <w:bottom w:val="single" w:sz="8" w:space="0" w:color="auto"/>
              <w:right w:val="nil"/>
            </w:tcBorders>
            <w:vAlign w:val="bottom"/>
          </w:tcPr>
          <w:p w14:paraId="12540840" w14:textId="62B176B9" w:rsidR="001815C3" w:rsidRDefault="001815C3" w:rsidP="001C5BB0">
            <w:proofErr w:type="spellStart"/>
            <w:r>
              <w:t>Bohmer</w:t>
            </w:r>
            <w:proofErr w:type="spellEnd"/>
            <w:r>
              <w:t xml:space="preserve"> et al</w:t>
            </w:r>
            <w:r w:rsidR="00503538">
              <w:t xml:space="preserve"> </w:t>
            </w:r>
            <w:r w:rsidR="00503538">
              <w:fldChar w:fldCharType="begin" w:fldLock="1"/>
            </w:r>
            <w:r w:rsidR="001B3AB4">
              <w:instrText>ADDIN CSL_CITATION {"citationItems":[{"id":"ITEM-1","itemData":{"DOI":"10.1016/S1473-3099(20)30314-5","ISBN":"1474-4457\r1473-3099","PMID":"32422201","abstract":"BACKGROUND: In December, 2019, the newly identified severe acute respiratory syndrome coronavirus 2 (SARS-CoV-2) emerged in Wuhan, China, causing COVID-19, a respiratory disease presenting with fever, cough, and often pneumonia. WHO has set the strategic objective to interrupt spread of SARS-CoV-2 worldwide. An outbreak in Bavaria, Germany, starting at the end of January, 2020, provided the opportunity to study transmission events, incubation period, and secondary attack rates. METHODS: A case was defined as a person with SARS-CoV-2 infection confirmed by RT-PCR. Case interviews were done to describe timing of onset and nature of symptoms and to identify and classify contacts as high risk (had cumulative face-to-face contact with a confirmed case for ≥15 min, direct contact with secretions or body fluids of a patient with confirmed COVID-19, or, in the case of health-care workers, had worked within 2 m of a patient with confirmed COVID-19 without personal protective equipment) or low risk (all other contacts). High-risk contacts were ordered to stay at home in quarantine for 14 days and were actively followed up and monitored for symptoms, and low-risk contacts were tested upon self-reporting of symptoms. We defined fever and cough as specific symptoms, and defined a prodromal phase as the presence of non-specific symptoms for at least 1 day before the onset of specific symptoms. Whole genome sequencing was used to confirm epidemiological links and clarify transmission events where contact histories were ambiguous; integration with epidemiological data enabled precise reconstruction of exposure events and incubation periods. Secondary attack rates were calculated as the number of cases divided by the number of contacts, using Fisher's exact test for the 95% CIs. FINDINGS: Patient 0 was a Chinese resident who visited Germany for professional reasons. 16 subsequent cases, often with mild and non-specific symptoms, emerged in four transmission generations. Signature mutations in the viral genome occurred upon foundation of generation 2, as well as in one case pertaining to generation 4. The median incubation period was 4·0 days (IQR 2·3-4·3) and the median serial interval was 4·0 days (3·0-5·0). Transmission events were likely to have occurred presymptomatically for one case (possibly five more), at the day of symptom onset for four cases (possibly five more), and the remainder after the day of symptom onset or unknown. One or two cases resulted from conta…","author":[{"dropping-particle":"","family":"Böhmer","given":"Merle M","non-dropping-particle":"","parse-names":false,"suffix":""},{"dropping-particle":"","family":"Buchholz","given":"Udo","non-dropping-particle":"","parse-names":false,"suffix":""},{"dropping-particle":"","family":"Corman","given":"Victor M","non-dropping-particle":"","parse-names":false,"suffix":""},{"dropping-particle":"","family":"Hoch","given":"Martin","non-dropping-particle":"","parse-names":false,"suffix":""},{"dropping-particle":"","family":"Katz","given":"Katharina","non-dropping-particle":"","parse-names":false,"suffix":""},{"dropping-particle":"V","family":"Marosevic","given":"Durdica","non-dropping-particle":"","parse-names":false,"suffix":""},{"dropping-particle":"","family":"Böhm","given":"Stefanie","non-dropping-particle":"","parse-names":false,"suffix":""},{"dropping-particle":"","family":"Woudenberg","given":"Tom","non-dropping-particle":"","parse-names":false,"suffix":""},{"dropping-particle":"","family":"Ackermann","given":"Nikolaus","non-dropping-particle":"","parse-names":false,"suffix":""},{"dropping-particle":"","family":"Konrad","given":"Regina","non-dropping-particle":"","parse-names":false,"suffix":""},{"dropping-particle":"","family":"Eberle","given":"Ute","non-dropping-particle":"","parse-names":false,"suffix":""},{"dropping-particle":"","family":"Treis","given":"Bianca","non-dropping-particle":"","parse-names":false,"suffix":""},{"dropping-particle":"","family":"Dangel","given":"Alexandra","non-dropping-particle":"","parse-names":false,"suffix":""},{"dropping-particle":"","family":"Bengs","given":"Katja","non-dropping-particle":"","parse-names":false,"suffix":""},{"dropping-particle":"","family":"Fingerle","given":"Volker","non-dropping-particle":"","parse-names":false,"suffix":""},{"dropping-particle":"","family":"Berger","given":"Anja","non-dropping-particle":"","parse-names":false,"suffix":""},{"dropping-particle":"","family":"Hörmansdorfer","given":"Stefan","non-dropping-particle":"","parse-names":false,"suffix":""},{"dropping-particle":"","family":"Ippisch","given":"Siegfried","non-dropping-particle":"","parse-names":false,"suffix":""},{"dropping-particle":"","family":"Wicklein","given":"Bernd","non-dropping-particle":"","parse-names":false,"suffix":""},{"dropping-particle":"","family":"Grahl","given":"Andreas","non-dropping-particle":"","parse-names":false,"suffix":""},{"dropping-particle":"","family":"Pörtner","given":"Kirsten","non-dropping-particle":"","parse-names":false,"suffix":""},{"dropping-particle":"","family":"Muller","given":"Nadine","non-dropping-particle":"","parse-names":false,"suffix":""},{"dropping-particle":"","family":"Zeitlmann","given":"Nadine","non-dropping-particle":"","parse-names":false,"suffix":""},{"dropping-particle":"","family":"Boender","given":"T Sonia","non-dropping-particle":"","parse-names":false,"suffix":""},{"dropping-particle":"","family":"Cai","given":"Wei","non-dropping-particle":"","parse-names":false,"suffix":""},{"dropping-particle":"","family":"Reich","given":"Andreas","non-dropping-particle":"","parse-names":false,"suffix":""},{"dropping-particle":"","family":"An der Heiden","given":"Maria","non-dropping-particle":"","parse-names":false,"suffix":""},{"dropping-particle":"","family":"Rexroth","given":"Ute","non-dropping-particle":"","parse-names":false,"suffix":""},{"dropping-particle":"","family":"Hamouda","given":"Osamah","non-dropping-particle":"","parse-names":false,"suffix":""},{"dropping-particle":"","family":"Schneider","given":"Julia","non-dropping-particle":"","parse-names":false,"suffix":""},{"dropping-particle":"","family":"Veith","given":"Talitha","non-dropping-particle":"","parse-names":false,"suffix":""},{"dropping-particle":"","family":"Mühlemann","given":"Barbara","non-dropping-particle":"","parse-names":false,"suffix":""},{"dropping-particle":"","family":"Wölfel","given":"Roman","non-dropping-particle":"","parse-names":false,"suffix":""},{"dropping-particle":"","family":"Antwerpen","given":"Markus","non-dropping-particle":"","parse-names":false,"suffix":""},{"dropping-particle":"","family":"Walter","given":"Mathias","non-dropping-particle":"","parse-names":false,"suffix":""},{"dropping-particle":"","family":"Protzer","given":"Ulrike","non-dropping-particle":"","parse-names":false,"suffix":""},{"dropping-particle":"","family":"Liebl","given":"Bernhard","non-dropping-particle":"","parse-names":false,"suffix":""},{"dropping-particle":"","family":"Haas","given":"Walter","non-dropping-particle":"","parse-names":false,"suffix":""},{"dropping-particle":"","family":"Sing","given":"Andreas","non-dropping-particle":"","parse-names":false,"suffix":""},{"dropping-particle":"","family":"Drosten","given":"Christian","non-dropping-particle":"","parse-names":false,"suffix":""},{"dropping-particle":"","family":"Zapf","given":"Andreas","non-dropping-particle":"","parse-names":false,"suffix":""}],"container-title":"The Lancet. Infectious diseases","edition":"2020/05/15","id":"ITEM-1","issue":"8","issued":{"date-parts":[["2020"]]},"language":"eng","note":"32422201[pmid]\nPMC7228725[pmcid]\nS1473-3099(20)30314-5[PII]","page":"920-928","publisher":"Elsevier Ltd.","title":"Investigation of a COVID-19 outbreak in Germany resulting from a single travel-associated primary case: a case series","type":"article-journal","volume":"20"},"uris":["http://www.mendeley.com/documents/?uuid=4d8c40b8-ee69-496e-89da-71221888c618"]}],"mendeley":{"formattedCitation":"[25]","plainTextFormattedCitation":"[25]","previouslyFormattedCitation":"[27]"},"properties":{"noteIndex":0},"schema":"https://github.com/citation-style-language/schema/raw/master/csl-citation.json"}</w:instrText>
            </w:r>
            <w:r w:rsidR="00503538">
              <w:fldChar w:fldCharType="separate"/>
            </w:r>
            <w:r w:rsidR="001B3AB4" w:rsidRPr="001B3AB4">
              <w:rPr>
                <w:noProof/>
              </w:rPr>
              <w:t>[25]</w:t>
            </w:r>
            <w:r w:rsidR="00503538">
              <w:fldChar w:fldCharType="end"/>
            </w:r>
          </w:p>
        </w:tc>
        <w:tc>
          <w:tcPr>
            <w:tcW w:w="2311" w:type="dxa"/>
            <w:tcBorders>
              <w:top w:val="single" w:sz="18" w:space="0" w:color="auto"/>
              <w:left w:val="nil"/>
              <w:bottom w:val="single" w:sz="8" w:space="0" w:color="auto"/>
              <w:right w:val="nil"/>
            </w:tcBorders>
            <w:vAlign w:val="center"/>
          </w:tcPr>
          <w:p w14:paraId="3CCD4C80" w14:textId="77777777" w:rsidR="001815C3" w:rsidRDefault="001815C3" w:rsidP="001C5BB0">
            <w:pPr>
              <w:jc w:val="right"/>
            </w:pPr>
            <w:r>
              <w:t>16</w:t>
            </w:r>
          </w:p>
        </w:tc>
        <w:tc>
          <w:tcPr>
            <w:tcW w:w="2659" w:type="dxa"/>
            <w:tcBorders>
              <w:top w:val="single" w:sz="18" w:space="0" w:color="auto"/>
              <w:left w:val="nil"/>
              <w:bottom w:val="single" w:sz="8" w:space="0" w:color="auto"/>
              <w:right w:val="nil"/>
            </w:tcBorders>
            <w:vAlign w:val="center"/>
          </w:tcPr>
          <w:p w14:paraId="2AFCAEC1" w14:textId="77777777" w:rsidR="001815C3" w:rsidRDefault="001815C3" w:rsidP="001C5BB0">
            <w:pPr>
              <w:jc w:val="right"/>
            </w:pPr>
            <w:r>
              <w:t>11</w:t>
            </w:r>
          </w:p>
        </w:tc>
        <w:tc>
          <w:tcPr>
            <w:tcW w:w="2192" w:type="dxa"/>
            <w:tcBorders>
              <w:top w:val="single" w:sz="18" w:space="0" w:color="auto"/>
              <w:left w:val="nil"/>
              <w:bottom w:val="single" w:sz="8" w:space="0" w:color="auto"/>
              <w:right w:val="nil"/>
            </w:tcBorders>
            <w:vAlign w:val="center"/>
          </w:tcPr>
          <w:p w14:paraId="3AC8FD4D" w14:textId="77777777" w:rsidR="001815C3" w:rsidRDefault="001815C3" w:rsidP="001C5BB0">
            <w:pPr>
              <w:jc w:val="right"/>
            </w:pPr>
            <w:r>
              <w:t>0.69</w:t>
            </w:r>
          </w:p>
        </w:tc>
      </w:tr>
      <w:tr w:rsidR="001815C3" w14:paraId="336365DB" w14:textId="77777777" w:rsidTr="001C5BB0">
        <w:trPr>
          <w:trHeight w:val="260"/>
        </w:trPr>
        <w:tc>
          <w:tcPr>
            <w:tcW w:w="2367" w:type="dxa"/>
            <w:tcBorders>
              <w:top w:val="single" w:sz="8" w:space="0" w:color="auto"/>
              <w:left w:val="nil"/>
              <w:bottom w:val="single" w:sz="8" w:space="0" w:color="auto"/>
              <w:right w:val="nil"/>
            </w:tcBorders>
            <w:vAlign w:val="bottom"/>
          </w:tcPr>
          <w:p w14:paraId="5FA4F57B" w14:textId="4F308C66" w:rsidR="001815C3" w:rsidRDefault="001815C3" w:rsidP="001C5BB0">
            <w:r>
              <w:t>Chaw et al</w:t>
            </w:r>
            <w:r w:rsidR="00503538">
              <w:t xml:space="preserve"> </w:t>
            </w:r>
            <w:r w:rsidR="00503538">
              <w:fldChar w:fldCharType="begin" w:fldLock="1"/>
            </w:r>
            <w:r w:rsidR="001B3AB4">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rsidR="00503538">
              <w:fldChar w:fldCharType="separate"/>
            </w:r>
            <w:r w:rsidR="001B3AB4" w:rsidRPr="001B3AB4">
              <w:rPr>
                <w:noProof/>
              </w:rPr>
              <w:t>[18]</w:t>
            </w:r>
            <w:r w:rsidR="00503538">
              <w:fldChar w:fldCharType="end"/>
            </w:r>
          </w:p>
        </w:tc>
        <w:tc>
          <w:tcPr>
            <w:tcW w:w="2311" w:type="dxa"/>
            <w:tcBorders>
              <w:top w:val="single" w:sz="8" w:space="0" w:color="auto"/>
              <w:left w:val="nil"/>
              <w:bottom w:val="single" w:sz="8" w:space="0" w:color="auto"/>
              <w:right w:val="nil"/>
            </w:tcBorders>
            <w:vAlign w:val="center"/>
          </w:tcPr>
          <w:p w14:paraId="566A6B04" w14:textId="77777777" w:rsidR="001815C3" w:rsidRDefault="001815C3" w:rsidP="001C5BB0">
            <w:pPr>
              <w:jc w:val="right"/>
            </w:pPr>
            <w:r>
              <w:t>19</w:t>
            </w:r>
          </w:p>
        </w:tc>
        <w:tc>
          <w:tcPr>
            <w:tcW w:w="2659" w:type="dxa"/>
            <w:tcBorders>
              <w:top w:val="single" w:sz="8" w:space="0" w:color="auto"/>
              <w:left w:val="nil"/>
              <w:bottom w:val="single" w:sz="8" w:space="0" w:color="auto"/>
              <w:right w:val="nil"/>
            </w:tcBorders>
            <w:vAlign w:val="center"/>
          </w:tcPr>
          <w:p w14:paraId="4B98518B" w14:textId="77777777" w:rsidR="001815C3" w:rsidRDefault="001815C3" w:rsidP="001C5BB0">
            <w:pPr>
              <w:jc w:val="right"/>
            </w:pPr>
            <w:r>
              <w:t>5</w:t>
            </w:r>
          </w:p>
        </w:tc>
        <w:tc>
          <w:tcPr>
            <w:tcW w:w="2192" w:type="dxa"/>
            <w:tcBorders>
              <w:top w:val="single" w:sz="8" w:space="0" w:color="auto"/>
              <w:left w:val="nil"/>
              <w:bottom w:val="single" w:sz="8" w:space="0" w:color="auto"/>
              <w:right w:val="nil"/>
            </w:tcBorders>
            <w:vAlign w:val="center"/>
          </w:tcPr>
          <w:p w14:paraId="2D7D1A36" w14:textId="77777777" w:rsidR="001815C3" w:rsidRDefault="001815C3" w:rsidP="001C5BB0">
            <w:pPr>
              <w:jc w:val="right"/>
            </w:pPr>
            <w:r>
              <w:t>0.26</w:t>
            </w:r>
          </w:p>
        </w:tc>
      </w:tr>
      <w:tr w:rsidR="001815C3" w14:paraId="48B75154" w14:textId="77777777" w:rsidTr="001C5BB0">
        <w:trPr>
          <w:trHeight w:val="249"/>
        </w:trPr>
        <w:tc>
          <w:tcPr>
            <w:tcW w:w="2367" w:type="dxa"/>
            <w:tcBorders>
              <w:top w:val="single" w:sz="8" w:space="0" w:color="auto"/>
              <w:left w:val="nil"/>
              <w:bottom w:val="single" w:sz="8" w:space="0" w:color="auto"/>
              <w:right w:val="nil"/>
            </w:tcBorders>
            <w:vAlign w:val="bottom"/>
          </w:tcPr>
          <w:p w14:paraId="07474D0B" w14:textId="102DB90A" w:rsidR="001815C3" w:rsidRDefault="001815C3" w:rsidP="001C5BB0">
            <w:r>
              <w:t>Jing et al</w:t>
            </w:r>
            <w:r w:rsidR="00503538">
              <w:t xml:space="preserve"> </w:t>
            </w:r>
            <w:r w:rsidR="00770785">
              <w:fldChar w:fldCharType="begin" w:fldLock="1"/>
            </w:r>
            <w:r w:rsidR="001B3AB4">
              <w:instrText>ADDIN CSL_CITATION {"citationItems":[{"id":"ITEM-1","itemData":{"ISBN":"1473-3099","author":[{"dropping-particle":"","family":"Jing","given":"Qin-Long","non-dropping-particle":"","parse-names":false,"suffix":""},{"dropping-particle":"","family":"Liu","given":"Ming-Jin","non-dropping-particle":"","parse-names":false,"suffix":""},{"dropping-particle":"","family":"Zhang","given":"Zhou-Bin","non-dropping-particle":"","parse-names":false,"suffix":""},{"dropping-particle":"","family":"Fang","given":"Li-Qun","non-dropping-particle":"","parse-names":false,"suffix":""},{"dropping-particle":"","family":"Yuan","given":"Jun","non-dropping-particle":"","parse-names":false,"suffix":""},{"dropping-particle":"","family":"Zhang","given":"An-Ran","non-dropping-particle":"","parse-names":false,"suffix":""},{"dropping-particle":"","family":"Dean","given":"Natalie E","non-dropping-particle":"","parse-names":false,"suffix":""},{"dropping-particle":"","family":"Luo","given":"Lei","non-dropping-particle":"","parse-names":false,"suffix":""},{"dropping-particle":"","family":"Ma","given":"Meng-Meng","non-dropping-particle":"","parse-names":false,"suffix":""},{"dropping-particle":"","family":"Longini","given":"Ira","non-dropping-particle":"","parse-names":false,"suffix":""}],"container-title":"The Lancet Infectious Diseases","id":"ITEM-1","issued":{"date-parts":[["2020"]]},"title":"Household secondary attack rate of COVID-19 and associated determinants in Guangzhou, China: a retrospective cohort study","type":"article-journal"},"uris":["http://www.mendeley.com/documents/?uuid=bf18fc7e-31b3-490c-a428-7aeea8d8096a"]}],"mendeley":{"formattedCitation":"[38]","plainTextFormattedCitation":"[38]","previouslyFormattedCitation":"[40]"},"properties":{"noteIndex":0},"schema":"https://github.com/citation-style-language/schema/raw/master/csl-citation.json"}</w:instrText>
            </w:r>
            <w:r w:rsidR="00770785">
              <w:fldChar w:fldCharType="separate"/>
            </w:r>
            <w:r w:rsidR="001B3AB4" w:rsidRPr="001B3AB4">
              <w:rPr>
                <w:noProof/>
              </w:rPr>
              <w:t>[38]</w:t>
            </w:r>
            <w:r w:rsidR="00770785">
              <w:fldChar w:fldCharType="end"/>
            </w:r>
          </w:p>
        </w:tc>
        <w:tc>
          <w:tcPr>
            <w:tcW w:w="2311" w:type="dxa"/>
            <w:tcBorders>
              <w:top w:val="single" w:sz="8" w:space="0" w:color="auto"/>
              <w:left w:val="nil"/>
              <w:bottom w:val="single" w:sz="8" w:space="0" w:color="auto"/>
              <w:right w:val="nil"/>
            </w:tcBorders>
            <w:vAlign w:val="center"/>
          </w:tcPr>
          <w:p w14:paraId="5563413D" w14:textId="77777777" w:rsidR="001815C3" w:rsidRDefault="001815C3" w:rsidP="001C5BB0">
            <w:pPr>
              <w:jc w:val="right"/>
            </w:pPr>
            <w:r>
              <w:t>215</w:t>
            </w:r>
          </w:p>
        </w:tc>
        <w:tc>
          <w:tcPr>
            <w:tcW w:w="2659" w:type="dxa"/>
            <w:tcBorders>
              <w:top w:val="single" w:sz="8" w:space="0" w:color="auto"/>
              <w:left w:val="nil"/>
              <w:bottom w:val="single" w:sz="8" w:space="0" w:color="auto"/>
              <w:right w:val="nil"/>
            </w:tcBorders>
            <w:vAlign w:val="center"/>
          </w:tcPr>
          <w:p w14:paraId="5BCA9B5F" w14:textId="77777777" w:rsidR="001815C3" w:rsidRDefault="001815C3" w:rsidP="001C5BB0">
            <w:pPr>
              <w:jc w:val="right"/>
            </w:pPr>
            <w:r>
              <w:t>31</w:t>
            </w:r>
          </w:p>
        </w:tc>
        <w:tc>
          <w:tcPr>
            <w:tcW w:w="2192" w:type="dxa"/>
            <w:tcBorders>
              <w:top w:val="single" w:sz="8" w:space="0" w:color="auto"/>
              <w:left w:val="nil"/>
              <w:bottom w:val="single" w:sz="8" w:space="0" w:color="auto"/>
              <w:right w:val="nil"/>
            </w:tcBorders>
            <w:vAlign w:val="center"/>
          </w:tcPr>
          <w:p w14:paraId="06B78007" w14:textId="77777777" w:rsidR="001815C3" w:rsidRDefault="001815C3" w:rsidP="001C5BB0">
            <w:pPr>
              <w:jc w:val="right"/>
            </w:pPr>
            <w:r>
              <w:t>0.14</w:t>
            </w:r>
          </w:p>
        </w:tc>
      </w:tr>
      <w:tr w:rsidR="001815C3" w:rsidRPr="008E7E2B" w14:paraId="2EF3EC05" w14:textId="77777777" w:rsidTr="001C5BB0">
        <w:trPr>
          <w:trHeight w:val="260"/>
        </w:trPr>
        <w:tc>
          <w:tcPr>
            <w:tcW w:w="7337" w:type="dxa"/>
            <w:gridSpan w:val="3"/>
            <w:tcBorders>
              <w:top w:val="single" w:sz="8" w:space="0" w:color="auto"/>
              <w:left w:val="nil"/>
              <w:bottom w:val="single" w:sz="18" w:space="0" w:color="auto"/>
              <w:right w:val="nil"/>
            </w:tcBorders>
            <w:vAlign w:val="center"/>
          </w:tcPr>
          <w:p w14:paraId="3BB7D39D" w14:textId="77777777" w:rsidR="001815C3" w:rsidRDefault="001815C3" w:rsidP="001C5BB0">
            <w:pPr>
              <w:jc w:val="right"/>
            </w:pPr>
            <w:r>
              <w:rPr>
                <w:b/>
                <w:bCs/>
              </w:rPr>
              <w:t xml:space="preserve">Summary </w:t>
            </w:r>
          </w:p>
        </w:tc>
        <w:tc>
          <w:tcPr>
            <w:tcW w:w="2192" w:type="dxa"/>
            <w:tcBorders>
              <w:top w:val="single" w:sz="8" w:space="0" w:color="auto"/>
              <w:left w:val="nil"/>
              <w:bottom w:val="single" w:sz="18" w:space="0" w:color="auto"/>
              <w:right w:val="nil"/>
            </w:tcBorders>
            <w:vAlign w:val="center"/>
          </w:tcPr>
          <w:p w14:paraId="163E0E8C" w14:textId="77777777" w:rsidR="001815C3" w:rsidRDefault="001815C3" w:rsidP="001C5BB0">
            <w:pPr>
              <w:jc w:val="right"/>
              <w:rPr>
                <w:b/>
                <w:bCs/>
              </w:rPr>
            </w:pPr>
            <w:r>
              <w:rPr>
                <w:b/>
                <w:bCs/>
              </w:rPr>
              <w:t>0.38</w:t>
            </w:r>
          </w:p>
          <w:p w14:paraId="65C0C289" w14:textId="77777777" w:rsidR="001815C3" w:rsidRPr="008E7E2B" w:rsidRDefault="001815C3" w:rsidP="001C5BB0">
            <w:pPr>
              <w:jc w:val="right"/>
              <w:rPr>
                <w:b/>
                <w:bCs/>
              </w:rPr>
            </w:pPr>
            <w:r>
              <w:rPr>
                <w:b/>
                <w:bCs/>
              </w:rPr>
              <w:t>(95% CI: 0.01-0.64)</w:t>
            </w:r>
          </w:p>
        </w:tc>
      </w:tr>
    </w:tbl>
    <w:p w14:paraId="780EBC69" w14:textId="7D4BE30E" w:rsidR="001815C3" w:rsidRDefault="001815C3" w:rsidP="001815C3">
      <w:r w:rsidRPr="000D1FB5">
        <w:rPr>
          <w:b/>
          <w:bCs/>
          <w:sz w:val="20"/>
          <w:szCs w:val="20"/>
        </w:rPr>
        <w:t xml:space="preserve">Table 11 </w:t>
      </w:r>
      <w:r w:rsidR="000C65CB" w:rsidRPr="000D1FB5">
        <w:rPr>
          <w:b/>
          <w:bCs/>
          <w:sz w:val="20"/>
          <w:szCs w:val="20"/>
        </w:rPr>
        <w:t xml:space="preserve">Observed and </w:t>
      </w:r>
      <w:r w:rsidR="00F60C07" w:rsidRPr="000D1FB5">
        <w:rPr>
          <w:b/>
          <w:bCs/>
          <w:sz w:val="20"/>
          <w:szCs w:val="20"/>
        </w:rPr>
        <w:t>Poisson-Gamma estimated R</w:t>
      </w:r>
      <w:r w:rsidR="00F60C07" w:rsidRPr="000D1FB5">
        <w:rPr>
          <w:b/>
          <w:bCs/>
          <w:sz w:val="20"/>
          <w:szCs w:val="20"/>
          <w:vertAlign w:val="subscript"/>
        </w:rPr>
        <w:t>obs</w:t>
      </w:r>
      <w:r w:rsidR="00F60C07" w:rsidRPr="000D1FB5">
        <w:rPr>
          <w:b/>
          <w:bCs/>
          <w:sz w:val="20"/>
          <w:szCs w:val="20"/>
        </w:rPr>
        <w:t xml:space="preserve"> across </w:t>
      </w:r>
      <w:r w:rsidR="00975EE1" w:rsidRPr="000D1FB5">
        <w:rPr>
          <w:b/>
          <w:bCs/>
          <w:sz w:val="20"/>
          <w:szCs w:val="20"/>
        </w:rPr>
        <w:t>family and friend contacts</w:t>
      </w:r>
      <w:r w:rsidR="00F60C07" w:rsidRPr="000D1FB5">
        <w:rPr>
          <w:b/>
          <w:bCs/>
          <w:sz w:val="20"/>
          <w:szCs w:val="20"/>
        </w:rPr>
        <w:t xml:space="preserve">. </w:t>
      </w:r>
      <w:r w:rsidR="00883280">
        <w:rPr>
          <w:b/>
          <w:bCs/>
          <w:sz w:val="20"/>
          <w:szCs w:val="20"/>
        </w:rPr>
        <w:t xml:space="preserve">Only three </w:t>
      </w:r>
      <w:r w:rsidR="00883280">
        <w:rPr>
          <w:sz w:val="20"/>
          <w:szCs w:val="20"/>
        </w:rPr>
        <w:t>s</w:t>
      </w:r>
      <w:r w:rsidR="00F60C07" w:rsidRPr="000D1FB5">
        <w:rPr>
          <w:sz w:val="20"/>
          <w:szCs w:val="20"/>
        </w:rPr>
        <w:t xml:space="preserve">tudies were included in the pooling where it was clear the number of index cases listed all had </w:t>
      </w:r>
      <w:r w:rsidR="00975EE1" w:rsidRPr="000D1FB5">
        <w:rPr>
          <w:sz w:val="20"/>
          <w:szCs w:val="20"/>
        </w:rPr>
        <w:t xml:space="preserve">family and friend contacts. </w:t>
      </w:r>
      <w:r>
        <w:br w:type="page"/>
      </w:r>
    </w:p>
    <w:tbl>
      <w:tblPr>
        <w:tblStyle w:val="TableGrid"/>
        <w:tblpPr w:leftFromText="180" w:rightFromText="180" w:vertAnchor="page" w:horzAnchor="margin" w:tblpY="2582"/>
        <w:tblW w:w="9529" w:type="dxa"/>
        <w:tblLook w:val="04A0" w:firstRow="1" w:lastRow="0" w:firstColumn="1" w:lastColumn="0" w:noHBand="0" w:noVBand="1"/>
      </w:tblPr>
      <w:tblGrid>
        <w:gridCol w:w="2367"/>
        <w:gridCol w:w="2311"/>
        <w:gridCol w:w="2659"/>
        <w:gridCol w:w="2192"/>
      </w:tblGrid>
      <w:tr w:rsidR="000900D3" w14:paraId="77051C1C" w14:textId="77777777" w:rsidTr="008308F0">
        <w:trPr>
          <w:trHeight w:val="510"/>
        </w:trPr>
        <w:tc>
          <w:tcPr>
            <w:tcW w:w="2367" w:type="dxa"/>
            <w:tcBorders>
              <w:top w:val="single" w:sz="18" w:space="0" w:color="auto"/>
              <w:left w:val="nil"/>
              <w:bottom w:val="single" w:sz="18" w:space="0" w:color="auto"/>
              <w:right w:val="nil"/>
            </w:tcBorders>
            <w:vAlign w:val="center"/>
          </w:tcPr>
          <w:p w14:paraId="15E48E52" w14:textId="77777777" w:rsidR="000900D3" w:rsidRPr="00E22BD4" w:rsidRDefault="000900D3" w:rsidP="008308F0">
            <w:pPr>
              <w:rPr>
                <w:b/>
                <w:bCs/>
              </w:rPr>
            </w:pPr>
            <w:r w:rsidRPr="00E22BD4">
              <w:rPr>
                <w:b/>
                <w:bCs/>
              </w:rPr>
              <w:lastRenderedPageBreak/>
              <w:t xml:space="preserve">Study </w:t>
            </w:r>
          </w:p>
        </w:tc>
        <w:tc>
          <w:tcPr>
            <w:tcW w:w="2311" w:type="dxa"/>
            <w:tcBorders>
              <w:top w:val="single" w:sz="18" w:space="0" w:color="auto"/>
              <w:left w:val="nil"/>
              <w:bottom w:val="single" w:sz="18" w:space="0" w:color="auto"/>
              <w:right w:val="nil"/>
            </w:tcBorders>
            <w:vAlign w:val="center"/>
          </w:tcPr>
          <w:p w14:paraId="7C349F40" w14:textId="77777777" w:rsidR="000900D3" w:rsidRPr="00E22BD4" w:rsidRDefault="000900D3" w:rsidP="008308F0">
            <w:pPr>
              <w:jc w:val="right"/>
              <w:rPr>
                <w:b/>
                <w:bCs/>
              </w:rPr>
            </w:pPr>
            <w:r w:rsidRPr="00E22BD4">
              <w:rPr>
                <w:b/>
                <w:bCs/>
              </w:rPr>
              <w:t xml:space="preserve">Number of Index Cases </w:t>
            </w:r>
          </w:p>
        </w:tc>
        <w:tc>
          <w:tcPr>
            <w:tcW w:w="2659" w:type="dxa"/>
            <w:tcBorders>
              <w:top w:val="single" w:sz="18" w:space="0" w:color="auto"/>
              <w:left w:val="nil"/>
              <w:bottom w:val="single" w:sz="18" w:space="0" w:color="auto"/>
              <w:right w:val="nil"/>
            </w:tcBorders>
            <w:vAlign w:val="center"/>
          </w:tcPr>
          <w:p w14:paraId="09CE54B0" w14:textId="77777777" w:rsidR="000900D3" w:rsidRPr="00E22BD4" w:rsidRDefault="000900D3" w:rsidP="008308F0">
            <w:pPr>
              <w:jc w:val="right"/>
              <w:rPr>
                <w:b/>
                <w:bCs/>
              </w:rPr>
            </w:pPr>
            <w:r w:rsidRPr="00E22BD4">
              <w:rPr>
                <w:b/>
                <w:bCs/>
              </w:rPr>
              <w:t xml:space="preserve">Number of Secondary cases </w:t>
            </w:r>
          </w:p>
        </w:tc>
        <w:tc>
          <w:tcPr>
            <w:tcW w:w="2192" w:type="dxa"/>
            <w:tcBorders>
              <w:top w:val="single" w:sz="18" w:space="0" w:color="auto"/>
              <w:left w:val="nil"/>
              <w:bottom w:val="single" w:sz="18" w:space="0" w:color="auto"/>
              <w:right w:val="nil"/>
            </w:tcBorders>
            <w:vAlign w:val="center"/>
          </w:tcPr>
          <w:p w14:paraId="4B938FEC" w14:textId="77777777" w:rsidR="000900D3" w:rsidRPr="00E22BD4" w:rsidRDefault="000900D3" w:rsidP="008308F0">
            <w:pPr>
              <w:jc w:val="right"/>
              <w:rPr>
                <w:b/>
                <w:bCs/>
              </w:rPr>
            </w:pPr>
            <w:r w:rsidRPr="00E22BD4">
              <w:rPr>
                <w:b/>
                <w:bCs/>
              </w:rPr>
              <w:t>R</w:t>
            </w:r>
            <w:r w:rsidRPr="00E22BD4">
              <w:rPr>
                <w:b/>
                <w:bCs/>
                <w:vertAlign w:val="subscript"/>
              </w:rPr>
              <w:t>obs</w:t>
            </w:r>
          </w:p>
        </w:tc>
      </w:tr>
      <w:tr w:rsidR="000900D3" w14:paraId="18E8AC79" w14:textId="77777777" w:rsidTr="008308F0">
        <w:trPr>
          <w:trHeight w:val="401"/>
        </w:trPr>
        <w:tc>
          <w:tcPr>
            <w:tcW w:w="9529" w:type="dxa"/>
            <w:gridSpan w:val="4"/>
            <w:tcBorders>
              <w:top w:val="single" w:sz="18" w:space="0" w:color="auto"/>
              <w:left w:val="nil"/>
              <w:bottom w:val="single" w:sz="8" w:space="0" w:color="auto"/>
              <w:right w:val="nil"/>
            </w:tcBorders>
            <w:vAlign w:val="center"/>
          </w:tcPr>
          <w:p w14:paraId="1A145409" w14:textId="77777777" w:rsidR="000900D3" w:rsidRPr="008E7E2B" w:rsidRDefault="000900D3" w:rsidP="008308F0">
            <w:pPr>
              <w:rPr>
                <w:b/>
                <w:bCs/>
              </w:rPr>
            </w:pPr>
            <w:r>
              <w:rPr>
                <w:b/>
                <w:bCs/>
              </w:rPr>
              <w:t>Index case aged 0-19 years</w:t>
            </w:r>
            <w:r w:rsidRPr="008E7E2B">
              <w:rPr>
                <w:b/>
                <w:bCs/>
              </w:rPr>
              <w:t xml:space="preserve"> </w:t>
            </w:r>
          </w:p>
        </w:tc>
      </w:tr>
      <w:tr w:rsidR="000900D3" w14:paraId="3B94ED36" w14:textId="77777777" w:rsidTr="008308F0">
        <w:trPr>
          <w:trHeight w:val="260"/>
        </w:trPr>
        <w:tc>
          <w:tcPr>
            <w:tcW w:w="2367" w:type="dxa"/>
            <w:tcBorders>
              <w:top w:val="single" w:sz="8" w:space="0" w:color="auto"/>
              <w:left w:val="nil"/>
              <w:bottom w:val="single" w:sz="8" w:space="0" w:color="auto"/>
              <w:right w:val="nil"/>
            </w:tcBorders>
            <w:vAlign w:val="bottom"/>
          </w:tcPr>
          <w:p w14:paraId="312D5136" w14:textId="7E0E400C" w:rsidR="000900D3" w:rsidRDefault="000900D3" w:rsidP="008308F0">
            <w:r>
              <w:t xml:space="preserve">Chaw et al </w:t>
            </w:r>
            <w:r w:rsidR="00770785">
              <w:fldChar w:fldCharType="begin" w:fldLock="1"/>
            </w:r>
            <w:r w:rsidR="001B3AB4">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rsidR="00770785">
              <w:fldChar w:fldCharType="separate"/>
            </w:r>
            <w:r w:rsidR="001B3AB4" w:rsidRPr="001B3AB4">
              <w:rPr>
                <w:noProof/>
              </w:rPr>
              <w:t>[18]</w:t>
            </w:r>
            <w:r w:rsidR="00770785">
              <w:fldChar w:fldCharType="end"/>
            </w:r>
          </w:p>
        </w:tc>
        <w:tc>
          <w:tcPr>
            <w:tcW w:w="2311" w:type="dxa"/>
            <w:tcBorders>
              <w:top w:val="single" w:sz="8" w:space="0" w:color="auto"/>
              <w:left w:val="nil"/>
              <w:bottom w:val="single" w:sz="8" w:space="0" w:color="auto"/>
              <w:right w:val="nil"/>
            </w:tcBorders>
            <w:vAlign w:val="center"/>
          </w:tcPr>
          <w:p w14:paraId="32914163" w14:textId="77777777" w:rsidR="000900D3" w:rsidRDefault="000900D3" w:rsidP="008308F0">
            <w:pPr>
              <w:jc w:val="right"/>
            </w:pPr>
            <w:r>
              <w:t>1</w:t>
            </w:r>
          </w:p>
        </w:tc>
        <w:tc>
          <w:tcPr>
            <w:tcW w:w="2659" w:type="dxa"/>
            <w:tcBorders>
              <w:top w:val="single" w:sz="8" w:space="0" w:color="auto"/>
              <w:left w:val="nil"/>
              <w:bottom w:val="single" w:sz="8" w:space="0" w:color="auto"/>
              <w:right w:val="nil"/>
            </w:tcBorders>
            <w:vAlign w:val="center"/>
          </w:tcPr>
          <w:p w14:paraId="0986325C" w14:textId="77777777" w:rsidR="000900D3" w:rsidRDefault="000900D3" w:rsidP="008308F0">
            <w:pPr>
              <w:jc w:val="right"/>
            </w:pPr>
            <w:r>
              <w:t>1</w:t>
            </w:r>
          </w:p>
        </w:tc>
        <w:tc>
          <w:tcPr>
            <w:tcW w:w="2192" w:type="dxa"/>
            <w:tcBorders>
              <w:top w:val="single" w:sz="8" w:space="0" w:color="auto"/>
              <w:left w:val="nil"/>
              <w:bottom w:val="single" w:sz="8" w:space="0" w:color="auto"/>
              <w:right w:val="nil"/>
            </w:tcBorders>
            <w:vAlign w:val="center"/>
          </w:tcPr>
          <w:p w14:paraId="7C469A28" w14:textId="77777777" w:rsidR="000900D3" w:rsidRDefault="000900D3" w:rsidP="008308F0">
            <w:pPr>
              <w:jc w:val="right"/>
            </w:pPr>
            <w:r>
              <w:t>1.00</w:t>
            </w:r>
          </w:p>
        </w:tc>
      </w:tr>
      <w:tr w:rsidR="000900D3" w14:paraId="780A9A72" w14:textId="77777777" w:rsidTr="008308F0">
        <w:trPr>
          <w:trHeight w:val="249"/>
        </w:trPr>
        <w:tc>
          <w:tcPr>
            <w:tcW w:w="2367" w:type="dxa"/>
            <w:tcBorders>
              <w:top w:val="single" w:sz="8" w:space="0" w:color="auto"/>
              <w:left w:val="nil"/>
              <w:bottom w:val="single" w:sz="8" w:space="0" w:color="auto"/>
              <w:right w:val="nil"/>
            </w:tcBorders>
            <w:vAlign w:val="bottom"/>
          </w:tcPr>
          <w:p w14:paraId="5B5D140C" w14:textId="58BDCEF9" w:rsidR="000900D3" w:rsidRDefault="000900D3" w:rsidP="008308F0">
            <w:r w:rsidRPr="007934F2">
              <w:rPr>
                <w:lang w:val="nl-NL"/>
              </w:rPr>
              <w:t xml:space="preserve">Van der Hoek et al </w:t>
            </w:r>
            <w:r w:rsidR="00770785">
              <w:fldChar w:fldCharType="begin" w:fldLock="1"/>
            </w:r>
            <w:r w:rsidR="001B3AB4">
              <w:rPr>
                <w:lang w:val="nl-NL"/>
              </w:rPr>
              <w:instrText>ADDIN CSL_CITATION {"citationItems":[{"id":"ITEM-1","itemData":{"ISBN":"0028-2162","PMID":"32749807","abstract":"OBJECTIVE: To determine whether children play a role in the transmission of SARS-CoV-2 to other children and adults, and to gain insight into symptomatic and asymptomatic infections in children. DESIGN: Analysis of national COVID-19 notifications and prospective observational study in families with children. METHOD: Information about COVID-19 patients and their contacts was obtained from the registration systems used by the public health services. In an ongoing study, patients with COVID-19 were asked to participate if they have a family with children. On two occasions nose-throat swabs and blood were collected for PCR analysis and determination of antibodies against SARS-CoV-2. RESULTS: The notifications suggest that transmission finds place mainly between adults and to a lesser extent between parents and children. For the family study, data were available from 54 households with a total of 227 participants. In families of a confirmed COVID-19 patient, children between 1 and 11 years were less often positive in PCR and serology than older children and adults. CONCLUSION: The study gives no indications that children play an important role in the transmission of SARS-CoV-2. Children can indeed become infected, but transmission mainly takes place between adult peers and from adult family members to children. Transmission among children or from children to adults, as is known in influenza, appears to be less common. Ongoing studies should provide important information for further decision-making on control measures, such as closure of schools.","author":[{"dropping-particle":"","family":"Hoek","given":"W","non-dropping-particle":"van der","parse-names":false,"suffix":""},{"dropping-particle":"","family":"Backer","given":"J A","non-dropping-particle":"","parse-names":false,"suffix":""},{"dropping-particle":"","family":"Bodewes","given":"R","non-dropping-particle":"","parse-names":false,"suffix":""},{"dropping-particle":"","family":"Friesema","given":"I","non-dropping-particle":"","parse-names":false,"suffix":""},{"dropping-particle":"","family":"Meijer","given":"A","non-dropping-particle":"","parse-names":false,"suffix":""},{"dropping-particle":"","family":"Pijnacker","given":"R","non-dropping-particle":"","parse-names":false,"suffix":""},{"dropping-particle":"","family":"Reukers","given":"D F M","non-dropping-particle":"","parse-names":false,"suffix":""},{"dropping-particle":"","family":"Reusken","given":"C","non-dropping-particle":"","parse-names":false,"suffix":""},{"dropping-particle":"","family":"Roof","given":"I","non-dropping-particle":"","parse-names":false,"suffix":""},{"dropping-particle":"","family":"Rots","given":"N","non-dropping-particle":"","parse-names":false,"suffix":""},{"dropping-particle":"","family":"Wierik","given":"M J M","non-dropping-particle":"Te","parse-names":false,"suffix":""},{"dropping-particle":"","family":"Gageldonk-Lafeber","given":"A B","non-dropping-particle":"van","parse-names":false,"suffix":""},{"dropping-particle":"","family":"Waegemaekers","given":"Chfm","non-dropping-particle":"","parse-names":false,"suffix":""},{"dropping-particle":"","family":"Hof","given":"S","non-dropping-particle":"van den","parse-names":false,"suffix":""}],"container-title":"Ned Tijdschr Geneeskd","edition":"2020/08/05","id":"ITEM-1","issued":{"date-parts":[["2020"]]},"language":"dut","note":"1876-8784\nvan der Hoek, Wim\nBacker, Jantien A\nBodewes, Rogier\nFriesema, Ingrid\nMeijer, Adam\nPijnacker, Roan\nReukers, Daphne F M\nReusken, Chantal\nRoof, Inge\nRots, Nynke\nTe Wierik, Margreet J M\nvan Gageldonk-Lafeber, A B\nWaegemaekers, C H F M\nvan den Hof, Susan\nEnglish Abstract\nJournal Article\nNetherlands\nNed Tijdschr Geneeskd. 2020 Jun 3;164:D5140.","title":"[The role of children in the transmission of SARS-CoV-2]","type":"article-journal","volume":"164"},"uris":["http://www.mendeley.com/documents/?uuid=a99bee26-210b-4094-9dae-8280ba985dac"]}],"mendeley":{"formattedCitation":"[50]","plainTextFormattedCitation":"[50]","previouslyFormattedCitation":"[52]"},"properties":{"noteIndex":0},"schema":"https://github.com/citation-style-language/schema/raw/master/csl-citation.json"}</w:instrText>
            </w:r>
            <w:r w:rsidR="00770785">
              <w:fldChar w:fldCharType="separate"/>
            </w:r>
            <w:r w:rsidR="001B3AB4" w:rsidRPr="001B3AB4">
              <w:rPr>
                <w:noProof/>
              </w:rPr>
              <w:t>[50]</w:t>
            </w:r>
            <w:r w:rsidR="00770785">
              <w:fldChar w:fldCharType="end"/>
            </w:r>
          </w:p>
        </w:tc>
        <w:tc>
          <w:tcPr>
            <w:tcW w:w="2311" w:type="dxa"/>
            <w:tcBorders>
              <w:top w:val="single" w:sz="8" w:space="0" w:color="auto"/>
              <w:left w:val="nil"/>
              <w:bottom w:val="single" w:sz="8" w:space="0" w:color="auto"/>
              <w:right w:val="nil"/>
            </w:tcBorders>
            <w:vAlign w:val="center"/>
          </w:tcPr>
          <w:p w14:paraId="1CD6EBA0" w14:textId="77777777" w:rsidR="000900D3" w:rsidRDefault="000900D3" w:rsidP="008308F0">
            <w:pPr>
              <w:jc w:val="right"/>
            </w:pPr>
            <w:r>
              <w:t>10</w:t>
            </w:r>
          </w:p>
        </w:tc>
        <w:tc>
          <w:tcPr>
            <w:tcW w:w="2659" w:type="dxa"/>
            <w:tcBorders>
              <w:top w:val="single" w:sz="8" w:space="0" w:color="auto"/>
              <w:left w:val="nil"/>
              <w:bottom w:val="single" w:sz="8" w:space="0" w:color="auto"/>
              <w:right w:val="nil"/>
            </w:tcBorders>
            <w:vAlign w:val="center"/>
          </w:tcPr>
          <w:p w14:paraId="7C1A15BD" w14:textId="77777777" w:rsidR="000900D3" w:rsidRDefault="000900D3" w:rsidP="008308F0">
            <w:pPr>
              <w:jc w:val="right"/>
            </w:pPr>
            <w:r>
              <w:t>0</w:t>
            </w:r>
          </w:p>
        </w:tc>
        <w:tc>
          <w:tcPr>
            <w:tcW w:w="2192" w:type="dxa"/>
            <w:tcBorders>
              <w:top w:val="single" w:sz="8" w:space="0" w:color="auto"/>
              <w:left w:val="nil"/>
              <w:bottom w:val="single" w:sz="8" w:space="0" w:color="auto"/>
              <w:right w:val="nil"/>
            </w:tcBorders>
            <w:vAlign w:val="center"/>
          </w:tcPr>
          <w:p w14:paraId="0FC0F1D8" w14:textId="77777777" w:rsidR="000900D3" w:rsidRDefault="000900D3" w:rsidP="008308F0">
            <w:pPr>
              <w:jc w:val="right"/>
            </w:pPr>
            <w:r>
              <w:t>0.00</w:t>
            </w:r>
          </w:p>
        </w:tc>
      </w:tr>
      <w:tr w:rsidR="000900D3" w14:paraId="5507C510" w14:textId="77777777" w:rsidTr="008308F0">
        <w:trPr>
          <w:trHeight w:val="260"/>
        </w:trPr>
        <w:tc>
          <w:tcPr>
            <w:tcW w:w="2367" w:type="dxa"/>
            <w:tcBorders>
              <w:top w:val="single" w:sz="8" w:space="0" w:color="auto"/>
              <w:left w:val="nil"/>
              <w:bottom w:val="single" w:sz="8" w:space="0" w:color="auto"/>
              <w:right w:val="nil"/>
            </w:tcBorders>
            <w:vAlign w:val="bottom"/>
          </w:tcPr>
          <w:p w14:paraId="49D40358" w14:textId="621D0E92" w:rsidR="000900D3" w:rsidRDefault="000900D3" w:rsidP="008308F0">
            <w:r>
              <w:t xml:space="preserve">Bi et al </w:t>
            </w:r>
            <w:r w:rsidR="00770785">
              <w:fldChar w:fldCharType="begin" w:fldLock="1"/>
            </w:r>
            <w:r w:rsidR="001B3AB4">
              <w:instrText>ADDIN CSL_CITATION {"citationItems":[{"id":"ITEM-1","itemData":{"DOI":"10.1016/S1473-3099(20)30287-5","ISBN":"1474-4457\r1473-3099","PMID":"32353347","abstract":"BACKGROUND: Rapid spread of severe acute respiratory syndrome coronavirus 2 (SARS-CoV-2) in Wuhan, China, prompted heightened surveillance in Shenzhen, China. The resulting data provide a rare opportunity to measure key metrics of disease course, transmission, and the impact of control measures. METHODS: 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 FINDINGS: 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vs population average of 6·6%). The observed reproductive number (R) was 0·4 (95% CI 0·3-0·5), with a mean serial interval of 6·3 days (95% CI 5·2-7·6). INTERPRETATION: Our data on cases as well as their infected and uninfected close contacts provide key insights into the epidemiology of SARS-CoV-2. This analysis shows that isolation and contact tracing reduce the time during which cases are infectious in the community, thereby reducing the R.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 FUNDING: Emergency Response Program of Harbin Institute of Technology, Emergency Response Program of Peng Cheng Laboratory, US Cente…","author":[{"dropping-particle":"","family":"Bi","given":"Qifang","non-dropping-particle":"","parse-names":false,"suffix":""},{"dropping-particle":"","family":"Wu","given":"Yongsheng","non-dropping-particle":"","parse-names":false,"suffix":""},{"dropping-particle":"","family":"Mei","given":"Shujiang","non-dropping-particle":"","parse-names":false,"suffix":""},{"dropping-particle":"","family":"Ye","given":"Chenfei","non-dropping-particle":"","parse-names":false,"suffix":""},{"dropping-particle":"","family":"Zou","given":"Xuan","non-dropping-particle":"","parse-names":false,"suffix":""},{"dropping-particle":"","family":"Zhang","given":"Zhen","non-dropping-particle":"","parse-names":false,"suffix":""},{"dropping-particle":"","family":"Liu","given":"Xiaojian","non-dropping-particle":"","parse-names":false,"suffix":""},{"dropping-particle":"","family":"Wei","given":"Lan","non-dropping-particle":"","parse-names":false,"suffix":""},{"dropping-particle":"","family":"Truelove","given":"Shaun A","non-dropping-particle":"","parse-names":false,"suffix":""},{"dropping-particle":"","family":"Zhang","given":"Tong","non-dropping-particle":"","parse-names":false,"suffix":""},{"dropping-particle":"","family":"Gao","given":"Wei","non-dropping-particle":"","parse-names":false,"suffix":""},{"dropping-particle":"","family":"Cheng","given":"Cong","non-dropping-particle":"","parse-names":false,"suffix":""},{"dropping-particle":"","family":"Tang","given":"Xiujuan","non-dropping-particle":"","parse-names":false,"suffix":""},{"dropping-particle":"","family":"Wu","given":"Xiaoliang","non-dropping-particle":"","parse-names":false,"suffix":""},{"dropping-particle":"","family":"Wu","given":"Yu","non-dropping-particle":"","parse-names":false,"suffix":""},{"dropping-particle":"","family":"Sun","given":"Binbin","non-dropping-particle":"","parse-names":false,"suffix":""},{"dropping-particle":"","family":"Huang","given":"Suli","non-dropping-particle":"","parse-names":false,"suffix":""},{"dropping-particle":"","family":"Sun","given":"Yu","non-dropping-particle":"","parse-names":false,"suffix":""},{"dropping-particle":"","family":"Zhang","given":"Juncen","non-dropping-particle":"","parse-names":false,"suffix":""},{"dropping-particle":"","family":"Ma","given":"Ting","non-dropping-particle":"","parse-names":false,"suffix":""},{"dropping-particle":"","family":"Lessler","given":"Justin","non-dropping-particle":"","parse-names":false,"suffix":""},{"dropping-particle":"","family":"Feng","given":"Tiejian","non-dropping-particle":"","parse-names":false,"suffix":""}],"container-title":"The Lancet. Infectious diseases","edition":"2020/04/27","id":"ITEM-1","issue":"8","issued":{"date-parts":[["2020"]]},"language":"eng","note":"32353347[pmid]\nPMC7185944[pmcid]\nS1473-3099(20)30287-5[PII]","page":"911-919","publisher":"Elsevier Ltd.","title":"Epidemiology and transmission of COVID-19 in 391 cases and 1286 of their close contacts in Shenzhen, China: a retrospective cohort study","type":"article-journal","volume":"20"},"uris":["http://www.mendeley.com/documents/?uuid=d9ff52aa-b3fc-4498-a591-264bdc48137b"]}],"mendeley":{"formattedCitation":"[24]","plainTextFormattedCitation":"[24]","previouslyFormattedCitation":"[26]"},"properties":{"noteIndex":0},"schema":"https://github.com/citation-style-language/schema/raw/master/csl-citation.json"}</w:instrText>
            </w:r>
            <w:r w:rsidR="00770785">
              <w:fldChar w:fldCharType="separate"/>
            </w:r>
            <w:r w:rsidR="001B3AB4" w:rsidRPr="001B3AB4">
              <w:rPr>
                <w:noProof/>
              </w:rPr>
              <w:t>[24]</w:t>
            </w:r>
            <w:r w:rsidR="00770785">
              <w:fldChar w:fldCharType="end"/>
            </w:r>
          </w:p>
        </w:tc>
        <w:tc>
          <w:tcPr>
            <w:tcW w:w="2311" w:type="dxa"/>
            <w:tcBorders>
              <w:top w:val="single" w:sz="8" w:space="0" w:color="auto"/>
              <w:left w:val="nil"/>
              <w:bottom w:val="single" w:sz="8" w:space="0" w:color="auto"/>
              <w:right w:val="nil"/>
            </w:tcBorders>
            <w:vAlign w:val="center"/>
          </w:tcPr>
          <w:p w14:paraId="65913197" w14:textId="77777777" w:rsidR="000900D3" w:rsidRDefault="000900D3" w:rsidP="008308F0">
            <w:pPr>
              <w:jc w:val="right"/>
            </w:pPr>
            <w:r>
              <w:t>14</w:t>
            </w:r>
          </w:p>
        </w:tc>
        <w:tc>
          <w:tcPr>
            <w:tcW w:w="2659" w:type="dxa"/>
            <w:tcBorders>
              <w:top w:val="single" w:sz="8" w:space="0" w:color="auto"/>
              <w:left w:val="nil"/>
              <w:bottom w:val="single" w:sz="8" w:space="0" w:color="auto"/>
              <w:right w:val="nil"/>
            </w:tcBorders>
            <w:vAlign w:val="center"/>
          </w:tcPr>
          <w:p w14:paraId="0E2859E8" w14:textId="77777777" w:rsidR="000900D3" w:rsidRDefault="000900D3" w:rsidP="008308F0">
            <w:pPr>
              <w:jc w:val="right"/>
            </w:pPr>
            <w:r>
              <w:t>2</w:t>
            </w:r>
          </w:p>
        </w:tc>
        <w:tc>
          <w:tcPr>
            <w:tcW w:w="2192" w:type="dxa"/>
            <w:tcBorders>
              <w:top w:val="single" w:sz="8" w:space="0" w:color="auto"/>
              <w:left w:val="nil"/>
              <w:bottom w:val="single" w:sz="8" w:space="0" w:color="auto"/>
              <w:right w:val="nil"/>
            </w:tcBorders>
            <w:vAlign w:val="center"/>
          </w:tcPr>
          <w:p w14:paraId="3D0DC9E9" w14:textId="77777777" w:rsidR="000900D3" w:rsidRDefault="000900D3" w:rsidP="008308F0">
            <w:pPr>
              <w:jc w:val="right"/>
            </w:pPr>
            <w:r>
              <w:t>0.14</w:t>
            </w:r>
          </w:p>
        </w:tc>
      </w:tr>
      <w:tr w:rsidR="000900D3" w:rsidRPr="008E7E2B" w14:paraId="342F0E2A" w14:textId="77777777" w:rsidTr="008308F0">
        <w:trPr>
          <w:trHeight w:val="260"/>
        </w:trPr>
        <w:tc>
          <w:tcPr>
            <w:tcW w:w="7337" w:type="dxa"/>
            <w:gridSpan w:val="3"/>
            <w:tcBorders>
              <w:top w:val="single" w:sz="8" w:space="0" w:color="auto"/>
              <w:left w:val="nil"/>
              <w:bottom w:val="single" w:sz="18" w:space="0" w:color="auto"/>
              <w:right w:val="nil"/>
            </w:tcBorders>
            <w:vAlign w:val="center"/>
          </w:tcPr>
          <w:p w14:paraId="261FD35A" w14:textId="77777777" w:rsidR="000900D3" w:rsidRDefault="000900D3" w:rsidP="008308F0">
            <w:pPr>
              <w:jc w:val="right"/>
            </w:pPr>
            <w:r>
              <w:rPr>
                <w:b/>
                <w:bCs/>
              </w:rPr>
              <w:t xml:space="preserve">Summary </w:t>
            </w:r>
          </w:p>
        </w:tc>
        <w:tc>
          <w:tcPr>
            <w:tcW w:w="2192" w:type="dxa"/>
            <w:tcBorders>
              <w:top w:val="single" w:sz="8" w:space="0" w:color="auto"/>
              <w:left w:val="nil"/>
              <w:bottom w:val="single" w:sz="8" w:space="0" w:color="auto"/>
              <w:right w:val="nil"/>
            </w:tcBorders>
            <w:vAlign w:val="center"/>
          </w:tcPr>
          <w:p w14:paraId="2DFBE3AF" w14:textId="77777777" w:rsidR="000900D3" w:rsidRDefault="000900D3" w:rsidP="008308F0">
            <w:pPr>
              <w:jc w:val="right"/>
              <w:rPr>
                <w:b/>
                <w:bCs/>
              </w:rPr>
            </w:pPr>
            <w:r>
              <w:rPr>
                <w:b/>
                <w:bCs/>
              </w:rPr>
              <w:t xml:space="preserve">0.39 </w:t>
            </w:r>
          </w:p>
          <w:p w14:paraId="335A8F0F" w14:textId="77777777" w:rsidR="000900D3" w:rsidRPr="008E7E2B" w:rsidRDefault="000900D3" w:rsidP="008308F0">
            <w:pPr>
              <w:jc w:val="right"/>
              <w:rPr>
                <w:b/>
                <w:bCs/>
              </w:rPr>
            </w:pPr>
            <w:r>
              <w:rPr>
                <w:b/>
                <w:bCs/>
              </w:rPr>
              <w:t>(95% CI: 0.02-1.35)</w:t>
            </w:r>
          </w:p>
        </w:tc>
      </w:tr>
      <w:tr w:rsidR="000900D3" w14:paraId="6CEE2C3D" w14:textId="77777777" w:rsidTr="008308F0">
        <w:trPr>
          <w:trHeight w:val="501"/>
        </w:trPr>
        <w:tc>
          <w:tcPr>
            <w:tcW w:w="9529" w:type="dxa"/>
            <w:gridSpan w:val="4"/>
            <w:tcBorders>
              <w:top w:val="single" w:sz="18" w:space="0" w:color="auto"/>
              <w:left w:val="nil"/>
              <w:bottom w:val="single" w:sz="8" w:space="0" w:color="auto"/>
              <w:right w:val="nil"/>
            </w:tcBorders>
            <w:vAlign w:val="center"/>
          </w:tcPr>
          <w:p w14:paraId="0C3F2153" w14:textId="6AD37E75" w:rsidR="000900D3" w:rsidRDefault="000900D3" w:rsidP="008308F0">
            <w:r>
              <w:rPr>
                <w:b/>
                <w:bCs/>
              </w:rPr>
              <w:t>Index case aged 20+ years</w:t>
            </w:r>
          </w:p>
        </w:tc>
      </w:tr>
      <w:tr w:rsidR="000900D3" w14:paraId="7D6B38D4" w14:textId="77777777" w:rsidTr="008308F0">
        <w:trPr>
          <w:trHeight w:val="260"/>
        </w:trPr>
        <w:tc>
          <w:tcPr>
            <w:tcW w:w="2367" w:type="dxa"/>
            <w:tcBorders>
              <w:top w:val="single" w:sz="8" w:space="0" w:color="auto"/>
              <w:left w:val="nil"/>
              <w:bottom w:val="single" w:sz="8" w:space="0" w:color="auto"/>
              <w:right w:val="nil"/>
            </w:tcBorders>
            <w:vAlign w:val="bottom"/>
          </w:tcPr>
          <w:p w14:paraId="08241E1E" w14:textId="627466FE" w:rsidR="000900D3" w:rsidRDefault="000900D3" w:rsidP="008308F0">
            <w:r>
              <w:t xml:space="preserve">Burke et al </w:t>
            </w:r>
            <w:r w:rsidR="00770785">
              <w:fldChar w:fldCharType="begin" w:fldLock="1"/>
            </w:r>
            <w:r w:rsidR="001B3AB4">
              <w:instrText>ADDIN CSL_CITATION {"citationItems":[{"id":"ITEM-1","itemData":{"DOI":"10.1371/journal.pone.0238342","ISSN":"19326203","PMID":"32877446","abstract":"Coronavirus disease 2019 (COVID-19), the respiratory disease caused by severe acute respiratory syndrome coronavirus 2 (SARS-CoV-2), was first identified in Wuhan, China and has since become pandemic. In response to the first cases identified in the United States, close contacts of confirmed COVID-19 cases were investigated to enable early identification and isolation of additional cases and to learn more about risk factors for transmission. Close contacts of nine early travel-related cases in the United States were identified and monitored daily for development of symptoms (active monitoring). Selected close contacts (including those with exposures categorized as higher risk) were targeted for collection of additional exposure information and respiratory samples. Respiratory samples were tested for SARS-CoV-2 by real-time reverse transcription polymerase chain reaction at the Centers for Disease Control and Prevention. Four hundred four close contacts were actively monitored in the jurisdictions that managed the travel-related cases. Three hundred thirty-eight of the 404 close contacts provided at least basic exposure information, of whom 159 close contacts had ≥1 set of respiratory samples collected and tested. Across all actively monitored close contacts, two additional symptomatic COVID-19 cases (i.e., secondary cases) were identified; both secondary cases were in spouses of travel-associated case patients. When considering only household members, all of whom had ≥1 respiratory sample tested for SARS-CoV-2, the secondary attack rate (i.e., the number of secondary cases as a proportion of total close contacts) was 13% (95% CI: 4–38%). The results from these contact tracing investigations suggest that household members, especially significant others, of COVID-19 cases are at highest risk of becoming infected. The importance of personal protective equipment for healthcare workers is also underlined. Isolation of persons with COVID-19, in combination with quarantine of exposed close contacts and practice of everyday preventive behaviors, is important to mitigate spread of COVID-19.","author":[{"dropping-particle":"","family":"Burke","given":"Rachel M.","non-dropping-particle":"","parse-names":false,"suffix":""},{"dropping-particle":"","family":"Balter","given":"Sharon","non-dropping-particle":"","parse-names":false,"suffix":""},{"dropping-particle":"","family":"Barnes","given":"Emily","non-dropping-particle":"","parse-names":false,"suffix":""},{"dropping-particle":"","family":"Barry","given":"Vaughn","non-dropping-particle":"","parse-names":false,"suffix":""},{"dropping-particle":"","family":"Bartlett","given":"Karri","non-dropping-particle":"","parse-names":false,"suffix":""},{"dropping-particle":"","family":"Beer","given":"Karlyn D.","non-dropping-particle":"","parse-names":false,"suffix":""},{"dropping-particle":"","family":"Benowitz","given":"Isaac","non-dropping-particle":"","parse-names":false,"suffix":""},{"dropping-particle":"","family":"Biggs","given":"Holly M.","non-dropping-particle":"","parse-names":false,"suffix":""},{"dropping-particle":"","family":"Bruce","given":"Hollianne","non-dropping-particle":"","parse-names":false,"suffix":""},{"dropping-particle":"","family":"Bryant-Genevier","given":"Jonathan","non-dropping-particle":"","parse-names":false,"suffix":""},{"dropping-particle":"","family":"Cates","given":"Jordan","non-dropping-particle":"","parse-names":false,"suffix":""},{"dropping-particle":"","family":"Chatham-Stephens","given":"Kevin","non-dropping-particle":"","parse-names":false,"suffix":""},{"dropping-particle":"","family":"Chea","given":"Nora","non-dropping-particle":"","parse-names":false,"suffix":""},{"dropping-particle":"","family":"Chiou","given":"Howard","non-dropping-particle":"","parse-names":false,"suffix":""},{"dropping-particle":"","family":"Christiansen","given":"Demian","non-dropping-particle":"","parse-names":false,"suffix":""},{"dropping-particle":"","family":"Chu","given":"Victoria T.","non-dropping-particle":"","parse-names":false,"suffix":""},{"dropping-particle":"","family":"Clark","given":"Shauna","non-dropping-particle":"","parse-names":false,"suffix":""},{"dropping-particle":"","family":"Cody","given":"Sara H.","non-dropping-particle":"","parse-names":false,"suffix":""},{"dropping-particle":"","family":"Cohen","given":"Max","non-dropping-particle":"","parse-names":false,"suffix":""},{"dropping-particle":"","family":"Conners","given":"Erin E.","non-dropping-particle":"","parse-names":false,"suffix":""},{"dropping-particle":"","family":"Dasari","given":"Vishal","non-dropping-particle":"","parse-names":false,"suffix":""},{"dropping-particle":"","family":"Dawson","given":"Patrick","non-dropping-particle":"","parse-names":false,"suffix":""},{"dropping-particle":"","family":"DeSalvo","given":"Traci","non-dropping-particle":"","parse-names":false,"suffix":""},{"dropping-particle":"","family":"Donahue","given":"Matthew","non-dropping-particle":"","parse-names":false,"suffix":""},{"dropping-particle":"","family":"Dratch","given":"Alissa","non-dropping-particle":"","parse-names":false,"suffix":""},{"dropping-particle":"","family":"Duca","given":"Lindsey","non-dropping-particle":"","parse-names":false,"suffix":""},{"dropping-particle":"","family":"Duchin","given":"Jeffrey","non-dropping-particle":"","parse-names":false,"suffix":""},{"dropping-particle":"","family":"Dyal","given":"Jonathan W.","non-dropping-particle":"","parse-names":false,"suffix":""},{"dropping-particle":"","family":"Feldstein","given":"Leora R.","non-dropping-particle":"","parse-names":false,"suffix":""},{"dropping-particle":"","family":"Fenstersheib","given":"Marty","non-dropping-particle":"","parse-names":false,"suffix":""},{"dropping-particle":"","family":"Fischer","given":"Marc","non-dropping-particle":"","parse-names":false,"suffix":""},{"dropping-particle":"","family":"Fisher","given":"Rebecca","non-dropping-particle":"","parse-names":false,"suffix":""},{"dropping-particle":"","family":"Foo","given":"Chelsea","non-dropping-particle":"","parse-names":false,"suffix":""},{"dropping-particle":"","family":"Freeman-Ponder","given":"Brandi","non-dropping-particle":"","parse-names":false,"suffix":""},{"dropping-particle":"","family":"Fry","given":"Alicia M.","non-dropping-particle":"","parse-names":false,"suffix":""},{"dropping-particle":"","family":"Gant","given":"Jessica","non-dropping-particle":"","parse-names":false,"suffix":""},{"dropping-particle":"","family":"Gautom","given":"Romesh","non-dropping-particle":"","parse-names":false,"suffix":""},{"dropping-particle":"","family":"Ghinai","given":"Isaac","non-dropping-particle":"","parse-names":false,"suffix":""},{"dropping-particle":"","family":"Gounder","given":"Prabhu","non-dropping-particle":"","parse-names":false,"suffix":""},{"dropping-particle":"","family":"Grigg","given":"Cheri T.","non-dropping-particle":"","parse-names":false,"suffix":""},{"dropping-particle":"","family":"Gunzenhauser","given":"Jeffrey","non-dropping-particle":"","parse-names":false,"suffix":""},{"dropping-particle":"","family":"Hall","given":"Aron J.","non-dropping-particle":"","parse-names":false,"suffix":""},{"dropping-particle":"","family":"Han","given":"George S.","non-dropping-particle":"","parse-names":false,"suffix":""},{"dropping-particle":"","family":"Haupt","given":"Thomas","non-dropping-particle":"","parse-names":false,"suffix":""},{"dropping-particle":"","family":"Holshue","given":"Michelle","non-dropping-particle":"","parse-names":false,"suffix":""},{"dropping-particle":"","family":"Hunter","given":"Jennifer","non-dropping-particle":"","parse-names":false,"suffix":""},{"dropping-particle":"","family":"Ibrahim","given":"Mireille B.","non-dropping-particle":"","parse-names":false,"suffix":""},{"dropping-particle":"","family":"Jacobs","given":"Max W.","non-dropping-particle":"","parse-names":false,"suffix":""},{"dropping-particle":"","family":"Jarashow","given":"M. Claire","non-dropping-particle":"","parse-names":false,"suffix":""},{"dropping-particle":"","family":"Joshi","given":"Kiran","non-dropping-particle":"","parse-names":false,"suffix":""},{"dropping-particle":"","family":"Kamali","given":"Talar","non-dropping-particle":"","parse-names":false,"suffix":""},{"dropping-particle":"","family":"Kawakami","given":"Vance","non-dropping-particle":"","parse-names":false,"suffix":""},{"dropping-particle":"","family":"Kim","given":"Moon","non-dropping-particle":"","parse-names":false,"suffix":""},{"dropping-particle":"","family":"Kirking","given":"Hannah L.","non-dropping-particle":"","parse-names":false,"suffix":""},{"dropping-particle":"","family":"Kita-Yarbro","given":"Amanda","non-dropping-particle":"","parse-names":false,"suffix":""},{"dropping-particle":"","family":"Klos","given":"Rachel","non-dropping-particle":"","parse-names":false,"suffix":""},{"dropping-particle":"","family":"Kobayashi","given":"Miwako","non-dropping-particle":"","parse-names":false,"suffix":""},{"dropping-particle":"","family":"Kocharian","given":"Anna","non-dropping-particle":"","parse-names":false,"suffix":""},{"dropping-particle":"","family":"Lang","given":"Misty","non-dropping-particle":"","parse-names":false,"suffix":""},{"dropping-particle":"","family":"Layden","given":"Jennifer","non-dropping-particle":"","parse-names":false,"suffix":""},{"dropping-particle":"","family":"Leidman","given":"Eva","non-dropping-particle":"","parse-names":false,"suffix":""},{"dropping-particle":"","family":"Lindquist","given":"Scott","non-dropping-particle":"","parse-names":false,"suffix":""},{"dropping-particle":"","family":"Lindstrom","given":"Stephen","non-dropping-particle":"","parse-names":false,"suffix":""},{"dropping-particle":"","family":"Link-Gelles","given":"Ruth","non-dropping-particle":"","parse-names":false,"suffix":""},{"dropping-particle":"","family":"Marlow","given":"Mariel","non-dropping-particle":"","parse-names":false,"suffix":""},{"dropping-particle":"","family":"Mattison","given":"Claire P.","non-dropping-particle":"","parse-names":false,"suffix":""},{"dropping-particle":"","family":"McClung","given":"Nancy","non-dropping-particle":"","parse-names":false,"suffix":""},{"dropping-particle":"","family":"McPherson","given":"Tristan D.","non-dropping-particle":"","parse-names":false,"suffix":""},{"dropping-particle":"","family":"Mello","given":"Lynn","non-dropping-particle":"","parse-names":false,"suffix":""},{"dropping-particle":"","family":"Midgley","given":"Claire M.","non-dropping-particle":"","parse-names":false,"suffix":""},{"dropping-particle":"","family":"Novosad","given":"Shannon","non-dropping-particle":"","parse-names":false,"suffix":""},{"dropping-particle":"","family":"Patel","given":"Megan T.","non-dropping-particle":"","parse-names":false,"suffix":""},{"dropping-particle":"","family":"Pettrone","given":"Kristen","non-dropping-particle":"","parse-names":false,"suffix":""},{"dropping-particle":"","family":"Pillai","given":"Satish K.","non-dropping-particle":"","parse-names":false,"suffix":""},{"dropping-particle":"","family":"Pray","given":"Ian W.","non-dropping-particle":"","parse-names":false,"suffix":""},{"dropping-particle":"","family":"Reese","given":"Heather E.","non-dropping-particle":"","parse-names":false,"suffix":""},{"dropping-particle":"","family":"Rhodes","given":"Heather","non-dropping-particle":"","parse-names":false,"suffix":""},{"dropping-particle":"","family":"Robinson","given":"Susan","non-dropping-particle":"","parse-names":false,"suffix":""},{"dropping-particle":"","family":"Rolfes","given":"Melissa","non-dropping-particle":"","parse-names":false,"suffix":""},{"dropping-particle":"","family":"Routh","given":"Janell","non-dropping-particle":"","parse-names":false,"suffix":""},{"dropping-particle":"","family":"Rubin","given":"Rachel","non-dropping-particle":"","parse-names":false,"suffix":""},{"dropping-particle":"","family":"Rudman","given":"Sarah L.","non-dropping-particle":"","parse-names":false,"suffix":""},{"dropping-particle":"","family":"Russell","given":"Denny","non-dropping-particle":"","parse-names":false,"suffix":""},{"dropping-particle":"","family":"Scott","given":"Sarah","non-dropping-particle":"","parse-names":false,"suffix":""},{"dropping-particle":"","family":"Shetty","given":"Varun","non-dropping-particle":"","parse-names":false,"suffix":""},{"dropping-particle":"","family":"Smith-Jeffcoat","given":"Sarah E.","non-dropping-particle":"","parse-names":false,"suffix":""},{"dropping-particle":"","family":"Soda","given":"Elizabeth A.","non-dropping-particle":"","parse-names":false,"suffix":""},{"dropping-particle":"","family":"Spitters","given":"Christopher","non-dropping-particle":"","parse-names":false,"suffix":""},{"dropping-particle":"","family":"Stierman","given":"Bryan","non-dropping-particle":"","parse-names":false,"suffix":""},{"dropping-particle":"","family":"Sunenshine","given":"Rebecca","non-dropping-particle":"","parse-names":false,"suffix":""},{"dropping-particle":"","family":"Terashita","given":"Dawn","non-dropping-particle":"","parse-names":false,"suffix":""},{"dropping-particle":"","family":"Traub","given":"Elizabeth","non-dropping-particle":"","parse-names":false,"suffix":""},{"dropping-particle":"","family":"Vahey","given":"Grace M.","non-dropping-particle":"","parse-names":false,"suffix":""},{"dropping-particle":"","family":"Verani","given":"Jennifer R.","non-dropping-particle":"","parse-names":false,"suffix":""},{"dropping-particle":"","family":"Wallace","given":"Megan","non-dropping-particle":"","parse-names":false,"suffix":""},{"dropping-particle":"","family":"Westercamp","given":"Matthew","non-dropping-particle":"","parse-names":false,"suffix":""},{"dropping-particle":"","family":"Wortham","given":"Jonathan","non-dropping-particle":"","parse-names":false,"suffix":""},{"dropping-particle":"","family":"Xie","given":"Amy","non-dropping-particle":"","parse-names":false,"suffix":""},{"dropping-particle":"","family":"Yousaf","given":"Anna","non-dropping-particle":"","parse-names":false,"suffix":""},{"dropping-particle":"","family":"Zahn","given":"Matthew","non-dropping-particle":"","parse-names":false,"suffix":""}],"container-title":"PLoS ONE","id":"ITEM-1","issue":"9 September","issued":{"date-parts":[["2020","9","1"]]},"publisher":"Public Library of Science","title":"Enhanced contact investigations for nine early travel-related cases of SARS-CoV-2 in the United States","type":"article-journal","volume":"15"},"uris":["http://www.mendeley.com/documents/?uuid=d05b388a-6090-3826-9e4c-776f6e1c71c8"]}],"mendeley":{"formattedCitation":"[26]","plainTextFormattedCitation":"[26]","previouslyFormattedCitation":"[28]"},"properties":{"noteIndex":0},"schema":"https://github.com/citation-style-language/schema/raw/master/csl-citation.json"}</w:instrText>
            </w:r>
            <w:r w:rsidR="00770785">
              <w:fldChar w:fldCharType="separate"/>
            </w:r>
            <w:r w:rsidR="001B3AB4" w:rsidRPr="001B3AB4">
              <w:rPr>
                <w:noProof/>
              </w:rPr>
              <w:t>[26]</w:t>
            </w:r>
            <w:r w:rsidR="00770785">
              <w:fldChar w:fldCharType="end"/>
            </w:r>
          </w:p>
        </w:tc>
        <w:tc>
          <w:tcPr>
            <w:tcW w:w="2311" w:type="dxa"/>
            <w:tcBorders>
              <w:top w:val="single" w:sz="8" w:space="0" w:color="auto"/>
              <w:left w:val="nil"/>
              <w:bottom w:val="single" w:sz="8" w:space="0" w:color="auto"/>
              <w:right w:val="nil"/>
            </w:tcBorders>
            <w:vAlign w:val="center"/>
          </w:tcPr>
          <w:p w14:paraId="6CA42569" w14:textId="5E458D33" w:rsidR="000900D3" w:rsidRDefault="000900D3" w:rsidP="008308F0">
            <w:pPr>
              <w:jc w:val="right"/>
            </w:pPr>
            <w:r>
              <w:t>9</w:t>
            </w:r>
          </w:p>
        </w:tc>
        <w:tc>
          <w:tcPr>
            <w:tcW w:w="2659" w:type="dxa"/>
            <w:tcBorders>
              <w:top w:val="single" w:sz="8" w:space="0" w:color="auto"/>
              <w:left w:val="nil"/>
              <w:bottom w:val="single" w:sz="8" w:space="0" w:color="auto"/>
              <w:right w:val="nil"/>
            </w:tcBorders>
            <w:vAlign w:val="center"/>
          </w:tcPr>
          <w:p w14:paraId="703C160B" w14:textId="77777777" w:rsidR="000900D3" w:rsidRDefault="000900D3" w:rsidP="008308F0">
            <w:pPr>
              <w:jc w:val="right"/>
            </w:pPr>
            <w:r>
              <w:t>2</w:t>
            </w:r>
          </w:p>
        </w:tc>
        <w:tc>
          <w:tcPr>
            <w:tcW w:w="2192" w:type="dxa"/>
            <w:tcBorders>
              <w:top w:val="single" w:sz="8" w:space="0" w:color="auto"/>
              <w:left w:val="nil"/>
              <w:bottom w:val="single" w:sz="8" w:space="0" w:color="auto"/>
              <w:right w:val="nil"/>
            </w:tcBorders>
            <w:vAlign w:val="center"/>
          </w:tcPr>
          <w:p w14:paraId="4C268939" w14:textId="77777777" w:rsidR="000900D3" w:rsidRDefault="000900D3" w:rsidP="008308F0">
            <w:pPr>
              <w:jc w:val="right"/>
            </w:pPr>
            <w:r>
              <w:t>0.22</w:t>
            </w:r>
          </w:p>
        </w:tc>
      </w:tr>
      <w:tr w:rsidR="000900D3" w14:paraId="2D522D03" w14:textId="77777777" w:rsidTr="008308F0">
        <w:trPr>
          <w:trHeight w:val="249"/>
        </w:trPr>
        <w:tc>
          <w:tcPr>
            <w:tcW w:w="2367" w:type="dxa"/>
            <w:tcBorders>
              <w:top w:val="single" w:sz="8" w:space="0" w:color="auto"/>
              <w:left w:val="nil"/>
              <w:bottom w:val="single" w:sz="8" w:space="0" w:color="auto"/>
              <w:right w:val="nil"/>
            </w:tcBorders>
            <w:vAlign w:val="bottom"/>
          </w:tcPr>
          <w:p w14:paraId="15701727" w14:textId="6B618710" w:rsidR="000900D3" w:rsidRDefault="000900D3" w:rsidP="008308F0">
            <w:r>
              <w:t xml:space="preserve">Chaw et al </w:t>
            </w:r>
            <w:r w:rsidR="00770785">
              <w:fldChar w:fldCharType="begin" w:fldLock="1"/>
            </w:r>
            <w:r w:rsidR="001B3AB4">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rsidR="00770785">
              <w:fldChar w:fldCharType="separate"/>
            </w:r>
            <w:r w:rsidR="001B3AB4" w:rsidRPr="001B3AB4">
              <w:rPr>
                <w:noProof/>
              </w:rPr>
              <w:t>[18]</w:t>
            </w:r>
            <w:r w:rsidR="00770785">
              <w:fldChar w:fldCharType="end"/>
            </w:r>
          </w:p>
        </w:tc>
        <w:tc>
          <w:tcPr>
            <w:tcW w:w="2311" w:type="dxa"/>
            <w:tcBorders>
              <w:top w:val="single" w:sz="8" w:space="0" w:color="auto"/>
              <w:left w:val="nil"/>
              <w:bottom w:val="single" w:sz="8" w:space="0" w:color="auto"/>
              <w:right w:val="nil"/>
            </w:tcBorders>
            <w:vAlign w:val="center"/>
          </w:tcPr>
          <w:p w14:paraId="0834E9A5" w14:textId="77777777" w:rsidR="000900D3" w:rsidRDefault="000900D3" w:rsidP="008308F0">
            <w:pPr>
              <w:jc w:val="right"/>
            </w:pPr>
            <w:r>
              <w:t>18</w:t>
            </w:r>
          </w:p>
        </w:tc>
        <w:tc>
          <w:tcPr>
            <w:tcW w:w="2659" w:type="dxa"/>
            <w:tcBorders>
              <w:top w:val="single" w:sz="8" w:space="0" w:color="auto"/>
              <w:left w:val="nil"/>
              <w:bottom w:val="single" w:sz="8" w:space="0" w:color="auto"/>
              <w:right w:val="nil"/>
            </w:tcBorders>
            <w:vAlign w:val="center"/>
          </w:tcPr>
          <w:p w14:paraId="70F41470" w14:textId="339DB727" w:rsidR="000900D3" w:rsidRDefault="00700712" w:rsidP="008308F0">
            <w:pPr>
              <w:jc w:val="right"/>
            </w:pPr>
            <w:r>
              <w:t>50</w:t>
            </w:r>
          </w:p>
        </w:tc>
        <w:tc>
          <w:tcPr>
            <w:tcW w:w="2192" w:type="dxa"/>
            <w:tcBorders>
              <w:top w:val="single" w:sz="8" w:space="0" w:color="auto"/>
              <w:left w:val="nil"/>
              <w:bottom w:val="single" w:sz="8" w:space="0" w:color="auto"/>
              <w:right w:val="nil"/>
            </w:tcBorders>
            <w:vAlign w:val="center"/>
          </w:tcPr>
          <w:p w14:paraId="5EC1010D" w14:textId="4DCC496F" w:rsidR="000900D3" w:rsidRDefault="000900D3" w:rsidP="008308F0">
            <w:pPr>
              <w:jc w:val="right"/>
            </w:pPr>
            <w:r>
              <w:t>2.</w:t>
            </w:r>
            <w:r w:rsidR="00C52A9F">
              <w:t>77</w:t>
            </w:r>
          </w:p>
        </w:tc>
      </w:tr>
      <w:tr w:rsidR="000900D3" w14:paraId="7B323503" w14:textId="77777777" w:rsidTr="008308F0">
        <w:trPr>
          <w:trHeight w:val="249"/>
        </w:trPr>
        <w:tc>
          <w:tcPr>
            <w:tcW w:w="2367" w:type="dxa"/>
            <w:tcBorders>
              <w:top w:val="single" w:sz="8" w:space="0" w:color="auto"/>
              <w:left w:val="nil"/>
              <w:bottom w:val="single" w:sz="8" w:space="0" w:color="auto"/>
              <w:right w:val="nil"/>
            </w:tcBorders>
            <w:vAlign w:val="bottom"/>
          </w:tcPr>
          <w:p w14:paraId="44958509" w14:textId="59087352" w:rsidR="000900D3" w:rsidRDefault="000900D3" w:rsidP="008308F0">
            <w:r>
              <w:t xml:space="preserve">Kwok et al </w:t>
            </w:r>
            <w:r w:rsidR="00770785">
              <w:fldChar w:fldCharType="begin" w:fldLock="1"/>
            </w:r>
            <w:r w:rsidR="001B3AB4">
              <w:instrText>ADDIN CSL_CITATION {"citationItems":[{"id":"ITEM-1","itemData":{"DOI":"doi:https://doi.org/10.2807/1560-7917.ES.2020.25.16.2000155","author":[{"dropping-particle":"","family":"Kwok","given":"Kin On","non-dropping-particle":"","parse-names":false,"suffix":""},{"dropping-particle":"","family":"Wong","given":"Valerie Wing Yu","non-dropping-particle":"","parse-names":false,"suffix":""},{"dropping-particle":"","family":"Wei","given":"Wan In","non-dropping-particle":"","parse-names":false,"suffix":""},{"dropping-particle":"","family":"Wong","given":"Samuel Yeung Shan","non-dropping-particle":"","parse-names":false,"suffix":""},{"dropping-particle":"","family":"Tang","given":"Julian Wei-Tze","non-dropping-particle":"","parse-names":false,"suffix":""}],"container-title":"Eurosurveillance","id":"ITEM-1","issue":"16","issued":{"date-parts":[["2020"]]},"page":"2000155","title":"Epidemiological characteristics of the first 53 laboratory-confirmed cases of COVID-19 epidemic in Hong Kong, 13 February 2020","type":"article-journal","volume":"25"},"uris":["http://www.mendeley.com/documents/?uuid=55ece90e-52f5-451a-97ce-f410f81bf7be"]}],"mendeley":{"formattedCitation":"[95]","plainTextFormattedCitation":"[95]","previouslyFormattedCitation":"[97]"},"properties":{"noteIndex":0},"schema":"https://github.com/citation-style-language/schema/raw/master/csl-citation.json"}</w:instrText>
            </w:r>
            <w:r w:rsidR="00770785">
              <w:fldChar w:fldCharType="separate"/>
            </w:r>
            <w:r w:rsidR="001B3AB4" w:rsidRPr="001B3AB4">
              <w:rPr>
                <w:noProof/>
              </w:rPr>
              <w:t>[95]</w:t>
            </w:r>
            <w:r w:rsidR="00770785">
              <w:fldChar w:fldCharType="end"/>
            </w:r>
          </w:p>
        </w:tc>
        <w:tc>
          <w:tcPr>
            <w:tcW w:w="2311" w:type="dxa"/>
            <w:tcBorders>
              <w:top w:val="single" w:sz="8" w:space="0" w:color="auto"/>
              <w:left w:val="nil"/>
              <w:bottom w:val="single" w:sz="8" w:space="0" w:color="auto"/>
              <w:right w:val="nil"/>
            </w:tcBorders>
            <w:vAlign w:val="center"/>
          </w:tcPr>
          <w:p w14:paraId="371D85E8" w14:textId="77777777" w:rsidR="000900D3" w:rsidRDefault="000900D3" w:rsidP="008308F0">
            <w:pPr>
              <w:jc w:val="right"/>
            </w:pPr>
            <w:r>
              <w:t>27</w:t>
            </w:r>
          </w:p>
        </w:tc>
        <w:tc>
          <w:tcPr>
            <w:tcW w:w="2659" w:type="dxa"/>
            <w:tcBorders>
              <w:top w:val="single" w:sz="8" w:space="0" w:color="auto"/>
              <w:left w:val="nil"/>
              <w:bottom w:val="single" w:sz="8" w:space="0" w:color="auto"/>
              <w:right w:val="nil"/>
            </w:tcBorders>
            <w:vAlign w:val="center"/>
          </w:tcPr>
          <w:p w14:paraId="02A6F4BE" w14:textId="77777777" w:rsidR="000900D3" w:rsidRDefault="000900D3" w:rsidP="008308F0">
            <w:pPr>
              <w:jc w:val="right"/>
            </w:pPr>
            <w:r>
              <w:t>24</w:t>
            </w:r>
          </w:p>
        </w:tc>
        <w:tc>
          <w:tcPr>
            <w:tcW w:w="2192" w:type="dxa"/>
            <w:tcBorders>
              <w:top w:val="single" w:sz="8" w:space="0" w:color="auto"/>
              <w:left w:val="nil"/>
              <w:bottom w:val="single" w:sz="8" w:space="0" w:color="auto"/>
              <w:right w:val="nil"/>
            </w:tcBorders>
            <w:vAlign w:val="center"/>
          </w:tcPr>
          <w:p w14:paraId="5A07E03C" w14:textId="77777777" w:rsidR="000900D3" w:rsidRDefault="000900D3" w:rsidP="008308F0">
            <w:pPr>
              <w:jc w:val="right"/>
            </w:pPr>
            <w:r>
              <w:t>0.89</w:t>
            </w:r>
          </w:p>
        </w:tc>
      </w:tr>
      <w:tr w:rsidR="000900D3" w14:paraId="12FEEBDF" w14:textId="77777777" w:rsidTr="008308F0">
        <w:trPr>
          <w:trHeight w:val="249"/>
        </w:trPr>
        <w:tc>
          <w:tcPr>
            <w:tcW w:w="2367" w:type="dxa"/>
            <w:tcBorders>
              <w:top w:val="single" w:sz="8" w:space="0" w:color="auto"/>
              <w:left w:val="nil"/>
              <w:bottom w:val="single" w:sz="8" w:space="0" w:color="auto"/>
              <w:right w:val="nil"/>
            </w:tcBorders>
            <w:vAlign w:val="bottom"/>
          </w:tcPr>
          <w:p w14:paraId="5028B56A" w14:textId="16F965E1" w:rsidR="000900D3" w:rsidRDefault="000900D3" w:rsidP="008308F0">
            <w:r>
              <w:t xml:space="preserve">Bi et al </w:t>
            </w:r>
            <w:r w:rsidR="00770785">
              <w:fldChar w:fldCharType="begin" w:fldLock="1"/>
            </w:r>
            <w:r w:rsidR="001B3AB4">
              <w:instrText>ADDIN CSL_CITATION {"citationItems":[{"id":"ITEM-1","itemData":{"DOI":"10.1016/S1473-3099(20)30287-5","ISBN":"1474-4457\r1473-3099","PMID":"32353347","abstract":"BACKGROUND: Rapid spread of severe acute respiratory syndrome coronavirus 2 (SARS-CoV-2) in Wuhan, China, prompted heightened surveillance in Shenzhen, China. The resulting data provide a rare opportunity to measure key metrics of disease course, transmission, and the impact of control measures. METHODS: 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 FINDINGS: 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vs population average of 6·6%). The observed reproductive number (R) was 0·4 (95% CI 0·3-0·5), with a mean serial interval of 6·3 days (95% CI 5·2-7·6). INTERPRETATION: Our data on cases as well as their infected and uninfected close contacts provide key insights into the epidemiology of SARS-CoV-2. This analysis shows that isolation and contact tracing reduce the time during which cases are infectious in the community, thereby reducing the R.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 FUNDING: Emergency Response Program of Harbin Institute of Technology, Emergency Response Program of Peng Cheng Laboratory, US Cente…","author":[{"dropping-particle":"","family":"Bi","given":"Qifang","non-dropping-particle":"","parse-names":false,"suffix":""},{"dropping-particle":"","family":"Wu","given":"Yongsheng","non-dropping-particle":"","parse-names":false,"suffix":""},{"dropping-particle":"","family":"Mei","given":"Shujiang","non-dropping-particle":"","parse-names":false,"suffix":""},{"dropping-particle":"","family":"Ye","given":"Chenfei","non-dropping-particle":"","parse-names":false,"suffix":""},{"dropping-particle":"","family":"Zou","given":"Xuan","non-dropping-particle":"","parse-names":false,"suffix":""},{"dropping-particle":"","family":"Zhang","given":"Zhen","non-dropping-particle":"","parse-names":false,"suffix":""},{"dropping-particle":"","family":"Liu","given":"Xiaojian","non-dropping-particle":"","parse-names":false,"suffix":""},{"dropping-particle":"","family":"Wei","given":"Lan","non-dropping-particle":"","parse-names":false,"suffix":""},{"dropping-particle":"","family":"Truelove","given":"Shaun A","non-dropping-particle":"","parse-names":false,"suffix":""},{"dropping-particle":"","family":"Zhang","given":"Tong","non-dropping-particle":"","parse-names":false,"suffix":""},{"dropping-particle":"","family":"Gao","given":"Wei","non-dropping-particle":"","parse-names":false,"suffix":""},{"dropping-particle":"","family":"Cheng","given":"Cong","non-dropping-particle":"","parse-names":false,"suffix":""},{"dropping-particle":"","family":"Tang","given":"Xiujuan","non-dropping-particle":"","parse-names":false,"suffix":""},{"dropping-particle":"","family":"Wu","given":"Xiaoliang","non-dropping-particle":"","parse-names":false,"suffix":""},{"dropping-particle":"","family":"Wu","given":"Yu","non-dropping-particle":"","parse-names":false,"suffix":""},{"dropping-particle":"","family":"Sun","given":"Binbin","non-dropping-particle":"","parse-names":false,"suffix":""},{"dropping-particle":"","family":"Huang","given":"Suli","non-dropping-particle":"","parse-names":false,"suffix":""},{"dropping-particle":"","family":"Sun","given":"Yu","non-dropping-particle":"","parse-names":false,"suffix":""},{"dropping-particle":"","family":"Zhang","given":"Juncen","non-dropping-particle":"","parse-names":false,"suffix":""},{"dropping-particle":"","family":"Ma","given":"Ting","non-dropping-particle":"","parse-names":false,"suffix":""},{"dropping-particle":"","family":"Lessler","given":"Justin","non-dropping-particle":"","parse-names":false,"suffix":""},{"dropping-particle":"","family":"Feng","given":"Tiejian","non-dropping-particle":"","parse-names":false,"suffix":""}],"container-title":"The Lancet. Infectious diseases","edition":"2020/04/27","id":"ITEM-1","issue":"8","issued":{"date-parts":[["2020"]]},"language":"eng","note":"32353347[pmid]\nPMC7185944[pmcid]\nS1473-3099(20)30287-5[PII]","page":"911-919","publisher":"Elsevier Ltd.","title":"Epidemiology and transmission of COVID-19 in 391 cases and 1286 of their close contacts in Shenzhen, China: a retrospective cohort study","type":"article-journal","volume":"20"},"uris":["http://www.mendeley.com/documents/?uuid=d9ff52aa-b3fc-4498-a591-264bdc48137b"]}],"mendeley":{"formattedCitation":"[24]","plainTextFormattedCitation":"[24]","previouslyFormattedCitation":"[26]"},"properties":{"noteIndex":0},"schema":"https://github.com/citation-style-language/schema/raw/master/csl-citation.json"}</w:instrText>
            </w:r>
            <w:r w:rsidR="00770785">
              <w:fldChar w:fldCharType="separate"/>
            </w:r>
            <w:r w:rsidR="001B3AB4" w:rsidRPr="001B3AB4">
              <w:rPr>
                <w:noProof/>
              </w:rPr>
              <w:t>[24]</w:t>
            </w:r>
            <w:r w:rsidR="00770785">
              <w:fldChar w:fldCharType="end"/>
            </w:r>
          </w:p>
        </w:tc>
        <w:tc>
          <w:tcPr>
            <w:tcW w:w="2311" w:type="dxa"/>
            <w:tcBorders>
              <w:top w:val="single" w:sz="8" w:space="0" w:color="auto"/>
              <w:left w:val="nil"/>
              <w:bottom w:val="single" w:sz="8" w:space="0" w:color="auto"/>
              <w:right w:val="nil"/>
            </w:tcBorders>
            <w:vAlign w:val="center"/>
          </w:tcPr>
          <w:p w14:paraId="44C49121" w14:textId="77777777" w:rsidR="000900D3" w:rsidRDefault="000900D3" w:rsidP="008308F0">
            <w:pPr>
              <w:jc w:val="right"/>
            </w:pPr>
            <w:r>
              <w:t>220</w:t>
            </w:r>
          </w:p>
        </w:tc>
        <w:tc>
          <w:tcPr>
            <w:tcW w:w="2659" w:type="dxa"/>
            <w:tcBorders>
              <w:top w:val="single" w:sz="8" w:space="0" w:color="auto"/>
              <w:left w:val="nil"/>
              <w:bottom w:val="single" w:sz="8" w:space="0" w:color="auto"/>
              <w:right w:val="nil"/>
            </w:tcBorders>
            <w:vAlign w:val="center"/>
          </w:tcPr>
          <w:p w14:paraId="44006EDD" w14:textId="77777777" w:rsidR="000900D3" w:rsidRDefault="000900D3" w:rsidP="008308F0">
            <w:pPr>
              <w:jc w:val="right"/>
            </w:pPr>
            <w:r>
              <w:t>85</w:t>
            </w:r>
          </w:p>
        </w:tc>
        <w:tc>
          <w:tcPr>
            <w:tcW w:w="2192" w:type="dxa"/>
            <w:tcBorders>
              <w:top w:val="single" w:sz="8" w:space="0" w:color="auto"/>
              <w:left w:val="nil"/>
              <w:bottom w:val="single" w:sz="8" w:space="0" w:color="auto"/>
              <w:right w:val="nil"/>
            </w:tcBorders>
            <w:vAlign w:val="center"/>
          </w:tcPr>
          <w:p w14:paraId="5FA9DFE3" w14:textId="77777777" w:rsidR="000900D3" w:rsidRDefault="000900D3" w:rsidP="008308F0">
            <w:pPr>
              <w:jc w:val="right"/>
            </w:pPr>
            <w:r>
              <w:t>0.39</w:t>
            </w:r>
          </w:p>
        </w:tc>
      </w:tr>
      <w:tr w:rsidR="000900D3" w14:paraId="721EAC06" w14:textId="77777777" w:rsidTr="008308F0">
        <w:trPr>
          <w:trHeight w:val="249"/>
        </w:trPr>
        <w:tc>
          <w:tcPr>
            <w:tcW w:w="2367" w:type="dxa"/>
            <w:tcBorders>
              <w:top w:val="single" w:sz="8" w:space="0" w:color="auto"/>
              <w:left w:val="nil"/>
              <w:bottom w:val="single" w:sz="8" w:space="0" w:color="auto"/>
              <w:right w:val="nil"/>
            </w:tcBorders>
            <w:vAlign w:val="bottom"/>
          </w:tcPr>
          <w:p w14:paraId="58AB8CC6" w14:textId="39A7FB01" w:rsidR="000900D3" w:rsidRDefault="000900D3" w:rsidP="008308F0">
            <w:r>
              <w:t xml:space="preserve">Van der Hoek et al </w:t>
            </w:r>
            <w:r w:rsidR="00105434">
              <w:fldChar w:fldCharType="begin" w:fldLock="1"/>
            </w:r>
            <w:r w:rsidR="001B3AB4">
              <w:instrText>ADDIN CSL_CITATION {"citationItems":[{"id":"ITEM-1","itemData":{"ISBN":"0028-2162","PMID":"32749807","abstract":"OBJECTIVE: To determine whether children play a role in the transmission of SARS-CoV-2 to other children and adults, and to gain insight into symptomatic and asymptomatic infections in children. DESIGN: Analysis of national COVID-19 notifications and prospective observational study in families with children. METHOD: Information about COVID-19 patients and their contacts was obtained from the registration systems used by the public health services. In an ongoing study, patients with COVID-19 were asked to participate if they have a family with children. On two occasions nose-throat swabs and blood were collected for PCR analysis and determination of antibodies against SARS-CoV-2. RESULTS: The notifications suggest that transmission finds place mainly between adults and to a lesser extent between parents and children. For the family study, data were available from 54 households with a total of 227 participants. In families of a confirmed COVID-19 patient, children between 1 and 11 years were less often positive in PCR and serology than older children and adults. CONCLUSION: The study gives no indications that children play an important role in the transmission of SARS-CoV-2. Children can indeed become infected, but transmission mainly takes place between adult peers and from adult family members to children. Transmission among children or from children to adults, as is known in influenza, appears to be less common. Ongoing studies should provide important information for further decision-making on control measures, such as closure of schools.","author":[{"dropping-particle":"","family":"Hoek","given":"W","non-dropping-particle":"van der","parse-names":false,"suffix":""},{"dropping-particle":"","family":"Backer","given":"J A","non-dropping-particle":"","parse-names":false,"suffix":""},{"dropping-particle":"","family":"Bodewes","given":"R","non-dropping-particle":"","parse-names":false,"suffix":""},{"dropping-particle":"","family":"Friesema","given":"I","non-dropping-particle":"","parse-names":false,"suffix":""},{"dropping-particle":"","family":"Meijer","given":"A","non-dropping-particle":"","parse-names":false,"suffix":""},{"dropping-particle":"","family":"Pijnacker","given":"R","non-dropping-particle":"","parse-names":false,"suffix":""},{"dropping-particle":"","family":"Reukers","given":"D F M","non-dropping-particle":"","parse-names":false,"suffix":""},{"dropping-particle":"","family":"Reusken","given":"C","non-dropping-particle":"","parse-names":false,"suffix":""},{"dropping-particle":"","family":"Roof","given":"I","non-dropping-particle":"","parse-names":false,"suffix":""},{"dropping-particle":"","family":"Rots","given":"N","non-dropping-particle":"","parse-names":false,"suffix":""},{"dropping-particle":"","family":"Wierik","given":"M J M","non-dropping-particle":"Te","parse-names":false,"suffix":""},{"dropping-particle":"","family":"Gageldonk-Lafeber","given":"A B","non-dropping-particle":"van","parse-names":false,"suffix":""},{"dropping-particle":"","family":"Waegemaekers","given":"Chfm","non-dropping-particle":"","parse-names":false,"suffix":""},{"dropping-particle":"","family":"Hof","given":"S","non-dropping-particle":"van den","parse-names":false,"suffix":""}],"container-title":"Ned Tijdschr Geneeskd","edition":"2020/08/05","id":"ITEM-1","issued":{"date-parts":[["2020"]]},"language":"dut","note":"1876-8784\nvan der Hoek, Wim\nBacker, Jantien A\nBodewes, Rogier\nFriesema, Ingrid\nMeijer, Adam\nPijnacker, Roan\nReukers, Daphne F M\nReusken, Chantal\nRoof, Inge\nRots, Nynke\nTe Wierik, Margreet J M\nvan Gageldonk-Lafeber, A B\nWaegemaekers, C H F M\nvan den Hof, Susan\nEnglish Abstract\nJournal Article\nNetherlands\nNed Tijdschr Geneeskd. 2020 Jun 3;164:D5140.","title":"[The role of children in the transmission of SARS-CoV-2]","type":"article-journal","volume":"164"},"uris":["http://www.mendeley.com/documents/?uuid=a99bee26-210b-4094-9dae-8280ba985dac"]}],"mendeley":{"formattedCitation":"[50]","plainTextFormattedCitation":"[50]","previouslyFormattedCitation":"[52]"},"properties":{"noteIndex":0},"schema":"https://github.com/citation-style-language/schema/raw/master/csl-citation.json"}</w:instrText>
            </w:r>
            <w:r w:rsidR="00105434">
              <w:fldChar w:fldCharType="separate"/>
            </w:r>
            <w:r w:rsidR="001B3AB4" w:rsidRPr="001B3AB4">
              <w:rPr>
                <w:noProof/>
              </w:rPr>
              <w:t>[50]</w:t>
            </w:r>
            <w:r w:rsidR="00105434">
              <w:fldChar w:fldCharType="end"/>
            </w:r>
          </w:p>
        </w:tc>
        <w:tc>
          <w:tcPr>
            <w:tcW w:w="2311" w:type="dxa"/>
            <w:tcBorders>
              <w:top w:val="single" w:sz="8" w:space="0" w:color="auto"/>
              <w:left w:val="nil"/>
              <w:bottom w:val="single" w:sz="8" w:space="0" w:color="auto"/>
              <w:right w:val="nil"/>
            </w:tcBorders>
            <w:vAlign w:val="center"/>
          </w:tcPr>
          <w:p w14:paraId="48445BB3" w14:textId="77777777" w:rsidR="000900D3" w:rsidRDefault="000900D3" w:rsidP="008308F0">
            <w:pPr>
              <w:jc w:val="right"/>
            </w:pPr>
            <w:r>
              <w:t>221</w:t>
            </w:r>
          </w:p>
        </w:tc>
        <w:tc>
          <w:tcPr>
            <w:tcW w:w="2659" w:type="dxa"/>
            <w:tcBorders>
              <w:top w:val="single" w:sz="8" w:space="0" w:color="auto"/>
              <w:left w:val="nil"/>
              <w:bottom w:val="single" w:sz="8" w:space="0" w:color="auto"/>
              <w:right w:val="nil"/>
            </w:tcBorders>
            <w:vAlign w:val="center"/>
          </w:tcPr>
          <w:p w14:paraId="017EBEB8" w14:textId="77777777" w:rsidR="000900D3" w:rsidRDefault="000900D3" w:rsidP="008308F0">
            <w:pPr>
              <w:jc w:val="right"/>
            </w:pPr>
            <w:r>
              <w:t>55</w:t>
            </w:r>
          </w:p>
        </w:tc>
        <w:tc>
          <w:tcPr>
            <w:tcW w:w="2192" w:type="dxa"/>
            <w:tcBorders>
              <w:top w:val="single" w:sz="8" w:space="0" w:color="auto"/>
              <w:left w:val="nil"/>
              <w:bottom w:val="single" w:sz="8" w:space="0" w:color="auto"/>
              <w:right w:val="nil"/>
            </w:tcBorders>
            <w:vAlign w:val="center"/>
          </w:tcPr>
          <w:p w14:paraId="76674067" w14:textId="77777777" w:rsidR="000900D3" w:rsidRDefault="000900D3" w:rsidP="008308F0">
            <w:pPr>
              <w:jc w:val="right"/>
            </w:pPr>
            <w:r>
              <w:t>0.25</w:t>
            </w:r>
          </w:p>
        </w:tc>
      </w:tr>
      <w:tr w:rsidR="000900D3" w14:paraId="3D517A18" w14:textId="77777777" w:rsidTr="008308F0">
        <w:trPr>
          <w:trHeight w:val="249"/>
        </w:trPr>
        <w:tc>
          <w:tcPr>
            <w:tcW w:w="2367" w:type="dxa"/>
            <w:tcBorders>
              <w:top w:val="single" w:sz="8" w:space="0" w:color="auto"/>
              <w:left w:val="nil"/>
              <w:bottom w:val="single" w:sz="8" w:space="0" w:color="auto"/>
              <w:right w:val="nil"/>
            </w:tcBorders>
            <w:vAlign w:val="bottom"/>
          </w:tcPr>
          <w:p w14:paraId="1DBA4A42" w14:textId="515A3D96" w:rsidR="000900D3" w:rsidRDefault="000900D3" w:rsidP="008308F0">
            <w:r>
              <w:t xml:space="preserve">Yung et al </w:t>
            </w:r>
            <w:r w:rsidR="00105434">
              <w:fldChar w:fldCharType="begin" w:fldLock="1"/>
            </w:r>
            <w:r w:rsidR="001B3AB4">
              <w:instrText>ADDIN CSL_CITATION {"citationItems":[{"id":"ITEM-1","itemData":{"ISSN":"0022-3476","author":[{"dropping-particle":"","family":"Yung","given":"Chee Fu","non-dropping-particle":"","parse-names":false,"suffix":""},{"dropping-particle":"","family":"Kam","given":"Kai-Qian","non-dropping-particle":"","parse-names":false,"suffix":""},{"dropping-particle":"","family":"Chong","given":"Chia Yin","non-dropping-particle":"","parse-names":false,"suffix":""},{"dropping-particle":"","family":"Nadua","given":"Karen Donceras","non-dropping-particle":"","parse-names":false,"suffix":""},{"dropping-particle":"","family":"Li","given":"Jiahui","non-dropping-particle":"","parse-names":false,"suffix":""},{"dropping-particle":"","family":"Tan","given":"Natalie Woon Hui","non-dropping-particle":"","parse-names":false,"suffix":""},{"dropping-particle":"","family":"Ganapathy","given":"Sashikumar","non-dropping-particle":"","parse-names":false,"suffix":""},{"dropping-particle":"","family":"Lee","given":"Khai Pin","non-dropping-particle":"","parse-names":false,"suffix":""},{"dropping-particle":"","family":"Ng","given":"Kee Chong","non-dropping-particle":"","parse-names":false,"suffix":""},{"dropping-particle":"","family":"Chan","given":"Yoke Hwee","non-dropping-particle":"","parse-names":false,"suffix":""}],"container-title":"The Journal of pediatrics","id":"ITEM-1","issued":{"date-parts":[["2020"]]},"page":"249-251","publisher":"Elsevier","title":"Household Transmission of Severe Acute Respiratory Syndrome Coronavirus 2 from Adults to Children","type":"article-journal","volume":"225"},"uris":["http://www.mendeley.com/documents/?uuid=65e4d97b-183e-47c5-aad7-61fbddf570d2"]}],"mendeley":{"formattedCitation":"[60]","plainTextFormattedCitation":"[60]","previouslyFormattedCitation":"[62]"},"properties":{"noteIndex":0},"schema":"https://github.com/citation-style-language/schema/raw/master/csl-citation.json"}</w:instrText>
            </w:r>
            <w:r w:rsidR="00105434">
              <w:fldChar w:fldCharType="separate"/>
            </w:r>
            <w:r w:rsidR="001B3AB4" w:rsidRPr="001B3AB4">
              <w:rPr>
                <w:noProof/>
              </w:rPr>
              <w:t>[60]</w:t>
            </w:r>
            <w:r w:rsidR="00105434">
              <w:fldChar w:fldCharType="end"/>
            </w:r>
          </w:p>
        </w:tc>
        <w:tc>
          <w:tcPr>
            <w:tcW w:w="2311" w:type="dxa"/>
            <w:tcBorders>
              <w:top w:val="single" w:sz="8" w:space="0" w:color="auto"/>
              <w:left w:val="nil"/>
              <w:bottom w:val="single" w:sz="8" w:space="0" w:color="auto"/>
              <w:right w:val="nil"/>
            </w:tcBorders>
            <w:vAlign w:val="center"/>
          </w:tcPr>
          <w:p w14:paraId="0EBF84FF" w14:textId="77777777" w:rsidR="000900D3" w:rsidRDefault="000900D3" w:rsidP="008308F0">
            <w:pPr>
              <w:jc w:val="right"/>
            </w:pPr>
            <w:r>
              <w:t>223</w:t>
            </w:r>
          </w:p>
        </w:tc>
        <w:tc>
          <w:tcPr>
            <w:tcW w:w="2659" w:type="dxa"/>
            <w:tcBorders>
              <w:top w:val="single" w:sz="8" w:space="0" w:color="auto"/>
              <w:left w:val="nil"/>
              <w:bottom w:val="single" w:sz="8" w:space="0" w:color="auto"/>
              <w:right w:val="nil"/>
            </w:tcBorders>
            <w:vAlign w:val="center"/>
          </w:tcPr>
          <w:p w14:paraId="645DD4E5" w14:textId="77777777" w:rsidR="000900D3" w:rsidRDefault="000900D3" w:rsidP="008308F0">
            <w:pPr>
              <w:jc w:val="right"/>
            </w:pPr>
            <w:r>
              <w:t>13</w:t>
            </w:r>
          </w:p>
        </w:tc>
        <w:tc>
          <w:tcPr>
            <w:tcW w:w="2192" w:type="dxa"/>
            <w:tcBorders>
              <w:top w:val="single" w:sz="8" w:space="0" w:color="auto"/>
              <w:left w:val="nil"/>
              <w:bottom w:val="single" w:sz="8" w:space="0" w:color="auto"/>
              <w:right w:val="nil"/>
            </w:tcBorders>
            <w:vAlign w:val="center"/>
          </w:tcPr>
          <w:p w14:paraId="7EBD401C" w14:textId="77777777" w:rsidR="000900D3" w:rsidRDefault="000900D3" w:rsidP="008308F0">
            <w:pPr>
              <w:jc w:val="right"/>
            </w:pPr>
            <w:r>
              <w:t>0.06</w:t>
            </w:r>
          </w:p>
        </w:tc>
      </w:tr>
      <w:tr w:rsidR="000900D3" w:rsidRPr="00DC678B" w14:paraId="222C563A" w14:textId="77777777" w:rsidTr="008308F0">
        <w:trPr>
          <w:trHeight w:val="510"/>
        </w:trPr>
        <w:tc>
          <w:tcPr>
            <w:tcW w:w="7337" w:type="dxa"/>
            <w:gridSpan w:val="3"/>
            <w:tcBorders>
              <w:top w:val="nil"/>
              <w:left w:val="nil"/>
              <w:bottom w:val="single" w:sz="24" w:space="0" w:color="auto"/>
              <w:right w:val="nil"/>
            </w:tcBorders>
            <w:vAlign w:val="center"/>
          </w:tcPr>
          <w:p w14:paraId="79C5B15F" w14:textId="77777777" w:rsidR="000900D3" w:rsidRDefault="000900D3" w:rsidP="008308F0">
            <w:pPr>
              <w:jc w:val="right"/>
              <w:rPr>
                <w:rFonts w:ascii="Calibri" w:hAnsi="Calibri" w:cs="Calibri"/>
                <w:color w:val="000000"/>
              </w:rPr>
            </w:pPr>
            <w:r w:rsidRPr="00D72DF4">
              <w:rPr>
                <w:rFonts w:ascii="Calibri" w:hAnsi="Calibri" w:cs="Calibri"/>
                <w:b/>
                <w:bCs/>
                <w:color w:val="000000"/>
              </w:rPr>
              <w:t xml:space="preserve">Summary </w:t>
            </w:r>
          </w:p>
        </w:tc>
        <w:tc>
          <w:tcPr>
            <w:tcW w:w="2192" w:type="dxa"/>
            <w:tcBorders>
              <w:top w:val="single" w:sz="8" w:space="0" w:color="auto"/>
              <w:left w:val="nil"/>
              <w:bottom w:val="single" w:sz="24" w:space="0" w:color="auto"/>
              <w:right w:val="nil"/>
            </w:tcBorders>
            <w:vAlign w:val="center"/>
          </w:tcPr>
          <w:p w14:paraId="303294BB" w14:textId="761CAA47" w:rsidR="000900D3" w:rsidRPr="00DC678B" w:rsidRDefault="000900D3" w:rsidP="008308F0">
            <w:pPr>
              <w:jc w:val="right"/>
              <w:rPr>
                <w:rFonts w:ascii="Calibri" w:hAnsi="Calibri" w:cs="Calibri"/>
                <w:b/>
                <w:bCs/>
                <w:color w:val="000000"/>
              </w:rPr>
            </w:pPr>
            <w:r w:rsidRPr="00DC678B">
              <w:rPr>
                <w:rFonts w:ascii="Calibri" w:hAnsi="Calibri" w:cs="Calibri"/>
                <w:b/>
                <w:bCs/>
                <w:color w:val="000000"/>
              </w:rPr>
              <w:t>0.</w:t>
            </w:r>
            <w:r w:rsidR="00CC3750">
              <w:rPr>
                <w:rFonts w:ascii="Calibri" w:hAnsi="Calibri" w:cs="Calibri"/>
                <w:b/>
                <w:bCs/>
                <w:color w:val="000000"/>
              </w:rPr>
              <w:t>76</w:t>
            </w:r>
            <w:r w:rsidR="00C52A9F" w:rsidRPr="00DC678B">
              <w:rPr>
                <w:rFonts w:ascii="Calibri" w:hAnsi="Calibri" w:cs="Calibri"/>
                <w:b/>
                <w:bCs/>
                <w:color w:val="000000"/>
              </w:rPr>
              <w:t xml:space="preserve"> </w:t>
            </w:r>
          </w:p>
          <w:p w14:paraId="1F80904B" w14:textId="321B4CA8" w:rsidR="000900D3" w:rsidRPr="00DC678B" w:rsidRDefault="000900D3" w:rsidP="008308F0">
            <w:pPr>
              <w:jc w:val="right"/>
              <w:rPr>
                <w:rFonts w:ascii="Calibri" w:hAnsi="Calibri" w:cs="Calibri"/>
                <w:b/>
                <w:bCs/>
                <w:color w:val="000000"/>
              </w:rPr>
            </w:pPr>
            <w:r w:rsidRPr="00DC678B">
              <w:rPr>
                <w:rFonts w:ascii="Calibri" w:hAnsi="Calibri" w:cs="Calibri"/>
                <w:b/>
                <w:bCs/>
                <w:color w:val="000000"/>
              </w:rPr>
              <w:t>(95% CI: 0.</w:t>
            </w:r>
            <w:r w:rsidR="00CC3750">
              <w:rPr>
                <w:rFonts w:ascii="Calibri" w:hAnsi="Calibri" w:cs="Calibri"/>
                <w:b/>
                <w:bCs/>
                <w:color w:val="000000"/>
              </w:rPr>
              <w:t>52</w:t>
            </w:r>
            <w:r w:rsidRPr="00DC678B">
              <w:rPr>
                <w:rFonts w:ascii="Calibri" w:hAnsi="Calibri" w:cs="Calibri"/>
                <w:b/>
                <w:bCs/>
                <w:color w:val="000000"/>
              </w:rPr>
              <w:t>-</w:t>
            </w:r>
            <w:r w:rsidR="00CC3750">
              <w:rPr>
                <w:rFonts w:ascii="Calibri" w:hAnsi="Calibri" w:cs="Calibri"/>
                <w:b/>
                <w:bCs/>
                <w:color w:val="000000"/>
              </w:rPr>
              <w:t>1.06</w:t>
            </w:r>
            <w:r w:rsidRPr="00DC678B">
              <w:rPr>
                <w:rFonts w:ascii="Calibri" w:hAnsi="Calibri" w:cs="Calibri"/>
                <w:b/>
                <w:bCs/>
                <w:color w:val="000000"/>
              </w:rPr>
              <w:t>)</w:t>
            </w:r>
          </w:p>
        </w:tc>
      </w:tr>
    </w:tbl>
    <w:p w14:paraId="14D90213" w14:textId="67FE586C" w:rsidR="001815C3" w:rsidRPr="000D1FB5" w:rsidRDefault="001815C3" w:rsidP="001815C3">
      <w:pPr>
        <w:rPr>
          <w:sz w:val="20"/>
          <w:szCs w:val="20"/>
        </w:rPr>
      </w:pPr>
      <w:r w:rsidRPr="000D1FB5">
        <w:rPr>
          <w:b/>
          <w:bCs/>
          <w:sz w:val="20"/>
          <w:szCs w:val="20"/>
        </w:rPr>
        <w:t>Table 12</w:t>
      </w:r>
      <w:r w:rsidR="000900D3" w:rsidRPr="000D1FB5">
        <w:rPr>
          <w:b/>
          <w:bCs/>
          <w:sz w:val="20"/>
          <w:szCs w:val="20"/>
        </w:rPr>
        <w:t xml:space="preserve"> Observed and</w:t>
      </w:r>
      <w:r w:rsidR="00975EE1" w:rsidRPr="000D1FB5">
        <w:rPr>
          <w:b/>
          <w:bCs/>
          <w:sz w:val="20"/>
          <w:szCs w:val="20"/>
        </w:rPr>
        <w:t xml:space="preserve"> Poisson-Gamma model estimated R</w:t>
      </w:r>
      <w:r w:rsidR="00975EE1" w:rsidRPr="000D1FB5">
        <w:rPr>
          <w:b/>
          <w:bCs/>
          <w:sz w:val="20"/>
          <w:szCs w:val="20"/>
          <w:vertAlign w:val="subscript"/>
        </w:rPr>
        <w:t>obs</w:t>
      </w:r>
      <w:r w:rsidR="00975EE1" w:rsidRPr="000D1FB5">
        <w:rPr>
          <w:b/>
          <w:bCs/>
          <w:sz w:val="20"/>
          <w:szCs w:val="20"/>
        </w:rPr>
        <w:t xml:space="preserve"> from child and adult index cases. </w:t>
      </w:r>
      <w:r w:rsidR="009A63B7" w:rsidRPr="000D1FB5">
        <w:rPr>
          <w:sz w:val="20"/>
          <w:szCs w:val="20"/>
        </w:rPr>
        <w:t xml:space="preserve">Studies were included only when the number </w:t>
      </w:r>
      <w:r w:rsidR="00782CEB" w:rsidRPr="000D1FB5">
        <w:rPr>
          <w:sz w:val="20"/>
          <w:szCs w:val="20"/>
        </w:rPr>
        <w:t xml:space="preserve">of index cases per age category were provided along with their </w:t>
      </w:r>
      <w:r w:rsidR="008308F0" w:rsidRPr="000D1FB5">
        <w:rPr>
          <w:sz w:val="20"/>
          <w:szCs w:val="20"/>
        </w:rPr>
        <w:t>corresponding contacts and secondary cases</w:t>
      </w:r>
      <w:r w:rsidR="0010457D" w:rsidRPr="000D1FB5">
        <w:rPr>
          <w:sz w:val="20"/>
          <w:szCs w:val="20"/>
        </w:rPr>
        <w:t xml:space="preserve"> (across all</w:t>
      </w:r>
      <w:r w:rsidR="009531FB" w:rsidRPr="000D1FB5">
        <w:rPr>
          <w:sz w:val="20"/>
          <w:szCs w:val="20"/>
        </w:rPr>
        <w:t xml:space="preserve"> exposure </w:t>
      </w:r>
      <w:r w:rsidR="0010457D" w:rsidRPr="000D1FB5">
        <w:rPr>
          <w:sz w:val="20"/>
          <w:szCs w:val="20"/>
        </w:rPr>
        <w:t>locations).</w:t>
      </w:r>
      <w:r w:rsidRPr="000D1FB5">
        <w:rPr>
          <w:sz w:val="20"/>
          <w:szCs w:val="20"/>
        </w:rPr>
        <w:br w:type="page"/>
      </w:r>
    </w:p>
    <w:tbl>
      <w:tblPr>
        <w:tblStyle w:val="PlainTable2"/>
        <w:tblpPr w:leftFromText="180" w:rightFromText="180" w:vertAnchor="page" w:horzAnchor="page" w:tblpX="504" w:tblpY="2473"/>
        <w:tblW w:w="11057" w:type="dxa"/>
        <w:tblLook w:val="04A0" w:firstRow="1" w:lastRow="0" w:firstColumn="1" w:lastColumn="0" w:noHBand="0" w:noVBand="1"/>
      </w:tblPr>
      <w:tblGrid>
        <w:gridCol w:w="1418"/>
        <w:gridCol w:w="4253"/>
        <w:gridCol w:w="5386"/>
      </w:tblGrid>
      <w:tr w:rsidR="00DB3A57" w14:paraId="43AEFF96" w14:textId="77777777" w:rsidTr="009F795D">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auto"/>
              <w:bottom w:val="single" w:sz="18" w:space="0" w:color="auto"/>
            </w:tcBorders>
          </w:tcPr>
          <w:p w14:paraId="25BC4F82" w14:textId="77777777" w:rsidR="00DB3A57" w:rsidRPr="006662F7" w:rsidRDefault="00DB3A57" w:rsidP="009F733F">
            <w:pPr>
              <w:rPr>
                <w:b w:val="0"/>
                <w:bCs w:val="0"/>
              </w:rPr>
            </w:pPr>
            <w:r w:rsidRPr="006662F7">
              <w:rPr>
                <w:b w:val="0"/>
                <w:bCs w:val="0"/>
              </w:rPr>
              <w:lastRenderedPageBreak/>
              <w:t>Author</w:t>
            </w:r>
          </w:p>
        </w:tc>
        <w:tc>
          <w:tcPr>
            <w:tcW w:w="4253" w:type="dxa"/>
            <w:tcBorders>
              <w:top w:val="single" w:sz="18" w:space="0" w:color="auto"/>
              <w:bottom w:val="single" w:sz="18" w:space="0" w:color="auto"/>
            </w:tcBorders>
          </w:tcPr>
          <w:p w14:paraId="4442F1E3" w14:textId="77777777" w:rsidR="00DB3A57" w:rsidRPr="006662F7" w:rsidRDefault="00DB3A57" w:rsidP="009F733F">
            <w:pPr>
              <w:cnfStyle w:val="100000000000" w:firstRow="1" w:lastRow="0" w:firstColumn="0" w:lastColumn="0" w:oddVBand="0" w:evenVBand="0" w:oddHBand="0" w:evenHBand="0" w:firstRowFirstColumn="0" w:firstRowLastColumn="0" w:lastRowFirstColumn="0" w:lastRowLastColumn="0"/>
            </w:pPr>
            <w:r w:rsidRPr="006662F7">
              <w:t xml:space="preserve">Study Title </w:t>
            </w:r>
          </w:p>
        </w:tc>
        <w:tc>
          <w:tcPr>
            <w:tcW w:w="5386" w:type="dxa"/>
            <w:tcBorders>
              <w:top w:val="single" w:sz="18" w:space="0" w:color="auto"/>
              <w:bottom w:val="single" w:sz="18" w:space="0" w:color="auto"/>
            </w:tcBorders>
          </w:tcPr>
          <w:p w14:paraId="57466C21" w14:textId="77777777" w:rsidR="00DB3A57" w:rsidRPr="006662F7" w:rsidRDefault="00DB3A57" w:rsidP="009F733F">
            <w:pPr>
              <w:cnfStyle w:val="100000000000" w:firstRow="1" w:lastRow="0" w:firstColumn="0" w:lastColumn="0" w:oddVBand="0" w:evenVBand="0" w:oddHBand="0" w:evenHBand="0" w:firstRowFirstColumn="0" w:firstRowLastColumn="0" w:lastRowFirstColumn="0" w:lastRowLastColumn="0"/>
            </w:pPr>
            <w:r w:rsidRPr="006662F7">
              <w:t xml:space="preserve">Definitions and Duration of follow up </w:t>
            </w:r>
          </w:p>
        </w:tc>
      </w:tr>
      <w:tr w:rsidR="00DB3A57" w14:paraId="39C37430" w14:textId="77777777" w:rsidTr="009F795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auto"/>
            </w:tcBorders>
          </w:tcPr>
          <w:p w14:paraId="2B8FEFEA" w14:textId="5C003B4F" w:rsidR="00DB3A57" w:rsidRPr="006662F7" w:rsidRDefault="00DB3A57" w:rsidP="009F733F">
            <w:pPr>
              <w:rPr>
                <w:b w:val="0"/>
                <w:bCs w:val="0"/>
                <w:color w:val="4472C4" w:themeColor="accent1"/>
              </w:rPr>
            </w:pPr>
            <w:r w:rsidRPr="006662F7">
              <w:rPr>
                <w:rFonts w:ascii="Calibri" w:hAnsi="Calibri" w:cs="Calibri"/>
                <w:b w:val="0"/>
                <w:bCs w:val="0"/>
                <w:color w:val="000000"/>
              </w:rPr>
              <w:t xml:space="preserve">Chaw et al </w:t>
            </w:r>
            <w:r w:rsidR="00D42C43" w:rsidRPr="006662F7">
              <w:rPr>
                <w:rFonts w:ascii="Calibri" w:hAnsi="Calibri" w:cs="Calibri"/>
                <w:b w:val="0"/>
                <w:bCs w:val="0"/>
                <w:color w:val="000000"/>
              </w:rPr>
              <w:t>[18]</w:t>
            </w:r>
          </w:p>
        </w:tc>
        <w:tc>
          <w:tcPr>
            <w:tcW w:w="4253" w:type="dxa"/>
            <w:tcBorders>
              <w:top w:val="single" w:sz="18" w:space="0" w:color="auto"/>
            </w:tcBorders>
          </w:tcPr>
          <w:p w14:paraId="4BF3B65B" w14:textId="77777777" w:rsidR="00DB3A57" w:rsidRDefault="00DB3A57" w:rsidP="009F733F">
            <w:pPr>
              <w:cnfStyle w:val="000000100000" w:firstRow="0" w:lastRow="0" w:firstColumn="0" w:lastColumn="0" w:oddVBand="0" w:evenVBand="0" w:oddHBand="1" w:evenHBand="0" w:firstRowFirstColumn="0" w:firstRowLastColumn="0" w:lastRowFirstColumn="0" w:lastRowLastColumn="0"/>
              <w:rPr>
                <w:color w:val="4472C4" w:themeColor="accent1"/>
              </w:rPr>
            </w:pPr>
            <w:r w:rsidRPr="009B37A8">
              <w:rPr>
                <w:rFonts w:ascii="Calibri" w:hAnsi="Calibri" w:cs="Calibri"/>
                <w:color w:val="000000"/>
              </w:rPr>
              <w:t>Analysis of SARS-CoV-2 Transmission in Different Settings, Brunei</w:t>
            </w:r>
          </w:p>
        </w:tc>
        <w:tc>
          <w:tcPr>
            <w:tcW w:w="5386" w:type="dxa"/>
            <w:tcBorders>
              <w:top w:val="single" w:sz="18" w:space="0" w:color="auto"/>
            </w:tcBorders>
          </w:tcPr>
          <w:p w14:paraId="5FA78C6F" w14:textId="77777777" w:rsidR="00DB3A57" w:rsidRPr="006662F7" w:rsidRDefault="00DB3A57" w:rsidP="009F733F">
            <w:pPr>
              <w:cnfStyle w:val="000000100000" w:firstRow="0" w:lastRow="0" w:firstColumn="0" w:lastColumn="0" w:oddVBand="0" w:evenVBand="0" w:oddHBand="1" w:evenHBand="0" w:firstRowFirstColumn="0" w:firstRowLastColumn="0" w:lastRowFirstColumn="0" w:lastRowLastColumn="0"/>
            </w:pPr>
            <w:r w:rsidRPr="006662F7">
              <w:t xml:space="preserve">Asymptomatic cases had no symptoms at the time of swab collection or during admission to the national isolation centre – to be discharged required two negative tests in 24 hours. </w:t>
            </w:r>
          </w:p>
        </w:tc>
      </w:tr>
      <w:tr w:rsidR="00DB3A57" w14:paraId="1A82D2FE" w14:textId="77777777" w:rsidTr="009F795D">
        <w:trPr>
          <w:trHeight w:val="263"/>
        </w:trPr>
        <w:tc>
          <w:tcPr>
            <w:cnfStyle w:val="001000000000" w:firstRow="0" w:lastRow="0" w:firstColumn="1" w:lastColumn="0" w:oddVBand="0" w:evenVBand="0" w:oddHBand="0" w:evenHBand="0" w:firstRowFirstColumn="0" w:firstRowLastColumn="0" w:lastRowFirstColumn="0" w:lastRowLastColumn="0"/>
            <w:tcW w:w="1418" w:type="dxa"/>
          </w:tcPr>
          <w:p w14:paraId="1A4D2490" w14:textId="465D7238" w:rsidR="00DB3A57" w:rsidRPr="006662F7" w:rsidRDefault="00DB3A57" w:rsidP="009F733F">
            <w:pPr>
              <w:rPr>
                <w:b w:val="0"/>
                <w:bCs w:val="0"/>
                <w:color w:val="4472C4" w:themeColor="accent1"/>
              </w:rPr>
            </w:pPr>
            <w:r w:rsidRPr="006662F7">
              <w:rPr>
                <w:rFonts w:ascii="Calibri" w:hAnsi="Calibri" w:cs="Calibri"/>
                <w:b w:val="0"/>
                <w:bCs w:val="0"/>
                <w:color w:val="000000"/>
              </w:rPr>
              <w:t xml:space="preserve">Chen et al </w:t>
            </w:r>
            <w:r w:rsidR="00D42C43" w:rsidRPr="006662F7">
              <w:rPr>
                <w:rFonts w:ascii="Calibri" w:hAnsi="Calibri" w:cs="Calibri"/>
                <w:b w:val="0"/>
                <w:bCs w:val="0"/>
                <w:color w:val="000000"/>
              </w:rPr>
              <w:t>[28]</w:t>
            </w:r>
          </w:p>
        </w:tc>
        <w:tc>
          <w:tcPr>
            <w:tcW w:w="4253" w:type="dxa"/>
          </w:tcPr>
          <w:p w14:paraId="1C807AF6" w14:textId="77777777" w:rsidR="00DB3A57" w:rsidRDefault="00DB3A57" w:rsidP="009F733F">
            <w:pPr>
              <w:cnfStyle w:val="000000000000" w:firstRow="0" w:lastRow="0" w:firstColumn="0" w:lastColumn="0" w:oddVBand="0" w:evenVBand="0" w:oddHBand="0" w:evenHBand="0" w:firstRowFirstColumn="0" w:firstRowLastColumn="0" w:lastRowFirstColumn="0" w:lastRowLastColumn="0"/>
              <w:rPr>
                <w:color w:val="4472C4" w:themeColor="accent1"/>
              </w:rPr>
            </w:pPr>
            <w:r>
              <w:rPr>
                <w:rFonts w:ascii="Calibri" w:hAnsi="Calibri" w:cs="Calibri"/>
                <w:color w:val="000000"/>
              </w:rPr>
              <w:t>Epidemiological characteristics of infection of close contacts of new coronavirus pneumonia in Ningbo</w:t>
            </w:r>
          </w:p>
        </w:tc>
        <w:tc>
          <w:tcPr>
            <w:tcW w:w="5386" w:type="dxa"/>
          </w:tcPr>
          <w:p w14:paraId="07F9F042" w14:textId="76DFE956" w:rsidR="00DB3A57" w:rsidRPr="006662F7" w:rsidRDefault="00DB3A57" w:rsidP="009F733F">
            <w:pPr>
              <w:cnfStyle w:val="000000000000" w:firstRow="0" w:lastRow="0" w:firstColumn="0" w:lastColumn="0" w:oddVBand="0" w:evenVBand="0" w:oddHBand="0" w:evenHBand="0" w:firstRowFirstColumn="0" w:firstRowLastColumn="0" w:lastRowFirstColumn="0" w:lastRowLastColumn="0"/>
            </w:pPr>
            <w:r w:rsidRPr="006662F7">
              <w:t xml:space="preserve">Diagnosis of </w:t>
            </w:r>
            <w:r w:rsidR="00961DEC" w:rsidRPr="006662F7">
              <w:t>asymptomatic</w:t>
            </w:r>
            <w:r w:rsidRPr="006662F7">
              <w:t xml:space="preserve"> cases in line with the national coronavirus prevention and control plan which states that the infected person has a positive nucleic acid test, and after a 14-day incubation period, there is no self-perceived or clinically identifiable symptoms and signs, and the infection is always asymptomatic.  </w:t>
            </w:r>
          </w:p>
        </w:tc>
      </w:tr>
      <w:tr w:rsidR="00DB3A57" w14:paraId="689A5F39" w14:textId="77777777" w:rsidTr="009F795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8" w:type="dxa"/>
          </w:tcPr>
          <w:p w14:paraId="27E52AE6" w14:textId="6B9C8951" w:rsidR="00DB3A57" w:rsidRPr="006662F7" w:rsidRDefault="00DB3A57" w:rsidP="009F733F">
            <w:pPr>
              <w:rPr>
                <w:b w:val="0"/>
                <w:bCs w:val="0"/>
                <w:color w:val="4472C4" w:themeColor="accent1"/>
              </w:rPr>
            </w:pPr>
            <w:r w:rsidRPr="006662F7">
              <w:rPr>
                <w:rFonts w:ascii="Calibri" w:hAnsi="Calibri" w:cs="Calibri"/>
                <w:b w:val="0"/>
                <w:bCs w:val="0"/>
                <w:color w:val="000000"/>
              </w:rPr>
              <w:t>Han et al</w:t>
            </w:r>
            <w:r w:rsidR="00D42C43" w:rsidRPr="006662F7">
              <w:rPr>
                <w:rFonts w:ascii="Calibri" w:hAnsi="Calibri" w:cs="Calibri"/>
                <w:b w:val="0"/>
                <w:bCs w:val="0"/>
                <w:color w:val="000000"/>
              </w:rPr>
              <w:t xml:space="preserve"> [92]</w:t>
            </w:r>
          </w:p>
        </w:tc>
        <w:tc>
          <w:tcPr>
            <w:tcW w:w="4253" w:type="dxa"/>
          </w:tcPr>
          <w:p w14:paraId="1DAB7E1E" w14:textId="77777777" w:rsidR="00DB3A57" w:rsidRDefault="00DB3A57" w:rsidP="009F733F">
            <w:pPr>
              <w:cnfStyle w:val="000000100000" w:firstRow="0" w:lastRow="0" w:firstColumn="0" w:lastColumn="0" w:oddVBand="0" w:evenVBand="0" w:oddHBand="1" w:evenHBand="0" w:firstRowFirstColumn="0" w:firstRowLastColumn="0" w:lastRowFirstColumn="0" w:lastRowLastColumn="0"/>
              <w:rPr>
                <w:color w:val="4472C4" w:themeColor="accent1"/>
              </w:rPr>
            </w:pPr>
            <w:r>
              <w:rPr>
                <w:rFonts w:ascii="Calibri" w:hAnsi="Calibri" w:cs="Calibri"/>
                <w:color w:val="000000"/>
              </w:rPr>
              <w:t>Severe Acute Respiratory Syndrome Coronavirus 2 among Asymptomatic Workers Screened for Work Resumption, China</w:t>
            </w:r>
          </w:p>
        </w:tc>
        <w:tc>
          <w:tcPr>
            <w:tcW w:w="5386" w:type="dxa"/>
          </w:tcPr>
          <w:p w14:paraId="57120017" w14:textId="4B3D9112" w:rsidR="00DB3A57" w:rsidRPr="006662F7" w:rsidRDefault="00DB3A57" w:rsidP="009F733F">
            <w:pPr>
              <w:cnfStyle w:val="000000100000" w:firstRow="0" w:lastRow="0" w:firstColumn="0" w:lastColumn="0" w:oddVBand="0" w:evenVBand="0" w:oddHBand="1" w:evenHBand="0" w:firstRowFirstColumn="0" w:firstRowLastColumn="0" w:lastRowFirstColumn="0" w:lastRowLastColumn="0"/>
            </w:pPr>
            <w:r w:rsidRPr="006662F7">
              <w:t xml:space="preserve">In the text of this paper, it quotes “none of the 18 asymptomatic persons in our study developed symptoms” with each case followed on average for 19 days since test positive – ranged from 3 – 41 days. Two of 18 index cases had </w:t>
            </w:r>
            <w:proofErr w:type="gramStart"/>
            <w:r w:rsidRPr="006662F7">
              <w:t>follow</w:t>
            </w:r>
            <w:proofErr w:type="gramEnd"/>
            <w:r w:rsidRPr="006662F7">
              <w:t xml:space="preserve"> up duration of &lt;14 days. A sensitivity analysis removing this study had no significant impact on the pooled result</w:t>
            </w:r>
            <w:r w:rsidR="009F733F" w:rsidRPr="006662F7">
              <w:t xml:space="preserve"> (pooled result with the study excluded: SAR</w:t>
            </w:r>
            <w:r w:rsidRPr="006662F7">
              <w:t xml:space="preserve"> </w:t>
            </w:r>
            <w:r w:rsidR="009F733F" w:rsidRPr="006662F7">
              <w:t>2.0% [95% CI: 0.5%-3.4%])</w:t>
            </w:r>
            <w:r w:rsidRPr="006662F7">
              <w:t xml:space="preserve">. </w:t>
            </w:r>
          </w:p>
        </w:tc>
      </w:tr>
      <w:tr w:rsidR="00DB3A57" w14:paraId="7DCA513D" w14:textId="77777777" w:rsidTr="009F795D">
        <w:trPr>
          <w:trHeight w:val="263"/>
        </w:trPr>
        <w:tc>
          <w:tcPr>
            <w:cnfStyle w:val="001000000000" w:firstRow="0" w:lastRow="0" w:firstColumn="1" w:lastColumn="0" w:oddVBand="0" w:evenVBand="0" w:oddHBand="0" w:evenHBand="0" w:firstRowFirstColumn="0" w:firstRowLastColumn="0" w:lastRowFirstColumn="0" w:lastRowLastColumn="0"/>
            <w:tcW w:w="1418" w:type="dxa"/>
          </w:tcPr>
          <w:p w14:paraId="05440AFE" w14:textId="255CBBAF" w:rsidR="00DB3A57" w:rsidRPr="006662F7" w:rsidRDefault="00DB3A57" w:rsidP="009F733F">
            <w:pPr>
              <w:rPr>
                <w:b w:val="0"/>
                <w:bCs w:val="0"/>
                <w:color w:val="4472C4" w:themeColor="accent1"/>
              </w:rPr>
            </w:pPr>
            <w:r w:rsidRPr="006662F7">
              <w:rPr>
                <w:rFonts w:ascii="Calibri" w:hAnsi="Calibri" w:cs="Calibri"/>
                <w:b w:val="0"/>
                <w:bCs w:val="0"/>
                <w:color w:val="000000"/>
              </w:rPr>
              <w:t>Jiang et al</w:t>
            </w:r>
            <w:r w:rsidR="009E0A02" w:rsidRPr="006662F7">
              <w:rPr>
                <w:rFonts w:ascii="Calibri" w:hAnsi="Calibri" w:cs="Calibri"/>
                <w:b w:val="0"/>
                <w:bCs w:val="0"/>
                <w:color w:val="000000"/>
              </w:rPr>
              <w:t xml:space="preserve"> [37]</w:t>
            </w:r>
          </w:p>
        </w:tc>
        <w:tc>
          <w:tcPr>
            <w:tcW w:w="4253" w:type="dxa"/>
          </w:tcPr>
          <w:p w14:paraId="1E665A5D" w14:textId="77777777" w:rsidR="00DB3A57" w:rsidRDefault="00DB3A57" w:rsidP="009F733F">
            <w:pPr>
              <w:cnfStyle w:val="000000000000" w:firstRow="0" w:lastRow="0" w:firstColumn="0" w:lastColumn="0" w:oddVBand="0" w:evenVBand="0" w:oddHBand="0" w:evenHBand="0" w:firstRowFirstColumn="0" w:firstRowLastColumn="0" w:lastRowFirstColumn="0" w:lastRowLastColumn="0"/>
              <w:rPr>
                <w:color w:val="4472C4" w:themeColor="accent1"/>
              </w:rPr>
            </w:pPr>
            <w:r>
              <w:rPr>
                <w:rFonts w:ascii="Calibri" w:hAnsi="Calibri" w:cs="Calibri"/>
                <w:color w:val="000000"/>
              </w:rPr>
              <w:t xml:space="preserve">Transmission Potential of Asymptomatic and </w:t>
            </w:r>
            <w:proofErr w:type="spellStart"/>
            <w:r>
              <w:rPr>
                <w:rFonts w:ascii="Calibri" w:hAnsi="Calibri" w:cs="Calibri"/>
                <w:color w:val="000000"/>
              </w:rPr>
              <w:t>Paucisymptomatic</w:t>
            </w:r>
            <w:proofErr w:type="spellEnd"/>
            <w:r>
              <w:rPr>
                <w:rFonts w:ascii="Calibri" w:hAnsi="Calibri" w:cs="Calibri"/>
                <w:color w:val="000000"/>
              </w:rPr>
              <w:t xml:space="preserve"> Severe Acute Respiratory Syndrome Coronavirus 2 Infections: A 3-Family Cluster Study in China</w:t>
            </w:r>
          </w:p>
        </w:tc>
        <w:tc>
          <w:tcPr>
            <w:tcW w:w="5386" w:type="dxa"/>
          </w:tcPr>
          <w:p w14:paraId="57A55C14" w14:textId="77777777" w:rsidR="00DB3A57" w:rsidRPr="006662F7" w:rsidRDefault="00DB3A57" w:rsidP="009F733F">
            <w:pPr>
              <w:cnfStyle w:val="000000000000" w:firstRow="0" w:lastRow="0" w:firstColumn="0" w:lastColumn="0" w:oddVBand="0" w:evenVBand="0" w:oddHBand="0" w:evenHBand="0" w:firstRowFirstColumn="0" w:firstRowLastColumn="0" w:lastRowFirstColumn="0" w:lastRowLastColumn="0"/>
            </w:pPr>
            <w:r w:rsidRPr="006662F7">
              <w:t xml:space="preserve">Each asymptomatic patient had 16-25 days follow up from positive test and remained asymptomatic throughout. </w:t>
            </w:r>
          </w:p>
        </w:tc>
      </w:tr>
      <w:tr w:rsidR="00DB3A57" w14:paraId="1AE250E8" w14:textId="77777777" w:rsidTr="009F795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8" w:type="dxa"/>
          </w:tcPr>
          <w:p w14:paraId="559B9987" w14:textId="4329A405" w:rsidR="00DB3A57" w:rsidRPr="006662F7" w:rsidRDefault="00DB3A57" w:rsidP="009F733F">
            <w:pPr>
              <w:rPr>
                <w:b w:val="0"/>
                <w:bCs w:val="0"/>
                <w:color w:val="4472C4" w:themeColor="accent1"/>
              </w:rPr>
            </w:pPr>
            <w:r w:rsidRPr="006662F7">
              <w:rPr>
                <w:rFonts w:ascii="Calibri" w:hAnsi="Calibri" w:cs="Calibri"/>
                <w:b w:val="0"/>
                <w:bCs w:val="0"/>
                <w:color w:val="000000"/>
              </w:rPr>
              <w:t xml:space="preserve">Liu et al </w:t>
            </w:r>
            <w:r w:rsidR="009E0A02" w:rsidRPr="006662F7">
              <w:rPr>
                <w:rFonts w:ascii="Calibri" w:hAnsi="Calibri" w:cs="Calibri"/>
                <w:b w:val="0"/>
                <w:bCs w:val="0"/>
                <w:color w:val="000000"/>
              </w:rPr>
              <w:t>[96]</w:t>
            </w:r>
          </w:p>
        </w:tc>
        <w:tc>
          <w:tcPr>
            <w:tcW w:w="4253" w:type="dxa"/>
          </w:tcPr>
          <w:p w14:paraId="4D5DC05C" w14:textId="77777777" w:rsidR="00DB3A57" w:rsidRDefault="00DB3A57" w:rsidP="009F733F">
            <w:pPr>
              <w:cnfStyle w:val="000000100000" w:firstRow="0" w:lastRow="0" w:firstColumn="0" w:lastColumn="0" w:oddVBand="0" w:evenVBand="0" w:oddHBand="1" w:evenHBand="0" w:firstRowFirstColumn="0" w:firstRowLastColumn="0" w:lastRowFirstColumn="0" w:lastRowLastColumn="0"/>
              <w:rPr>
                <w:color w:val="4472C4" w:themeColor="accent1"/>
              </w:rPr>
            </w:pPr>
            <w:r>
              <w:rPr>
                <w:rFonts w:ascii="Calibri" w:hAnsi="Calibri" w:cs="Calibri"/>
                <w:color w:val="000000"/>
              </w:rPr>
              <w:t>The assessment of transmission efficiency and latent infection period on asymptomatic carriers of SARS-CoV-2 infection</w:t>
            </w:r>
          </w:p>
        </w:tc>
        <w:tc>
          <w:tcPr>
            <w:tcW w:w="5386" w:type="dxa"/>
          </w:tcPr>
          <w:p w14:paraId="20A96DFA" w14:textId="77777777" w:rsidR="00DB3A57" w:rsidRPr="006662F7" w:rsidRDefault="00DB3A57" w:rsidP="009F733F">
            <w:pPr>
              <w:cnfStyle w:val="000000100000" w:firstRow="0" w:lastRow="0" w:firstColumn="0" w:lastColumn="0" w:oddVBand="0" w:evenVBand="0" w:oddHBand="1" w:evenHBand="0" w:firstRowFirstColumn="0" w:firstRowLastColumn="0" w:lastRowFirstColumn="0" w:lastRowLastColumn="0"/>
            </w:pPr>
            <w:r w:rsidRPr="006662F7">
              <w:t xml:space="preserve">All asymptomatic carriers fulfilled the following criteria: (1) without symptoms of fever, cough, and fatigue; (2) no radiographic evidence of pneumonia;(3) with normal white cell count and normal lymphocyte </w:t>
            </w:r>
            <w:proofErr w:type="gramStart"/>
            <w:r w:rsidRPr="006662F7">
              <w:t>count;</w:t>
            </w:r>
            <w:proofErr w:type="gramEnd"/>
          </w:p>
          <w:p w14:paraId="1EECE085" w14:textId="77777777" w:rsidR="00DB3A57" w:rsidRPr="006662F7" w:rsidRDefault="00DB3A57" w:rsidP="009F733F">
            <w:pPr>
              <w:cnfStyle w:val="000000100000" w:firstRow="0" w:lastRow="0" w:firstColumn="0" w:lastColumn="0" w:oddVBand="0" w:evenVBand="0" w:oddHBand="1" w:evenHBand="0" w:firstRowFirstColumn="0" w:firstRowLastColumn="0" w:lastRowFirstColumn="0" w:lastRowLastColumn="0"/>
            </w:pPr>
            <w:r w:rsidRPr="006662F7">
              <w:t xml:space="preserve">and (4) positive nucleic acid test for SARS-CoV-2. </w:t>
            </w:r>
          </w:p>
          <w:p w14:paraId="006E19D9" w14:textId="77777777" w:rsidR="00DB3A57" w:rsidRPr="006662F7" w:rsidRDefault="00DB3A57" w:rsidP="009F733F">
            <w:pPr>
              <w:cnfStyle w:val="000000100000" w:firstRow="0" w:lastRow="0" w:firstColumn="0" w:lastColumn="0" w:oddVBand="0" w:evenVBand="0" w:oddHBand="1" w:evenHBand="0" w:firstRowFirstColumn="0" w:firstRowLastColumn="0" w:lastRowFirstColumn="0" w:lastRowLastColumn="0"/>
            </w:pPr>
            <w:r w:rsidRPr="006662F7">
              <w:t xml:space="preserve">Study had a 14 </w:t>
            </w:r>
            <w:proofErr w:type="gramStart"/>
            <w:r w:rsidRPr="006662F7">
              <w:t>days</w:t>
            </w:r>
            <w:proofErr w:type="gramEnd"/>
            <w:r w:rsidRPr="006662F7">
              <w:t xml:space="preserve"> observation period with those not developing symptoms during this period classified as asymptomatic. </w:t>
            </w:r>
          </w:p>
        </w:tc>
      </w:tr>
      <w:tr w:rsidR="00DB3A57" w14:paraId="1B0F67D2" w14:textId="77777777" w:rsidTr="009F795D">
        <w:trPr>
          <w:trHeight w:val="263"/>
        </w:trPr>
        <w:tc>
          <w:tcPr>
            <w:cnfStyle w:val="001000000000" w:firstRow="0" w:lastRow="0" w:firstColumn="1" w:lastColumn="0" w:oddVBand="0" w:evenVBand="0" w:oddHBand="0" w:evenHBand="0" w:firstRowFirstColumn="0" w:firstRowLastColumn="0" w:lastRowFirstColumn="0" w:lastRowLastColumn="0"/>
            <w:tcW w:w="1418" w:type="dxa"/>
          </w:tcPr>
          <w:p w14:paraId="77469B29" w14:textId="01320538" w:rsidR="00DB3A57" w:rsidRPr="006662F7" w:rsidRDefault="00DB3A57" w:rsidP="009F733F">
            <w:pPr>
              <w:rPr>
                <w:b w:val="0"/>
                <w:bCs w:val="0"/>
                <w:color w:val="4472C4" w:themeColor="accent1"/>
              </w:rPr>
            </w:pPr>
            <w:r w:rsidRPr="006662F7">
              <w:rPr>
                <w:rFonts w:ascii="Calibri" w:hAnsi="Calibri" w:cs="Calibri"/>
                <w:b w:val="0"/>
                <w:bCs w:val="0"/>
                <w:color w:val="000000"/>
              </w:rPr>
              <w:t xml:space="preserve">Luo et al </w:t>
            </w:r>
            <w:r w:rsidR="009E0A02" w:rsidRPr="006662F7">
              <w:rPr>
                <w:rFonts w:ascii="Calibri" w:hAnsi="Calibri" w:cs="Calibri"/>
                <w:b w:val="0"/>
                <w:bCs w:val="0"/>
                <w:color w:val="000000"/>
              </w:rPr>
              <w:t>[43]</w:t>
            </w:r>
          </w:p>
        </w:tc>
        <w:tc>
          <w:tcPr>
            <w:tcW w:w="4253" w:type="dxa"/>
          </w:tcPr>
          <w:p w14:paraId="6ABB7927" w14:textId="77777777" w:rsidR="00DB3A57" w:rsidRDefault="00DB3A57" w:rsidP="009F733F">
            <w:pPr>
              <w:cnfStyle w:val="000000000000" w:firstRow="0" w:lastRow="0" w:firstColumn="0" w:lastColumn="0" w:oddVBand="0" w:evenVBand="0" w:oddHBand="0" w:evenHBand="0" w:firstRowFirstColumn="0" w:firstRowLastColumn="0" w:lastRowFirstColumn="0" w:lastRowLastColumn="0"/>
              <w:rPr>
                <w:color w:val="4472C4" w:themeColor="accent1"/>
              </w:rPr>
            </w:pPr>
            <w:r>
              <w:rPr>
                <w:rFonts w:ascii="Calibri" w:hAnsi="Calibri" w:cs="Calibri"/>
                <w:color w:val="000000"/>
              </w:rPr>
              <w:t>Modes of contact and risk of transmission in COVID-19 among close contacts</w:t>
            </w:r>
          </w:p>
        </w:tc>
        <w:tc>
          <w:tcPr>
            <w:tcW w:w="5386" w:type="dxa"/>
          </w:tcPr>
          <w:p w14:paraId="3523BC23" w14:textId="77777777" w:rsidR="00DB3A57" w:rsidRPr="006662F7" w:rsidRDefault="00DB3A57" w:rsidP="009F733F">
            <w:pPr>
              <w:cnfStyle w:val="000000000000" w:firstRow="0" w:lastRow="0" w:firstColumn="0" w:lastColumn="0" w:oddVBand="0" w:evenVBand="0" w:oddHBand="0" w:evenHBand="0" w:firstRowFirstColumn="0" w:firstRowLastColumn="0" w:lastRowFirstColumn="0" w:lastRowLastColumn="0"/>
            </w:pPr>
            <w:r w:rsidRPr="006662F7">
              <w:t>Asymptomatic infection must have not clinical symptoms, must be positive for the virus’ nucleic-acid, and have or be free of radiological and/or laboratory alterations that</w:t>
            </w:r>
          </w:p>
          <w:p w14:paraId="36F564EE" w14:textId="77777777" w:rsidR="00DB3A57" w:rsidRPr="006662F7" w:rsidRDefault="00DB3A57" w:rsidP="009F733F">
            <w:pPr>
              <w:cnfStyle w:val="000000000000" w:firstRow="0" w:lastRow="0" w:firstColumn="0" w:lastColumn="0" w:oddVBand="0" w:evenVBand="0" w:oddHBand="0" w:evenHBand="0" w:firstRowFirstColumn="0" w:firstRowLastColumn="0" w:lastRowFirstColumn="0" w:lastRowLastColumn="0"/>
            </w:pPr>
            <w:r w:rsidRPr="006662F7">
              <w:t xml:space="preserve">indicate viral infection. All confirmed cases were followed up for at least 14 days. </w:t>
            </w:r>
          </w:p>
          <w:p w14:paraId="7F2DCC9C" w14:textId="77777777" w:rsidR="00DB3A57" w:rsidRPr="006662F7" w:rsidRDefault="00DB3A57" w:rsidP="009F733F">
            <w:pPr>
              <w:cnfStyle w:val="000000000000" w:firstRow="0" w:lastRow="0" w:firstColumn="0" w:lastColumn="0" w:oddVBand="0" w:evenVBand="0" w:oddHBand="0" w:evenHBand="0" w:firstRowFirstColumn="0" w:firstRowLastColumn="0" w:lastRowFirstColumn="0" w:lastRowLastColumn="0"/>
            </w:pPr>
          </w:p>
        </w:tc>
      </w:tr>
      <w:tr w:rsidR="00DB3A57" w14:paraId="3F439B4A" w14:textId="77777777" w:rsidTr="009F795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8" w:type="dxa"/>
          </w:tcPr>
          <w:p w14:paraId="390EB38A" w14:textId="546267BB" w:rsidR="00DB3A57" w:rsidRPr="006662F7" w:rsidRDefault="00DB3A57" w:rsidP="009F733F">
            <w:pPr>
              <w:rPr>
                <w:b w:val="0"/>
                <w:bCs w:val="0"/>
                <w:color w:val="4472C4" w:themeColor="accent1"/>
              </w:rPr>
            </w:pPr>
            <w:r w:rsidRPr="006662F7">
              <w:rPr>
                <w:rFonts w:ascii="Calibri" w:hAnsi="Calibri" w:cs="Calibri"/>
                <w:b w:val="0"/>
                <w:bCs w:val="0"/>
                <w:color w:val="000000"/>
              </w:rPr>
              <w:t xml:space="preserve">Park et al </w:t>
            </w:r>
            <w:r w:rsidR="009E0A02" w:rsidRPr="006662F7">
              <w:rPr>
                <w:rFonts w:ascii="Calibri" w:hAnsi="Calibri" w:cs="Calibri"/>
                <w:b w:val="0"/>
                <w:bCs w:val="0"/>
                <w:color w:val="000000"/>
              </w:rPr>
              <w:t>[66]</w:t>
            </w:r>
          </w:p>
        </w:tc>
        <w:tc>
          <w:tcPr>
            <w:tcW w:w="4253" w:type="dxa"/>
          </w:tcPr>
          <w:p w14:paraId="040A7D38" w14:textId="77777777" w:rsidR="00DB3A57" w:rsidRDefault="00DB3A57" w:rsidP="009F733F">
            <w:pPr>
              <w:cnfStyle w:val="000000100000" w:firstRow="0" w:lastRow="0" w:firstColumn="0" w:lastColumn="0" w:oddVBand="0" w:evenVBand="0" w:oddHBand="1" w:evenHBand="0" w:firstRowFirstColumn="0" w:firstRowLastColumn="0" w:lastRowFirstColumn="0" w:lastRowLastColumn="0"/>
              <w:rPr>
                <w:color w:val="4472C4" w:themeColor="accent1"/>
              </w:rPr>
            </w:pPr>
            <w:r>
              <w:rPr>
                <w:rFonts w:ascii="Calibri" w:hAnsi="Calibri" w:cs="Calibri"/>
                <w:color w:val="000000"/>
              </w:rPr>
              <w:t xml:space="preserve">Coronavirus disease outbreak in call </w:t>
            </w:r>
            <w:proofErr w:type="spellStart"/>
            <w:r>
              <w:rPr>
                <w:rFonts w:ascii="Calibri" w:hAnsi="Calibri" w:cs="Calibri"/>
                <w:color w:val="000000"/>
              </w:rPr>
              <w:t>center</w:t>
            </w:r>
            <w:proofErr w:type="spellEnd"/>
            <w:r>
              <w:rPr>
                <w:rFonts w:ascii="Calibri" w:hAnsi="Calibri" w:cs="Calibri"/>
                <w:color w:val="000000"/>
              </w:rPr>
              <w:t>, South Korea</w:t>
            </w:r>
          </w:p>
        </w:tc>
        <w:tc>
          <w:tcPr>
            <w:tcW w:w="5386" w:type="dxa"/>
          </w:tcPr>
          <w:p w14:paraId="217276C8" w14:textId="77777777" w:rsidR="00DB3A57" w:rsidRPr="006662F7" w:rsidRDefault="00DB3A57" w:rsidP="009F733F">
            <w:pPr>
              <w:cnfStyle w:val="000000100000" w:firstRow="0" w:lastRow="0" w:firstColumn="0" w:lastColumn="0" w:oddVBand="0" w:evenVBand="0" w:oddHBand="1" w:evenHBand="0" w:firstRowFirstColumn="0" w:firstRowLastColumn="0" w:lastRowFirstColumn="0" w:lastRowLastColumn="0"/>
            </w:pPr>
            <w:r w:rsidRPr="006662F7">
              <w:t>An asymptomatic case-patients as confirmed a case-patient with a positive COVID-19 test result who remained asymptomatic during the entire 14-day period</w:t>
            </w:r>
          </w:p>
        </w:tc>
      </w:tr>
      <w:tr w:rsidR="00DB3A57" w14:paraId="2EE108F0" w14:textId="77777777" w:rsidTr="009F795D">
        <w:trPr>
          <w:trHeight w:val="263"/>
        </w:trPr>
        <w:tc>
          <w:tcPr>
            <w:cnfStyle w:val="001000000000" w:firstRow="0" w:lastRow="0" w:firstColumn="1" w:lastColumn="0" w:oddVBand="0" w:evenVBand="0" w:oddHBand="0" w:evenHBand="0" w:firstRowFirstColumn="0" w:firstRowLastColumn="0" w:lastRowFirstColumn="0" w:lastRowLastColumn="0"/>
            <w:tcW w:w="1418" w:type="dxa"/>
            <w:tcBorders>
              <w:bottom w:val="single" w:sz="18" w:space="0" w:color="auto"/>
            </w:tcBorders>
          </w:tcPr>
          <w:p w14:paraId="1FA94E69" w14:textId="0F12F849" w:rsidR="00DB3A57" w:rsidRPr="006662F7" w:rsidRDefault="00DB3A57" w:rsidP="009F733F">
            <w:pPr>
              <w:rPr>
                <w:b w:val="0"/>
                <w:bCs w:val="0"/>
                <w:color w:val="4472C4" w:themeColor="accent1"/>
              </w:rPr>
            </w:pPr>
            <w:r w:rsidRPr="006662F7">
              <w:rPr>
                <w:rFonts w:ascii="Calibri" w:hAnsi="Calibri" w:cs="Calibri"/>
                <w:b w:val="0"/>
                <w:bCs w:val="0"/>
                <w:color w:val="000000"/>
              </w:rPr>
              <w:t>Zhang et al</w:t>
            </w:r>
            <w:r w:rsidR="009E0A02" w:rsidRPr="006662F7">
              <w:rPr>
                <w:rFonts w:ascii="Calibri" w:hAnsi="Calibri" w:cs="Calibri"/>
                <w:b w:val="0"/>
                <w:bCs w:val="0"/>
                <w:color w:val="000000"/>
              </w:rPr>
              <w:t xml:space="preserve"> </w:t>
            </w:r>
            <w:r w:rsidR="000C3674" w:rsidRPr="006662F7">
              <w:rPr>
                <w:rFonts w:ascii="Calibri" w:hAnsi="Calibri" w:cs="Calibri"/>
                <w:b w:val="0"/>
                <w:bCs w:val="0"/>
                <w:color w:val="000000"/>
              </w:rPr>
              <w:t>[62]</w:t>
            </w:r>
          </w:p>
        </w:tc>
        <w:tc>
          <w:tcPr>
            <w:tcW w:w="4253" w:type="dxa"/>
            <w:tcBorders>
              <w:bottom w:val="single" w:sz="18" w:space="0" w:color="auto"/>
            </w:tcBorders>
          </w:tcPr>
          <w:p w14:paraId="3D31D488" w14:textId="77777777" w:rsidR="00DB3A57" w:rsidRDefault="00DB3A57" w:rsidP="009F733F">
            <w:pPr>
              <w:cnfStyle w:val="000000000000" w:firstRow="0" w:lastRow="0" w:firstColumn="0" w:lastColumn="0" w:oddVBand="0" w:evenVBand="0" w:oddHBand="0" w:evenHBand="0" w:firstRowFirstColumn="0" w:firstRowLastColumn="0" w:lastRowFirstColumn="0" w:lastRowLastColumn="0"/>
              <w:rPr>
                <w:color w:val="4472C4" w:themeColor="accent1"/>
              </w:rPr>
            </w:pPr>
            <w:r>
              <w:rPr>
                <w:rFonts w:ascii="Calibri" w:hAnsi="Calibri" w:cs="Calibri"/>
                <w:color w:val="000000"/>
              </w:rPr>
              <w:t xml:space="preserve">Secondary Transmission of Coronavirus Disease from </w:t>
            </w:r>
            <w:proofErr w:type="spellStart"/>
            <w:r>
              <w:rPr>
                <w:rFonts w:ascii="Calibri" w:hAnsi="Calibri" w:cs="Calibri"/>
                <w:color w:val="000000"/>
              </w:rPr>
              <w:t>Presymptomatic</w:t>
            </w:r>
            <w:proofErr w:type="spellEnd"/>
            <w:r>
              <w:rPr>
                <w:rFonts w:ascii="Calibri" w:hAnsi="Calibri" w:cs="Calibri"/>
                <w:color w:val="000000"/>
              </w:rPr>
              <w:t xml:space="preserve"> Persons, China</w:t>
            </w:r>
          </w:p>
        </w:tc>
        <w:tc>
          <w:tcPr>
            <w:tcW w:w="5386" w:type="dxa"/>
            <w:tcBorders>
              <w:bottom w:val="single" w:sz="18" w:space="0" w:color="auto"/>
            </w:tcBorders>
          </w:tcPr>
          <w:p w14:paraId="3BB33CB3" w14:textId="77777777" w:rsidR="00DB3A57" w:rsidRPr="006662F7" w:rsidRDefault="00DB3A57" w:rsidP="009F733F">
            <w:pPr>
              <w:cnfStyle w:val="000000000000" w:firstRow="0" w:lastRow="0" w:firstColumn="0" w:lastColumn="0" w:oddVBand="0" w:evenVBand="0" w:oddHBand="0" w:evenHBand="0" w:firstRowFirstColumn="0" w:firstRowLastColumn="0" w:lastRowFirstColumn="0" w:lastRowLastColumn="0"/>
            </w:pPr>
            <w:r w:rsidRPr="006662F7">
              <w:t>Asymptomatic person has a positive nucleic acid test, but after the 14-day incubation period the</w:t>
            </w:r>
          </w:p>
          <w:p w14:paraId="662C69F4" w14:textId="77777777" w:rsidR="00DB3A57" w:rsidRPr="006662F7" w:rsidRDefault="00DB3A57" w:rsidP="009F733F">
            <w:pPr>
              <w:cnfStyle w:val="000000000000" w:firstRow="0" w:lastRow="0" w:firstColumn="0" w:lastColumn="0" w:oddVBand="0" w:evenVBand="0" w:oddHBand="0" w:evenHBand="0" w:firstRowFirstColumn="0" w:firstRowLastColumn="0" w:lastRowFirstColumn="0" w:lastRowLastColumn="0"/>
            </w:pPr>
            <w:r w:rsidRPr="006662F7">
              <w:t xml:space="preserve">person remains asymptomatic; no self-perceived or clinically recognized symptoms or signs </w:t>
            </w:r>
            <w:proofErr w:type="gramStart"/>
            <w:r w:rsidRPr="006662F7">
              <w:t>ever</w:t>
            </w:r>
            <w:proofErr w:type="gramEnd"/>
          </w:p>
          <w:p w14:paraId="50E9A80E" w14:textId="77777777" w:rsidR="00DB3A57" w:rsidRPr="006662F7" w:rsidRDefault="00DB3A57" w:rsidP="009F733F">
            <w:pPr>
              <w:cnfStyle w:val="000000000000" w:firstRow="0" w:lastRow="0" w:firstColumn="0" w:lastColumn="0" w:oddVBand="0" w:evenVBand="0" w:oddHBand="0" w:evenHBand="0" w:firstRowFirstColumn="0" w:firstRowLastColumn="0" w:lastRowFirstColumn="0" w:lastRowLastColumn="0"/>
            </w:pPr>
            <w:r w:rsidRPr="006662F7">
              <w:t xml:space="preserve">manifest. </w:t>
            </w:r>
          </w:p>
        </w:tc>
      </w:tr>
    </w:tbl>
    <w:p w14:paraId="24E8895D" w14:textId="032AFCE3" w:rsidR="009F733F" w:rsidRPr="000D1FB5" w:rsidRDefault="009F733F" w:rsidP="009F733F">
      <w:pPr>
        <w:rPr>
          <w:sz w:val="20"/>
          <w:szCs w:val="20"/>
        </w:rPr>
      </w:pPr>
      <w:r w:rsidRPr="000D1FB5">
        <w:rPr>
          <w:b/>
          <w:bCs/>
          <w:sz w:val="20"/>
          <w:szCs w:val="20"/>
        </w:rPr>
        <w:t>Table 1</w:t>
      </w:r>
      <w:r w:rsidR="009F795D">
        <w:rPr>
          <w:b/>
          <w:bCs/>
          <w:sz w:val="20"/>
          <w:szCs w:val="20"/>
        </w:rPr>
        <w:t>3</w:t>
      </w:r>
      <w:r w:rsidRPr="000D1FB5">
        <w:rPr>
          <w:b/>
          <w:bCs/>
          <w:sz w:val="20"/>
          <w:szCs w:val="20"/>
        </w:rPr>
        <w:t xml:space="preserve"> </w:t>
      </w:r>
      <w:r w:rsidR="009F795D">
        <w:rPr>
          <w:b/>
          <w:bCs/>
          <w:sz w:val="20"/>
          <w:szCs w:val="20"/>
        </w:rPr>
        <w:t xml:space="preserve">Asymptomatic </w:t>
      </w:r>
      <w:r w:rsidR="00B11A8D">
        <w:rPr>
          <w:b/>
          <w:bCs/>
          <w:sz w:val="20"/>
          <w:szCs w:val="20"/>
        </w:rPr>
        <w:t>case definitions and follow up durations of studies reporting on asymptomatic index cases.</w:t>
      </w:r>
    </w:p>
    <w:p w14:paraId="72342AD0" w14:textId="77777777" w:rsidR="00485408" w:rsidRDefault="00485408">
      <w:pPr>
        <w:rPr>
          <w:b/>
          <w:bCs/>
          <w:sz w:val="20"/>
          <w:szCs w:val="20"/>
        </w:rPr>
      </w:pPr>
      <w:r>
        <w:rPr>
          <w:b/>
          <w:bCs/>
          <w:sz w:val="20"/>
          <w:szCs w:val="20"/>
        </w:rPr>
        <w:br w:type="page"/>
      </w:r>
    </w:p>
    <w:p w14:paraId="64314B79" w14:textId="71AFB60A" w:rsidR="001815C3" w:rsidRPr="000D1FB5" w:rsidRDefault="001815C3" w:rsidP="001815C3">
      <w:pPr>
        <w:rPr>
          <w:sz w:val="20"/>
          <w:szCs w:val="20"/>
        </w:rPr>
      </w:pPr>
      <w:r w:rsidRPr="000D1FB5">
        <w:rPr>
          <w:b/>
          <w:bCs/>
          <w:sz w:val="20"/>
          <w:szCs w:val="20"/>
        </w:rPr>
        <w:lastRenderedPageBreak/>
        <w:t xml:space="preserve">Table </w:t>
      </w:r>
      <w:r w:rsidR="00485408" w:rsidRPr="000D1FB5">
        <w:rPr>
          <w:b/>
          <w:bCs/>
          <w:sz w:val="20"/>
          <w:szCs w:val="20"/>
        </w:rPr>
        <w:t>1</w:t>
      </w:r>
      <w:r w:rsidR="00485408">
        <w:rPr>
          <w:b/>
          <w:bCs/>
          <w:sz w:val="20"/>
          <w:szCs w:val="20"/>
        </w:rPr>
        <w:t>4</w:t>
      </w:r>
      <w:r w:rsidR="00485408" w:rsidRPr="000D1FB5">
        <w:rPr>
          <w:b/>
          <w:bCs/>
          <w:sz w:val="20"/>
          <w:szCs w:val="20"/>
        </w:rPr>
        <w:t xml:space="preserve"> </w:t>
      </w:r>
      <w:r w:rsidR="000900D3" w:rsidRPr="000D1FB5">
        <w:rPr>
          <w:b/>
          <w:bCs/>
          <w:sz w:val="20"/>
          <w:szCs w:val="20"/>
        </w:rPr>
        <w:t>Observed and</w:t>
      </w:r>
      <w:r w:rsidRPr="000D1FB5">
        <w:rPr>
          <w:b/>
          <w:bCs/>
          <w:sz w:val="20"/>
          <w:szCs w:val="20"/>
        </w:rPr>
        <w:t xml:space="preserve"> </w:t>
      </w:r>
      <w:r w:rsidR="000900D3" w:rsidRPr="000D1FB5">
        <w:rPr>
          <w:b/>
          <w:bCs/>
          <w:sz w:val="20"/>
          <w:szCs w:val="20"/>
        </w:rPr>
        <w:t>Poisson-Gamma model estimated R</w:t>
      </w:r>
      <w:r w:rsidR="000900D3" w:rsidRPr="000D1FB5">
        <w:rPr>
          <w:b/>
          <w:bCs/>
          <w:sz w:val="20"/>
          <w:szCs w:val="20"/>
          <w:vertAlign w:val="subscript"/>
        </w:rPr>
        <w:t>obs</w:t>
      </w:r>
      <w:r w:rsidR="000900D3" w:rsidRPr="000D1FB5">
        <w:rPr>
          <w:b/>
          <w:bCs/>
          <w:sz w:val="20"/>
          <w:szCs w:val="20"/>
        </w:rPr>
        <w:t xml:space="preserve"> from index cases with different symptom statuses.</w:t>
      </w:r>
      <w:r w:rsidR="008308F0" w:rsidRPr="000D1FB5">
        <w:rPr>
          <w:b/>
          <w:bCs/>
          <w:sz w:val="20"/>
          <w:szCs w:val="20"/>
        </w:rPr>
        <w:t xml:space="preserve"> </w:t>
      </w:r>
      <w:r w:rsidR="008308F0" w:rsidRPr="000D1FB5">
        <w:rPr>
          <w:sz w:val="20"/>
          <w:szCs w:val="20"/>
        </w:rPr>
        <w:t xml:space="preserve">Studies were only included when the number of index cases per category was listed along with their contacts and secondary cases. </w:t>
      </w:r>
    </w:p>
    <w:tbl>
      <w:tblPr>
        <w:tblStyle w:val="TableGrid"/>
        <w:tblpPr w:leftFromText="180" w:rightFromText="180" w:vertAnchor="page" w:horzAnchor="margin" w:tblpY="2496"/>
        <w:tblW w:w="9529" w:type="dxa"/>
        <w:tblLook w:val="04A0" w:firstRow="1" w:lastRow="0" w:firstColumn="1" w:lastColumn="0" w:noHBand="0" w:noVBand="1"/>
      </w:tblPr>
      <w:tblGrid>
        <w:gridCol w:w="2367"/>
        <w:gridCol w:w="15"/>
        <w:gridCol w:w="2296"/>
        <w:gridCol w:w="86"/>
        <w:gridCol w:w="2382"/>
        <w:gridCol w:w="191"/>
        <w:gridCol w:w="2192"/>
      </w:tblGrid>
      <w:tr w:rsidR="001815C3" w14:paraId="00C11E73" w14:textId="77777777" w:rsidTr="000900D3">
        <w:trPr>
          <w:trHeight w:val="510"/>
        </w:trPr>
        <w:tc>
          <w:tcPr>
            <w:tcW w:w="2367" w:type="dxa"/>
            <w:tcBorders>
              <w:top w:val="single" w:sz="18" w:space="0" w:color="auto"/>
              <w:left w:val="nil"/>
              <w:bottom w:val="single" w:sz="18" w:space="0" w:color="auto"/>
              <w:right w:val="nil"/>
            </w:tcBorders>
            <w:vAlign w:val="center"/>
          </w:tcPr>
          <w:p w14:paraId="5229401D" w14:textId="77777777" w:rsidR="001815C3" w:rsidRPr="00E22BD4" w:rsidRDefault="001815C3" w:rsidP="000900D3">
            <w:pPr>
              <w:rPr>
                <w:b/>
                <w:bCs/>
              </w:rPr>
            </w:pPr>
            <w:r w:rsidRPr="00E22BD4">
              <w:rPr>
                <w:b/>
                <w:bCs/>
              </w:rPr>
              <w:t xml:space="preserve">Study </w:t>
            </w:r>
          </w:p>
        </w:tc>
        <w:tc>
          <w:tcPr>
            <w:tcW w:w="2311" w:type="dxa"/>
            <w:gridSpan w:val="2"/>
            <w:tcBorders>
              <w:top w:val="single" w:sz="18" w:space="0" w:color="auto"/>
              <w:left w:val="nil"/>
              <w:bottom w:val="single" w:sz="18" w:space="0" w:color="auto"/>
              <w:right w:val="nil"/>
            </w:tcBorders>
            <w:vAlign w:val="center"/>
          </w:tcPr>
          <w:p w14:paraId="138D8C9A" w14:textId="77777777" w:rsidR="001815C3" w:rsidRPr="00E22BD4" w:rsidRDefault="001815C3" w:rsidP="000900D3">
            <w:pPr>
              <w:jc w:val="right"/>
              <w:rPr>
                <w:b/>
                <w:bCs/>
              </w:rPr>
            </w:pPr>
            <w:r w:rsidRPr="00E22BD4">
              <w:rPr>
                <w:b/>
                <w:bCs/>
              </w:rPr>
              <w:t xml:space="preserve">Number of Index Cases </w:t>
            </w:r>
          </w:p>
        </w:tc>
        <w:tc>
          <w:tcPr>
            <w:tcW w:w="2659" w:type="dxa"/>
            <w:gridSpan w:val="3"/>
            <w:tcBorders>
              <w:top w:val="single" w:sz="18" w:space="0" w:color="auto"/>
              <w:left w:val="nil"/>
              <w:bottom w:val="single" w:sz="18" w:space="0" w:color="auto"/>
              <w:right w:val="nil"/>
            </w:tcBorders>
            <w:vAlign w:val="center"/>
          </w:tcPr>
          <w:p w14:paraId="3857B149" w14:textId="77777777" w:rsidR="001815C3" w:rsidRPr="00E22BD4" w:rsidRDefault="001815C3" w:rsidP="000900D3">
            <w:pPr>
              <w:jc w:val="right"/>
              <w:rPr>
                <w:b/>
                <w:bCs/>
              </w:rPr>
            </w:pPr>
            <w:r w:rsidRPr="00E22BD4">
              <w:rPr>
                <w:b/>
                <w:bCs/>
              </w:rPr>
              <w:t xml:space="preserve">Number of Secondary cases </w:t>
            </w:r>
          </w:p>
        </w:tc>
        <w:tc>
          <w:tcPr>
            <w:tcW w:w="2192" w:type="dxa"/>
            <w:tcBorders>
              <w:top w:val="single" w:sz="18" w:space="0" w:color="auto"/>
              <w:left w:val="nil"/>
              <w:bottom w:val="single" w:sz="18" w:space="0" w:color="auto"/>
              <w:right w:val="nil"/>
            </w:tcBorders>
            <w:vAlign w:val="center"/>
          </w:tcPr>
          <w:p w14:paraId="1738FFFC" w14:textId="77777777" w:rsidR="001815C3" w:rsidRPr="00E22BD4" w:rsidRDefault="001815C3" w:rsidP="000900D3">
            <w:pPr>
              <w:jc w:val="right"/>
              <w:rPr>
                <w:b/>
                <w:bCs/>
              </w:rPr>
            </w:pPr>
            <w:r w:rsidRPr="00E22BD4">
              <w:rPr>
                <w:b/>
                <w:bCs/>
              </w:rPr>
              <w:t>R</w:t>
            </w:r>
            <w:r w:rsidRPr="00E22BD4">
              <w:rPr>
                <w:b/>
                <w:bCs/>
                <w:vertAlign w:val="subscript"/>
              </w:rPr>
              <w:t>obs</w:t>
            </w:r>
          </w:p>
        </w:tc>
      </w:tr>
      <w:tr w:rsidR="001815C3" w14:paraId="705CD122" w14:textId="77777777" w:rsidTr="000900D3">
        <w:trPr>
          <w:trHeight w:val="401"/>
        </w:trPr>
        <w:tc>
          <w:tcPr>
            <w:tcW w:w="9529" w:type="dxa"/>
            <w:gridSpan w:val="7"/>
            <w:tcBorders>
              <w:top w:val="single" w:sz="18" w:space="0" w:color="auto"/>
              <w:left w:val="nil"/>
              <w:bottom w:val="single" w:sz="8" w:space="0" w:color="auto"/>
              <w:right w:val="nil"/>
            </w:tcBorders>
            <w:vAlign w:val="center"/>
          </w:tcPr>
          <w:p w14:paraId="0BB9C23A" w14:textId="77777777" w:rsidR="001815C3" w:rsidRPr="008E7E2B" w:rsidRDefault="001815C3" w:rsidP="000900D3">
            <w:pPr>
              <w:rPr>
                <w:b/>
                <w:bCs/>
              </w:rPr>
            </w:pPr>
            <w:r>
              <w:rPr>
                <w:b/>
                <w:bCs/>
              </w:rPr>
              <w:t>Asymptomatic index case</w:t>
            </w:r>
            <w:r w:rsidRPr="008E7E2B">
              <w:rPr>
                <w:b/>
                <w:bCs/>
              </w:rPr>
              <w:t xml:space="preserve"> </w:t>
            </w:r>
          </w:p>
        </w:tc>
      </w:tr>
      <w:tr w:rsidR="001815C3" w14:paraId="04CF9FCF" w14:textId="77777777" w:rsidTr="000900D3">
        <w:trPr>
          <w:trHeight w:val="260"/>
        </w:trPr>
        <w:tc>
          <w:tcPr>
            <w:tcW w:w="2367" w:type="dxa"/>
            <w:tcBorders>
              <w:top w:val="single" w:sz="8" w:space="0" w:color="auto"/>
              <w:left w:val="nil"/>
              <w:bottom w:val="single" w:sz="8" w:space="0" w:color="auto"/>
              <w:right w:val="nil"/>
            </w:tcBorders>
            <w:vAlign w:val="bottom"/>
          </w:tcPr>
          <w:p w14:paraId="33CFF52F" w14:textId="49E76042" w:rsidR="001815C3" w:rsidRDefault="001815C3" w:rsidP="000900D3">
            <w:r>
              <w:t xml:space="preserve">Jiang et al </w:t>
            </w:r>
            <w:r w:rsidR="00914971">
              <w:fldChar w:fldCharType="begin" w:fldLock="1"/>
            </w:r>
            <w:r w:rsidR="001B3AB4">
              <w:instrText>ADDIN CSL_CITATION {"citationItems":[{"id":"ITEM-1","itemData":{"DOI":"10.1093/infdis/jiaa206","ISBN":"0022-1899 (Print)\r0022-1899","PMID":"32319519","abstract":"Data concerning the transmission of severe acute respiratory syndrome coronavirus 2 (SARS-CoV-2) in asymptomatic and paucisymptomatic patients are lacking. We report a 3-family cluster of infections involving asymptomatic and paucisymptomatic transmission. Eight of 15 (53%) members from 3 families were confirmed with SARS-CoV-2 infection. Of 8 patients, 3 were asymptomatic and 1 was paucisymptomatic. An asymptomatic mother transmitted the virus to her son, and a paucisymptomatic father transmitted the virus to his 3-month-old daughter. SARS-CoV-2 was detected in the environment of 1 household. The complete genomes of SARS-CoV-2 from the patients were &gt; 99.9% identical and were clustered with other SARS-CoV-2 sequences reported from China and other countries.","author":[{"dropping-particle":"","family":"Jiang","given":"X L","non-dropping-particle":"","parse-names":false,"suffix":""},{"dropping-particle":"","family":"Zhang","given":"X L","non-dropping-particle":"","parse-names":false,"suffix":""},{"dropping-particle":"","family":"Zhao","given":"X N","non-dropping-particle":"","parse-names":false,"suffix":""},{"dropping-particle":"","family":"Li","given":"C B","non-dropping-particle":"","parse-names":false,"suffix":""},{"dropping-particle":"","family":"Lei","given":"J","non-dropping-particle":"","parse-names":false,"suffix":""},{"dropping-particle":"","family":"Kou","given":"Z Q","non-dropping-particle":"","parse-names":false,"suffix":""},{"dropping-particle":"","family":"Sun","given":"W K","non-dropping-particle":"","parse-names":false,"suffix":""},{"dropping-particle":"","family":"Hang","given":"Y","non-dropping-particle":"","parse-names":false,"suffix":""},{"dropping-particle":"","family":"Gao","given":"F","non-dropping-particle":"","parse-names":false,"suffix":""},{"dropping-particle":"","family":"Ji","given":"S X","non-dropping-particle":"","parse-names":false,"suffix":""},{"dropping-particle":"","family":"Lin","given":"C F","non-dropping-particle":"","parse-names":false,"suffix":""},{"dropping-particle":"","family":"Pang","given":"B","non-dropping-particle":"","parse-names":false,"suffix":""},{"dropping-particle":"","family":"Yao","given":"M X","non-dropping-particle":"","parse-names":false,"suffix":""},{"dropping-particle":"","family":"Anderson","given":"B D","non-dropping-particle":"","parse-names":false,"suffix":""},{"dropping-particle":"","family":"Wang","given":"G L","non-dropping-particle":"","parse-names":false,"suffix":""},{"dropping-particle":"","family":"Yao","given":"L","non-dropping-particle":"","parse-names":false,"suffix":""},{"dropping-particle":"","family":"Duan","given":"L J","non-dropping-particle":"","parse-names":false,"suffix":""},{"dropping-particle":"","family":"Kang","given":"D M","non-dropping-particle":"","parse-names":false,"suffix":""},{"dropping-particle":"","family":"Ma","given":"M J","non-dropping-particle":"","parse-names":false,"suffix":""}],"container-title":"J Infect Dis","edition":"2020/04/23","id":"ITEM-1","issue":"12","issued":{"date-parts":[["2020"]]},"language":"eng","note":"1537-6613\nJiang, Xiao-Lin\nZhang, Xiao-Li\nZhao, Xiang-Na\nLi, Cun-Bao\nLei, Jie\nKou, Zeng-Qiang\nSun, Wen-Kui\nHang, Yang\nGao, Feng\nJi, Sheng-Xiang\nLin, Can-Fang\nPang, Bo\nYao, Ming-Xiao\nAnderson, Benjamin D\nWang, Guo-Lin\nYao, Lin\nDuan, Li-Jun\nKang, Dian-Min\nMa, Mai-Juan\nJournal Article\nJ Infect Dis. 2020 Jun 11;221(12):1948-1952. doi: 10.1093/infdis/jiaa206.","page":"1948-1952","title":"Transmission Potential of Asymptomatic and Paucisymptomatic Severe Acute Respiratory Syndrome Coronavirus 2 Infections: A 3-Family Cluster Study in China","type":"article-journal","volume":"221"},"uris":["http://www.mendeley.com/documents/?uuid=244a80d8-6631-4ad5-9831-10a95fedd7d5"]}],"mendeley":{"formattedCitation":"[37]","plainTextFormattedCitation":"[37]","previouslyFormattedCitation":"[39]"},"properties":{"noteIndex":0},"schema":"https://github.com/citation-style-language/schema/raw/master/csl-citation.json"}</w:instrText>
            </w:r>
            <w:r w:rsidR="00914971">
              <w:fldChar w:fldCharType="separate"/>
            </w:r>
            <w:r w:rsidR="001B3AB4" w:rsidRPr="001B3AB4">
              <w:rPr>
                <w:noProof/>
              </w:rPr>
              <w:t>[37]</w:t>
            </w:r>
            <w:r w:rsidR="00914971">
              <w:fldChar w:fldCharType="end"/>
            </w:r>
          </w:p>
        </w:tc>
        <w:tc>
          <w:tcPr>
            <w:tcW w:w="2311" w:type="dxa"/>
            <w:gridSpan w:val="2"/>
            <w:tcBorders>
              <w:top w:val="single" w:sz="8" w:space="0" w:color="auto"/>
              <w:left w:val="nil"/>
              <w:bottom w:val="single" w:sz="8" w:space="0" w:color="auto"/>
              <w:right w:val="nil"/>
            </w:tcBorders>
            <w:vAlign w:val="bottom"/>
          </w:tcPr>
          <w:p w14:paraId="4BFDD6A1" w14:textId="77777777" w:rsidR="001815C3" w:rsidRDefault="001815C3" w:rsidP="000900D3">
            <w:pPr>
              <w:jc w:val="right"/>
            </w:pPr>
            <w:r>
              <w:t>3</w:t>
            </w:r>
          </w:p>
        </w:tc>
        <w:tc>
          <w:tcPr>
            <w:tcW w:w="2659" w:type="dxa"/>
            <w:gridSpan w:val="3"/>
            <w:tcBorders>
              <w:top w:val="single" w:sz="8" w:space="0" w:color="auto"/>
              <w:left w:val="nil"/>
              <w:bottom w:val="single" w:sz="8" w:space="0" w:color="auto"/>
              <w:right w:val="nil"/>
            </w:tcBorders>
            <w:vAlign w:val="center"/>
          </w:tcPr>
          <w:p w14:paraId="641FAE0F" w14:textId="77777777" w:rsidR="001815C3" w:rsidRDefault="001815C3" w:rsidP="000900D3">
            <w:pPr>
              <w:jc w:val="right"/>
            </w:pPr>
            <w:r>
              <w:t>1</w:t>
            </w:r>
          </w:p>
        </w:tc>
        <w:tc>
          <w:tcPr>
            <w:tcW w:w="2192" w:type="dxa"/>
            <w:tcBorders>
              <w:top w:val="single" w:sz="8" w:space="0" w:color="auto"/>
              <w:left w:val="nil"/>
              <w:bottom w:val="single" w:sz="8" w:space="0" w:color="auto"/>
              <w:right w:val="nil"/>
            </w:tcBorders>
            <w:vAlign w:val="center"/>
          </w:tcPr>
          <w:p w14:paraId="2E6571E8" w14:textId="77777777" w:rsidR="001815C3" w:rsidRDefault="001815C3" w:rsidP="000900D3">
            <w:pPr>
              <w:jc w:val="right"/>
            </w:pPr>
            <w:r>
              <w:t>0.33</w:t>
            </w:r>
          </w:p>
        </w:tc>
      </w:tr>
      <w:tr w:rsidR="001815C3" w14:paraId="4D08ADD5" w14:textId="77777777" w:rsidTr="000900D3">
        <w:trPr>
          <w:trHeight w:val="249"/>
        </w:trPr>
        <w:tc>
          <w:tcPr>
            <w:tcW w:w="2367" w:type="dxa"/>
            <w:tcBorders>
              <w:top w:val="single" w:sz="8" w:space="0" w:color="auto"/>
              <w:left w:val="nil"/>
              <w:bottom w:val="single" w:sz="8" w:space="0" w:color="auto"/>
              <w:right w:val="nil"/>
            </w:tcBorders>
            <w:vAlign w:val="bottom"/>
          </w:tcPr>
          <w:p w14:paraId="2C328977" w14:textId="799FE204" w:rsidR="001815C3" w:rsidRDefault="001815C3" w:rsidP="000900D3">
            <w:r>
              <w:t xml:space="preserve">Chaw et al </w:t>
            </w:r>
            <w:r w:rsidR="00105434">
              <w:fldChar w:fldCharType="begin" w:fldLock="1"/>
            </w:r>
            <w:r w:rsidR="001B3AB4">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rsidR="00105434">
              <w:fldChar w:fldCharType="separate"/>
            </w:r>
            <w:r w:rsidR="001B3AB4" w:rsidRPr="001B3AB4">
              <w:rPr>
                <w:noProof/>
              </w:rPr>
              <w:t>[18]</w:t>
            </w:r>
            <w:r w:rsidR="00105434">
              <w:fldChar w:fldCharType="end"/>
            </w:r>
          </w:p>
        </w:tc>
        <w:tc>
          <w:tcPr>
            <w:tcW w:w="2311" w:type="dxa"/>
            <w:gridSpan w:val="2"/>
            <w:tcBorders>
              <w:top w:val="single" w:sz="8" w:space="0" w:color="auto"/>
              <w:left w:val="nil"/>
              <w:bottom w:val="single" w:sz="8" w:space="0" w:color="auto"/>
              <w:right w:val="nil"/>
            </w:tcBorders>
            <w:vAlign w:val="bottom"/>
          </w:tcPr>
          <w:p w14:paraId="29D055BA" w14:textId="77777777" w:rsidR="001815C3" w:rsidRDefault="001815C3" w:rsidP="000900D3">
            <w:pPr>
              <w:jc w:val="right"/>
            </w:pPr>
            <w:r>
              <w:t>4</w:t>
            </w:r>
          </w:p>
        </w:tc>
        <w:tc>
          <w:tcPr>
            <w:tcW w:w="2659" w:type="dxa"/>
            <w:gridSpan w:val="3"/>
            <w:tcBorders>
              <w:top w:val="single" w:sz="8" w:space="0" w:color="auto"/>
              <w:left w:val="nil"/>
              <w:bottom w:val="single" w:sz="8" w:space="0" w:color="auto"/>
              <w:right w:val="nil"/>
            </w:tcBorders>
            <w:vAlign w:val="center"/>
          </w:tcPr>
          <w:p w14:paraId="38757C97" w14:textId="312A16D2" w:rsidR="001815C3" w:rsidRDefault="00FA74AE" w:rsidP="000900D3">
            <w:pPr>
              <w:jc w:val="right"/>
            </w:pPr>
            <w:r>
              <w:t>2</w:t>
            </w:r>
          </w:p>
        </w:tc>
        <w:tc>
          <w:tcPr>
            <w:tcW w:w="2192" w:type="dxa"/>
            <w:tcBorders>
              <w:top w:val="single" w:sz="8" w:space="0" w:color="auto"/>
              <w:left w:val="nil"/>
              <w:bottom w:val="single" w:sz="8" w:space="0" w:color="auto"/>
              <w:right w:val="nil"/>
            </w:tcBorders>
            <w:vAlign w:val="center"/>
          </w:tcPr>
          <w:p w14:paraId="0E39734B" w14:textId="207F0341" w:rsidR="001815C3" w:rsidRDefault="003E7E51" w:rsidP="000900D3">
            <w:pPr>
              <w:jc w:val="right"/>
            </w:pPr>
            <w:r>
              <w:t>0.50</w:t>
            </w:r>
          </w:p>
        </w:tc>
      </w:tr>
      <w:tr w:rsidR="001815C3" w14:paraId="195D67A0" w14:textId="77777777" w:rsidTr="000900D3">
        <w:trPr>
          <w:trHeight w:val="260"/>
        </w:trPr>
        <w:tc>
          <w:tcPr>
            <w:tcW w:w="2367" w:type="dxa"/>
            <w:tcBorders>
              <w:top w:val="single" w:sz="8" w:space="0" w:color="auto"/>
              <w:left w:val="nil"/>
              <w:bottom w:val="single" w:sz="8" w:space="0" w:color="auto"/>
              <w:right w:val="nil"/>
            </w:tcBorders>
            <w:vAlign w:val="bottom"/>
          </w:tcPr>
          <w:p w14:paraId="610196F3" w14:textId="4FC88638" w:rsidR="001815C3" w:rsidRDefault="001815C3" w:rsidP="000900D3">
            <w:r>
              <w:t xml:space="preserve">Park et al </w:t>
            </w:r>
            <w:r w:rsidR="00AE4FB4">
              <w:fldChar w:fldCharType="begin" w:fldLock="1"/>
            </w:r>
            <w:r w:rsidR="001B3AB4">
              <w:instrText>ADDIN CSL_CITATION {"citationItems":[{"id":"ITEM-1","itemData":{"DOI":"10.3201/eid2608.201274","ISBN":"1080-6040 (Print)\r1080-6040","PMID":"32324530","abstract":"We describe the epidemiology of a coronavirus disease (COVID-19) outbreak in a call center in South Korea. We obtained information on demographic characteristics by using standardized epidemiologic investigation forms. We performed descriptive analyses and reported the results as frequencies and proportions for categoric variables. Of 1,143 persons who were tested for COVID-19, a total of 97 (8.5%, 95% CI 7.0%-10.3%) had confirmed cases. Of these, 94 were working in an 11th-floor call center with 216 employees, translating to an attack rate of 43.5% (95% CI 36.9%-50.4%). The household secondary attack rate among symptomatic case-patients was 16.2% (95% CI 11.6%- 22.0%). Of the 97 persons with confirmed COVID-19, only 4 (1.9%) remained asymptomatic within 14 days of quarantine, and none of their household contacts acquired secondary infections. Extensive contact tracing, testing all contacts, and early quarantine blocked further transmission and might be effective for containing rapid outbreaks in crowded work settings.","author":[{"dropping-particle":"","family":"Park","given":"S Y","non-dropping-particle":"","parse-names":false,"suffix":""},{"dropping-particle":"","family":"Kim","given":"Y M","non-dropping-particle":"","parse-names":false,"suffix":""},{"dropping-particle":"","family":"Yi","given":"S","non-dropping-particle":"","parse-names":false,"suffix":""},{"dropping-particle":"","family":"Lee","given":"S","non-dropping-particle":"","parse-names":false,"suffix":""},{"dropping-particle":"","family":"Na","given":"B J","non-dropping-particle":"","parse-names":false,"suffix":""},{"dropping-particle":"","family":"Kim","given":"C B","non-dropping-particle":"","parse-names":false,"suffix":""},{"dropping-particle":"","family":"Kim","given":"J I","non-dropping-particle":"","parse-names":false,"suffix":""},{"dropping-particle":"","family":"Kim","given":"H S","non-dropping-particle":"","parse-names":false,"suffix":""},{"dropping-particle":"","family":"Kim","given":"Y B","non-dropping-particle":"","parse-names":false,"suffix":""},{"dropping-particle":"","family":"Park","given":"Y","non-dropping-particle":"","parse-names":false,"suffix":""},{"dropping-particle":"","family":"Huh","given":"I S","non-dropping-particle":"","parse-names":false,"suffix":""},{"dropping-particle":"","family":"Kim","given":"H K","non-dropping-particle":"","parse-names":false,"suffix":""},{"dropping-particle":"","family":"Yoon","given":"H J","non-dropping-particle":"","parse-names":false,"suffix":""},{"dropping-particle":"","family":"Jang","given":"H","non-dropping-particle":"","parse-names":false,"suffix":""},{"dropping-particle":"","family":"Kim","given":"K","non-dropping-particle":"","parse-names":false,"suffix":""},{"dropping-particle":"","family":"Chang","given":"Y","non-dropping-particle":"","parse-names":false,"suffix":""},{"dropping-particle":"","family":"Kim","given":"I","non-dropping-particle":"","parse-names":false,"suffix":""},{"dropping-particle":"","family":"Lee","given":"H","non-dropping-particle":"","parse-names":false,"suffix":""},{"dropping-particle":"","family":"Gwack","given":"J","non-dropping-particle":"","parse-names":false,"suffix":""},{"dropping-particle":"","family":"Kim","given":"S S","non-dropping-particle":"","parse-names":false,"suffix":""},{"dropping-particle":"","family":"Kim","given":"M","non-dropping-particle":"","parse-names":false,"suffix":""},{"dropping-particle":"","family":"Kweon","given":"S","non-dropping-particle":"","parse-names":false,"suffix":""},{"dropping-particle":"","family":"Choe","given":"Y J","non-dropping-particle":"","parse-names":false,"suffix":""},{"dropping-particle":"","family":"Park","given":"O","non-dropping-particle":"","parse-names":false,"suffix":""},{"dropping-particle":"","family":"Park","given":"Y J","non-dropping-particle":"","parse-names":false,"suffix":""},{"dropping-particle":"","family":"Jeong","given":"E K","non-dropping-particle":"","parse-names":false,"suffix":""}],"container-title":"Emerg Infect Dis","edition":"2020/04/24","id":"ITEM-1","issue":"8","issued":{"date-parts":[["2020"]]},"language":"eng","note":"1080-6059\nPark, Shin Young\nKim, Young-Man\nYi, Seonju\nLee, Sangeun\nNa, Baeg-Ju\nKim, Chang Bo\nKim, Jung-Il\nKim, Hea Sook\nKim, Young Bok\nPark, Yoojin\nHuh, In Sil\nKim, Hye Kyung\nYoon, Hyung Jun\nJang, Hanaram\nKim, Kyungnam\nChang, Yeonhwa\nKim, Inhye\nLee, Hyeyoung\nGwack, Jin\nKim, Seong Sun\nKim, Miyoung\nKweon, Sanghui\nChoe, Young June\nPark, Ok\nPark, Young Joon\nJeong, Eun Kyeong\nJournal Article\nEmerg Infect Dis. 2020 Aug;26(8):1666-1670. doi: 10.3201/eid2608.201274. Epub 2020 Apr 23.","page":"1666-1670","title":"Coronavirus Disease Outbreak in Call Center, South Korea","type":"article-journal","volume":"26"},"uris":["http://www.mendeley.com/documents/?uuid=f979f780-d83c-4875-a8d3-e3c5a636e6be"]}],"mendeley":{"formattedCitation":"[66]","plainTextFormattedCitation":"[66]","previouslyFormattedCitation":"[68]"},"properties":{"noteIndex":0},"schema":"https://github.com/citation-style-language/schema/raw/master/csl-citation.json"}</w:instrText>
            </w:r>
            <w:r w:rsidR="00AE4FB4">
              <w:fldChar w:fldCharType="separate"/>
            </w:r>
            <w:r w:rsidR="001B3AB4" w:rsidRPr="001B3AB4">
              <w:rPr>
                <w:noProof/>
              </w:rPr>
              <w:t>[66]</w:t>
            </w:r>
            <w:r w:rsidR="00AE4FB4">
              <w:fldChar w:fldCharType="end"/>
            </w:r>
          </w:p>
        </w:tc>
        <w:tc>
          <w:tcPr>
            <w:tcW w:w="2311" w:type="dxa"/>
            <w:gridSpan w:val="2"/>
            <w:tcBorders>
              <w:top w:val="single" w:sz="8" w:space="0" w:color="auto"/>
              <w:left w:val="nil"/>
              <w:bottom w:val="single" w:sz="8" w:space="0" w:color="auto"/>
              <w:right w:val="nil"/>
            </w:tcBorders>
            <w:vAlign w:val="bottom"/>
          </w:tcPr>
          <w:p w14:paraId="1508C890" w14:textId="77777777" w:rsidR="001815C3" w:rsidRDefault="001815C3" w:rsidP="000900D3">
            <w:pPr>
              <w:jc w:val="right"/>
            </w:pPr>
            <w:r>
              <w:t>4</w:t>
            </w:r>
          </w:p>
        </w:tc>
        <w:tc>
          <w:tcPr>
            <w:tcW w:w="2659" w:type="dxa"/>
            <w:gridSpan w:val="3"/>
            <w:tcBorders>
              <w:top w:val="single" w:sz="8" w:space="0" w:color="auto"/>
              <w:left w:val="nil"/>
              <w:bottom w:val="single" w:sz="8" w:space="0" w:color="auto"/>
              <w:right w:val="nil"/>
            </w:tcBorders>
            <w:vAlign w:val="center"/>
          </w:tcPr>
          <w:p w14:paraId="0D02FF74" w14:textId="77777777" w:rsidR="001815C3" w:rsidRDefault="001815C3" w:rsidP="000900D3">
            <w:pPr>
              <w:jc w:val="right"/>
            </w:pPr>
            <w:r>
              <w:t>0</w:t>
            </w:r>
          </w:p>
        </w:tc>
        <w:tc>
          <w:tcPr>
            <w:tcW w:w="2192" w:type="dxa"/>
            <w:tcBorders>
              <w:top w:val="single" w:sz="8" w:space="0" w:color="auto"/>
              <w:left w:val="nil"/>
              <w:bottom w:val="single" w:sz="8" w:space="0" w:color="auto"/>
              <w:right w:val="nil"/>
            </w:tcBorders>
            <w:vAlign w:val="center"/>
          </w:tcPr>
          <w:p w14:paraId="470EAF07" w14:textId="77777777" w:rsidR="001815C3" w:rsidRDefault="001815C3" w:rsidP="000900D3">
            <w:pPr>
              <w:jc w:val="right"/>
            </w:pPr>
            <w:r>
              <w:t>0.00</w:t>
            </w:r>
          </w:p>
        </w:tc>
      </w:tr>
      <w:tr w:rsidR="001815C3" w14:paraId="59F95C0E" w14:textId="77777777" w:rsidTr="000900D3">
        <w:trPr>
          <w:trHeight w:val="260"/>
        </w:trPr>
        <w:tc>
          <w:tcPr>
            <w:tcW w:w="2367" w:type="dxa"/>
            <w:tcBorders>
              <w:top w:val="single" w:sz="8" w:space="0" w:color="auto"/>
              <w:left w:val="nil"/>
              <w:bottom w:val="single" w:sz="8" w:space="0" w:color="auto"/>
              <w:right w:val="nil"/>
            </w:tcBorders>
            <w:vAlign w:val="bottom"/>
          </w:tcPr>
          <w:p w14:paraId="2F5D34ED" w14:textId="26DD485A" w:rsidR="001815C3" w:rsidRDefault="001815C3" w:rsidP="000900D3">
            <w:r>
              <w:t xml:space="preserve">Zhang et al </w:t>
            </w:r>
            <w:r w:rsidR="00AE4FB4">
              <w:fldChar w:fldCharType="begin" w:fldLock="1"/>
            </w:r>
            <w:r w:rsidR="001B3AB4">
              <w:instrText>ADDIN CSL_CITATION {"citationItems":[{"id":"ITEM-1","itemData":{"DOI":"10.3201/eid2608.201142","ISBN":"1080-6040 (Print)\r1080-6040","PMID":"32453686","abstract":"We explored the secondary attack rate in different types of contact with persons presymptomatic for coronavirus disease (COVID-19). Close contacts who lived with or had frequent contact with an index case-patient had a higher risk for COVID-19. Our findings provide population-based evidence for transmission from persons with presymptomatic COVID-19 infections.","author":[{"dropping-particle":"","family":"Zhang","given":"W","non-dropping-particle":"","parse-names":false,"suffix":""},{"dropping-particle":"","family":"Cheng","given":"W","non-dropping-particle":"","parse-names":false,"suffix":""},{"dropping-particle":"","family":"Luo","given":"L","non-dropping-particle":"","parse-names":false,"suffix":""},{"dropping-particle":"","family":"Ma","given":"Y","non-dropping-particle":"","parse-names":false,"suffix":""},{"dropping-particle":"","family":"Xu","given":"C","non-dropping-particle":"","parse-names":false,"suffix":""},{"dropping-particle":"","family":"Qin","given":"P","non-dropping-particle":"","parse-names":false,"suffix":""},{"dropping-particle":"","family":"Zhang","given":"Z","non-dropping-particle":"","parse-names":false,"suffix":""}],"container-title":"Emerg Infect Dis","edition":"2020/05/27","id":"ITEM-1","issue":"8","issued":{"date-parts":[["2020"]]},"language":"eng","note":"1080-6059\nZhang, Weiwei\nCheng, Weibin\nLuo, Lei\nMa, Yu\nXu, Conghui\nQin, Pengzhe\nZhang, Zhoubin\nJournal Article\nEmerg Infect Dis. 2020 Aug;26(8):1924-1926. doi: 10.3201/eid2608.201142. Epub 2020 May 26.","page":"1924-1926","title":"Secondary Transmission of Coronavirus Disease from Presymptomatic Persons, China","type":"article-journal","volume":"26"},"uris":["http://www.mendeley.com/documents/?uuid=b2867ff7-16d0-4e23-8c1a-d14f2726f827"]}],"mendeley":{"formattedCitation":"[62]","plainTextFormattedCitation":"[62]","previouslyFormattedCitation":"[64]"},"properties":{"noteIndex":0},"schema":"https://github.com/citation-style-language/schema/raw/master/csl-citation.json"}</w:instrText>
            </w:r>
            <w:r w:rsidR="00AE4FB4">
              <w:fldChar w:fldCharType="separate"/>
            </w:r>
            <w:r w:rsidR="001B3AB4" w:rsidRPr="001B3AB4">
              <w:rPr>
                <w:noProof/>
              </w:rPr>
              <w:t>[62]</w:t>
            </w:r>
            <w:r w:rsidR="00AE4FB4">
              <w:fldChar w:fldCharType="end"/>
            </w:r>
          </w:p>
        </w:tc>
        <w:tc>
          <w:tcPr>
            <w:tcW w:w="2311" w:type="dxa"/>
            <w:gridSpan w:val="2"/>
            <w:tcBorders>
              <w:top w:val="single" w:sz="8" w:space="0" w:color="auto"/>
              <w:left w:val="nil"/>
              <w:bottom w:val="single" w:sz="8" w:space="0" w:color="auto"/>
              <w:right w:val="nil"/>
            </w:tcBorders>
            <w:vAlign w:val="center"/>
          </w:tcPr>
          <w:p w14:paraId="25C42CBC" w14:textId="77777777" w:rsidR="001815C3" w:rsidRDefault="001815C3" w:rsidP="000900D3">
            <w:pPr>
              <w:jc w:val="right"/>
            </w:pPr>
            <w:r>
              <w:t>12</w:t>
            </w:r>
          </w:p>
        </w:tc>
        <w:tc>
          <w:tcPr>
            <w:tcW w:w="2659" w:type="dxa"/>
            <w:gridSpan w:val="3"/>
            <w:tcBorders>
              <w:top w:val="single" w:sz="8" w:space="0" w:color="auto"/>
              <w:left w:val="nil"/>
              <w:bottom w:val="single" w:sz="8" w:space="0" w:color="auto"/>
              <w:right w:val="nil"/>
            </w:tcBorders>
            <w:vAlign w:val="center"/>
          </w:tcPr>
          <w:p w14:paraId="71F4EA75" w14:textId="77777777" w:rsidR="001815C3" w:rsidRDefault="001815C3" w:rsidP="000900D3">
            <w:pPr>
              <w:jc w:val="right"/>
            </w:pPr>
            <w:r>
              <w:t>1</w:t>
            </w:r>
          </w:p>
        </w:tc>
        <w:tc>
          <w:tcPr>
            <w:tcW w:w="2192" w:type="dxa"/>
            <w:tcBorders>
              <w:top w:val="single" w:sz="8" w:space="0" w:color="auto"/>
              <w:left w:val="nil"/>
              <w:bottom w:val="single" w:sz="8" w:space="0" w:color="auto"/>
              <w:right w:val="nil"/>
            </w:tcBorders>
            <w:vAlign w:val="center"/>
          </w:tcPr>
          <w:p w14:paraId="5BD37341" w14:textId="77777777" w:rsidR="001815C3" w:rsidRDefault="001815C3" w:rsidP="000900D3">
            <w:pPr>
              <w:jc w:val="right"/>
            </w:pPr>
            <w:r>
              <w:t>0.08</w:t>
            </w:r>
          </w:p>
        </w:tc>
      </w:tr>
      <w:tr w:rsidR="001815C3" w14:paraId="64A53963" w14:textId="77777777" w:rsidTr="000900D3">
        <w:trPr>
          <w:trHeight w:val="260"/>
        </w:trPr>
        <w:tc>
          <w:tcPr>
            <w:tcW w:w="2367" w:type="dxa"/>
            <w:tcBorders>
              <w:top w:val="single" w:sz="8" w:space="0" w:color="auto"/>
              <w:left w:val="nil"/>
              <w:bottom w:val="single" w:sz="8" w:space="0" w:color="auto"/>
              <w:right w:val="nil"/>
            </w:tcBorders>
            <w:vAlign w:val="bottom"/>
          </w:tcPr>
          <w:p w14:paraId="4E4D5DF3" w14:textId="5A9CFB43" w:rsidR="001815C3" w:rsidRDefault="001815C3" w:rsidP="000900D3">
            <w:r>
              <w:t xml:space="preserve">Han et al </w:t>
            </w:r>
            <w:r w:rsidR="00AE4FB4">
              <w:fldChar w:fldCharType="begin" w:fldLock="1"/>
            </w:r>
            <w:r w:rsidR="001B3AB4">
              <w:instrText>ADDIN CSL_CITATION {"citationItems":[{"id":"ITEM-1","itemData":{"DOI":"10.3201/eid2609.201848","ISBN":"1080-6040","PMID":"32553070","abstract":"After the outbreak in Wuhan, China, we assessed 29,299 workers screened for severe acute respiratory syndrome coronavirus 2 by reverse transcription PCR. We noted 18 (0.061%) cases of asymptomatic infection; 13 turned negative within 8.0 days, and 41 close contacts tested negative. Among 6 contacts who had serologic tests, none were positive.","author":[{"dropping-particle":"","family":"Han","given":"X","non-dropping-particle":"","parse-names":false,"suffix":""},{"dropping-particle":"","family":"Wei","given":"X","non-dropping-particle":"","parse-names":false,"suffix":""},{"dropping-particle":"","family":"Alwalid","given":"O","non-dropping-particle":"","parse-names":false,"suffix":""},{"dropping-particle":"","family":"Cao","given":"Y","non-dropping-particle":"","parse-names":false,"suffix":""},{"dropping-particle":"","family":"Li","given":"Y","non-dropping-particle":"","parse-names":false,"suffix":""},{"dropping-particle":"","family":"Wang","given":"L","non-dropping-particle":"","parse-names":false,"suffix":""},{"dropping-particle":"","family":"Shi","given":"H","non-dropping-particle":"","parse-names":false,"suffix":""}],"container-title":"Emerg Infect Dis","edition":"2020/06/20","id":"ITEM-1","issue":"9","issued":{"date-parts":[["2020"]]},"language":"eng","note":"1080-6059\nHan, Xiaoyu\nWei, Xiong\nAlwalid, Osamah\nCao, Yukun\nLi, Yumin\nWang, Li\nShi, Heshui\nJournal Article\nUnited States\nEmerg Infect Dis. 2020 Jun 17;26(9). doi: 10.3201/eid2609.201848.","title":"Severe Acute Respiratory Syndrome Coronavirus 2 among Asymptomatic Workers Screened for Work Resumption, China","type":"article-journal","volume":"26"},"uris":["http://www.mendeley.com/documents/?uuid=fd8ee5c9-30d3-4386-8cfe-945f08a3a559"]}],"mendeley":{"formattedCitation":"[92]","plainTextFormattedCitation":"[92]","previouslyFormattedCitation":"[94]"},"properties":{"noteIndex":0},"schema":"https://github.com/citation-style-language/schema/raw/master/csl-citation.json"}</w:instrText>
            </w:r>
            <w:r w:rsidR="00AE4FB4">
              <w:fldChar w:fldCharType="separate"/>
            </w:r>
            <w:r w:rsidR="001B3AB4" w:rsidRPr="001B3AB4">
              <w:rPr>
                <w:noProof/>
              </w:rPr>
              <w:t>[92]</w:t>
            </w:r>
            <w:r w:rsidR="00AE4FB4">
              <w:fldChar w:fldCharType="end"/>
            </w:r>
          </w:p>
        </w:tc>
        <w:tc>
          <w:tcPr>
            <w:tcW w:w="2311" w:type="dxa"/>
            <w:gridSpan w:val="2"/>
            <w:tcBorders>
              <w:top w:val="single" w:sz="8" w:space="0" w:color="auto"/>
              <w:left w:val="nil"/>
              <w:bottom w:val="single" w:sz="8" w:space="0" w:color="auto"/>
              <w:right w:val="nil"/>
            </w:tcBorders>
            <w:vAlign w:val="center"/>
          </w:tcPr>
          <w:p w14:paraId="091A1D74" w14:textId="77777777" w:rsidR="001815C3" w:rsidRDefault="001815C3" w:rsidP="000900D3">
            <w:pPr>
              <w:jc w:val="right"/>
            </w:pPr>
            <w:r>
              <w:t>18</w:t>
            </w:r>
          </w:p>
        </w:tc>
        <w:tc>
          <w:tcPr>
            <w:tcW w:w="2659" w:type="dxa"/>
            <w:gridSpan w:val="3"/>
            <w:tcBorders>
              <w:top w:val="single" w:sz="8" w:space="0" w:color="auto"/>
              <w:left w:val="nil"/>
              <w:bottom w:val="single" w:sz="8" w:space="0" w:color="auto"/>
              <w:right w:val="nil"/>
            </w:tcBorders>
            <w:vAlign w:val="center"/>
          </w:tcPr>
          <w:p w14:paraId="49E8AD61" w14:textId="77777777" w:rsidR="001815C3" w:rsidRDefault="001815C3" w:rsidP="000900D3">
            <w:pPr>
              <w:jc w:val="right"/>
            </w:pPr>
            <w:r>
              <w:t>0</w:t>
            </w:r>
          </w:p>
        </w:tc>
        <w:tc>
          <w:tcPr>
            <w:tcW w:w="2192" w:type="dxa"/>
            <w:tcBorders>
              <w:top w:val="single" w:sz="8" w:space="0" w:color="auto"/>
              <w:left w:val="nil"/>
              <w:bottom w:val="single" w:sz="8" w:space="0" w:color="auto"/>
              <w:right w:val="nil"/>
            </w:tcBorders>
            <w:vAlign w:val="center"/>
          </w:tcPr>
          <w:p w14:paraId="7E502B97" w14:textId="77777777" w:rsidR="001815C3" w:rsidRDefault="001815C3" w:rsidP="000900D3">
            <w:pPr>
              <w:jc w:val="right"/>
            </w:pPr>
            <w:r>
              <w:t>0.00</w:t>
            </w:r>
          </w:p>
        </w:tc>
      </w:tr>
      <w:tr w:rsidR="001815C3" w:rsidRPr="00884FF2" w14:paraId="2049B2F5" w14:textId="77777777" w:rsidTr="000900D3">
        <w:trPr>
          <w:trHeight w:val="260"/>
        </w:trPr>
        <w:tc>
          <w:tcPr>
            <w:tcW w:w="2367" w:type="dxa"/>
            <w:tcBorders>
              <w:top w:val="single" w:sz="8" w:space="0" w:color="auto"/>
              <w:left w:val="nil"/>
              <w:bottom w:val="single" w:sz="8" w:space="0" w:color="auto"/>
              <w:right w:val="nil"/>
            </w:tcBorders>
            <w:vAlign w:val="bottom"/>
          </w:tcPr>
          <w:p w14:paraId="31977CC8" w14:textId="3175E34D" w:rsidR="001815C3" w:rsidRPr="00884FF2" w:rsidRDefault="001815C3" w:rsidP="000900D3">
            <w:r w:rsidRPr="00884FF2">
              <w:t xml:space="preserve">Chen et al </w:t>
            </w:r>
            <w:r w:rsidR="005F3A5F" w:rsidRPr="00884FF2">
              <w:fldChar w:fldCharType="begin" w:fldLock="1"/>
            </w:r>
            <w:r w:rsidR="001B3AB4" w:rsidRPr="00884FF2">
              <w:instrText>ADDIN CSL_CITATION {"citationItems":[{"id":"ITEM-1","itemData":{"DOI":"10.3760/cma.j.cn112338-20200304-00251","author":[{"dropping-particle":"","family":"Chen","given":"Yi","non-dropping-particle":"","parse-names":false,"suffix":""},{"dropping-particle":"","family":"Wang","given":"Aihong","non-dropping-particle":"","parse-names":false,"suffix":""},{"dropping-particle":"","family":"Yi","given":"Bo","non-dropping-particle":"","parse-names":false,"suffix":""},{"dropping-particle":"","family":"Ding","given":"Keqin","non-dropping-particle":"","parse-names":false,"suffix":""},{"dropping-particle":"","family":"Wang","given":"Haibo","non-dropping-particle":"","parse-names":false,"suffix":""},{"dropping-particle":"","family":"Wang","given":"Jianmei","non-dropping-particle":"","parse-names":false,"suffix":""},{"dropping-particle":"","family":"Shi","given":"Hongbo","non-dropping-particle":"","parse-names":false,"suffix":""},{"dropping-particle":"","family":"Wang","given":"Sijia","non-dropping-particle":"","parse-names":false,"suffix":""},{"dropping-particle":"","family":"Xu","given":"Guozhang","non-dropping-particle":"","parse-names":false,"suffix":""}],"container-title":"Chinese Journal of Epidemiology","id":"ITEM-1","issued":{"date-parts":[["2020"]]},"title":"Epidemiological analysis of infection among close contacts of novel coronavirus pneumonia in Ningbo","type":"article-journal","volume":"41"},"uris":["http://www.mendeley.com/documents/?uuid=978fb15b-8773-4e7b-a513-1fd6611718ea"]}],"mendeley":{"formattedCitation":"[28]","plainTextFormattedCitation":"[28]","previouslyFormattedCitation":"[30]"},"properties":{"noteIndex":0},"schema":"https://github.com/citation-style-language/schema/raw/master/csl-citation.json"}</w:instrText>
            </w:r>
            <w:r w:rsidR="005F3A5F" w:rsidRPr="00884FF2">
              <w:fldChar w:fldCharType="separate"/>
            </w:r>
            <w:r w:rsidR="001B3AB4" w:rsidRPr="00884FF2">
              <w:rPr>
                <w:noProof/>
              </w:rPr>
              <w:t>[28]</w:t>
            </w:r>
            <w:r w:rsidR="005F3A5F" w:rsidRPr="00884FF2">
              <w:fldChar w:fldCharType="end"/>
            </w:r>
          </w:p>
        </w:tc>
        <w:tc>
          <w:tcPr>
            <w:tcW w:w="2311" w:type="dxa"/>
            <w:gridSpan w:val="2"/>
            <w:tcBorders>
              <w:top w:val="single" w:sz="8" w:space="0" w:color="auto"/>
              <w:left w:val="nil"/>
              <w:bottom w:val="single" w:sz="8" w:space="0" w:color="auto"/>
              <w:right w:val="nil"/>
            </w:tcBorders>
            <w:vAlign w:val="center"/>
          </w:tcPr>
          <w:p w14:paraId="1B9ADB20" w14:textId="77777777" w:rsidR="001815C3" w:rsidRPr="00884FF2" w:rsidRDefault="001815C3" w:rsidP="000900D3">
            <w:pPr>
              <w:jc w:val="right"/>
            </w:pPr>
            <w:r w:rsidRPr="00884FF2">
              <w:t>30</w:t>
            </w:r>
          </w:p>
        </w:tc>
        <w:tc>
          <w:tcPr>
            <w:tcW w:w="2659" w:type="dxa"/>
            <w:gridSpan w:val="3"/>
            <w:tcBorders>
              <w:top w:val="single" w:sz="8" w:space="0" w:color="auto"/>
              <w:left w:val="nil"/>
              <w:bottom w:val="single" w:sz="8" w:space="0" w:color="auto"/>
              <w:right w:val="nil"/>
            </w:tcBorders>
            <w:vAlign w:val="center"/>
          </w:tcPr>
          <w:p w14:paraId="1ED525A1" w14:textId="7CE79EA8" w:rsidR="001815C3" w:rsidRPr="00884FF2" w:rsidRDefault="00464F86" w:rsidP="000900D3">
            <w:pPr>
              <w:jc w:val="right"/>
            </w:pPr>
            <w:r w:rsidRPr="00884FF2">
              <w:t>6</w:t>
            </w:r>
          </w:p>
        </w:tc>
        <w:tc>
          <w:tcPr>
            <w:tcW w:w="2192" w:type="dxa"/>
            <w:tcBorders>
              <w:top w:val="single" w:sz="8" w:space="0" w:color="auto"/>
              <w:left w:val="nil"/>
              <w:bottom w:val="single" w:sz="8" w:space="0" w:color="auto"/>
              <w:right w:val="nil"/>
            </w:tcBorders>
            <w:vAlign w:val="center"/>
          </w:tcPr>
          <w:p w14:paraId="72116482" w14:textId="5CBE8B24" w:rsidR="001815C3" w:rsidRPr="00884FF2" w:rsidRDefault="00C828FD" w:rsidP="000900D3">
            <w:pPr>
              <w:jc w:val="right"/>
            </w:pPr>
            <w:r w:rsidRPr="00884FF2">
              <w:t>0.20</w:t>
            </w:r>
          </w:p>
        </w:tc>
      </w:tr>
      <w:tr w:rsidR="001815C3" w14:paraId="6F9F4CC2" w14:textId="77777777" w:rsidTr="000900D3">
        <w:trPr>
          <w:trHeight w:val="260"/>
        </w:trPr>
        <w:tc>
          <w:tcPr>
            <w:tcW w:w="2367" w:type="dxa"/>
            <w:tcBorders>
              <w:top w:val="single" w:sz="8" w:space="0" w:color="auto"/>
              <w:left w:val="nil"/>
              <w:bottom w:val="single" w:sz="8" w:space="0" w:color="auto"/>
              <w:right w:val="nil"/>
            </w:tcBorders>
            <w:vAlign w:val="bottom"/>
          </w:tcPr>
          <w:p w14:paraId="466331DA" w14:textId="36716938" w:rsidR="001815C3" w:rsidRDefault="001815C3" w:rsidP="000900D3">
            <w:r>
              <w:t xml:space="preserve">Liu et al </w:t>
            </w:r>
            <w:r w:rsidR="000B5142">
              <w:fldChar w:fldCharType="begin" w:fldLock="1"/>
            </w:r>
            <w:r w:rsidR="001B3AB4">
              <w:instrText>ADDIN CSL_CITATION {"citationItems":[{"id":"ITEM-1","itemData":{"DOI":"https://doi.org/10.1016/j.ijid.2020.06.036","ISBN":"1201-9712","abstract":"ABSTRACT Few studies aimed on the transmission efficiency of asymptomatic carriers of severe acute respiratory syndrome coronavirus 2 (SARS-CoV-2) infection. A follow-up study was performed on 147 asymptomatic carriers in Anhui Province. Of 147 asymptomatic carriers, 50.0% were male, 50.3% cases were older than 40 years, and 43.8% were farmers, 68.7% cases were from north of Anhui Province. There were 16 asymptomatic carriers developed illness in the following 14 days isolated observation, and diagnosed as confirmed cases. The possible latent infection period was evaluated ranged from one to five days before onset, and the median time was two days. The second attack rate of 16 confirmed cases whom transferred from asymptomatic carriers was 9.7% (23/236), while 131 asymptomatic carriers caused 2.6% (24/914) close contacts infection, there was a significant difference of second attack rate among two groups (P</w:instrText>
            </w:r>
            <w:r w:rsidR="001B3AB4">
              <w:rPr>
                <w:rFonts w:ascii="MS Gothic" w:eastAsia="MS Gothic" w:hAnsi="MS Gothic" w:cs="MS Gothic" w:hint="eastAsia"/>
              </w:rPr>
              <w:instrText>＜</w:instrText>
            </w:r>
            <w:r w:rsidR="001B3AB4">
              <w:instrText>0.001). Our study indicated that COVID-19 cases are contagious during the incubation period, and the close contact screening should be covered the incubation period. Furthermore, the transmission efficiency of asymptomatic carriers was lower than that of confirmed cases.","author":[{"dropping-particle":"","family":"Liu","given":"Zhirong","non-dropping-particle":"","parse-names":false,"suffix":""},{"dropping-particle":"","family":"Chu","given":"Ruilin","non-dropping-particle":"","parse-names":false,"suffix":""},{"dropping-particle":"","family":"Gong","given":"Lei","non-dropping-particle":"","parse-names":false,"suffix":""},{"dropping-particle":"","family":"Su","given":"Bin","non-dropping-particle":"","parse-names":false,"suffix":""},{"dropping-particle":"","family":"Wu","given":"Jiabing","non-dropping-particle":"","parse-names":false,"suffix":""}],"container-title":"International Journal of Infectious Diseases","id":"ITEM-1","issued":{"date-parts":[["2020"]]},"title":"The assessment of transmission efficiency and latent infection period on asymptomatic carriers of SARS-CoV-2 infection","type":"article-journal"},"uris":["http://www.mendeley.com/documents/?uuid=7250614d-71e4-4fb4-8bd1-e440256734a1"]}],"mendeley":{"formattedCitation":"[96]","plainTextFormattedCitation":"[96]","previouslyFormattedCitation":"[98]"},"properties":{"noteIndex":0},"schema":"https://github.com/citation-style-language/schema/raw/master/csl-citation.json"}</w:instrText>
            </w:r>
            <w:r w:rsidR="000B5142">
              <w:fldChar w:fldCharType="separate"/>
            </w:r>
            <w:r w:rsidR="001B3AB4" w:rsidRPr="001B3AB4">
              <w:rPr>
                <w:noProof/>
              </w:rPr>
              <w:t>[96]</w:t>
            </w:r>
            <w:r w:rsidR="000B5142">
              <w:fldChar w:fldCharType="end"/>
            </w:r>
          </w:p>
        </w:tc>
        <w:tc>
          <w:tcPr>
            <w:tcW w:w="2311" w:type="dxa"/>
            <w:gridSpan w:val="2"/>
            <w:tcBorders>
              <w:top w:val="single" w:sz="8" w:space="0" w:color="auto"/>
              <w:left w:val="nil"/>
              <w:bottom w:val="single" w:sz="8" w:space="0" w:color="auto"/>
              <w:right w:val="nil"/>
            </w:tcBorders>
            <w:vAlign w:val="center"/>
          </w:tcPr>
          <w:p w14:paraId="667C51A8" w14:textId="77777777" w:rsidR="001815C3" w:rsidRDefault="001815C3" w:rsidP="000900D3">
            <w:pPr>
              <w:jc w:val="right"/>
            </w:pPr>
            <w:r>
              <w:t>131</w:t>
            </w:r>
          </w:p>
        </w:tc>
        <w:tc>
          <w:tcPr>
            <w:tcW w:w="2659" w:type="dxa"/>
            <w:gridSpan w:val="3"/>
            <w:tcBorders>
              <w:top w:val="single" w:sz="8" w:space="0" w:color="auto"/>
              <w:left w:val="nil"/>
              <w:bottom w:val="single" w:sz="8" w:space="0" w:color="auto"/>
              <w:right w:val="nil"/>
            </w:tcBorders>
            <w:vAlign w:val="center"/>
          </w:tcPr>
          <w:p w14:paraId="4A559596" w14:textId="77777777" w:rsidR="001815C3" w:rsidRDefault="001815C3" w:rsidP="000900D3">
            <w:pPr>
              <w:jc w:val="right"/>
            </w:pPr>
            <w:r>
              <w:t>24</w:t>
            </w:r>
          </w:p>
        </w:tc>
        <w:tc>
          <w:tcPr>
            <w:tcW w:w="2192" w:type="dxa"/>
            <w:tcBorders>
              <w:top w:val="single" w:sz="8" w:space="0" w:color="auto"/>
              <w:left w:val="nil"/>
              <w:bottom w:val="single" w:sz="8" w:space="0" w:color="auto"/>
              <w:right w:val="nil"/>
            </w:tcBorders>
            <w:vAlign w:val="center"/>
          </w:tcPr>
          <w:p w14:paraId="5058897C" w14:textId="77777777" w:rsidR="001815C3" w:rsidRDefault="001815C3" w:rsidP="000900D3">
            <w:pPr>
              <w:jc w:val="right"/>
            </w:pPr>
            <w:r>
              <w:t>0.18</w:t>
            </w:r>
          </w:p>
        </w:tc>
      </w:tr>
      <w:tr w:rsidR="001815C3" w:rsidRPr="008E7E2B" w14:paraId="7A32224F" w14:textId="77777777" w:rsidTr="000900D3">
        <w:trPr>
          <w:trHeight w:val="260"/>
        </w:trPr>
        <w:tc>
          <w:tcPr>
            <w:tcW w:w="7337" w:type="dxa"/>
            <w:gridSpan w:val="6"/>
            <w:tcBorders>
              <w:top w:val="single" w:sz="8" w:space="0" w:color="auto"/>
              <w:left w:val="nil"/>
              <w:bottom w:val="single" w:sz="18" w:space="0" w:color="auto"/>
              <w:right w:val="nil"/>
            </w:tcBorders>
            <w:vAlign w:val="center"/>
          </w:tcPr>
          <w:p w14:paraId="4D50B233" w14:textId="77777777" w:rsidR="001815C3" w:rsidRDefault="001815C3" w:rsidP="000900D3">
            <w:pPr>
              <w:jc w:val="right"/>
            </w:pPr>
            <w:r>
              <w:rPr>
                <w:b/>
                <w:bCs/>
              </w:rPr>
              <w:t xml:space="preserve">Summary </w:t>
            </w:r>
          </w:p>
        </w:tc>
        <w:tc>
          <w:tcPr>
            <w:tcW w:w="2192" w:type="dxa"/>
            <w:tcBorders>
              <w:top w:val="single" w:sz="8" w:space="0" w:color="auto"/>
              <w:left w:val="nil"/>
              <w:bottom w:val="single" w:sz="8" w:space="0" w:color="auto"/>
              <w:right w:val="nil"/>
            </w:tcBorders>
            <w:vAlign w:val="center"/>
          </w:tcPr>
          <w:p w14:paraId="2BD134F5" w14:textId="14ECC484" w:rsidR="001815C3" w:rsidRDefault="001815C3" w:rsidP="000900D3">
            <w:pPr>
              <w:jc w:val="right"/>
              <w:rPr>
                <w:b/>
                <w:bCs/>
              </w:rPr>
            </w:pPr>
            <w:r>
              <w:rPr>
                <w:b/>
                <w:bCs/>
              </w:rPr>
              <w:t>0.</w:t>
            </w:r>
            <w:r w:rsidR="0077458B">
              <w:rPr>
                <w:b/>
                <w:bCs/>
              </w:rPr>
              <w:t>17</w:t>
            </w:r>
          </w:p>
          <w:p w14:paraId="13E95A19" w14:textId="3D758FC4" w:rsidR="001815C3" w:rsidRPr="008E7E2B" w:rsidRDefault="001815C3" w:rsidP="000900D3">
            <w:pPr>
              <w:jc w:val="right"/>
              <w:rPr>
                <w:b/>
                <w:bCs/>
              </w:rPr>
            </w:pPr>
            <w:r>
              <w:rPr>
                <w:b/>
                <w:bCs/>
              </w:rPr>
              <w:t>(95% CI: 0.</w:t>
            </w:r>
            <w:r w:rsidR="00CF5669">
              <w:rPr>
                <w:b/>
                <w:bCs/>
              </w:rPr>
              <w:t>04</w:t>
            </w:r>
            <w:r>
              <w:rPr>
                <w:b/>
                <w:bCs/>
              </w:rPr>
              <w:t>-0.</w:t>
            </w:r>
            <w:r w:rsidR="00CF5669">
              <w:rPr>
                <w:b/>
                <w:bCs/>
              </w:rPr>
              <w:t>45</w:t>
            </w:r>
            <w:r>
              <w:rPr>
                <w:b/>
                <w:bCs/>
              </w:rPr>
              <w:t>)</w:t>
            </w:r>
          </w:p>
        </w:tc>
      </w:tr>
      <w:tr w:rsidR="001815C3" w14:paraId="71A16B6E" w14:textId="77777777" w:rsidTr="000900D3">
        <w:trPr>
          <w:trHeight w:val="501"/>
        </w:trPr>
        <w:tc>
          <w:tcPr>
            <w:tcW w:w="9529" w:type="dxa"/>
            <w:gridSpan w:val="7"/>
            <w:tcBorders>
              <w:top w:val="single" w:sz="18" w:space="0" w:color="auto"/>
              <w:left w:val="nil"/>
              <w:bottom w:val="single" w:sz="8" w:space="0" w:color="auto"/>
              <w:right w:val="nil"/>
            </w:tcBorders>
            <w:vAlign w:val="center"/>
          </w:tcPr>
          <w:p w14:paraId="705B1780" w14:textId="77777777" w:rsidR="001815C3" w:rsidRDefault="001815C3" w:rsidP="000900D3">
            <w:r>
              <w:rPr>
                <w:b/>
                <w:bCs/>
              </w:rPr>
              <w:t>Pre-symptomatic index case</w:t>
            </w:r>
          </w:p>
        </w:tc>
      </w:tr>
      <w:tr w:rsidR="001815C3" w14:paraId="45EC3217" w14:textId="77777777" w:rsidTr="000900D3">
        <w:trPr>
          <w:trHeight w:val="260"/>
        </w:trPr>
        <w:tc>
          <w:tcPr>
            <w:tcW w:w="2367" w:type="dxa"/>
            <w:tcBorders>
              <w:top w:val="single" w:sz="8" w:space="0" w:color="auto"/>
              <w:left w:val="nil"/>
              <w:bottom w:val="single" w:sz="8" w:space="0" w:color="auto"/>
              <w:right w:val="nil"/>
            </w:tcBorders>
            <w:vAlign w:val="bottom"/>
          </w:tcPr>
          <w:p w14:paraId="58A34462" w14:textId="3BEECE71" w:rsidR="001815C3" w:rsidRDefault="001815C3" w:rsidP="000900D3">
            <w:r>
              <w:t xml:space="preserve">Jiang et al </w:t>
            </w:r>
            <w:r w:rsidR="00E16332">
              <w:fldChar w:fldCharType="begin" w:fldLock="1"/>
            </w:r>
            <w:r w:rsidR="001B3AB4">
              <w:instrText>ADDIN CSL_CITATION {"citationItems":[{"id":"ITEM-1","itemData":{"DOI":"10.1093/infdis/jiaa206","ISBN":"0022-1899 (Print)\r0022-1899","PMID":"32319519","abstract":"Data concerning the transmission of severe acute respiratory syndrome coronavirus 2 (SARS-CoV-2) in asymptomatic and paucisymptomatic patients are lacking. We report a 3-family cluster of infections involving asymptomatic and paucisymptomatic transmission. Eight of 15 (53%) members from 3 families were confirmed with SARS-CoV-2 infection. Of 8 patients, 3 were asymptomatic and 1 was paucisymptomatic. An asymptomatic mother transmitted the virus to her son, and a paucisymptomatic father transmitted the virus to his 3-month-old daughter. SARS-CoV-2 was detected in the environment of 1 household. The complete genomes of SARS-CoV-2 from the patients were &gt; 99.9% identical and were clustered with other SARS-CoV-2 sequences reported from China and other countries.","author":[{"dropping-particle":"","family":"Jiang","given":"X L","non-dropping-particle":"","parse-names":false,"suffix":""},{"dropping-particle":"","family":"Zhang","given":"X L","non-dropping-particle":"","parse-names":false,"suffix":""},{"dropping-particle":"","family":"Zhao","given":"X N","non-dropping-particle":"","parse-names":false,"suffix":""},{"dropping-particle":"","family":"Li","given":"C B","non-dropping-particle":"","parse-names":false,"suffix":""},{"dropping-particle":"","family":"Lei","given":"J","non-dropping-particle":"","parse-names":false,"suffix":""},{"dropping-particle":"","family":"Kou","given":"Z Q","non-dropping-particle":"","parse-names":false,"suffix":""},{"dropping-particle":"","family":"Sun","given":"W K","non-dropping-particle":"","parse-names":false,"suffix":""},{"dropping-particle":"","family":"Hang","given":"Y","non-dropping-particle":"","parse-names":false,"suffix":""},{"dropping-particle":"","family":"Gao","given":"F","non-dropping-particle":"","parse-names":false,"suffix":""},{"dropping-particle":"","family":"Ji","given":"S X","non-dropping-particle":"","parse-names":false,"suffix":""},{"dropping-particle":"","family":"Lin","given":"C F","non-dropping-particle":"","parse-names":false,"suffix":""},{"dropping-particle":"","family":"Pang","given":"B","non-dropping-particle":"","parse-names":false,"suffix":""},{"dropping-particle":"","family":"Yao","given":"M X","non-dropping-particle":"","parse-names":false,"suffix":""},{"dropping-particle":"","family":"Anderson","given":"B D","non-dropping-particle":"","parse-names":false,"suffix":""},{"dropping-particle":"","family":"Wang","given":"G L","non-dropping-particle":"","parse-names":false,"suffix":""},{"dropping-particle":"","family":"Yao","given":"L","non-dropping-particle":"","parse-names":false,"suffix":""},{"dropping-particle":"","family":"Duan","given":"L J","non-dropping-particle":"","parse-names":false,"suffix":""},{"dropping-particle":"","family":"Kang","given":"D M","non-dropping-particle":"","parse-names":false,"suffix":""},{"dropping-particle":"","family":"Ma","given":"M J","non-dropping-particle":"","parse-names":false,"suffix":""}],"container-title":"J Infect Dis","edition":"2020/04/23","id":"ITEM-1","issue":"12","issued":{"date-parts":[["2020"]]},"language":"eng","note":"1537-6613\nJiang, Xiao-Lin\nZhang, Xiao-Li\nZhao, Xiang-Na\nLi, Cun-Bao\nLei, Jie\nKou, Zeng-Qiang\nSun, Wen-Kui\nHang, Yang\nGao, Feng\nJi, Sheng-Xiang\nLin, Can-Fang\nPang, Bo\nYao, Ming-Xiao\nAnderson, Benjamin D\nWang, Guo-Lin\nYao, Lin\nDuan, Li-Jun\nKang, Dian-Min\nMa, Mai-Juan\nJournal Article\nJ Infect Dis. 2020 Jun 11;221(12):1948-1952. doi: 10.1093/infdis/jiaa206.","page":"1948-1952","title":"Transmission Potential of Asymptomatic and Paucisymptomatic Severe Acute Respiratory Syndrome Coronavirus 2 Infections: A 3-Family Cluster Study in China","type":"article-journal","volume":"221"},"uris":["http://www.mendeley.com/documents/?uuid=244a80d8-6631-4ad5-9831-10a95fedd7d5"]}],"mendeley":{"formattedCitation":"[37]","plainTextFormattedCitation":"[37]","previouslyFormattedCitation":"[39]"},"properties":{"noteIndex":0},"schema":"https://github.com/citation-style-language/schema/raw/master/csl-citation.json"}</w:instrText>
            </w:r>
            <w:r w:rsidR="00E16332">
              <w:fldChar w:fldCharType="separate"/>
            </w:r>
            <w:r w:rsidR="001B3AB4" w:rsidRPr="001B3AB4">
              <w:rPr>
                <w:noProof/>
              </w:rPr>
              <w:t>[37]</w:t>
            </w:r>
            <w:r w:rsidR="00E16332">
              <w:fldChar w:fldCharType="end"/>
            </w:r>
          </w:p>
        </w:tc>
        <w:tc>
          <w:tcPr>
            <w:tcW w:w="2311" w:type="dxa"/>
            <w:gridSpan w:val="2"/>
            <w:tcBorders>
              <w:top w:val="single" w:sz="8" w:space="0" w:color="auto"/>
              <w:left w:val="nil"/>
              <w:bottom w:val="single" w:sz="8" w:space="0" w:color="auto"/>
              <w:right w:val="nil"/>
            </w:tcBorders>
            <w:vAlign w:val="bottom"/>
          </w:tcPr>
          <w:p w14:paraId="0A835353" w14:textId="77777777" w:rsidR="001815C3" w:rsidRDefault="001815C3" w:rsidP="000900D3">
            <w:pPr>
              <w:jc w:val="right"/>
            </w:pPr>
            <w:r>
              <w:t>3</w:t>
            </w:r>
          </w:p>
        </w:tc>
        <w:tc>
          <w:tcPr>
            <w:tcW w:w="2659" w:type="dxa"/>
            <w:gridSpan w:val="3"/>
            <w:tcBorders>
              <w:top w:val="single" w:sz="8" w:space="0" w:color="auto"/>
              <w:left w:val="nil"/>
              <w:bottom w:val="single" w:sz="8" w:space="0" w:color="auto"/>
              <w:right w:val="nil"/>
            </w:tcBorders>
            <w:vAlign w:val="center"/>
          </w:tcPr>
          <w:p w14:paraId="6B2043F5" w14:textId="77777777" w:rsidR="001815C3" w:rsidRDefault="001815C3" w:rsidP="000900D3">
            <w:pPr>
              <w:jc w:val="right"/>
            </w:pPr>
            <w:r>
              <w:t>4</w:t>
            </w:r>
          </w:p>
        </w:tc>
        <w:tc>
          <w:tcPr>
            <w:tcW w:w="2192" w:type="dxa"/>
            <w:tcBorders>
              <w:top w:val="single" w:sz="8" w:space="0" w:color="auto"/>
              <w:left w:val="nil"/>
              <w:bottom w:val="single" w:sz="8" w:space="0" w:color="auto"/>
              <w:right w:val="nil"/>
            </w:tcBorders>
            <w:vAlign w:val="center"/>
          </w:tcPr>
          <w:p w14:paraId="4FDBFFAB" w14:textId="77777777" w:rsidR="001815C3" w:rsidRDefault="001815C3" w:rsidP="000900D3">
            <w:pPr>
              <w:jc w:val="right"/>
            </w:pPr>
            <w:r>
              <w:t>1.33</w:t>
            </w:r>
          </w:p>
        </w:tc>
      </w:tr>
      <w:tr w:rsidR="001815C3" w14:paraId="6416E01A" w14:textId="77777777" w:rsidTr="000900D3">
        <w:trPr>
          <w:trHeight w:val="249"/>
        </w:trPr>
        <w:tc>
          <w:tcPr>
            <w:tcW w:w="2367" w:type="dxa"/>
            <w:tcBorders>
              <w:top w:val="single" w:sz="8" w:space="0" w:color="auto"/>
              <w:left w:val="nil"/>
              <w:bottom w:val="single" w:sz="8" w:space="0" w:color="auto"/>
              <w:right w:val="nil"/>
            </w:tcBorders>
            <w:vAlign w:val="bottom"/>
          </w:tcPr>
          <w:p w14:paraId="114A7693" w14:textId="11F1C964" w:rsidR="001815C3" w:rsidRDefault="001815C3" w:rsidP="000900D3">
            <w:r>
              <w:t xml:space="preserve">Park et al </w:t>
            </w:r>
            <w:r w:rsidR="00E16332">
              <w:fldChar w:fldCharType="begin" w:fldLock="1"/>
            </w:r>
            <w:r w:rsidR="001B3AB4">
              <w:instrText>ADDIN CSL_CITATION {"citationItems":[{"id":"ITEM-1","itemData":{"DOI":"10.3201/eid2608.201274","ISBN":"1080-6040 (Print)\r1080-6040","PMID":"32324530","abstract":"We describe the epidemiology of a coronavirus disease (COVID-19) outbreak in a call center in South Korea. We obtained information on demographic characteristics by using standardized epidemiologic investigation forms. We performed descriptive analyses and reported the results as frequencies and proportions for categoric variables. Of 1,143 persons who were tested for COVID-19, a total of 97 (8.5%, 95% CI 7.0%-10.3%) had confirmed cases. Of these, 94 were working in an 11th-floor call center with 216 employees, translating to an attack rate of 43.5% (95% CI 36.9%-50.4%). The household secondary attack rate among symptomatic case-patients was 16.2% (95% CI 11.6%- 22.0%). Of the 97 persons with confirmed COVID-19, only 4 (1.9%) remained asymptomatic within 14 days of quarantine, and none of their household contacts acquired secondary infections. Extensive contact tracing, testing all contacts, and early quarantine blocked further transmission and might be effective for containing rapid outbreaks in crowded work settings.","author":[{"dropping-particle":"","family":"Park","given":"S Y","non-dropping-particle":"","parse-names":false,"suffix":""},{"dropping-particle":"","family":"Kim","given":"Y M","non-dropping-particle":"","parse-names":false,"suffix":""},{"dropping-particle":"","family":"Yi","given":"S","non-dropping-particle":"","parse-names":false,"suffix":""},{"dropping-particle":"","family":"Lee","given":"S","non-dropping-particle":"","parse-names":false,"suffix":""},{"dropping-particle":"","family":"Na","given":"B J","non-dropping-particle":"","parse-names":false,"suffix":""},{"dropping-particle":"","family":"Kim","given":"C B","non-dropping-particle":"","parse-names":false,"suffix":""},{"dropping-particle":"","family":"Kim","given":"J I","non-dropping-particle":"","parse-names":false,"suffix":""},{"dropping-particle":"","family":"Kim","given":"H S","non-dropping-particle":"","parse-names":false,"suffix":""},{"dropping-particle":"","family":"Kim","given":"Y B","non-dropping-particle":"","parse-names":false,"suffix":""},{"dropping-particle":"","family":"Park","given":"Y","non-dropping-particle":"","parse-names":false,"suffix":""},{"dropping-particle":"","family":"Huh","given":"I S","non-dropping-particle":"","parse-names":false,"suffix":""},{"dropping-particle":"","family":"Kim","given":"H K","non-dropping-particle":"","parse-names":false,"suffix":""},{"dropping-particle":"","family":"Yoon","given":"H J","non-dropping-particle":"","parse-names":false,"suffix":""},{"dropping-particle":"","family":"Jang","given":"H","non-dropping-particle":"","parse-names":false,"suffix":""},{"dropping-particle":"","family":"Kim","given":"K","non-dropping-particle":"","parse-names":false,"suffix":""},{"dropping-particle":"","family":"Chang","given":"Y","non-dropping-particle":"","parse-names":false,"suffix":""},{"dropping-particle":"","family":"Kim","given":"I","non-dropping-particle":"","parse-names":false,"suffix":""},{"dropping-particle":"","family":"Lee","given":"H","non-dropping-particle":"","parse-names":false,"suffix":""},{"dropping-particle":"","family":"Gwack","given":"J","non-dropping-particle":"","parse-names":false,"suffix":""},{"dropping-particle":"","family":"Kim","given":"S S","non-dropping-particle":"","parse-names":false,"suffix":""},{"dropping-particle":"","family":"Kim","given":"M","non-dropping-particle":"","parse-names":false,"suffix":""},{"dropping-particle":"","family":"Kweon","given":"S","non-dropping-particle":"","parse-names":false,"suffix":""},{"dropping-particle":"","family":"Choe","given":"Y J","non-dropping-particle":"","parse-names":false,"suffix":""},{"dropping-particle":"","family":"Park","given":"O","non-dropping-particle":"","parse-names":false,"suffix":""},{"dropping-particle":"","family":"Park","given":"Y J","non-dropping-particle":"","parse-names":false,"suffix":""},{"dropping-particle":"","family":"Jeong","given":"E K","non-dropping-particle":"","parse-names":false,"suffix":""}],"container-title":"Emerg Infect Dis","edition":"2020/04/24","id":"ITEM-1","issue":"8","issued":{"date-parts":[["2020"]]},"language":"eng","note":"1080-6059\nPark, Shin Young\nKim, Young-Man\nYi, Seonju\nLee, Sangeun\nNa, Baeg-Ju\nKim, Chang Bo\nKim, Jung-Il\nKim, Hea Sook\nKim, Young Bok\nPark, Yoojin\nHuh, In Sil\nKim, Hye Kyung\nYoon, Hyung Jun\nJang, Hanaram\nKim, Kyungnam\nChang, Yeonhwa\nKim, Inhye\nLee, Hyeyoung\nGwack, Jin\nKim, Seong Sun\nKim, Miyoung\nKweon, Sanghui\nChoe, Young June\nPark, Ok\nPark, Young Joon\nJeong, Eun Kyeong\nJournal Article\nEmerg Infect Dis. 2020 Aug;26(8):1666-1670. doi: 10.3201/eid2608.201274. Epub 2020 Apr 23.","page":"1666-1670","title":"Coronavirus Disease Outbreak in Call Center, South Korea","type":"article-journal","volume":"26"},"uris":["http://www.mendeley.com/documents/?uuid=f979f780-d83c-4875-a8d3-e3c5a636e6be"]}],"mendeley":{"formattedCitation":"[66]","plainTextFormattedCitation":"[66]","previouslyFormattedCitation":"[68]"},"properties":{"noteIndex":0},"schema":"https://github.com/citation-style-language/schema/raw/master/csl-citation.json"}</w:instrText>
            </w:r>
            <w:r w:rsidR="00E16332">
              <w:fldChar w:fldCharType="separate"/>
            </w:r>
            <w:r w:rsidR="001B3AB4" w:rsidRPr="001B3AB4">
              <w:rPr>
                <w:noProof/>
              </w:rPr>
              <w:t>[66]</w:t>
            </w:r>
            <w:r w:rsidR="00E16332">
              <w:fldChar w:fldCharType="end"/>
            </w:r>
          </w:p>
        </w:tc>
        <w:tc>
          <w:tcPr>
            <w:tcW w:w="2311" w:type="dxa"/>
            <w:gridSpan w:val="2"/>
            <w:tcBorders>
              <w:top w:val="single" w:sz="8" w:space="0" w:color="auto"/>
              <w:left w:val="nil"/>
              <w:bottom w:val="single" w:sz="8" w:space="0" w:color="auto"/>
              <w:right w:val="nil"/>
            </w:tcBorders>
            <w:vAlign w:val="bottom"/>
          </w:tcPr>
          <w:p w14:paraId="70B38D30" w14:textId="77777777" w:rsidR="001815C3" w:rsidRDefault="001815C3" w:rsidP="000900D3">
            <w:pPr>
              <w:jc w:val="right"/>
            </w:pPr>
            <w:r>
              <w:t>4</w:t>
            </w:r>
          </w:p>
        </w:tc>
        <w:tc>
          <w:tcPr>
            <w:tcW w:w="2659" w:type="dxa"/>
            <w:gridSpan w:val="3"/>
            <w:tcBorders>
              <w:top w:val="single" w:sz="8" w:space="0" w:color="auto"/>
              <w:left w:val="nil"/>
              <w:bottom w:val="single" w:sz="8" w:space="0" w:color="auto"/>
              <w:right w:val="nil"/>
            </w:tcBorders>
            <w:vAlign w:val="center"/>
          </w:tcPr>
          <w:p w14:paraId="333C5596" w14:textId="77777777" w:rsidR="001815C3" w:rsidRDefault="001815C3" w:rsidP="000900D3">
            <w:pPr>
              <w:jc w:val="right"/>
            </w:pPr>
            <w:r>
              <w:t>.</w:t>
            </w:r>
          </w:p>
        </w:tc>
        <w:tc>
          <w:tcPr>
            <w:tcW w:w="2192" w:type="dxa"/>
            <w:tcBorders>
              <w:top w:val="single" w:sz="8" w:space="0" w:color="auto"/>
              <w:left w:val="nil"/>
              <w:bottom w:val="single" w:sz="8" w:space="0" w:color="auto"/>
              <w:right w:val="nil"/>
            </w:tcBorders>
            <w:vAlign w:val="center"/>
          </w:tcPr>
          <w:p w14:paraId="2CAC2BBE" w14:textId="77777777" w:rsidR="001815C3" w:rsidRDefault="001815C3" w:rsidP="000900D3">
            <w:pPr>
              <w:jc w:val="right"/>
            </w:pPr>
            <w:r>
              <w:t>0.00</w:t>
            </w:r>
          </w:p>
        </w:tc>
      </w:tr>
      <w:tr w:rsidR="001815C3" w14:paraId="5AC239C6" w14:textId="77777777" w:rsidTr="000900D3">
        <w:trPr>
          <w:trHeight w:val="249"/>
        </w:trPr>
        <w:tc>
          <w:tcPr>
            <w:tcW w:w="2367" w:type="dxa"/>
            <w:tcBorders>
              <w:top w:val="single" w:sz="8" w:space="0" w:color="auto"/>
              <w:left w:val="nil"/>
              <w:bottom w:val="single" w:sz="8" w:space="0" w:color="auto"/>
              <w:right w:val="nil"/>
            </w:tcBorders>
            <w:vAlign w:val="bottom"/>
          </w:tcPr>
          <w:p w14:paraId="5CA03B9B" w14:textId="09BB6F17" w:rsidR="001815C3" w:rsidRDefault="001815C3" w:rsidP="000900D3">
            <w:r>
              <w:t xml:space="preserve">Jang et al </w:t>
            </w:r>
            <w:r w:rsidR="007B3CEB">
              <w:fldChar w:fldCharType="begin" w:fldLock="1"/>
            </w:r>
            <w:r w:rsidR="001B3AB4">
              <w:instrText>ADDIN CSL_CITATION {"citationItems":[{"id":"ITEM-1","itemData":{"DOI":"10.3201/eid2608.200633","ISBN":"1080-6040 (Print)\r1080-6040","PMID":"32412896","abstract":"During 24 days in Cheonan, South Korea, 112 persons were infected with severe acute respiratory syndrome coronavirus 2 associated with fitness dance classes at 12 sports facilities. Intense physical exercise in densely populated sports facilities could increase risk for infection. Vigorous exercise in confined spaces should be minimized during outbreaks.","author":[{"dropping-particle":"","family":"Jang","given":"S","non-dropping-particle":"","parse-names":false,"suffix":""},{"dropping-particle":"","family":"Han","given":"S H","non-dropping-particle":"","parse-names":false,"suffix":""},{"dropping-particle":"","family":"Rhee","given":"J Y","non-dropping-particle":"","parse-names":false,"suffix":""}],"container-title":"Emerg Infect Dis","edition":"2020/05/16","id":"ITEM-1","issue":"8","issued":{"date-parts":[["2020"]]},"language":"eng","note":"1080-6059\nJang, Sukbin\nHan, Si Hyun\nRhee, Ji-Young\nJournal Article\nEmerg Infect Dis. 2020 Aug;26(8):1917-1920. doi: 10.3201/eid2608.200633. Epub 2020 May 15.","page":"1917-1920","title":"Cluster of Coronavirus Disease Associated with Fitness Dance Classes, South Korea","type":"article-journal","volume":"26"},"uris":["http://www.mendeley.com/documents/?uuid=b5b630d4-88fe-4e1d-b296-2dac6153ff26"]}],"mendeley":{"formattedCitation":"[19]","plainTextFormattedCitation":"[19]","previouslyFormattedCitation":"[21]"},"properties":{"noteIndex":0},"schema":"https://github.com/citation-style-language/schema/raw/master/csl-citation.json"}</w:instrText>
            </w:r>
            <w:r w:rsidR="007B3CEB">
              <w:fldChar w:fldCharType="separate"/>
            </w:r>
            <w:r w:rsidR="001B3AB4" w:rsidRPr="001B3AB4">
              <w:rPr>
                <w:noProof/>
              </w:rPr>
              <w:t>[19]</w:t>
            </w:r>
            <w:r w:rsidR="007B3CEB">
              <w:fldChar w:fldCharType="end"/>
            </w:r>
            <w:r w:rsidR="002646AB">
              <w:t>*</w:t>
            </w:r>
          </w:p>
        </w:tc>
        <w:tc>
          <w:tcPr>
            <w:tcW w:w="2311" w:type="dxa"/>
            <w:gridSpan w:val="2"/>
            <w:tcBorders>
              <w:top w:val="single" w:sz="8" w:space="0" w:color="auto"/>
              <w:left w:val="nil"/>
              <w:bottom w:val="single" w:sz="8" w:space="0" w:color="auto"/>
              <w:right w:val="nil"/>
            </w:tcBorders>
            <w:vAlign w:val="bottom"/>
          </w:tcPr>
          <w:p w14:paraId="0A1B944F" w14:textId="77777777" w:rsidR="001815C3" w:rsidRDefault="001815C3" w:rsidP="000900D3">
            <w:pPr>
              <w:jc w:val="right"/>
            </w:pPr>
            <w:r>
              <w:t>6</w:t>
            </w:r>
          </w:p>
        </w:tc>
        <w:tc>
          <w:tcPr>
            <w:tcW w:w="2659" w:type="dxa"/>
            <w:gridSpan w:val="3"/>
            <w:tcBorders>
              <w:top w:val="single" w:sz="8" w:space="0" w:color="auto"/>
              <w:left w:val="nil"/>
              <w:bottom w:val="single" w:sz="8" w:space="0" w:color="auto"/>
              <w:right w:val="nil"/>
            </w:tcBorders>
            <w:vAlign w:val="center"/>
          </w:tcPr>
          <w:p w14:paraId="5F155CDC" w14:textId="77777777" w:rsidR="001815C3" w:rsidRDefault="001815C3" w:rsidP="000900D3">
            <w:pPr>
              <w:jc w:val="right"/>
            </w:pPr>
            <w:r>
              <w:t>57</w:t>
            </w:r>
          </w:p>
        </w:tc>
        <w:tc>
          <w:tcPr>
            <w:tcW w:w="2192" w:type="dxa"/>
            <w:tcBorders>
              <w:top w:val="single" w:sz="8" w:space="0" w:color="auto"/>
              <w:left w:val="nil"/>
              <w:bottom w:val="single" w:sz="8" w:space="0" w:color="auto"/>
              <w:right w:val="nil"/>
            </w:tcBorders>
            <w:vAlign w:val="center"/>
          </w:tcPr>
          <w:p w14:paraId="51984CAC" w14:textId="77777777" w:rsidR="001815C3" w:rsidRDefault="001815C3" w:rsidP="000900D3">
            <w:pPr>
              <w:jc w:val="right"/>
            </w:pPr>
            <w:r>
              <w:t>9.50</w:t>
            </w:r>
          </w:p>
        </w:tc>
      </w:tr>
      <w:tr w:rsidR="001815C3" w14:paraId="7D559EC3" w14:textId="77777777" w:rsidTr="000900D3">
        <w:trPr>
          <w:trHeight w:val="249"/>
        </w:trPr>
        <w:tc>
          <w:tcPr>
            <w:tcW w:w="2367" w:type="dxa"/>
            <w:tcBorders>
              <w:top w:val="single" w:sz="8" w:space="0" w:color="auto"/>
              <w:left w:val="nil"/>
              <w:bottom w:val="single" w:sz="8" w:space="0" w:color="auto"/>
              <w:right w:val="nil"/>
            </w:tcBorders>
            <w:vAlign w:val="bottom"/>
          </w:tcPr>
          <w:p w14:paraId="682F5238" w14:textId="2EF25098" w:rsidR="001815C3" w:rsidRDefault="001815C3" w:rsidP="000900D3">
            <w:r>
              <w:t xml:space="preserve">Chaw et al </w:t>
            </w:r>
            <w:r w:rsidR="007B3CEB">
              <w:fldChar w:fldCharType="begin" w:fldLock="1"/>
            </w:r>
            <w:r w:rsidR="001B3AB4">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rsidR="007B3CEB">
              <w:fldChar w:fldCharType="separate"/>
            </w:r>
            <w:r w:rsidR="001B3AB4" w:rsidRPr="001B3AB4">
              <w:rPr>
                <w:noProof/>
              </w:rPr>
              <w:t>[18]</w:t>
            </w:r>
            <w:r w:rsidR="007B3CEB">
              <w:fldChar w:fldCharType="end"/>
            </w:r>
          </w:p>
        </w:tc>
        <w:tc>
          <w:tcPr>
            <w:tcW w:w="2311" w:type="dxa"/>
            <w:gridSpan w:val="2"/>
            <w:tcBorders>
              <w:top w:val="single" w:sz="8" w:space="0" w:color="auto"/>
              <w:left w:val="nil"/>
              <w:bottom w:val="single" w:sz="8" w:space="0" w:color="auto"/>
              <w:right w:val="nil"/>
            </w:tcBorders>
            <w:vAlign w:val="center"/>
          </w:tcPr>
          <w:p w14:paraId="7A7220C2" w14:textId="1F1E31FD" w:rsidR="001815C3" w:rsidRDefault="00745F46" w:rsidP="000900D3">
            <w:pPr>
              <w:jc w:val="right"/>
            </w:pPr>
            <w:r>
              <w:t>7</w:t>
            </w:r>
          </w:p>
        </w:tc>
        <w:tc>
          <w:tcPr>
            <w:tcW w:w="2659" w:type="dxa"/>
            <w:gridSpan w:val="3"/>
            <w:tcBorders>
              <w:top w:val="single" w:sz="8" w:space="0" w:color="auto"/>
              <w:left w:val="nil"/>
              <w:bottom w:val="single" w:sz="8" w:space="0" w:color="auto"/>
              <w:right w:val="nil"/>
            </w:tcBorders>
            <w:vAlign w:val="center"/>
          </w:tcPr>
          <w:p w14:paraId="075F9A55" w14:textId="647072A0" w:rsidR="001815C3" w:rsidRDefault="001173B7" w:rsidP="000900D3">
            <w:pPr>
              <w:jc w:val="right"/>
            </w:pPr>
            <w:r>
              <w:t>4</w:t>
            </w:r>
          </w:p>
        </w:tc>
        <w:tc>
          <w:tcPr>
            <w:tcW w:w="2192" w:type="dxa"/>
            <w:tcBorders>
              <w:top w:val="single" w:sz="8" w:space="0" w:color="auto"/>
              <w:left w:val="nil"/>
              <w:bottom w:val="single" w:sz="8" w:space="0" w:color="auto"/>
              <w:right w:val="nil"/>
            </w:tcBorders>
            <w:vAlign w:val="center"/>
          </w:tcPr>
          <w:p w14:paraId="79B0590F" w14:textId="61C1AB93" w:rsidR="001815C3" w:rsidRDefault="001815C3" w:rsidP="000900D3">
            <w:pPr>
              <w:jc w:val="right"/>
            </w:pPr>
            <w:r>
              <w:t>0.</w:t>
            </w:r>
            <w:r w:rsidR="00DF5A68">
              <w:t>57</w:t>
            </w:r>
          </w:p>
        </w:tc>
      </w:tr>
      <w:tr w:rsidR="001815C3" w14:paraId="6DBE7EEB" w14:textId="77777777" w:rsidTr="000900D3">
        <w:trPr>
          <w:trHeight w:val="249"/>
        </w:trPr>
        <w:tc>
          <w:tcPr>
            <w:tcW w:w="2367" w:type="dxa"/>
            <w:tcBorders>
              <w:top w:val="single" w:sz="8" w:space="0" w:color="auto"/>
              <w:left w:val="nil"/>
              <w:bottom w:val="single" w:sz="8" w:space="0" w:color="auto"/>
              <w:right w:val="nil"/>
            </w:tcBorders>
            <w:vAlign w:val="bottom"/>
          </w:tcPr>
          <w:p w14:paraId="58B8AB08" w14:textId="0ED1E62D" w:rsidR="001815C3" w:rsidRDefault="001815C3" w:rsidP="000900D3">
            <w:r>
              <w:t xml:space="preserve">Hong et al </w:t>
            </w:r>
            <w:r w:rsidR="00347CC0">
              <w:fldChar w:fldCharType="begin" w:fldLock="1"/>
            </w:r>
            <w:r w:rsidR="001B3AB4">
              <w:instrText>ADDIN CSL_CITATION {"citationItems":[{"id":"ITEM-1","itemData":{"DOI":"https://doi.org/10.1016/j.tmaid.2020.101803","ISBN":"1477-8939","abstract":"Objectives Pandemic COVID-19 has become a seriously public health priority worldwide. Comprehensive strategies including travel restrictions and mask-wearing have been implemented to mitigate the virus circulation. However, detail information on community transmission is unavailable yet. Methods From January 23 to March 1, 2020, 127 patients (median age: 46 years; range: 11–80) with 71 male and 56 female, were confirmed to be infected with the SARS-CoV-2 in Taizhou, Zhejiang, China. Epidemiological trajectory and clinical features of these COVID-19 cases were retrospectively retrieved from electronic medical records and valid individual questionnaire. Results The disease onset was between January 9 to February 14, 2020. Among them, 64 patients are local residents, and 63 patients were back home from Wuhan from January 10 to 24, 2020 before travel restriction. 197 local residents had definite close-contact with 41 pre-symptomatic patients back from Wuhan. 123 and 74 of them contact with mask-wearing or with no mask-wearing pre-symptomatic patients back from Wuhan, respectively. Data showed that incidence of COVID-19 was significantly higher for local residents close-contact with no mask-wearing Wuhan returned pre-symptomatic patients (19.0% vs. 8.1%, p &lt; 0.001). Among 57 close-contact individuals, 21 sequential local COVID-19 patients originated from a pre-symptomatic Wuhan returned couple, indicated dense gathering in congested spaces is a high risk for SARS-CoV-2 transmission. Conclusions Our findings provided valuable details of pre-symptomatic patient mask-wearing and restriction of mass gathering in congested spaces particularly, are important interventions to mitigate the SARS-CoV-2 transmission.","author":[{"dropping-particle":"","family":"Hong","given":"Lu-Xiao","non-dropping-particle":"","parse-names":false,"suffix":""},{"dropping-particle":"","family":"Lin","given":"Aifen","non-dropping-particle":"","parse-names":false,"suffix":""},{"dropping-particle":"","family":"He","given":"Ze-Bao","non-dropping-particle":"","parse-names":false,"suffix":""},{"dropping-particle":"","family":"Zhao","given":"Hai-Hong","non-dropping-particle":"","parse-names":false,"suffix":""},{"dropping-particle":"","family":"Zhang","given":"Jian-Gang","non-dropping-particle":"","parse-names":false,"suffix":""},{"dropping-particle":"","family":"Zhang","given":"Chao","non-dropping-particle":"","parse-names":false,"suffix":""},{"dropping-particle":"","family":"Ying","given":"Ling-Jun","non-dropping-particle":"","parse-names":false,"suffix":""},{"dropping-particle":"","family":"Ge","given":"Zheng-Ming","non-dropping-particle":"","parse-names":false,"suffix":""},{"dropping-particle":"","family":"Zhang","given":"Xia","non-dropping-particle":"","parse-names":false,"suffix":""},{"dropping-particle":"","family":"Han","given":"Qiu-Yue","non-dropping-particle":"","parse-names":false,"suffix":""},{"dropping-particle":"","family":"Chen","given":"Qiong-Yuan","non-dropping-particle":"","parse-names":false,"suffix":""},{"dropping-particle":"","family":"Ye","given":"Yao-Han","non-dropping-particle":"","parse-names":false,"suffix":""},{"dropping-particle":"","family":"Zhu","given":"Jian-Sheng","non-dropping-particle":"","parse-names":false,"suffix":""},{"dropping-particle":"","family":"Chen","given":"Hai-Xiao","non-dropping-particle":"","parse-names":false,"suffix":""},{"dropping-particle":"","family":"Yan","given":"Wei-Hua","non-dropping-particle":"","parse-names":false,"suffix":""}],"container-title":"Travel Medicine and Infectious Disease","id":"ITEM-1","issued":{"date-parts":[["2020"]]},"page":"101803","title":"Mask wearing in pre-symptomatic patients prevents SARS-CoV-2 transmission: An epidemiological analysis","type":"article-journal","volume":"36"},"uris":["http://www.mendeley.com/documents/?uuid=e827c6d0-d18b-4ffb-9a52-87dc0b649f34"]}],"mendeley":{"formattedCitation":"[93]","plainTextFormattedCitation":"[93]","previouslyFormattedCitation":"[95]"},"properties":{"noteIndex":0},"schema":"https://github.com/citation-style-language/schema/raw/master/csl-citation.json"}</w:instrText>
            </w:r>
            <w:r w:rsidR="00347CC0">
              <w:fldChar w:fldCharType="separate"/>
            </w:r>
            <w:r w:rsidR="001B3AB4" w:rsidRPr="001B3AB4">
              <w:rPr>
                <w:noProof/>
              </w:rPr>
              <w:t>[93]</w:t>
            </w:r>
            <w:r w:rsidR="00347CC0">
              <w:fldChar w:fldCharType="end"/>
            </w:r>
          </w:p>
        </w:tc>
        <w:tc>
          <w:tcPr>
            <w:tcW w:w="2311" w:type="dxa"/>
            <w:gridSpan w:val="2"/>
            <w:tcBorders>
              <w:top w:val="single" w:sz="8" w:space="0" w:color="auto"/>
              <w:left w:val="nil"/>
              <w:bottom w:val="single" w:sz="8" w:space="0" w:color="auto"/>
              <w:right w:val="nil"/>
            </w:tcBorders>
            <w:vAlign w:val="center"/>
          </w:tcPr>
          <w:p w14:paraId="3F86260D" w14:textId="77777777" w:rsidR="001815C3" w:rsidRDefault="001815C3" w:rsidP="000900D3">
            <w:pPr>
              <w:jc w:val="right"/>
            </w:pPr>
            <w:r>
              <w:t>13</w:t>
            </w:r>
          </w:p>
        </w:tc>
        <w:tc>
          <w:tcPr>
            <w:tcW w:w="2659" w:type="dxa"/>
            <w:gridSpan w:val="3"/>
            <w:tcBorders>
              <w:top w:val="single" w:sz="8" w:space="0" w:color="auto"/>
              <w:left w:val="nil"/>
              <w:bottom w:val="single" w:sz="8" w:space="0" w:color="auto"/>
              <w:right w:val="nil"/>
            </w:tcBorders>
            <w:vAlign w:val="center"/>
          </w:tcPr>
          <w:p w14:paraId="186E99E4" w14:textId="77777777" w:rsidR="001815C3" w:rsidRDefault="001815C3" w:rsidP="000900D3">
            <w:pPr>
              <w:jc w:val="right"/>
            </w:pPr>
            <w:r>
              <w:t>14</w:t>
            </w:r>
          </w:p>
        </w:tc>
        <w:tc>
          <w:tcPr>
            <w:tcW w:w="2192" w:type="dxa"/>
            <w:tcBorders>
              <w:top w:val="single" w:sz="8" w:space="0" w:color="auto"/>
              <w:left w:val="nil"/>
              <w:bottom w:val="single" w:sz="8" w:space="0" w:color="auto"/>
              <w:right w:val="nil"/>
            </w:tcBorders>
            <w:vAlign w:val="center"/>
          </w:tcPr>
          <w:p w14:paraId="66127925" w14:textId="77777777" w:rsidR="001815C3" w:rsidRDefault="001815C3" w:rsidP="000900D3">
            <w:pPr>
              <w:jc w:val="right"/>
            </w:pPr>
            <w:r>
              <w:t>1.07</w:t>
            </w:r>
          </w:p>
        </w:tc>
      </w:tr>
      <w:tr w:rsidR="001815C3" w14:paraId="347A46DB" w14:textId="77777777" w:rsidTr="000900D3">
        <w:trPr>
          <w:trHeight w:val="249"/>
        </w:trPr>
        <w:tc>
          <w:tcPr>
            <w:tcW w:w="2367" w:type="dxa"/>
            <w:tcBorders>
              <w:top w:val="single" w:sz="8" w:space="0" w:color="auto"/>
              <w:left w:val="nil"/>
              <w:bottom w:val="single" w:sz="8" w:space="0" w:color="auto"/>
              <w:right w:val="nil"/>
            </w:tcBorders>
            <w:vAlign w:val="bottom"/>
          </w:tcPr>
          <w:p w14:paraId="4017EE97" w14:textId="7CCAE24B" w:rsidR="001815C3" w:rsidRDefault="001815C3" w:rsidP="000900D3">
            <w:r>
              <w:t xml:space="preserve">Liu et al </w:t>
            </w:r>
            <w:r w:rsidR="00347CC0">
              <w:fldChar w:fldCharType="begin" w:fldLock="1"/>
            </w:r>
            <w:r w:rsidR="001B3AB4">
              <w:instrText>ADDIN CSL_CITATION {"citationItems":[{"id":"ITEM-1","itemData":{"DOI":"https://doi.org/10.1016/j.ijid.2020.06.036","ISBN":"1201-9712","abstract":"ABSTRACT Few studies aimed on the transmission efficiency of asymptomatic carriers of severe acute respiratory syndrome coronavirus 2 (SARS-CoV-2) infection. A follow-up study was performed on 147 asymptomatic carriers in Anhui Province. Of 147 asymptomatic carriers, 50.0% were male, 50.3% cases were older than 40 years, and 43.8% were farmers, 68.7% cases were from north of Anhui Province. There were 16 asymptomatic carriers developed illness in the following 14 days isolated observation, and diagnosed as confirmed cases. The possible latent infection period was evaluated ranged from one to five days before onset, and the median time was two days. The second attack rate of 16 confirmed cases whom transferred from asymptomatic carriers was 9.7% (23/236), while 131 asymptomatic carriers caused 2.6% (24/914) close contacts infection, there was a significant difference of second attack rate among two groups (P</w:instrText>
            </w:r>
            <w:r w:rsidR="001B3AB4">
              <w:rPr>
                <w:rFonts w:ascii="MS Gothic" w:eastAsia="MS Gothic" w:hAnsi="MS Gothic" w:cs="MS Gothic" w:hint="eastAsia"/>
              </w:rPr>
              <w:instrText>＜</w:instrText>
            </w:r>
            <w:r w:rsidR="001B3AB4">
              <w:instrText>0.001). Our study indicated that COVID-19 cases are contagious during the incubation period, and the close contact screening should be covered the incubation period. Furthermore, the transmission efficiency of asymptomatic carriers was lower than that of confirmed cases.","author":[{"dropping-particle":"","family":"Liu","given":"Zhirong","non-dropping-particle":"","parse-names":false,"suffix":""},{"dropping-particle":"","family":"Chu","given":"Ruilin","non-dropping-particle":"","parse-names":false,"suffix":""},{"dropping-particle":"","family":"Gong","given":"Lei","non-dropping-particle":"","parse-names":false,"suffix":""},{"dropping-particle":"","family":"Su","given":"Bin","non-dropping-particle":"","parse-names":false,"suffix":""},{"dropping-particle":"","family":"Wu","given":"Jiabing","non-dropping-particle":"","parse-names":false,"suffix":""}],"container-title":"International Journal of Infectious Diseases","id":"ITEM-1","issued":{"date-parts":[["2020"]]},"title":"The assessment of transmission efficiency and latent infection period on asymptomatic carriers of SARS-CoV-2 infection","type":"article-journal"},"uris":["http://www.mendeley.com/documents/?uuid=7250614d-71e4-4fb4-8bd1-e440256734a1"]}],"mendeley":{"formattedCitation":"[96]","plainTextFormattedCitation":"[96]","previouslyFormattedCitation":"[98]"},"properties":{"noteIndex":0},"schema":"https://github.com/citation-style-language/schema/raw/master/csl-citation.json"}</w:instrText>
            </w:r>
            <w:r w:rsidR="00347CC0">
              <w:fldChar w:fldCharType="separate"/>
            </w:r>
            <w:r w:rsidR="001B3AB4" w:rsidRPr="001B3AB4">
              <w:rPr>
                <w:noProof/>
              </w:rPr>
              <w:t>[96]</w:t>
            </w:r>
            <w:r w:rsidR="00347CC0">
              <w:fldChar w:fldCharType="end"/>
            </w:r>
          </w:p>
        </w:tc>
        <w:tc>
          <w:tcPr>
            <w:tcW w:w="2311" w:type="dxa"/>
            <w:gridSpan w:val="2"/>
            <w:tcBorders>
              <w:top w:val="single" w:sz="8" w:space="0" w:color="auto"/>
              <w:left w:val="nil"/>
              <w:bottom w:val="single" w:sz="8" w:space="0" w:color="auto"/>
              <w:right w:val="nil"/>
            </w:tcBorders>
            <w:vAlign w:val="center"/>
          </w:tcPr>
          <w:p w14:paraId="7128DC03" w14:textId="77777777" w:rsidR="001815C3" w:rsidRDefault="001815C3" w:rsidP="000900D3">
            <w:pPr>
              <w:jc w:val="right"/>
            </w:pPr>
            <w:r>
              <w:t>16</w:t>
            </w:r>
          </w:p>
        </w:tc>
        <w:tc>
          <w:tcPr>
            <w:tcW w:w="2659" w:type="dxa"/>
            <w:gridSpan w:val="3"/>
            <w:tcBorders>
              <w:top w:val="single" w:sz="8" w:space="0" w:color="auto"/>
              <w:left w:val="nil"/>
              <w:bottom w:val="single" w:sz="8" w:space="0" w:color="auto"/>
              <w:right w:val="nil"/>
            </w:tcBorders>
            <w:vAlign w:val="center"/>
          </w:tcPr>
          <w:p w14:paraId="478D5208" w14:textId="77777777" w:rsidR="001815C3" w:rsidRDefault="001815C3" w:rsidP="000900D3">
            <w:pPr>
              <w:jc w:val="right"/>
            </w:pPr>
            <w:r>
              <w:t>23</w:t>
            </w:r>
          </w:p>
        </w:tc>
        <w:tc>
          <w:tcPr>
            <w:tcW w:w="2192" w:type="dxa"/>
            <w:tcBorders>
              <w:top w:val="single" w:sz="8" w:space="0" w:color="auto"/>
              <w:left w:val="nil"/>
              <w:bottom w:val="single" w:sz="8" w:space="0" w:color="auto"/>
              <w:right w:val="nil"/>
            </w:tcBorders>
            <w:vAlign w:val="center"/>
          </w:tcPr>
          <w:p w14:paraId="1390C8F6" w14:textId="77777777" w:rsidR="001815C3" w:rsidRDefault="001815C3" w:rsidP="000900D3">
            <w:pPr>
              <w:jc w:val="right"/>
            </w:pPr>
            <w:r>
              <w:t>1.44</w:t>
            </w:r>
          </w:p>
        </w:tc>
      </w:tr>
      <w:tr w:rsidR="001815C3" w14:paraId="11C6F45A" w14:textId="77777777" w:rsidTr="000900D3">
        <w:trPr>
          <w:trHeight w:val="249"/>
        </w:trPr>
        <w:tc>
          <w:tcPr>
            <w:tcW w:w="2367" w:type="dxa"/>
            <w:tcBorders>
              <w:top w:val="single" w:sz="8" w:space="0" w:color="auto"/>
              <w:left w:val="nil"/>
              <w:bottom w:val="single" w:sz="8" w:space="0" w:color="auto"/>
              <w:right w:val="nil"/>
            </w:tcBorders>
            <w:vAlign w:val="bottom"/>
          </w:tcPr>
          <w:p w14:paraId="51FD0FF5" w14:textId="49931F79" w:rsidR="001815C3" w:rsidRDefault="001815C3" w:rsidP="000900D3">
            <w:r>
              <w:t xml:space="preserve">Zhang et al </w:t>
            </w:r>
            <w:r w:rsidR="00347CC0">
              <w:fldChar w:fldCharType="begin" w:fldLock="1"/>
            </w:r>
            <w:r w:rsidR="001B3AB4">
              <w:instrText>ADDIN CSL_CITATION {"citationItems":[{"id":"ITEM-1","itemData":{"DOI":"10.3201/eid2608.201142","ISBN":"1080-6040 (Print)\r1080-6040","PMID":"32453686","abstract":"We explored the secondary attack rate in different types of contact with persons presymptomatic for coronavirus disease (COVID-19). Close contacts who lived with or had frequent contact with an index case-patient had a higher risk for COVID-19. Our findings provide population-based evidence for transmission from persons with presymptomatic COVID-19 infections.","author":[{"dropping-particle":"","family":"Zhang","given":"W","non-dropping-particle":"","parse-names":false,"suffix":""},{"dropping-particle":"","family":"Cheng","given":"W","non-dropping-particle":"","parse-names":false,"suffix":""},{"dropping-particle":"","family":"Luo","given":"L","non-dropping-particle":"","parse-names":false,"suffix":""},{"dropping-particle":"","family":"Ma","given":"Y","non-dropping-particle":"","parse-names":false,"suffix":""},{"dropping-particle":"","family":"Xu","given":"C","non-dropping-particle":"","parse-names":false,"suffix":""},{"dropping-particle":"","family":"Qin","given":"P","non-dropping-particle":"","parse-names":false,"suffix":""},{"dropping-particle":"","family":"Zhang","given":"Z","non-dropping-particle":"","parse-names":false,"suffix":""}],"container-title":"Emerg Infect Dis","edition":"2020/05/27","id":"ITEM-1","issue":"8","issued":{"date-parts":[["2020"]]},"language":"eng","note":"1080-6059\nZhang, Weiwei\nCheng, Weibin\nLuo, Lei\nMa, Yu\nXu, Conghui\nQin, Pengzhe\nZhang, Zhoubin\nJournal Article\nEmerg Infect Dis. 2020 Aug;26(8):1924-1926. doi: 10.3201/eid2608.201142. Epub 2020 May 26.","page":"1924-1926","title":"Secondary Transmission of Coronavirus Disease from Presymptomatic Persons, China","type":"article-journal","volume":"26"},"uris":["http://www.mendeley.com/documents/?uuid=b2867ff7-16d0-4e23-8c1a-d14f2726f827"]}],"mendeley":{"formattedCitation":"[62]","plainTextFormattedCitation":"[62]","previouslyFormattedCitation":"[64]"},"properties":{"noteIndex":0},"schema":"https://github.com/citation-style-language/schema/raw/master/csl-citation.json"}</w:instrText>
            </w:r>
            <w:r w:rsidR="00347CC0">
              <w:fldChar w:fldCharType="separate"/>
            </w:r>
            <w:r w:rsidR="001B3AB4" w:rsidRPr="001B3AB4">
              <w:rPr>
                <w:noProof/>
              </w:rPr>
              <w:t>[62]</w:t>
            </w:r>
            <w:r w:rsidR="00347CC0">
              <w:fldChar w:fldCharType="end"/>
            </w:r>
          </w:p>
        </w:tc>
        <w:tc>
          <w:tcPr>
            <w:tcW w:w="2311" w:type="dxa"/>
            <w:gridSpan w:val="2"/>
            <w:tcBorders>
              <w:top w:val="single" w:sz="8" w:space="0" w:color="auto"/>
              <w:left w:val="nil"/>
              <w:bottom w:val="single" w:sz="8" w:space="0" w:color="auto"/>
              <w:right w:val="nil"/>
            </w:tcBorders>
            <w:vAlign w:val="center"/>
          </w:tcPr>
          <w:p w14:paraId="745A0005" w14:textId="77777777" w:rsidR="001815C3" w:rsidRDefault="001815C3" w:rsidP="000900D3">
            <w:pPr>
              <w:jc w:val="right"/>
            </w:pPr>
            <w:r>
              <w:t>71</w:t>
            </w:r>
          </w:p>
        </w:tc>
        <w:tc>
          <w:tcPr>
            <w:tcW w:w="2659" w:type="dxa"/>
            <w:gridSpan w:val="3"/>
            <w:tcBorders>
              <w:top w:val="single" w:sz="8" w:space="0" w:color="auto"/>
              <w:left w:val="nil"/>
              <w:bottom w:val="single" w:sz="8" w:space="0" w:color="auto"/>
              <w:right w:val="nil"/>
            </w:tcBorders>
            <w:vAlign w:val="center"/>
          </w:tcPr>
          <w:p w14:paraId="3BBFADBD" w14:textId="77777777" w:rsidR="001815C3" w:rsidRDefault="001815C3" w:rsidP="000900D3">
            <w:pPr>
              <w:jc w:val="right"/>
            </w:pPr>
            <w:r>
              <w:t>11</w:t>
            </w:r>
          </w:p>
        </w:tc>
        <w:tc>
          <w:tcPr>
            <w:tcW w:w="2192" w:type="dxa"/>
            <w:tcBorders>
              <w:top w:val="single" w:sz="8" w:space="0" w:color="auto"/>
              <w:left w:val="nil"/>
              <w:bottom w:val="single" w:sz="8" w:space="0" w:color="auto"/>
              <w:right w:val="nil"/>
            </w:tcBorders>
            <w:vAlign w:val="center"/>
          </w:tcPr>
          <w:p w14:paraId="4378F11E" w14:textId="77777777" w:rsidR="001815C3" w:rsidRDefault="001815C3" w:rsidP="000900D3">
            <w:pPr>
              <w:jc w:val="right"/>
            </w:pPr>
            <w:r>
              <w:t>0.16</w:t>
            </w:r>
          </w:p>
        </w:tc>
      </w:tr>
      <w:tr w:rsidR="001815C3" w:rsidRPr="00DC678B" w14:paraId="04C8F5F5" w14:textId="77777777" w:rsidTr="000900D3">
        <w:trPr>
          <w:trHeight w:val="510"/>
        </w:trPr>
        <w:tc>
          <w:tcPr>
            <w:tcW w:w="7337" w:type="dxa"/>
            <w:gridSpan w:val="6"/>
            <w:tcBorders>
              <w:top w:val="nil"/>
              <w:left w:val="nil"/>
              <w:bottom w:val="single" w:sz="24" w:space="0" w:color="FFFFFF" w:themeColor="background1"/>
              <w:right w:val="nil"/>
            </w:tcBorders>
            <w:vAlign w:val="center"/>
          </w:tcPr>
          <w:p w14:paraId="1898DC1E" w14:textId="77777777" w:rsidR="001815C3" w:rsidRDefault="001815C3" w:rsidP="000900D3">
            <w:pPr>
              <w:jc w:val="right"/>
              <w:rPr>
                <w:rFonts w:ascii="Calibri" w:hAnsi="Calibri" w:cs="Calibri"/>
                <w:color w:val="000000"/>
              </w:rPr>
            </w:pPr>
            <w:r w:rsidRPr="00F72BBB">
              <w:rPr>
                <w:rFonts w:ascii="Calibri" w:hAnsi="Calibri" w:cs="Calibri"/>
                <w:b/>
                <w:bCs/>
                <w:color w:val="000000"/>
              </w:rPr>
              <w:t>Summary</w:t>
            </w:r>
            <w:r>
              <w:rPr>
                <w:rFonts w:ascii="Calibri" w:hAnsi="Calibri" w:cs="Calibri"/>
                <w:color w:val="000000"/>
              </w:rPr>
              <w:t xml:space="preserve"> </w:t>
            </w:r>
          </w:p>
        </w:tc>
        <w:tc>
          <w:tcPr>
            <w:tcW w:w="2192" w:type="dxa"/>
            <w:tcBorders>
              <w:top w:val="single" w:sz="8" w:space="0" w:color="auto"/>
              <w:left w:val="nil"/>
              <w:bottom w:val="single" w:sz="24" w:space="0" w:color="FFFFFF" w:themeColor="background1"/>
              <w:right w:val="nil"/>
            </w:tcBorders>
            <w:vAlign w:val="center"/>
          </w:tcPr>
          <w:p w14:paraId="3B411FF3" w14:textId="5DE01DD6" w:rsidR="001815C3" w:rsidRDefault="001815C3" w:rsidP="000900D3">
            <w:pPr>
              <w:jc w:val="right"/>
              <w:rPr>
                <w:rFonts w:ascii="Calibri" w:hAnsi="Calibri" w:cs="Calibri"/>
                <w:b/>
                <w:bCs/>
                <w:color w:val="000000"/>
              </w:rPr>
            </w:pPr>
            <w:r>
              <w:rPr>
                <w:rFonts w:ascii="Calibri" w:hAnsi="Calibri" w:cs="Calibri"/>
                <w:b/>
                <w:bCs/>
                <w:color w:val="000000"/>
              </w:rPr>
              <w:t>1.</w:t>
            </w:r>
            <w:r w:rsidR="00072833">
              <w:rPr>
                <w:rFonts w:ascii="Calibri" w:hAnsi="Calibri" w:cs="Calibri"/>
                <w:b/>
                <w:bCs/>
                <w:color w:val="000000"/>
              </w:rPr>
              <w:t>95</w:t>
            </w:r>
          </w:p>
          <w:p w14:paraId="4C7377D5" w14:textId="75C9E65D" w:rsidR="001815C3" w:rsidRPr="00DC678B" w:rsidRDefault="001815C3" w:rsidP="000900D3">
            <w:pPr>
              <w:jc w:val="right"/>
              <w:rPr>
                <w:rFonts w:ascii="Calibri" w:hAnsi="Calibri" w:cs="Calibri"/>
                <w:b/>
                <w:bCs/>
                <w:color w:val="000000"/>
              </w:rPr>
            </w:pPr>
            <w:r>
              <w:rPr>
                <w:rFonts w:ascii="Calibri" w:hAnsi="Calibri" w:cs="Calibri"/>
                <w:b/>
                <w:bCs/>
                <w:color w:val="000000"/>
              </w:rPr>
              <w:t>(95% CI: 1.</w:t>
            </w:r>
            <w:r w:rsidR="003C4167">
              <w:rPr>
                <w:rFonts w:ascii="Calibri" w:hAnsi="Calibri" w:cs="Calibri"/>
                <w:b/>
                <w:bCs/>
                <w:color w:val="000000"/>
              </w:rPr>
              <w:t>28</w:t>
            </w:r>
            <w:r>
              <w:rPr>
                <w:rFonts w:ascii="Calibri" w:hAnsi="Calibri" w:cs="Calibri"/>
                <w:b/>
                <w:bCs/>
                <w:color w:val="000000"/>
              </w:rPr>
              <w:t>-2.</w:t>
            </w:r>
            <w:r w:rsidR="003C4167">
              <w:rPr>
                <w:rFonts w:ascii="Calibri" w:hAnsi="Calibri" w:cs="Calibri"/>
                <w:b/>
                <w:bCs/>
                <w:color w:val="000000"/>
              </w:rPr>
              <w:t>87</w:t>
            </w:r>
            <w:r>
              <w:rPr>
                <w:rFonts w:ascii="Calibri" w:hAnsi="Calibri" w:cs="Calibri"/>
                <w:b/>
                <w:bCs/>
                <w:color w:val="000000"/>
              </w:rPr>
              <w:t>)</w:t>
            </w:r>
          </w:p>
        </w:tc>
      </w:tr>
      <w:tr w:rsidR="001815C3" w:rsidRPr="00DC678B" w14:paraId="3E70C2DD" w14:textId="77777777" w:rsidTr="000900D3">
        <w:trPr>
          <w:trHeight w:val="510"/>
        </w:trPr>
        <w:tc>
          <w:tcPr>
            <w:tcW w:w="7337" w:type="dxa"/>
            <w:gridSpan w:val="6"/>
            <w:tcBorders>
              <w:top w:val="single" w:sz="24" w:space="0" w:color="FFFFFF" w:themeColor="background1"/>
              <w:left w:val="nil"/>
              <w:bottom w:val="single" w:sz="24" w:space="0" w:color="auto"/>
              <w:right w:val="nil"/>
            </w:tcBorders>
            <w:vAlign w:val="center"/>
          </w:tcPr>
          <w:p w14:paraId="2C9067BC" w14:textId="078AD43B" w:rsidR="001815C3" w:rsidRPr="00D72DF4" w:rsidRDefault="001815C3" w:rsidP="000900D3">
            <w:pPr>
              <w:jc w:val="right"/>
              <w:rPr>
                <w:rFonts w:ascii="Calibri" w:hAnsi="Calibri" w:cs="Calibri"/>
                <w:b/>
                <w:bCs/>
                <w:color w:val="000000"/>
              </w:rPr>
            </w:pPr>
            <w:r>
              <w:rPr>
                <w:rFonts w:ascii="Calibri" w:hAnsi="Calibri" w:cs="Calibri"/>
                <w:b/>
                <w:bCs/>
                <w:color w:val="000000"/>
              </w:rPr>
              <w:t>Summary (excluding Jang et al)</w:t>
            </w:r>
            <w:r w:rsidR="002646AB">
              <w:rPr>
                <w:rFonts w:ascii="Calibri" w:hAnsi="Calibri" w:cs="Calibri"/>
                <w:b/>
                <w:bCs/>
                <w:color w:val="000000"/>
              </w:rPr>
              <w:t>*</w:t>
            </w:r>
          </w:p>
        </w:tc>
        <w:tc>
          <w:tcPr>
            <w:tcW w:w="2192" w:type="dxa"/>
            <w:tcBorders>
              <w:top w:val="single" w:sz="24" w:space="0" w:color="FFFFFF" w:themeColor="background1"/>
              <w:left w:val="nil"/>
              <w:bottom w:val="single" w:sz="24" w:space="0" w:color="auto"/>
              <w:right w:val="nil"/>
            </w:tcBorders>
            <w:vAlign w:val="center"/>
          </w:tcPr>
          <w:p w14:paraId="3AE865D3" w14:textId="5D976CE7" w:rsidR="001815C3" w:rsidRDefault="001815C3" w:rsidP="000900D3">
            <w:pPr>
              <w:jc w:val="right"/>
              <w:rPr>
                <w:rFonts w:ascii="Calibri" w:hAnsi="Calibri" w:cs="Calibri"/>
                <w:b/>
                <w:bCs/>
                <w:color w:val="000000"/>
              </w:rPr>
            </w:pPr>
            <w:r>
              <w:rPr>
                <w:rFonts w:ascii="Calibri" w:hAnsi="Calibri" w:cs="Calibri"/>
                <w:b/>
                <w:bCs/>
                <w:color w:val="000000"/>
              </w:rPr>
              <w:t>0.</w:t>
            </w:r>
            <w:r w:rsidR="00DF5A68">
              <w:rPr>
                <w:rFonts w:ascii="Calibri" w:hAnsi="Calibri" w:cs="Calibri"/>
                <w:b/>
                <w:bCs/>
                <w:color w:val="000000"/>
              </w:rPr>
              <w:t>78</w:t>
            </w:r>
          </w:p>
          <w:p w14:paraId="009710EB" w14:textId="63D9D251" w:rsidR="001815C3" w:rsidRPr="00DC678B" w:rsidRDefault="001815C3" w:rsidP="000900D3">
            <w:pPr>
              <w:jc w:val="right"/>
              <w:rPr>
                <w:rFonts w:ascii="Calibri" w:hAnsi="Calibri" w:cs="Calibri"/>
                <w:b/>
                <w:bCs/>
                <w:color w:val="000000"/>
              </w:rPr>
            </w:pPr>
            <w:r>
              <w:rPr>
                <w:rFonts w:ascii="Calibri" w:hAnsi="Calibri" w:cs="Calibri"/>
                <w:b/>
                <w:bCs/>
                <w:color w:val="000000"/>
              </w:rPr>
              <w:t>(95% CI: 0.3</w:t>
            </w:r>
            <w:r w:rsidR="00DF5A68">
              <w:rPr>
                <w:rFonts w:ascii="Calibri" w:hAnsi="Calibri" w:cs="Calibri"/>
                <w:b/>
                <w:bCs/>
                <w:color w:val="000000"/>
              </w:rPr>
              <w:t>6</w:t>
            </w:r>
            <w:r>
              <w:rPr>
                <w:rFonts w:ascii="Calibri" w:hAnsi="Calibri" w:cs="Calibri"/>
                <w:b/>
                <w:bCs/>
                <w:color w:val="000000"/>
              </w:rPr>
              <w:t>-1.</w:t>
            </w:r>
            <w:r w:rsidR="00DF5A68">
              <w:rPr>
                <w:rFonts w:ascii="Calibri" w:hAnsi="Calibri" w:cs="Calibri"/>
                <w:b/>
                <w:bCs/>
                <w:color w:val="000000"/>
              </w:rPr>
              <w:t>44</w:t>
            </w:r>
            <w:r>
              <w:rPr>
                <w:rFonts w:ascii="Calibri" w:hAnsi="Calibri" w:cs="Calibri"/>
                <w:b/>
                <w:bCs/>
                <w:color w:val="000000"/>
              </w:rPr>
              <w:t>)</w:t>
            </w:r>
          </w:p>
        </w:tc>
      </w:tr>
      <w:tr w:rsidR="001815C3" w:rsidRPr="00DC678B" w14:paraId="529EC404" w14:textId="77777777" w:rsidTr="000900D3">
        <w:trPr>
          <w:trHeight w:val="486"/>
        </w:trPr>
        <w:tc>
          <w:tcPr>
            <w:tcW w:w="9529" w:type="dxa"/>
            <w:gridSpan w:val="7"/>
            <w:tcBorders>
              <w:top w:val="single" w:sz="24" w:space="0" w:color="auto"/>
              <w:left w:val="nil"/>
              <w:bottom w:val="single" w:sz="8" w:space="0" w:color="auto"/>
              <w:right w:val="nil"/>
            </w:tcBorders>
            <w:vAlign w:val="center"/>
          </w:tcPr>
          <w:p w14:paraId="06F07AAC" w14:textId="77777777" w:rsidR="001815C3" w:rsidRPr="00526600" w:rsidRDefault="001815C3" w:rsidP="000900D3">
            <w:r>
              <w:rPr>
                <w:b/>
                <w:bCs/>
              </w:rPr>
              <w:t xml:space="preserve">Symptomatic index case </w:t>
            </w:r>
          </w:p>
        </w:tc>
      </w:tr>
      <w:tr w:rsidR="001815C3" w:rsidRPr="00DC678B" w14:paraId="1503BBAB" w14:textId="77777777" w:rsidTr="000900D3">
        <w:trPr>
          <w:trHeight w:val="123"/>
        </w:trPr>
        <w:tc>
          <w:tcPr>
            <w:tcW w:w="2382" w:type="dxa"/>
            <w:gridSpan w:val="2"/>
            <w:tcBorders>
              <w:top w:val="single" w:sz="8" w:space="0" w:color="auto"/>
              <w:left w:val="nil"/>
              <w:bottom w:val="single" w:sz="8" w:space="0" w:color="auto"/>
              <w:right w:val="nil"/>
            </w:tcBorders>
            <w:vAlign w:val="center"/>
          </w:tcPr>
          <w:p w14:paraId="2FD2BBC0" w14:textId="1757022E" w:rsidR="001815C3" w:rsidRPr="00526600" w:rsidRDefault="001815C3" w:rsidP="000900D3">
            <w:r>
              <w:t>Jiang et al</w:t>
            </w:r>
            <w:r w:rsidR="00347CC0">
              <w:t xml:space="preserve"> </w:t>
            </w:r>
            <w:r w:rsidR="00D924C2">
              <w:fldChar w:fldCharType="begin" w:fldLock="1"/>
            </w:r>
            <w:r w:rsidR="001B3AB4">
              <w:instrText>ADDIN CSL_CITATION {"citationItems":[{"id":"ITEM-1","itemData":{"DOI":"10.1093/infdis/jiaa206","ISBN":"0022-1899 (Print)\r0022-1899","PMID":"32319519","abstract":"Data concerning the transmission of severe acute respiratory syndrome coronavirus 2 (SARS-CoV-2) in asymptomatic and paucisymptomatic patients are lacking. We report a 3-family cluster of infections involving asymptomatic and paucisymptomatic transmission. Eight of 15 (53%) members from 3 families were confirmed with SARS-CoV-2 infection. Of 8 patients, 3 were asymptomatic and 1 was paucisymptomatic. An asymptomatic mother transmitted the virus to her son, and a paucisymptomatic father transmitted the virus to his 3-month-old daughter. SARS-CoV-2 was detected in the environment of 1 household. The complete genomes of SARS-CoV-2 from the patients were &gt; 99.9% identical and were clustered with other SARS-CoV-2 sequences reported from China and other countries.","author":[{"dropping-particle":"","family":"Jiang","given":"X L","non-dropping-particle":"","parse-names":false,"suffix":""},{"dropping-particle":"","family":"Zhang","given":"X L","non-dropping-particle":"","parse-names":false,"suffix":""},{"dropping-particle":"","family":"Zhao","given":"X N","non-dropping-particle":"","parse-names":false,"suffix":""},{"dropping-particle":"","family":"Li","given":"C B","non-dropping-particle":"","parse-names":false,"suffix":""},{"dropping-particle":"","family":"Lei","given":"J","non-dropping-particle":"","parse-names":false,"suffix":""},{"dropping-particle":"","family":"Kou","given":"Z Q","non-dropping-particle":"","parse-names":false,"suffix":""},{"dropping-particle":"","family":"Sun","given":"W K","non-dropping-particle":"","parse-names":false,"suffix":""},{"dropping-particle":"","family":"Hang","given":"Y","non-dropping-particle":"","parse-names":false,"suffix":""},{"dropping-particle":"","family":"Gao","given":"F","non-dropping-particle":"","parse-names":false,"suffix":""},{"dropping-particle":"","family":"Ji","given":"S X","non-dropping-particle":"","parse-names":false,"suffix":""},{"dropping-particle":"","family":"Lin","given":"C F","non-dropping-particle":"","parse-names":false,"suffix":""},{"dropping-particle":"","family":"Pang","given":"B","non-dropping-particle":"","parse-names":false,"suffix":""},{"dropping-particle":"","family":"Yao","given":"M X","non-dropping-particle":"","parse-names":false,"suffix":""},{"dropping-particle":"","family":"Anderson","given":"B D","non-dropping-particle":"","parse-names":false,"suffix":""},{"dropping-particle":"","family":"Wang","given":"G L","non-dropping-particle":"","parse-names":false,"suffix":""},{"dropping-particle":"","family":"Yao","given":"L","non-dropping-particle":"","parse-names":false,"suffix":""},{"dropping-particle":"","family":"Duan","given":"L J","non-dropping-particle":"","parse-names":false,"suffix":""},{"dropping-particle":"","family":"Kang","given":"D M","non-dropping-particle":"","parse-names":false,"suffix":""},{"dropping-particle":"","family":"Ma","given":"M J","non-dropping-particle":"","parse-names":false,"suffix":""}],"container-title":"J Infect Dis","edition":"2020/04/23","id":"ITEM-1","issue":"12","issued":{"date-parts":[["2020"]]},"language":"eng","note":"1537-6613\nJiang, Xiao-Lin\nZhang, Xiao-Li\nZhao, Xiang-Na\nLi, Cun-Bao\nLei, Jie\nKou, Zeng-Qiang\nSun, Wen-Kui\nHang, Yang\nGao, Feng\nJi, Sheng-Xiang\nLin, Can-Fang\nPang, Bo\nYao, Ming-Xiao\nAnderson, Benjamin D\nWang, Guo-Lin\nYao, Lin\nDuan, Li-Jun\nKang, Dian-Min\nMa, Mai-Juan\nJournal Article\nJ Infect Dis. 2020 Jun 11;221(12):1948-1952. doi: 10.1093/infdis/jiaa206.","page":"1948-1952","title":"Transmission Potential of Asymptomatic and Paucisymptomatic Severe Acute Respiratory Syndrome Coronavirus 2 Infections: A 3-Family Cluster Study in China","type":"article-journal","volume":"221"},"uris":["http://www.mendeley.com/documents/?uuid=244a80d8-6631-4ad5-9831-10a95fedd7d5"]}],"mendeley":{"formattedCitation":"[37]","plainTextFormattedCitation":"[37]","previouslyFormattedCitation":"[39]"},"properties":{"noteIndex":0},"schema":"https://github.com/citation-style-language/schema/raw/master/csl-citation.json"}</w:instrText>
            </w:r>
            <w:r w:rsidR="00D924C2">
              <w:fldChar w:fldCharType="separate"/>
            </w:r>
            <w:r w:rsidR="001B3AB4" w:rsidRPr="001B3AB4">
              <w:rPr>
                <w:noProof/>
              </w:rPr>
              <w:t>[37]</w:t>
            </w:r>
            <w:r w:rsidR="00D924C2">
              <w:fldChar w:fldCharType="end"/>
            </w:r>
          </w:p>
        </w:tc>
        <w:tc>
          <w:tcPr>
            <w:tcW w:w="2382" w:type="dxa"/>
            <w:gridSpan w:val="2"/>
            <w:tcBorders>
              <w:top w:val="single" w:sz="8" w:space="0" w:color="auto"/>
              <w:left w:val="nil"/>
              <w:bottom w:val="single" w:sz="8" w:space="0" w:color="auto"/>
              <w:right w:val="nil"/>
            </w:tcBorders>
            <w:vAlign w:val="center"/>
          </w:tcPr>
          <w:p w14:paraId="4279769D" w14:textId="77777777" w:rsidR="001815C3" w:rsidRPr="00526600" w:rsidRDefault="001815C3" w:rsidP="000900D3">
            <w:pPr>
              <w:jc w:val="right"/>
            </w:pPr>
            <w:r>
              <w:t>2</w:t>
            </w:r>
          </w:p>
        </w:tc>
        <w:tc>
          <w:tcPr>
            <w:tcW w:w="2382" w:type="dxa"/>
            <w:tcBorders>
              <w:top w:val="single" w:sz="8" w:space="0" w:color="auto"/>
              <w:left w:val="nil"/>
              <w:bottom w:val="single" w:sz="8" w:space="0" w:color="auto"/>
              <w:right w:val="nil"/>
            </w:tcBorders>
            <w:vAlign w:val="center"/>
          </w:tcPr>
          <w:p w14:paraId="48C831E9" w14:textId="77777777" w:rsidR="001815C3" w:rsidRPr="00526600" w:rsidRDefault="001815C3" w:rsidP="000900D3">
            <w:pPr>
              <w:jc w:val="right"/>
            </w:pPr>
            <w:r>
              <w:t>2</w:t>
            </w:r>
          </w:p>
        </w:tc>
        <w:tc>
          <w:tcPr>
            <w:tcW w:w="2383" w:type="dxa"/>
            <w:gridSpan w:val="2"/>
            <w:tcBorders>
              <w:top w:val="single" w:sz="8" w:space="0" w:color="auto"/>
              <w:left w:val="nil"/>
              <w:bottom w:val="single" w:sz="8" w:space="0" w:color="auto"/>
              <w:right w:val="nil"/>
            </w:tcBorders>
            <w:vAlign w:val="center"/>
          </w:tcPr>
          <w:p w14:paraId="432F9F6C" w14:textId="77777777" w:rsidR="001815C3" w:rsidRPr="00526600" w:rsidRDefault="001815C3" w:rsidP="000900D3">
            <w:pPr>
              <w:jc w:val="right"/>
            </w:pPr>
            <w:r>
              <w:t>1.00</w:t>
            </w:r>
          </w:p>
        </w:tc>
      </w:tr>
      <w:tr w:rsidR="001815C3" w:rsidRPr="00DC678B" w14:paraId="342F7A08" w14:textId="77777777" w:rsidTr="000900D3">
        <w:trPr>
          <w:trHeight w:val="128"/>
        </w:trPr>
        <w:tc>
          <w:tcPr>
            <w:tcW w:w="2382" w:type="dxa"/>
            <w:gridSpan w:val="2"/>
            <w:tcBorders>
              <w:top w:val="single" w:sz="8" w:space="0" w:color="auto"/>
              <w:left w:val="nil"/>
              <w:bottom w:val="single" w:sz="8" w:space="0" w:color="auto"/>
              <w:right w:val="nil"/>
            </w:tcBorders>
            <w:vAlign w:val="center"/>
          </w:tcPr>
          <w:p w14:paraId="4B4342E5" w14:textId="5FD4FE23" w:rsidR="001815C3" w:rsidRPr="00526600" w:rsidRDefault="001815C3" w:rsidP="000900D3">
            <w:r>
              <w:t xml:space="preserve">Chen et al </w:t>
            </w:r>
            <w:r w:rsidR="005563E0">
              <w:fldChar w:fldCharType="begin" w:fldLock="1"/>
            </w:r>
            <w:r w:rsidR="001B3AB4">
              <w:instrText>ADDIN CSL_CITATION {"citationItems":[{"id":"ITEM-1","itemData":{"DOI":"10.1016/j.jinf.2020.05.067","ISBN":"1532-2742\r0163-4453","PMID":"32504745","abstract":"The seroprevalence of severe acute respiratory syndrome coronavirus 2 (SARS-CoV-2) was examined among 105 healthcare workers (HCWs) exposed to four patients who were laboratory confirmed with coronavirus disease 2019 (COVID-19), the disease caused by SARS-CoV-2 infection. These HCWs were immediately under quarantine for 14 days as soon as they were identified as close contacts. The nasopharyngeal swab samples were collected on the first and 14(th) day of the quarantine, while the serum samples were obtained on the 14(th) day of the quarantine. With the assay of enzyme immunoassay (EIA) and microneutralization assay, 17.14% (18/105) of HCWs were seropositive, while their swab samples were found to be SARS-CoV-2 RNA negative. Risk analysis revealed that wearing face mask could reduce the infection risk (odds ratio [OR], 0.127, 95% confidence interval [CI] 0.017, 0.968), while when exposed to COVID-19 patients, doctors might have higher risk of seroconversion (OR, 346.837, 95% CI 8.924, 13479.434), compared with HCWs exposed to colleagues as well as nurses and general service assistants who exposed to patients. Our study revealed that the serological testing is useful for the identification of asymptomatic or subclinical infection of SARS-CoV-2 among close contacts with COVID-19 patients.","author":[{"dropping-particle":"","family":"Chen","given":"Yuxin","non-dropping-particle":"","parse-names":false,"suffix":""},{"dropping-particle":"","family":"Tong","given":"Xin","non-dropping-particle":"","parse-names":false,"suffix":""},{"dropping-particle":"","family":"Wang","given":"Jian","non-dropping-particle":"","parse-names":false,"suffix":""},{"dropping-particle":"","family":"Huang","given":"Weijin","non-dropping-particle":"","parse-names":false,"suffix":""},{"dropping-particle":"","family":"Yin","given":"Shengxia","non-dropping-particle":"","parse-names":false,"suffix":""},{"dropping-particle":"","family":"Huang","given":"Rui","non-dropping-particle":"","parse-names":false,"suffix":""},{"dropping-particle":"","family":"Yang","given":"Hailong","non-dropping-particle":"","parse-names":false,"suffix":""},{"dropping-particle":"","family":"Chen","given":"Yong","non-dropping-particle":"","parse-names":false,"suffix":""},{"dropping-particle":"","family":"Huang","given":"Aijun","non-dropping-particle":"","parse-names":false,"suffix":""},{"dropping-particle":"","family":"Liu","given":"Yong","non-dropping-particle":"","parse-names":false,"suffix":""},{"dropping-particle":"","family":"Chen","given":"Yan","non-dropping-particle":"","parse-names":false,"suffix":""},{"dropping-particle":"","family":"Yuan","given":"Ling","non-dropping-particle":"","parse-names":false,"suffix":""},{"dropping-particle":"","family":"Yan","given":"Xiaomin","non-dropping-particle":"","parse-names":false,"suffix":""},{"dropping-particle":"","family":"Shen","given":"Han","non-dropping-particle":"","parse-names":false,"suffix":""},{"dropping-particle":"","family":"Wu","given":"Chao","non-dropping-particle":"","parse-names":false,"suffix":""}],"container-title":"The Journal of infection","edition":"2020/06/04","id":"ITEM-1","issue":"3","issued":{"date-parts":[["2020"]]},"language":"eng","note":"32504745[pmid]\nPMC7270786[pmcid]\nS0163-4453(20)30344-3[PII]","page":"420-426","publisher":"The British Infection Association. Published by Elsevier Ltd.","title":"High SARS-CoV-2 antibody prevalence among healthcare workers exposed to COVID-19 patients","type":"article-journal","volume":"81"},"uris":["http://www.mendeley.com/documents/?uuid=06e787c2-47e7-495a-90ab-5dccbd5fadd3"]}],"mendeley":{"formattedCitation":"[69]","plainTextFormattedCitation":"[69]","previouslyFormattedCitation":"[71]"},"properties":{"noteIndex":0},"schema":"https://github.com/citation-style-language/schema/raw/master/csl-citation.json"}</w:instrText>
            </w:r>
            <w:r w:rsidR="005563E0">
              <w:fldChar w:fldCharType="separate"/>
            </w:r>
            <w:r w:rsidR="001B3AB4" w:rsidRPr="001B3AB4">
              <w:rPr>
                <w:noProof/>
              </w:rPr>
              <w:t>[69]</w:t>
            </w:r>
            <w:r w:rsidR="005563E0">
              <w:fldChar w:fldCharType="end"/>
            </w:r>
          </w:p>
        </w:tc>
        <w:tc>
          <w:tcPr>
            <w:tcW w:w="2382" w:type="dxa"/>
            <w:gridSpan w:val="2"/>
            <w:tcBorders>
              <w:top w:val="single" w:sz="8" w:space="0" w:color="auto"/>
              <w:left w:val="nil"/>
              <w:bottom w:val="single" w:sz="8" w:space="0" w:color="auto"/>
              <w:right w:val="nil"/>
            </w:tcBorders>
            <w:vAlign w:val="center"/>
          </w:tcPr>
          <w:p w14:paraId="6E6A38BC" w14:textId="77777777" w:rsidR="001815C3" w:rsidRPr="00526600" w:rsidRDefault="001815C3" w:rsidP="000900D3">
            <w:pPr>
              <w:jc w:val="right"/>
            </w:pPr>
            <w:r>
              <w:t>4</w:t>
            </w:r>
          </w:p>
        </w:tc>
        <w:tc>
          <w:tcPr>
            <w:tcW w:w="2382" w:type="dxa"/>
            <w:tcBorders>
              <w:top w:val="single" w:sz="8" w:space="0" w:color="auto"/>
              <w:left w:val="nil"/>
              <w:bottom w:val="single" w:sz="8" w:space="0" w:color="auto"/>
              <w:right w:val="nil"/>
            </w:tcBorders>
            <w:vAlign w:val="center"/>
          </w:tcPr>
          <w:p w14:paraId="7C0F7390" w14:textId="77777777" w:rsidR="001815C3" w:rsidRPr="00526600" w:rsidRDefault="001815C3" w:rsidP="000900D3">
            <w:pPr>
              <w:jc w:val="right"/>
            </w:pPr>
            <w:r>
              <w:t>18</w:t>
            </w:r>
          </w:p>
        </w:tc>
        <w:tc>
          <w:tcPr>
            <w:tcW w:w="2383" w:type="dxa"/>
            <w:gridSpan w:val="2"/>
            <w:tcBorders>
              <w:top w:val="single" w:sz="8" w:space="0" w:color="auto"/>
              <w:left w:val="nil"/>
              <w:bottom w:val="single" w:sz="8" w:space="0" w:color="auto"/>
              <w:right w:val="nil"/>
            </w:tcBorders>
            <w:vAlign w:val="center"/>
          </w:tcPr>
          <w:p w14:paraId="77D15179" w14:textId="77777777" w:rsidR="001815C3" w:rsidRPr="00526600" w:rsidRDefault="001815C3" w:rsidP="000900D3">
            <w:pPr>
              <w:jc w:val="right"/>
            </w:pPr>
            <w:r>
              <w:t>4.50</w:t>
            </w:r>
          </w:p>
        </w:tc>
      </w:tr>
      <w:tr w:rsidR="001815C3" w:rsidRPr="00DC678B" w14:paraId="175EBDB8" w14:textId="77777777" w:rsidTr="000900D3">
        <w:trPr>
          <w:trHeight w:val="128"/>
        </w:trPr>
        <w:tc>
          <w:tcPr>
            <w:tcW w:w="2382" w:type="dxa"/>
            <w:gridSpan w:val="2"/>
            <w:tcBorders>
              <w:top w:val="single" w:sz="8" w:space="0" w:color="auto"/>
              <w:left w:val="nil"/>
              <w:bottom w:val="single" w:sz="8" w:space="0" w:color="auto"/>
              <w:right w:val="nil"/>
            </w:tcBorders>
            <w:vAlign w:val="center"/>
          </w:tcPr>
          <w:p w14:paraId="1C694E1D" w14:textId="06C53847" w:rsidR="001815C3" w:rsidRPr="00526600" w:rsidRDefault="001815C3" w:rsidP="000900D3">
            <w:r>
              <w:t xml:space="preserve">Chaw et al </w:t>
            </w:r>
            <w:r w:rsidR="00105434">
              <w:fldChar w:fldCharType="begin" w:fldLock="1"/>
            </w:r>
            <w:r w:rsidR="001B3AB4">
              <w:instrText>ADDIN CSL_CITATION {"citationItems":[{"id":"ITEM-1","itemData":{"DOI":"10.3201/eid2611.202263","ISSN":"1080-6059","abstract":" 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&amp;lt;1%.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 ","author":[{"dropping-particle":"","family":"Chaw","given":"Liling","non-dropping-particle":"","parse-names":false,"suffix":""},{"dropping-particle":"","family":"Koh","given":"Wee Chian","non-dropping-particle":"","parse-names":false,"suffix":""},{"dropping-particle":"","family":"Jamaludin","given":"Sirajul Adli","non-dropping-particle":"","parse-names":false,"suffix":""},{"dropping-particle":"","family":"Naing","given":"Lin","non-dropping-particle":"","parse-names":false,"suffix":""},{"dropping-particle":"","family":"Alikhan","given":"Mohammad Fathi","non-dropping-particle":"","parse-names":false,"suffix":""},{"dropping-particle":"","family":"Wong","given":"Justin","non-dropping-particle":"","parse-names":false,"suffix":""}],"container-title":"Emerging Infectious Disease journal","id":"ITEM-1","issue":"11","issued":{"date-parts":[["2020"]]},"title":"Analysis of SARS-CoV-2 Transmission in Different Settings, Brunei","type":"article-journal","volume":"26"},"uris":["http://www.mendeley.com/documents/?uuid=f9745ea3-a0b2-4d54-b785-685228a7c287"]}],"mendeley":{"formattedCitation":"[18]","plainTextFormattedCitation":"[18]","previouslyFormattedCitation":"[20]"},"properties":{"noteIndex":0},"schema":"https://github.com/citation-style-language/schema/raw/master/csl-citation.json"}</w:instrText>
            </w:r>
            <w:r w:rsidR="00105434">
              <w:fldChar w:fldCharType="separate"/>
            </w:r>
            <w:r w:rsidR="001B3AB4" w:rsidRPr="001B3AB4">
              <w:rPr>
                <w:noProof/>
              </w:rPr>
              <w:t>[18]</w:t>
            </w:r>
            <w:r w:rsidR="00105434">
              <w:fldChar w:fldCharType="end"/>
            </w:r>
          </w:p>
        </w:tc>
        <w:tc>
          <w:tcPr>
            <w:tcW w:w="2382" w:type="dxa"/>
            <w:gridSpan w:val="2"/>
            <w:tcBorders>
              <w:top w:val="single" w:sz="8" w:space="0" w:color="auto"/>
              <w:left w:val="nil"/>
              <w:bottom w:val="single" w:sz="8" w:space="0" w:color="auto"/>
              <w:right w:val="nil"/>
            </w:tcBorders>
            <w:vAlign w:val="center"/>
          </w:tcPr>
          <w:p w14:paraId="0EE673C6" w14:textId="36665534" w:rsidR="001815C3" w:rsidRPr="00526600" w:rsidRDefault="00745F46" w:rsidP="000900D3">
            <w:pPr>
              <w:jc w:val="right"/>
            </w:pPr>
            <w:r>
              <w:t>8</w:t>
            </w:r>
          </w:p>
        </w:tc>
        <w:tc>
          <w:tcPr>
            <w:tcW w:w="2382" w:type="dxa"/>
            <w:tcBorders>
              <w:top w:val="single" w:sz="8" w:space="0" w:color="auto"/>
              <w:left w:val="nil"/>
              <w:bottom w:val="single" w:sz="8" w:space="0" w:color="auto"/>
              <w:right w:val="nil"/>
            </w:tcBorders>
            <w:vAlign w:val="center"/>
          </w:tcPr>
          <w:p w14:paraId="39F4201D" w14:textId="2DA4A4EE" w:rsidR="001815C3" w:rsidRPr="00526600" w:rsidRDefault="00D86FEF" w:rsidP="000900D3">
            <w:pPr>
              <w:jc w:val="right"/>
            </w:pPr>
            <w:r>
              <w:t>10</w:t>
            </w:r>
          </w:p>
        </w:tc>
        <w:tc>
          <w:tcPr>
            <w:tcW w:w="2383" w:type="dxa"/>
            <w:gridSpan w:val="2"/>
            <w:tcBorders>
              <w:top w:val="single" w:sz="8" w:space="0" w:color="auto"/>
              <w:left w:val="nil"/>
              <w:bottom w:val="single" w:sz="8" w:space="0" w:color="auto"/>
              <w:right w:val="nil"/>
            </w:tcBorders>
            <w:vAlign w:val="center"/>
          </w:tcPr>
          <w:p w14:paraId="6580C051" w14:textId="6BDD53D8" w:rsidR="001815C3" w:rsidRPr="00526600" w:rsidRDefault="001815C3" w:rsidP="000900D3">
            <w:pPr>
              <w:jc w:val="right"/>
            </w:pPr>
            <w:r>
              <w:t>1.</w:t>
            </w:r>
            <w:r w:rsidR="00D86FEF">
              <w:t>25</w:t>
            </w:r>
          </w:p>
        </w:tc>
      </w:tr>
      <w:tr w:rsidR="001815C3" w:rsidRPr="00DC678B" w14:paraId="2DACAE66" w14:textId="77777777" w:rsidTr="000900D3">
        <w:trPr>
          <w:trHeight w:val="128"/>
        </w:trPr>
        <w:tc>
          <w:tcPr>
            <w:tcW w:w="2382" w:type="dxa"/>
            <w:gridSpan w:val="2"/>
            <w:tcBorders>
              <w:top w:val="single" w:sz="8" w:space="0" w:color="auto"/>
              <w:left w:val="nil"/>
              <w:bottom w:val="single" w:sz="8" w:space="0" w:color="auto"/>
              <w:right w:val="nil"/>
            </w:tcBorders>
            <w:vAlign w:val="center"/>
          </w:tcPr>
          <w:p w14:paraId="28A0EA9A" w14:textId="694F998E" w:rsidR="001815C3" w:rsidRPr="00526600" w:rsidRDefault="001815C3" w:rsidP="000900D3">
            <w:r>
              <w:t xml:space="preserve">Burke et al </w:t>
            </w:r>
            <w:r w:rsidR="00105434">
              <w:fldChar w:fldCharType="begin" w:fldLock="1"/>
            </w:r>
            <w:r w:rsidR="001B3AB4">
              <w:instrText>ADDIN CSL_CITATION {"citationItems":[{"id":"ITEM-1","itemData":{"DOI":"10.1371/journal.pone.0238342","ISSN":"19326203","PMID":"32877446","abstract":"Coronavirus disease 2019 (COVID-19), the respiratory disease caused by severe acute respiratory syndrome coronavirus 2 (SARS-CoV-2), was first identified in Wuhan, China and has since become pandemic. In response to the first cases identified in the United States, close contacts of confirmed COVID-19 cases were investigated to enable early identification and isolation of additional cases and to learn more about risk factors for transmission. Close contacts of nine early travel-related cases in the United States were identified and monitored daily for development of symptoms (active monitoring). Selected close contacts (including those with exposures categorized as higher risk) were targeted for collection of additional exposure information and respiratory samples. Respiratory samples were tested for SARS-CoV-2 by real-time reverse transcription polymerase chain reaction at the Centers for Disease Control and Prevention. Four hundred four close contacts were actively monitored in the jurisdictions that managed the travel-related cases. Three hundred thirty-eight of the 404 close contacts provided at least basic exposure information, of whom 159 close contacts had ≥1 set of respiratory samples collected and tested. Across all actively monitored close contacts, two additional symptomatic COVID-19 cases (i.e., secondary cases) were identified; both secondary cases were in spouses of travel-associated case patients. When considering only household members, all of whom had ≥1 respiratory sample tested for SARS-CoV-2, the secondary attack rate (i.e., the number of secondary cases as a proportion of total close contacts) was 13% (95% CI: 4–38%). The results from these contact tracing investigations suggest that household members, especially significant others, of COVID-19 cases are at highest risk of becoming infected. The importance of personal protective equipment for healthcare workers is also underlined. Isolation of persons with COVID-19, in combination with quarantine of exposed close contacts and practice of everyday preventive behaviors, is important to mitigate spread of COVID-19.","author":[{"dropping-particle":"","family":"Burke","given":"Rachel M.","non-dropping-particle":"","parse-names":false,"suffix":""},{"dropping-particle":"","family":"Balter","given":"Sharon","non-dropping-particle":"","parse-names":false,"suffix":""},{"dropping-particle":"","family":"Barnes","given":"Emily","non-dropping-particle":"","parse-names":false,"suffix":""},{"dropping-particle":"","family":"Barry","given":"Vaughn","non-dropping-particle":"","parse-names":false,"suffix":""},{"dropping-particle":"","family":"Bartlett","given":"Karri","non-dropping-particle":"","parse-names":false,"suffix":""},{"dropping-particle":"","family":"Beer","given":"Karlyn D.","non-dropping-particle":"","parse-names":false,"suffix":""},{"dropping-particle":"","family":"Benowitz","given":"Isaac","non-dropping-particle":"","parse-names":false,"suffix":""},{"dropping-particle":"","family":"Biggs","given":"Holly M.","non-dropping-particle":"","parse-names":false,"suffix":""},{"dropping-particle":"","family":"Bruce","given":"Hollianne","non-dropping-particle":"","parse-names":false,"suffix":""},{"dropping-particle":"","family":"Bryant-Genevier","given":"Jonathan","non-dropping-particle":"","parse-names":false,"suffix":""},{"dropping-particle":"","family":"Cates","given":"Jordan","non-dropping-particle":"","parse-names":false,"suffix":""},{"dropping-particle":"","family":"Chatham-Stephens","given":"Kevin","non-dropping-particle":"","parse-names":false,"suffix":""},{"dropping-particle":"","family":"Chea","given":"Nora","non-dropping-particle":"","parse-names":false,"suffix":""},{"dropping-particle":"","family":"Chiou","given":"Howard","non-dropping-particle":"","parse-names":false,"suffix":""},{"dropping-particle":"","family":"Christiansen","given":"Demian","non-dropping-particle":"","parse-names":false,"suffix":""},{"dropping-particle":"","family":"Chu","given":"Victoria T.","non-dropping-particle":"","parse-names":false,"suffix":""},{"dropping-particle":"","family":"Clark","given":"Shauna","non-dropping-particle":"","parse-names":false,"suffix":""},{"dropping-particle":"","family":"Cody","given":"Sara H.","non-dropping-particle":"","parse-names":false,"suffix":""},{"dropping-particle":"","family":"Cohen","given":"Max","non-dropping-particle":"","parse-names":false,"suffix":""},{"dropping-particle":"","family":"Conners","given":"Erin E.","non-dropping-particle":"","parse-names":false,"suffix":""},{"dropping-particle":"","family":"Dasari","given":"Vishal","non-dropping-particle":"","parse-names":false,"suffix":""},{"dropping-particle":"","family":"Dawson","given":"Patrick","non-dropping-particle":"","parse-names":false,"suffix":""},{"dropping-particle":"","family":"DeSalvo","given":"Traci","non-dropping-particle":"","parse-names":false,"suffix":""},{"dropping-particle":"","family":"Donahue","given":"Matthew","non-dropping-particle":"","parse-names":false,"suffix":""},{"dropping-particle":"","family":"Dratch","given":"Alissa","non-dropping-particle":"","parse-names":false,"suffix":""},{"dropping-particle":"","family":"Duca","given":"Lindsey","non-dropping-particle":"","parse-names":false,"suffix":""},{"dropping-particle":"","family":"Duchin","given":"Jeffrey","non-dropping-particle":"","parse-names":false,"suffix":""},{"dropping-particle":"","family":"Dyal","given":"Jonathan W.","non-dropping-particle":"","parse-names":false,"suffix":""},{"dropping-particle":"","family":"Feldstein","given":"Leora R.","non-dropping-particle":"","parse-names":false,"suffix":""},{"dropping-particle":"","family":"Fenstersheib","given":"Marty","non-dropping-particle":"","parse-names":false,"suffix":""},{"dropping-particle":"","family":"Fischer","given":"Marc","non-dropping-particle":"","parse-names":false,"suffix":""},{"dropping-particle":"","family":"Fisher","given":"Rebecca","non-dropping-particle":"","parse-names":false,"suffix":""},{"dropping-particle":"","family":"Foo","given":"Chelsea","non-dropping-particle":"","parse-names":false,"suffix":""},{"dropping-particle":"","family":"Freeman-Ponder","given":"Brandi","non-dropping-particle":"","parse-names":false,"suffix":""},{"dropping-particle":"","family":"Fry","given":"Alicia M.","non-dropping-particle":"","parse-names":false,"suffix":""},{"dropping-particle":"","family":"Gant","given":"Jessica","non-dropping-particle":"","parse-names":false,"suffix":""},{"dropping-particle":"","family":"Gautom","given":"Romesh","non-dropping-particle":"","parse-names":false,"suffix":""},{"dropping-particle":"","family":"Ghinai","given":"Isaac","non-dropping-particle":"","parse-names":false,"suffix":""},{"dropping-particle":"","family":"Gounder","given":"Prabhu","non-dropping-particle":"","parse-names":false,"suffix":""},{"dropping-particle":"","family":"Grigg","given":"Cheri T.","non-dropping-particle":"","parse-names":false,"suffix":""},{"dropping-particle":"","family":"Gunzenhauser","given":"Jeffrey","non-dropping-particle":"","parse-names":false,"suffix":""},{"dropping-particle":"","family":"Hall","given":"Aron J.","non-dropping-particle":"","parse-names":false,"suffix":""},{"dropping-particle":"","family":"Han","given":"George S.","non-dropping-particle":"","parse-names":false,"suffix":""},{"dropping-particle":"","family":"Haupt","given":"Thomas","non-dropping-particle":"","parse-names":false,"suffix":""},{"dropping-particle":"","family":"Holshue","given":"Michelle","non-dropping-particle":"","parse-names":false,"suffix":""},{"dropping-particle":"","family":"Hunter","given":"Jennifer","non-dropping-particle":"","parse-names":false,"suffix":""},{"dropping-particle":"","family":"Ibrahim","given":"Mireille B.","non-dropping-particle":"","parse-names":false,"suffix":""},{"dropping-particle":"","family":"Jacobs","given":"Max W.","non-dropping-particle":"","parse-names":false,"suffix":""},{"dropping-particle":"","family":"Jarashow","given":"M. Claire","non-dropping-particle":"","parse-names":false,"suffix":""},{"dropping-particle":"","family":"Joshi","given":"Kiran","non-dropping-particle":"","parse-names":false,"suffix":""},{"dropping-particle":"","family":"Kamali","given":"Talar","non-dropping-particle":"","parse-names":false,"suffix":""},{"dropping-particle":"","family":"Kawakami","given":"Vance","non-dropping-particle":"","parse-names":false,"suffix":""},{"dropping-particle":"","family":"Kim","given":"Moon","non-dropping-particle":"","parse-names":false,"suffix":""},{"dropping-particle":"","family":"Kirking","given":"Hannah L.","non-dropping-particle":"","parse-names":false,"suffix":""},{"dropping-particle":"","family":"Kita-Yarbro","given":"Amanda","non-dropping-particle":"","parse-names":false,"suffix":""},{"dropping-particle":"","family":"Klos","given":"Rachel","non-dropping-particle":"","parse-names":false,"suffix":""},{"dropping-particle":"","family":"Kobayashi","given":"Miwako","non-dropping-particle":"","parse-names":false,"suffix":""},{"dropping-particle":"","family":"Kocharian","given":"Anna","non-dropping-particle":"","parse-names":false,"suffix":""},{"dropping-particle":"","family":"Lang","given":"Misty","non-dropping-particle":"","parse-names":false,"suffix":""},{"dropping-particle":"","family":"Layden","given":"Jennifer","non-dropping-particle":"","parse-names":false,"suffix":""},{"dropping-particle":"","family":"Leidman","given":"Eva","non-dropping-particle":"","parse-names":false,"suffix":""},{"dropping-particle":"","family":"Lindquist","given":"Scott","non-dropping-particle":"","parse-names":false,"suffix":""},{"dropping-particle":"","family":"Lindstrom","given":"Stephen","non-dropping-particle":"","parse-names":false,"suffix":""},{"dropping-particle":"","family":"Link-Gelles","given":"Ruth","non-dropping-particle":"","parse-names":false,"suffix":""},{"dropping-particle":"","family":"Marlow","given":"Mariel","non-dropping-particle":"","parse-names":false,"suffix":""},{"dropping-particle":"","family":"Mattison","given":"Claire P.","non-dropping-particle":"","parse-names":false,"suffix":""},{"dropping-particle":"","family":"McClung","given":"Nancy","non-dropping-particle":"","parse-names":false,"suffix":""},{"dropping-particle":"","family":"McPherson","given":"Tristan D.","non-dropping-particle":"","parse-names":false,"suffix":""},{"dropping-particle":"","family":"Mello","given":"Lynn","non-dropping-particle":"","parse-names":false,"suffix":""},{"dropping-particle":"","family":"Midgley","given":"Claire M.","non-dropping-particle":"","parse-names":false,"suffix":""},{"dropping-particle":"","family":"Novosad","given":"Shannon","non-dropping-particle":"","parse-names":false,"suffix":""},{"dropping-particle":"","family":"Patel","given":"Megan T.","non-dropping-particle":"","parse-names":false,"suffix":""},{"dropping-particle":"","family":"Pettrone","given":"Kristen","non-dropping-particle":"","parse-names":false,"suffix":""},{"dropping-particle":"","family":"Pillai","given":"Satish K.","non-dropping-particle":"","parse-names":false,"suffix":""},{"dropping-particle":"","family":"Pray","given":"Ian W.","non-dropping-particle":"","parse-names":false,"suffix":""},{"dropping-particle":"","family":"Reese","given":"Heather E.","non-dropping-particle":"","parse-names":false,"suffix":""},{"dropping-particle":"","family":"Rhodes","given":"Heather","non-dropping-particle":"","parse-names":false,"suffix":""},{"dropping-particle":"","family":"Robinson","given":"Susan","non-dropping-particle":"","parse-names":false,"suffix":""},{"dropping-particle":"","family":"Rolfes","given":"Melissa","non-dropping-particle":"","parse-names":false,"suffix":""},{"dropping-particle":"","family":"Routh","given":"Janell","non-dropping-particle":"","parse-names":false,"suffix":""},{"dropping-particle":"","family":"Rubin","given":"Rachel","non-dropping-particle":"","parse-names":false,"suffix":""},{"dropping-particle":"","family":"Rudman","given":"Sarah L.","non-dropping-particle":"","parse-names":false,"suffix":""},{"dropping-particle":"","family":"Russell","given":"Denny","non-dropping-particle":"","parse-names":false,"suffix":""},{"dropping-particle":"","family":"Scott","given":"Sarah","non-dropping-particle":"","parse-names":false,"suffix":""},{"dropping-particle":"","family":"Shetty","given":"Varun","non-dropping-particle":"","parse-names":false,"suffix":""},{"dropping-particle":"","family":"Smith-Jeffcoat","given":"Sarah E.","non-dropping-particle":"","parse-names":false,"suffix":""},{"dropping-particle":"","family":"Soda","given":"Elizabeth A.","non-dropping-particle":"","parse-names":false,"suffix":""},{"dropping-particle":"","family":"Spitters","given":"Christopher","non-dropping-particle":"","parse-names":false,"suffix":""},{"dropping-particle":"","family":"Stierman","given":"Bryan","non-dropping-particle":"","parse-names":false,"suffix":""},{"dropping-particle":"","family":"Sunenshine","given":"Rebecca","non-dropping-particle":"","parse-names":false,"suffix":""},{"dropping-particle":"","family":"Terashita","given":"Dawn","non-dropping-particle":"","parse-names":false,"suffix":""},{"dropping-particle":"","family":"Traub","given":"Elizabeth","non-dropping-particle":"","parse-names":false,"suffix":""},{"dropping-particle":"","family":"Vahey","given":"Grace M.","non-dropping-particle":"","parse-names":false,"suffix":""},{"dropping-particle":"","family":"Verani","given":"Jennifer R.","non-dropping-particle":"","parse-names":false,"suffix":""},{"dropping-particle":"","family":"Wallace","given":"Megan","non-dropping-particle":"","parse-names":false,"suffix":""},{"dropping-particle":"","family":"Westercamp","given":"Matthew","non-dropping-particle":"","parse-names":false,"suffix":""},{"dropping-particle":"","family":"Wortham","given":"Jonathan","non-dropping-particle":"","parse-names":false,"suffix":""},{"dropping-particle":"","family":"Xie","given":"Amy","non-dropping-particle":"","parse-names":false,"suffix":""},{"dropping-particle":"","family":"Yousaf","given":"Anna","non-dropping-particle":"","parse-names":false,"suffix":""},{"dropping-particle":"","family":"Zahn","given":"Matthew","non-dropping-particle":"","parse-names":false,"suffix":""}],"container-title":"PLoS ONE","id":"ITEM-1","issue":"9 September","issued":{"date-parts":[["2020","9","1"]]},"publisher":"Public Library of Science","title":"Enhanced contact investigations for nine early travel-related cases of SARS-CoV-2 in the United States","type":"article-journal","volume":"15"},"uris":["http://www.mendeley.com/documents/?uuid=d05b388a-6090-3826-9e4c-776f6e1c71c8"]}],"mendeley":{"formattedCitation":"[26]","plainTextFormattedCitation":"[26]","previouslyFormattedCitation":"[28]"},"properties":{"noteIndex":0},"schema":"https://github.com/citation-style-language/schema/raw/master/csl-citation.json"}</w:instrText>
            </w:r>
            <w:r w:rsidR="00105434">
              <w:fldChar w:fldCharType="separate"/>
            </w:r>
            <w:r w:rsidR="001B3AB4" w:rsidRPr="001B3AB4">
              <w:rPr>
                <w:noProof/>
              </w:rPr>
              <w:t>[26]</w:t>
            </w:r>
            <w:r w:rsidR="00105434">
              <w:fldChar w:fldCharType="end"/>
            </w:r>
          </w:p>
        </w:tc>
        <w:tc>
          <w:tcPr>
            <w:tcW w:w="2382" w:type="dxa"/>
            <w:gridSpan w:val="2"/>
            <w:tcBorders>
              <w:top w:val="single" w:sz="8" w:space="0" w:color="auto"/>
              <w:left w:val="nil"/>
              <w:bottom w:val="single" w:sz="8" w:space="0" w:color="auto"/>
              <w:right w:val="nil"/>
            </w:tcBorders>
            <w:vAlign w:val="center"/>
          </w:tcPr>
          <w:p w14:paraId="4054D69C" w14:textId="77777777" w:rsidR="001815C3" w:rsidRPr="00526600" w:rsidRDefault="001815C3" w:rsidP="000900D3">
            <w:pPr>
              <w:jc w:val="right"/>
            </w:pPr>
            <w:r>
              <w:t>9</w:t>
            </w:r>
          </w:p>
        </w:tc>
        <w:tc>
          <w:tcPr>
            <w:tcW w:w="2382" w:type="dxa"/>
            <w:tcBorders>
              <w:top w:val="single" w:sz="8" w:space="0" w:color="auto"/>
              <w:left w:val="nil"/>
              <w:bottom w:val="single" w:sz="8" w:space="0" w:color="auto"/>
              <w:right w:val="nil"/>
            </w:tcBorders>
            <w:vAlign w:val="center"/>
          </w:tcPr>
          <w:p w14:paraId="11B9EF26" w14:textId="77777777" w:rsidR="001815C3" w:rsidRPr="00526600" w:rsidRDefault="001815C3" w:rsidP="000900D3">
            <w:pPr>
              <w:jc w:val="right"/>
            </w:pPr>
            <w:r>
              <w:t>2</w:t>
            </w:r>
          </w:p>
        </w:tc>
        <w:tc>
          <w:tcPr>
            <w:tcW w:w="2383" w:type="dxa"/>
            <w:gridSpan w:val="2"/>
            <w:tcBorders>
              <w:top w:val="single" w:sz="8" w:space="0" w:color="auto"/>
              <w:left w:val="nil"/>
              <w:bottom w:val="single" w:sz="8" w:space="0" w:color="auto"/>
              <w:right w:val="nil"/>
            </w:tcBorders>
            <w:vAlign w:val="center"/>
          </w:tcPr>
          <w:p w14:paraId="25183B6E" w14:textId="77777777" w:rsidR="001815C3" w:rsidRPr="00526600" w:rsidRDefault="001815C3" w:rsidP="000900D3">
            <w:pPr>
              <w:jc w:val="right"/>
            </w:pPr>
            <w:r>
              <w:t>0.22</w:t>
            </w:r>
          </w:p>
        </w:tc>
      </w:tr>
      <w:tr w:rsidR="001815C3" w:rsidRPr="00DC678B" w14:paraId="47BA8DC4" w14:textId="77777777" w:rsidTr="000900D3">
        <w:trPr>
          <w:trHeight w:val="128"/>
        </w:trPr>
        <w:tc>
          <w:tcPr>
            <w:tcW w:w="2382" w:type="dxa"/>
            <w:gridSpan w:val="2"/>
            <w:tcBorders>
              <w:top w:val="single" w:sz="8" w:space="0" w:color="auto"/>
              <w:left w:val="nil"/>
              <w:bottom w:val="single" w:sz="8" w:space="0" w:color="auto"/>
              <w:right w:val="nil"/>
            </w:tcBorders>
            <w:vAlign w:val="center"/>
          </w:tcPr>
          <w:p w14:paraId="54AB44D0" w14:textId="2E36D1AA" w:rsidR="001815C3" w:rsidRPr="00526600" w:rsidRDefault="001815C3" w:rsidP="000900D3">
            <w:r>
              <w:t xml:space="preserve">Wang et al </w:t>
            </w:r>
            <w:r w:rsidR="00286709">
              <w:fldChar w:fldCharType="begin" w:fldLock="1"/>
            </w:r>
            <w:r w:rsidR="001B3AB4">
              <w:instrText>ADDIN CSL_CITATION {"citationItems":[{"id":"ITEM-1","itemData":{"DOI":"10.1183/13993003.00544-2020","ISBN":"1399-3003\r0903-1936","PMID":"32366488","abstract":"BACKGROUND: The novel coronavirus, severe acute respiratory syndrome coronavirus 2 (SARS-CoV-2), infected over 3300 healthcare workers in early 2020 in China. Little information is known about nosocomial infections of healthcare workers in the initial period. We analysed data from healthcare workers with nosocomial infections in Wuhan Union Hospital (Wuhan, China) and their family members. METHODS: We collected and analysed data on exposure history, illness timelines and epidemiological characteristics from 25 healthcare workers with laboratory-confirmed coronavirus disease 2019 (COVID-19) and two healthcare workers in whom COVID-19 was highly suspected, as well as 10 of their family members with COVID-19, between 5 January and 12 February 2020. The demographics and clinical features of the 35 laboratory-confirmed cases were investigated and viral RNA of 12 cases was sequenced and analysed. RESULTS: Nine clusters were found among the patients. All patients showed mild to moderate clinical manifestation and recovered without deterioration. The mean period of incubation was 4.5 days, the mean±sd clinical onset serial interval (COSI) was 5.2±3.2 days, and the median virus shedding time was 18.5 days. Complete genomic sequences of 12 different coronavirus strains demonstrated that the viral structure, with small irrelevant mutations, was stable in the transmission chains and showed remarkable traits of infectious traceability. CONCLUSIONS: SARS-CoV-2 can be rapidly transmitted from person to person, regardless of whether they have symptoms, in both hospital settings and social activities, based on the short period of incubation and COSI. The public health service should take practical measures to curb the spread, including isolation of cases, tracing close contacts, and containment of severe epidemic areas. Besides this, healthcare workers should be alert during the epidemic and self-quarantine if self-suspected of infection.","author":[{"dropping-particle":"","family":"Wang","given":"Xiaorong","non-dropping-particle":"","parse-names":false,"suffix":""},{"dropping-particle":"","family":"Zhou","given":"Qiong","non-dropping-particle":"","parse-names":false,"suffix":""},{"dropping-particle":"","family":"He","given":"Yukun","non-dropping-particle":"","parse-names":false,"suffix":""},{"dropping-particle":"","family":"Liu","given":"Lingbo","non-dropping-particle":"","parse-names":false,"suffix":""},{"dropping-particle":"","family":"Ma","given":"Xinqian","non-dropping-particle":"","parse-names":false,"suffix":""},{"dropping-particle":"","family":"Wei","given":"Xiaoshan","non-dropping-particle":"","parse-names":false,"suffix":""},{"dropping-particle":"","family":"Jiang","given":"Nanchuan","non-dropping-particle":"","parse-names":false,"suffix":""},{"dropping-particle":"","family":"Liang","given":"Limei","non-dropping-particle":"","parse-names":false,"suffix":""},{"dropping-particle":"","family":"Zheng","given":"Yali","non-dropping-particle":"","parse-names":false,"suffix":""},{"dropping-particle":"","family":"Ma","given":"Ling","non-dropping-particle":"","parse-names":false,"suffix":""},{"dropping-particle":"","family":"Xu","given":"Yu","non-dropping-particle":"","parse-names":false,"suffix":""},{"dropping-particle":"","family":"Yang","given":"Dong","non-dropping-particle":"","parse-names":false,"suffix":""},{"dropping-particle":"","family":"Zhang","given":"Jianchu","non-dropping-particle":"","parse-names":false,"suffix":""},{"dropping-particle":"","family":"Yang","given":"Bohan","non-dropping-particle":"","parse-names":false,"suffix":""},{"dropping-particle":"","family":"Jiang","given":"Ning","non-dropping-particle":"","parse-names":false,"suffix":""},{"dropping-particle":"","family":"Deng","given":"Tao","non-dropping-particle":"","parse-names":false,"suffix":""},{"dropping-particle":"","family":"Zhai","given":"Bingbing","non-dropping-particle":"","parse-names":false,"suffix":""},{"dropping-particle":"","family":"Gao","given":"Yang","non-dropping-particle":"","parse-names":false,"suffix":""},{"dropping-particle":"","family":"Liu","given":"Wenxuan","non-dropping-particle":"","parse-names":false,"suffix":""},{"dropping-particle":"","family":"Bai","given":"Xinghua","non-dropping-particle":"","parse-names":false,"suffix":""},{"dropping-particle":"","family":"Pan","given":"Tao","non-dropping-particle":"","parse-names":false,"suffix":""},{"dropping-particle":"","family":"Wang","given":"Guoqing","non-dropping-particle":"","parse-names":false,"suffix":""},{"dropping-particle":"","family":"Chang","given":"Yujun","non-dropping-particle":"","parse-names":false,"suffix":""},{"dropping-particle":"","family":"Zhang","given":"Zhi","non-dropping-particle":"","parse-names":false,"suffix":""},{"dropping-particle":"","family":"Shi","given":"Huanzhong","non-dropping-particle":"","parse-names":false,"suffix":""},{"dropping-particle":"","family":"Ma","given":"Wan-Li","non-dropping-particle":"","parse-names":false,"suffix":""},{"dropping-particle":"","family":"Gao","given":"Zhancheng","non-dropping-particle":"","parse-names":false,"suffix":""}],"container-title":"The European respiratory journal","id":"ITEM-1","issue":"6","issued":{"date-parts":[["2020"]]},"language":"eng","note":"32366488[pmid]\nPMC7236818[pmcid]\n13993003.00544-2020[PII]","page":"2000544","publisher":"European Respiratory Society","title":"Nosocomial outbreak of COVID-19 pneumonia in Wuhan, China","type":"article-journal","volume":"55"},"uris":["http://www.mendeley.com/documents/?uuid=fc7ea946-0e65-4e81-8191-dbe1e9732da2"]}],"mendeley":{"formattedCitation":"[51]","plainTextFormattedCitation":"[51]","previouslyFormattedCitation":"[53]"},"properties":{"noteIndex":0},"schema":"https://github.com/citation-style-language/schema/raw/master/csl-citation.json"}</w:instrText>
            </w:r>
            <w:r w:rsidR="00286709">
              <w:fldChar w:fldCharType="separate"/>
            </w:r>
            <w:r w:rsidR="001B3AB4" w:rsidRPr="001B3AB4">
              <w:rPr>
                <w:noProof/>
              </w:rPr>
              <w:t>[51]</w:t>
            </w:r>
            <w:r w:rsidR="00286709">
              <w:fldChar w:fldCharType="end"/>
            </w:r>
          </w:p>
        </w:tc>
        <w:tc>
          <w:tcPr>
            <w:tcW w:w="2382" w:type="dxa"/>
            <w:gridSpan w:val="2"/>
            <w:tcBorders>
              <w:top w:val="single" w:sz="8" w:space="0" w:color="auto"/>
              <w:left w:val="nil"/>
              <w:bottom w:val="single" w:sz="8" w:space="0" w:color="auto"/>
              <w:right w:val="nil"/>
            </w:tcBorders>
            <w:vAlign w:val="center"/>
          </w:tcPr>
          <w:p w14:paraId="497BBD86" w14:textId="77777777" w:rsidR="001815C3" w:rsidRPr="00526600" w:rsidRDefault="001815C3" w:rsidP="000900D3">
            <w:pPr>
              <w:jc w:val="right"/>
            </w:pPr>
            <w:r>
              <w:t>25</w:t>
            </w:r>
          </w:p>
        </w:tc>
        <w:tc>
          <w:tcPr>
            <w:tcW w:w="2382" w:type="dxa"/>
            <w:tcBorders>
              <w:top w:val="single" w:sz="8" w:space="0" w:color="auto"/>
              <w:left w:val="nil"/>
              <w:bottom w:val="single" w:sz="8" w:space="0" w:color="auto"/>
              <w:right w:val="nil"/>
            </w:tcBorders>
            <w:vAlign w:val="center"/>
          </w:tcPr>
          <w:p w14:paraId="2B228EFA" w14:textId="77777777" w:rsidR="001815C3" w:rsidRPr="00526600" w:rsidRDefault="001815C3" w:rsidP="000900D3">
            <w:pPr>
              <w:jc w:val="right"/>
            </w:pPr>
            <w:r>
              <w:t>10</w:t>
            </w:r>
          </w:p>
        </w:tc>
        <w:tc>
          <w:tcPr>
            <w:tcW w:w="2383" w:type="dxa"/>
            <w:gridSpan w:val="2"/>
            <w:tcBorders>
              <w:top w:val="single" w:sz="8" w:space="0" w:color="auto"/>
              <w:left w:val="nil"/>
              <w:bottom w:val="single" w:sz="8" w:space="0" w:color="auto"/>
              <w:right w:val="nil"/>
            </w:tcBorders>
            <w:vAlign w:val="center"/>
          </w:tcPr>
          <w:p w14:paraId="67D3E9BB" w14:textId="77777777" w:rsidR="001815C3" w:rsidRPr="00526600" w:rsidRDefault="001815C3" w:rsidP="000900D3">
            <w:pPr>
              <w:jc w:val="right"/>
            </w:pPr>
            <w:r>
              <w:t>0.0</w:t>
            </w:r>
          </w:p>
        </w:tc>
      </w:tr>
      <w:tr w:rsidR="001815C3" w:rsidRPr="00DC678B" w14:paraId="330DA515" w14:textId="77777777" w:rsidTr="000900D3">
        <w:trPr>
          <w:trHeight w:val="128"/>
        </w:trPr>
        <w:tc>
          <w:tcPr>
            <w:tcW w:w="2382" w:type="dxa"/>
            <w:gridSpan w:val="2"/>
            <w:tcBorders>
              <w:top w:val="single" w:sz="8" w:space="0" w:color="auto"/>
              <w:left w:val="nil"/>
              <w:bottom w:val="single" w:sz="8" w:space="0" w:color="auto"/>
              <w:right w:val="nil"/>
            </w:tcBorders>
            <w:vAlign w:val="center"/>
          </w:tcPr>
          <w:p w14:paraId="5ADD6215" w14:textId="3339A27B" w:rsidR="001815C3" w:rsidRPr="00526600" w:rsidRDefault="001815C3" w:rsidP="000900D3">
            <w:r>
              <w:t xml:space="preserve">Park et al </w:t>
            </w:r>
            <w:r w:rsidR="00D64645">
              <w:fldChar w:fldCharType="begin" w:fldLock="1"/>
            </w:r>
            <w:r w:rsidR="001B3AB4">
              <w:instrText>ADDIN CSL_CITATION {"citationItems":[{"id":"ITEM-1","itemData":{"DOI":"10.3201/eid2608.201274","ISBN":"1080-6040 (Print)\r1080-6040","PMID":"32324530","abstract":"We describe the epidemiology of a coronavirus disease (COVID-19) outbreak in a call center in South Korea. We obtained information on demographic characteristics by using standardized epidemiologic investigation forms. We performed descriptive analyses and reported the results as frequencies and proportions for categoric variables. Of 1,143 persons who were tested for COVID-19, a total of 97 (8.5%, 95% CI 7.0%-10.3%) had confirmed cases. Of these, 94 were working in an 11th-floor call center with 216 employees, translating to an attack rate of 43.5% (95% CI 36.9%-50.4%). The household secondary attack rate among symptomatic case-patients was 16.2% (95% CI 11.6%- 22.0%). Of the 97 persons with confirmed COVID-19, only 4 (1.9%) remained asymptomatic within 14 days of quarantine, and none of their household contacts acquired secondary infections. Extensive contact tracing, testing all contacts, and early quarantine blocked further transmission and might be effective for containing rapid outbreaks in crowded work settings.","author":[{"dropping-particle":"","family":"Park","given":"S Y","non-dropping-particle":"","parse-names":false,"suffix":""},{"dropping-particle":"","family":"Kim","given":"Y M","non-dropping-particle":"","parse-names":false,"suffix":""},{"dropping-particle":"","family":"Yi","given":"S","non-dropping-particle":"","parse-names":false,"suffix":""},{"dropping-particle":"","family":"Lee","given":"S","non-dropping-particle":"","parse-names":false,"suffix":""},{"dropping-particle":"","family":"Na","given":"B J","non-dropping-particle":"","parse-names":false,"suffix":""},{"dropping-particle":"","family":"Kim","given":"C B","non-dropping-particle":"","parse-names":false,"suffix":""},{"dropping-particle":"","family":"Kim","given":"J I","non-dropping-particle":"","parse-names":false,"suffix":""},{"dropping-particle":"","family":"Kim","given":"H S","non-dropping-particle":"","parse-names":false,"suffix":""},{"dropping-particle":"","family":"Kim","given":"Y B","non-dropping-particle":"","parse-names":false,"suffix":""},{"dropping-particle":"","family":"Park","given":"Y","non-dropping-particle":"","parse-names":false,"suffix":""},{"dropping-particle":"","family":"Huh","given":"I S","non-dropping-particle":"","parse-names":false,"suffix":""},{"dropping-particle":"","family":"Kim","given":"H K","non-dropping-particle":"","parse-names":false,"suffix":""},{"dropping-particle":"","family":"Yoon","given":"H J","non-dropping-particle":"","parse-names":false,"suffix":""},{"dropping-particle":"","family":"Jang","given":"H","non-dropping-particle":"","parse-names":false,"suffix":""},{"dropping-particle":"","family":"Kim","given":"K","non-dropping-particle":"","parse-names":false,"suffix":""},{"dropping-particle":"","family":"Chang","given":"Y","non-dropping-particle":"","parse-names":false,"suffix":""},{"dropping-particle":"","family":"Kim","given":"I","non-dropping-particle":"","parse-names":false,"suffix":""},{"dropping-particle":"","family":"Lee","given":"H","non-dropping-particle":"","parse-names":false,"suffix":""},{"dropping-particle":"","family":"Gwack","given":"J","non-dropping-particle":"","parse-names":false,"suffix":""},{"dropping-particle":"","family":"Kim","given":"S S","non-dropping-particle":"","parse-names":false,"suffix":""},{"dropping-particle":"","family":"Kim","given":"M","non-dropping-particle":"","parse-names":false,"suffix":""},{"dropping-particle":"","family":"Kweon","given":"S","non-dropping-particle":"","parse-names":false,"suffix":""},{"dropping-particle":"","family":"Choe","given":"Y J","non-dropping-particle":"","parse-names":false,"suffix":""},{"dropping-particle":"","family":"Park","given":"O","non-dropping-particle":"","parse-names":false,"suffix":""},{"dropping-particle":"","family":"Park","given":"Y J","non-dropping-particle":"","parse-names":false,"suffix":""},{"dropping-particle":"","family":"Jeong","given":"E K","non-dropping-particle":"","parse-names":false,"suffix":""}],"container-title":"Emerg Infect Dis","edition":"2020/04/24","id":"ITEM-1","issue":"8","issued":{"date-parts":[["2020"]]},"language":"eng","note":"1080-6059\nPark, Shin Young\nKim, Young-Man\nYi, Seonju\nLee, Sangeun\nNa, Baeg-Ju\nKim, Chang Bo\nKim, Jung-Il\nKim, Hea Sook\nKim, Young Bok\nPark, Yoojin\nHuh, In Sil\nKim, Hye Kyung\nYoon, Hyung Jun\nJang, Hanaram\nKim, Kyungnam\nChang, Yeonhwa\nKim, Inhye\nLee, Hyeyoung\nGwack, Jin\nKim, Seong Sun\nKim, Miyoung\nKweon, Sanghui\nChoe, Young June\nPark, Ok\nPark, Young Joon\nJeong, Eun Kyeong\nJournal Article\nEmerg Infect Dis. 2020 Aug;26(8):1666-1670. doi: 10.3201/eid2608.201274. Epub 2020 Apr 23.","page":"1666-1670","title":"Coronavirus Disease Outbreak in Call Center, South Korea","type":"article-journal","volume":"26"},"uris":["http://www.mendeley.com/documents/?uuid=f979f780-d83c-4875-a8d3-e3c5a636e6be"]}],"mendeley":{"formattedCitation":"[66]","plainTextFormattedCitation":"[66]","previouslyFormattedCitation":"[68]"},"properties":{"noteIndex":0},"schema":"https://github.com/citation-style-language/schema/raw/master/csl-citation.json"}</w:instrText>
            </w:r>
            <w:r w:rsidR="00D64645">
              <w:fldChar w:fldCharType="separate"/>
            </w:r>
            <w:r w:rsidR="001B3AB4" w:rsidRPr="001B3AB4">
              <w:rPr>
                <w:noProof/>
              </w:rPr>
              <w:t>[66]</w:t>
            </w:r>
            <w:r w:rsidR="00D64645">
              <w:fldChar w:fldCharType="end"/>
            </w:r>
          </w:p>
        </w:tc>
        <w:tc>
          <w:tcPr>
            <w:tcW w:w="2382" w:type="dxa"/>
            <w:gridSpan w:val="2"/>
            <w:tcBorders>
              <w:top w:val="single" w:sz="8" w:space="0" w:color="auto"/>
              <w:left w:val="nil"/>
              <w:bottom w:val="single" w:sz="8" w:space="0" w:color="auto"/>
              <w:right w:val="nil"/>
            </w:tcBorders>
            <w:vAlign w:val="center"/>
          </w:tcPr>
          <w:p w14:paraId="7A089D36" w14:textId="77777777" w:rsidR="001815C3" w:rsidRPr="00526600" w:rsidRDefault="001815C3" w:rsidP="000900D3">
            <w:pPr>
              <w:jc w:val="right"/>
            </w:pPr>
            <w:r>
              <w:t>89</w:t>
            </w:r>
          </w:p>
        </w:tc>
        <w:tc>
          <w:tcPr>
            <w:tcW w:w="2382" w:type="dxa"/>
            <w:tcBorders>
              <w:top w:val="single" w:sz="8" w:space="0" w:color="auto"/>
              <w:left w:val="nil"/>
              <w:bottom w:val="single" w:sz="8" w:space="0" w:color="auto"/>
              <w:right w:val="nil"/>
            </w:tcBorders>
            <w:vAlign w:val="center"/>
          </w:tcPr>
          <w:p w14:paraId="37841BCD" w14:textId="77777777" w:rsidR="001815C3" w:rsidRPr="00526600" w:rsidRDefault="001815C3" w:rsidP="000900D3">
            <w:pPr>
              <w:jc w:val="right"/>
            </w:pPr>
            <w:r>
              <w:t>34</w:t>
            </w:r>
          </w:p>
        </w:tc>
        <w:tc>
          <w:tcPr>
            <w:tcW w:w="2383" w:type="dxa"/>
            <w:gridSpan w:val="2"/>
            <w:tcBorders>
              <w:top w:val="single" w:sz="8" w:space="0" w:color="auto"/>
              <w:left w:val="nil"/>
              <w:bottom w:val="single" w:sz="8" w:space="0" w:color="auto"/>
              <w:right w:val="nil"/>
            </w:tcBorders>
            <w:vAlign w:val="center"/>
          </w:tcPr>
          <w:p w14:paraId="622B52A0" w14:textId="77777777" w:rsidR="001815C3" w:rsidRPr="00526600" w:rsidRDefault="001815C3" w:rsidP="000900D3">
            <w:pPr>
              <w:jc w:val="right"/>
            </w:pPr>
            <w:r>
              <w:t>0.38</w:t>
            </w:r>
          </w:p>
        </w:tc>
      </w:tr>
      <w:tr w:rsidR="001815C3" w:rsidRPr="00DC678B" w14:paraId="13CD6AF0" w14:textId="77777777" w:rsidTr="000900D3">
        <w:trPr>
          <w:trHeight w:val="128"/>
        </w:trPr>
        <w:tc>
          <w:tcPr>
            <w:tcW w:w="2382" w:type="dxa"/>
            <w:gridSpan w:val="2"/>
            <w:tcBorders>
              <w:top w:val="single" w:sz="8" w:space="0" w:color="auto"/>
              <w:left w:val="nil"/>
              <w:bottom w:val="single" w:sz="8" w:space="0" w:color="auto"/>
              <w:right w:val="nil"/>
            </w:tcBorders>
            <w:vAlign w:val="center"/>
          </w:tcPr>
          <w:p w14:paraId="2D82F21E" w14:textId="2A6F90F3" w:rsidR="001815C3" w:rsidRPr="00526600" w:rsidRDefault="001815C3" w:rsidP="000900D3">
            <w:r>
              <w:t>Li e</w:t>
            </w:r>
            <w:r w:rsidR="00D64645">
              <w:t>t</w:t>
            </w:r>
            <w:r>
              <w:t xml:space="preserve"> al </w:t>
            </w:r>
            <w:r w:rsidR="00D64645">
              <w:fldChar w:fldCharType="begin" w:fldLock="1"/>
            </w:r>
            <w:r w:rsidR="001B3AB4">
              <w:instrText>ADDIN CSL_CITATION {"citationItems":[{"id":"ITEM-1","itemData":{"DOI":"10.1093/cid/ciaa450","ISBN":"1058-4838","abstract":"Since December 2019, SARS-CoV-2 has extended to most parts of China with &amp;gt;80 000 cases and to at least 100 countries with &amp;gt;60 000 international cases as of 15 March 2020. Here we used a household cohort study to determine the features of household transmission of COVID-19.A total of 105 index patients and 392 household contacts were enrolled. Both index patients and household members were tested by SARS-CoV-2 RT-PCR. Information on all recruited individuals was extracted from medical records and confirmed or supplemented by telephone interviews. The baseline characteristics of index cases and contact patients were described. Secondary attack rates of SARS-CoV-2 to contact members were computed and the risk factors for transmission within the household were estimated.Secondary transmission of SARS-CoV-2 developed in 64 of 392 household contacts (16.3%). The secondary attack rate to children was 4% compared with 17.1% for adults. The secondary attack rate to the contacts within the households with index patients quarantined by themselves since onset of symptoms was 0% compared with 16.9% for contacts without quarantined index patients. The secondary attack rate to contacts who were spouses of index cases was 27.8% compared with 17.3% for other adult members in the households.The secondary attack rate of SARS-CoV-2 in household is 16.3%. Age of household contacts and spousal relationship to the index case are risk factors for transmission of SARS-CoV-2 within a household. Quarantine of index patients at home since onset of symptoms is useful to prevent the transmission of SARS-Co-2 within a household.","author":[{"dropping-particle":"","family":"Li","given":"Wei","non-dropping-particle":"","parse-names":false,"suffix":""},{"dropping-particle":"","family":"Zhang","given":"Bo","non-dropping-particle":"","parse-names":false,"suffix":""},{"dropping-particle":"","family":"Lu","given":"Jianhua","non-dropping-particle":"","parse-names":false,"suffix":""},{"dropping-particle":"","family":"Liu","given":"Shihua","non-dropping-particle":"","parse-names":false,"suffix":""},{"dropping-particle":"","family":"Chang","given":"Zhiqiang","non-dropping-particle":"","parse-names":false,"suffix":""},{"dropping-particle":"","family":"Peng","given":"Cao","non-dropping-particle":"","parse-names":false,"suffix":""},{"dropping-particle":"","family":"Liu","given":"Xinghua","non-dropping-particle":"","parse-names":false,"suffix":""},{"dropping-particle":"","family":"Zhang","given":"Peng","non-dropping-particle":"","parse-names":false,"suffix":""},{"dropping-particle":"","family":"Ling","given":"Yan","non-dropping-particle":"","parse-names":false,"suffix":""},{"dropping-particle":"","family":"Tao","given":"Kaixiong","non-dropping-particle":"","parse-names":false,"suffix":""},{"dropping-particle":"","family":"Chen","given":"Jianying","non-dropping-particle":"","parse-names":false,"suffix":""}],"container-title":"Clinical Infectious Diseases","id":"ITEM-1","issued":{"date-parts":[["2020"]]},"title":"Characteristics of Household Transmission of COVID-19","type":"article-journal"},"uris":["http://www.mendeley.com/documents/?uuid=98b33ca6-5d12-4cec-bc24-67006aba725f"]}],"mendeley":{"formattedCitation":"[40]","plainTextFormattedCitation":"[40]","previouslyFormattedCitation":"[42]"},"properties":{"noteIndex":0},"schema":"https://github.com/citation-style-language/schema/raw/master/csl-citation.json"}</w:instrText>
            </w:r>
            <w:r w:rsidR="00D64645">
              <w:fldChar w:fldCharType="separate"/>
            </w:r>
            <w:r w:rsidR="001B3AB4" w:rsidRPr="001B3AB4">
              <w:rPr>
                <w:noProof/>
              </w:rPr>
              <w:t>[40]</w:t>
            </w:r>
            <w:r w:rsidR="00D64645">
              <w:fldChar w:fldCharType="end"/>
            </w:r>
          </w:p>
        </w:tc>
        <w:tc>
          <w:tcPr>
            <w:tcW w:w="2382" w:type="dxa"/>
            <w:gridSpan w:val="2"/>
            <w:tcBorders>
              <w:top w:val="single" w:sz="8" w:space="0" w:color="auto"/>
              <w:left w:val="nil"/>
              <w:bottom w:val="single" w:sz="8" w:space="0" w:color="auto"/>
              <w:right w:val="nil"/>
            </w:tcBorders>
            <w:vAlign w:val="center"/>
          </w:tcPr>
          <w:p w14:paraId="138F3A6C" w14:textId="77777777" w:rsidR="001815C3" w:rsidRPr="00526600" w:rsidRDefault="001815C3" w:rsidP="000900D3">
            <w:pPr>
              <w:jc w:val="right"/>
            </w:pPr>
            <w:r>
              <w:t>105</w:t>
            </w:r>
          </w:p>
        </w:tc>
        <w:tc>
          <w:tcPr>
            <w:tcW w:w="2382" w:type="dxa"/>
            <w:tcBorders>
              <w:top w:val="single" w:sz="8" w:space="0" w:color="auto"/>
              <w:left w:val="nil"/>
              <w:bottom w:val="single" w:sz="8" w:space="0" w:color="auto"/>
              <w:right w:val="nil"/>
            </w:tcBorders>
            <w:vAlign w:val="center"/>
          </w:tcPr>
          <w:p w14:paraId="78C10CAF" w14:textId="77777777" w:rsidR="001815C3" w:rsidRDefault="001815C3" w:rsidP="000900D3">
            <w:pPr>
              <w:jc w:val="right"/>
            </w:pPr>
            <w:r>
              <w:t>64</w:t>
            </w:r>
          </w:p>
        </w:tc>
        <w:tc>
          <w:tcPr>
            <w:tcW w:w="2383" w:type="dxa"/>
            <w:gridSpan w:val="2"/>
            <w:tcBorders>
              <w:top w:val="single" w:sz="8" w:space="0" w:color="auto"/>
              <w:left w:val="nil"/>
              <w:bottom w:val="single" w:sz="8" w:space="0" w:color="auto"/>
              <w:right w:val="nil"/>
            </w:tcBorders>
            <w:vAlign w:val="center"/>
          </w:tcPr>
          <w:p w14:paraId="21109268" w14:textId="77777777" w:rsidR="001815C3" w:rsidRPr="00526600" w:rsidRDefault="001815C3" w:rsidP="000900D3">
            <w:pPr>
              <w:jc w:val="right"/>
            </w:pPr>
            <w:r>
              <w:t>0.61</w:t>
            </w:r>
          </w:p>
        </w:tc>
      </w:tr>
      <w:tr w:rsidR="001815C3" w:rsidRPr="00DC678B" w14:paraId="32AD179E" w14:textId="77777777" w:rsidTr="000900D3">
        <w:trPr>
          <w:trHeight w:val="128"/>
        </w:trPr>
        <w:tc>
          <w:tcPr>
            <w:tcW w:w="2382" w:type="dxa"/>
            <w:gridSpan w:val="2"/>
            <w:tcBorders>
              <w:top w:val="single" w:sz="8" w:space="0" w:color="auto"/>
              <w:left w:val="nil"/>
              <w:bottom w:val="single" w:sz="8" w:space="0" w:color="auto"/>
              <w:right w:val="nil"/>
            </w:tcBorders>
            <w:vAlign w:val="center"/>
          </w:tcPr>
          <w:p w14:paraId="4A8C33C8" w14:textId="47038255" w:rsidR="001815C3" w:rsidRPr="00526600" w:rsidRDefault="001815C3" w:rsidP="000900D3">
            <w:r>
              <w:t xml:space="preserve">Wang et al </w:t>
            </w:r>
            <w:r w:rsidR="002C1A84">
              <w:fldChar w:fldCharType="begin" w:fldLock="1"/>
            </w:r>
            <w:r w:rsidR="001B3AB4">
              <w:instrText>ADDIN CSL_CITATION {"citationItems":[{"id":"ITEM-1","itemData":{"DOI":"10.1136/bmjgh-2020-002794","ISBN":"2059-7908","PMID":"32467353","abstract":"INTRODUCTION: Transmission of COVID-19 within families and close contacts accounts for the majority of epidemic growth. Community mask wearing, hand washing and social distancing are thought to be effective but there is little evidence to inform or support community members on COVID-19 risk reduction within families. METHODS: A retrospective cohort study of 335 people in 124 families and with at least one laboratory confirmed COVID-19 case was conducted from 28 February to 27 March 2020, in Beijing, China. The outcome of interest was secondary transmission of severe acute respiratory syndrome coronavirus 2 (SARS-CoV-2) within the family. Characteristics and practices of primary cases, of well family contacts and household hygiene practices were analysed as predictors of secondary transmission. RESULTS: The secondary attack rate in families was 23.0% (77/335). Face mask use by the primary case and family contacts before the primary case developed symptoms was 79% effective in reducing transmission (OR=0.21, 95% CI 0.06 to 0.79). Daily use of chlorine or ethanol based disinfectant in households was 77% effective (OR=0.23, 95% CI 0.07 to 0.84). Wearing a mask after illness onset of the primary case was not significantly protective. The risk of household transmission was 18 times higher with frequent daily close contact with the primary case (OR=18.26, 95% CI 3.93 to 84.79), and four times higher if the primary case had diarrhoea (OR=4.10, 95% CI 1.08 to 15.60). Household crowding was not significant. CONCLUSION: The study confirms the highest risk of transmission prior to symptom onset, and provides the first evidence of the effectiveness of mask use, disinfection and social distancing in preventing COVID-19. We also found evidence of faecal transmission. This can inform guidelines for community prevention in settings of intense COVID-19 epidemics.","author":[{"dropping-particle":"","family":"Wang","given":"Yu","non-dropping-particle":"","parse-names":false,"suffix":""},{"dropping-particle":"","family":"Tian","given":"Huaiyu","non-dropping-particle":"","parse-names":false,"suffix":""},{"dropping-particle":"","family":"Zhang","given":"Li","non-dropping-particle":"","parse-names":false,"suffix":""},{"dropping-particle":"","family":"Zhang","given":"Man","non-dropping-particle":"","parse-names":false,"suffix":""},{"dropping-particle":"","family":"Guo","given":"Dandan","non-dropping-particle":"","parse-names":false,"suffix":""},{"dropping-particle":"","family":"Wu","given":"Wenting","non-dropping-particle":"","parse-names":false,"suffix":""},{"dropping-particle":"","family":"Zhang","given":"Xingxing","non-dropping-particle":"","parse-names":false,"suffix":""},{"dropping-particle":"","family":"Kan","given":"Ge Lin","non-dropping-particle":"","parse-names":false,"suffix":""},{"dropping-particle":"","family":"Jia","given":"Lei","non-dropping-particle":"","parse-names":false,"suffix":""},{"dropping-particle":"","family":"Huo","given":"Da","non-dropping-particle":"","parse-names":false,"suffix":""},{"dropping-particle":"","family":"Liu","given":"Baiwei","non-dropping-particle":"","parse-names":false,"suffix":""},{"dropping-particle":"","family":"Wang","given":"Xiaoli","non-dropping-particle":"","parse-names":false,"suffix":""},{"dropping-particle":"","family":"Sun","given":"Ying","non-dropping-particle":"","parse-names":false,"suffix":""},{"dropping-particle":"","family":"Wang","given":"Quanyi","non-dropping-particle":"","parse-names":false,"suffix":""},{"dropping-particle":"","family":"Yang","given":"Peng","non-dropping-particle":"","parse-names":false,"suffix":""},{"dropping-particle":"","family":"MacIntyre","given":"C Raina","non-dropping-particle":"","parse-names":false,"suffix":""}],"container-title":"BMJ global health","id":"ITEM-1","issue":"5","issued":{"date-parts":[["2020"]]},"language":"eng","note":"32467353[pmid]\nPMC7264640[pmcid]\nbmjgh-2020-002794[PII]","page":"e002794","publisher":"BMJ Publishing Group","title":"Reduction of secondary transmission of SARS-CoV-2 in households by face mask use, disinfection and social distancing: a cohort study in Beijing, China","type":"article-journal","volume":"5"},"uris":["http://www.mendeley.com/documents/?uuid=b836df0c-de59-4d7a-98d5-6e3dbce46add"]}],"mendeley":{"formattedCitation":"[52]","plainTextFormattedCitation":"[52]","previouslyFormattedCitation":"[54]"},"properties":{"noteIndex":0},"schema":"https://github.com/citation-style-language/schema/raw/master/csl-citation.json"}</w:instrText>
            </w:r>
            <w:r w:rsidR="002C1A84">
              <w:fldChar w:fldCharType="separate"/>
            </w:r>
            <w:r w:rsidR="001B3AB4" w:rsidRPr="001B3AB4">
              <w:rPr>
                <w:noProof/>
              </w:rPr>
              <w:t>[52]</w:t>
            </w:r>
            <w:r w:rsidR="002C1A84">
              <w:fldChar w:fldCharType="end"/>
            </w:r>
          </w:p>
        </w:tc>
        <w:tc>
          <w:tcPr>
            <w:tcW w:w="2382" w:type="dxa"/>
            <w:gridSpan w:val="2"/>
            <w:tcBorders>
              <w:top w:val="single" w:sz="8" w:space="0" w:color="auto"/>
              <w:left w:val="nil"/>
              <w:bottom w:val="single" w:sz="8" w:space="0" w:color="auto"/>
              <w:right w:val="nil"/>
            </w:tcBorders>
            <w:vAlign w:val="center"/>
          </w:tcPr>
          <w:p w14:paraId="7FAB5B24" w14:textId="77777777" w:rsidR="001815C3" w:rsidRPr="00526600" w:rsidRDefault="001815C3" w:rsidP="000900D3">
            <w:pPr>
              <w:jc w:val="right"/>
            </w:pPr>
            <w:r>
              <w:t>124</w:t>
            </w:r>
          </w:p>
        </w:tc>
        <w:tc>
          <w:tcPr>
            <w:tcW w:w="2382" w:type="dxa"/>
            <w:tcBorders>
              <w:top w:val="single" w:sz="8" w:space="0" w:color="auto"/>
              <w:left w:val="nil"/>
              <w:bottom w:val="single" w:sz="8" w:space="0" w:color="auto"/>
              <w:right w:val="nil"/>
            </w:tcBorders>
            <w:vAlign w:val="center"/>
          </w:tcPr>
          <w:p w14:paraId="6BD46BF6" w14:textId="77777777" w:rsidR="001815C3" w:rsidRDefault="001815C3" w:rsidP="000900D3">
            <w:pPr>
              <w:jc w:val="right"/>
            </w:pPr>
            <w:r>
              <w:t>77</w:t>
            </w:r>
          </w:p>
        </w:tc>
        <w:tc>
          <w:tcPr>
            <w:tcW w:w="2383" w:type="dxa"/>
            <w:gridSpan w:val="2"/>
            <w:tcBorders>
              <w:top w:val="single" w:sz="8" w:space="0" w:color="auto"/>
              <w:left w:val="nil"/>
              <w:bottom w:val="single" w:sz="8" w:space="0" w:color="auto"/>
              <w:right w:val="nil"/>
            </w:tcBorders>
            <w:vAlign w:val="center"/>
          </w:tcPr>
          <w:p w14:paraId="4F3EAE2F" w14:textId="77777777" w:rsidR="001815C3" w:rsidRPr="00526600" w:rsidRDefault="001815C3" w:rsidP="000900D3">
            <w:pPr>
              <w:jc w:val="right"/>
            </w:pPr>
            <w:r>
              <w:t>0.62</w:t>
            </w:r>
          </w:p>
        </w:tc>
      </w:tr>
      <w:tr w:rsidR="001815C3" w:rsidRPr="00DC678B" w14:paraId="2ADA37C1" w14:textId="77777777" w:rsidTr="000900D3">
        <w:trPr>
          <w:trHeight w:val="128"/>
        </w:trPr>
        <w:tc>
          <w:tcPr>
            <w:tcW w:w="2382" w:type="dxa"/>
            <w:gridSpan w:val="2"/>
            <w:tcBorders>
              <w:top w:val="single" w:sz="8" w:space="0" w:color="auto"/>
              <w:left w:val="nil"/>
              <w:bottom w:val="single" w:sz="8" w:space="0" w:color="auto"/>
              <w:right w:val="nil"/>
            </w:tcBorders>
            <w:vAlign w:val="center"/>
          </w:tcPr>
          <w:p w14:paraId="356FDA5F" w14:textId="0EAF636E" w:rsidR="001815C3" w:rsidRPr="00526600" w:rsidRDefault="001815C3" w:rsidP="000900D3">
            <w:r>
              <w:t xml:space="preserve">Chen et al </w:t>
            </w:r>
            <w:r w:rsidR="002C1A84">
              <w:fldChar w:fldCharType="begin" w:fldLock="1"/>
            </w:r>
            <w:r w:rsidR="001B3AB4">
              <w:instrText>ADDIN CSL_CITATION {"citationItems":[{"id":"ITEM-1","itemData":{"DOI":"10.3760/cma.j.cn112338-20200304-00251","author":[{"dropping-particle":"","family":"Chen","given":"Yi","non-dropping-particle":"","parse-names":false,"suffix":""},{"dropping-particle":"","family":"Wang","given":"Aihong","non-dropping-particle":"","parse-names":false,"suffix":""},{"dropping-particle":"","family":"Yi","given":"Bo","non-dropping-particle":"","parse-names":false,"suffix":""},{"dropping-particle":"","family":"Ding","given":"Keqin","non-dropping-particle":"","parse-names":false,"suffix":""},{"dropping-particle":"","family":"Wang","given":"Haibo","non-dropping-particle":"","parse-names":false,"suffix":""},{"dropping-particle":"","family":"Wang","given":"Jianmei","non-dropping-particle":"","parse-names":false,"suffix":""},{"dropping-particle":"","family":"Shi","given":"Hongbo","non-dropping-particle":"","parse-names":false,"suffix":""},{"dropping-particle":"","family":"Wang","given":"Sijia","non-dropping-particle":"","parse-names":false,"suffix":""},{"dropping-particle":"","family":"Xu","given":"Guozhang","non-dropping-particle":"","parse-names":false,"suffix":""}],"container-title":"Chinese Journal of Epidemiology","id":"ITEM-1","issued":{"date-parts":[["2020"]]},"title":"Epidemiological analysis of infection among close contacts of novel coronavirus pneumonia in Ningbo","type":"article-journal","volume":"41"},"uris":["http://www.mendeley.com/documents/?uuid=978fb15b-8773-4e7b-a513-1fd6611718ea"]}],"mendeley":{"formattedCitation":"[28]","plainTextFormattedCitation":"[28]","previouslyFormattedCitation":"[30]"},"properties":{"noteIndex":0},"schema":"https://github.com/citation-style-language/schema/raw/master/csl-citation.json"}</w:instrText>
            </w:r>
            <w:r w:rsidR="002C1A84">
              <w:fldChar w:fldCharType="separate"/>
            </w:r>
            <w:r w:rsidR="001B3AB4" w:rsidRPr="001B3AB4">
              <w:rPr>
                <w:noProof/>
              </w:rPr>
              <w:t>[28]</w:t>
            </w:r>
            <w:r w:rsidR="002C1A84">
              <w:fldChar w:fldCharType="end"/>
            </w:r>
          </w:p>
        </w:tc>
        <w:tc>
          <w:tcPr>
            <w:tcW w:w="2382" w:type="dxa"/>
            <w:gridSpan w:val="2"/>
            <w:tcBorders>
              <w:top w:val="single" w:sz="8" w:space="0" w:color="auto"/>
              <w:left w:val="nil"/>
              <w:bottom w:val="single" w:sz="8" w:space="0" w:color="auto"/>
              <w:right w:val="nil"/>
            </w:tcBorders>
            <w:vAlign w:val="center"/>
          </w:tcPr>
          <w:p w14:paraId="1F193D6A" w14:textId="77777777" w:rsidR="001815C3" w:rsidRPr="00526600" w:rsidRDefault="001815C3" w:rsidP="000900D3">
            <w:pPr>
              <w:jc w:val="right"/>
            </w:pPr>
            <w:r>
              <w:t>157</w:t>
            </w:r>
          </w:p>
        </w:tc>
        <w:tc>
          <w:tcPr>
            <w:tcW w:w="2382" w:type="dxa"/>
            <w:tcBorders>
              <w:top w:val="single" w:sz="8" w:space="0" w:color="auto"/>
              <w:left w:val="nil"/>
              <w:bottom w:val="single" w:sz="8" w:space="0" w:color="auto"/>
              <w:right w:val="nil"/>
            </w:tcBorders>
            <w:vAlign w:val="center"/>
          </w:tcPr>
          <w:p w14:paraId="2655C940" w14:textId="77777777" w:rsidR="001815C3" w:rsidRDefault="001815C3" w:rsidP="000900D3">
            <w:pPr>
              <w:jc w:val="right"/>
            </w:pPr>
            <w:r>
              <w:t>126</w:t>
            </w:r>
          </w:p>
        </w:tc>
        <w:tc>
          <w:tcPr>
            <w:tcW w:w="2383" w:type="dxa"/>
            <w:gridSpan w:val="2"/>
            <w:tcBorders>
              <w:top w:val="single" w:sz="8" w:space="0" w:color="auto"/>
              <w:left w:val="nil"/>
              <w:bottom w:val="single" w:sz="8" w:space="0" w:color="auto"/>
              <w:right w:val="nil"/>
            </w:tcBorders>
            <w:vAlign w:val="center"/>
          </w:tcPr>
          <w:p w14:paraId="44166980" w14:textId="77777777" w:rsidR="001815C3" w:rsidRPr="00526600" w:rsidRDefault="001815C3" w:rsidP="000900D3">
            <w:pPr>
              <w:jc w:val="right"/>
            </w:pPr>
            <w:r>
              <w:t>0.80</w:t>
            </w:r>
          </w:p>
        </w:tc>
      </w:tr>
      <w:tr w:rsidR="001815C3" w:rsidRPr="00DC678B" w14:paraId="7C664416" w14:textId="77777777" w:rsidTr="000900D3">
        <w:trPr>
          <w:trHeight w:val="510"/>
        </w:trPr>
        <w:tc>
          <w:tcPr>
            <w:tcW w:w="7337" w:type="dxa"/>
            <w:gridSpan w:val="6"/>
            <w:tcBorders>
              <w:top w:val="single" w:sz="8" w:space="0" w:color="auto"/>
              <w:left w:val="nil"/>
              <w:bottom w:val="single" w:sz="24" w:space="0" w:color="auto"/>
              <w:right w:val="nil"/>
            </w:tcBorders>
            <w:vAlign w:val="center"/>
          </w:tcPr>
          <w:p w14:paraId="1099C24E" w14:textId="77777777" w:rsidR="001815C3" w:rsidRPr="002B63B0" w:rsidRDefault="001815C3" w:rsidP="000900D3">
            <w:pPr>
              <w:jc w:val="right"/>
              <w:rPr>
                <w:b/>
                <w:bCs/>
              </w:rPr>
            </w:pPr>
            <w:r w:rsidRPr="002B63B0">
              <w:rPr>
                <w:b/>
                <w:bCs/>
              </w:rPr>
              <w:t>Summary</w:t>
            </w:r>
          </w:p>
        </w:tc>
        <w:tc>
          <w:tcPr>
            <w:tcW w:w="2192" w:type="dxa"/>
            <w:tcBorders>
              <w:top w:val="single" w:sz="8" w:space="0" w:color="auto"/>
              <w:left w:val="nil"/>
              <w:bottom w:val="single" w:sz="24" w:space="0" w:color="auto"/>
              <w:right w:val="nil"/>
            </w:tcBorders>
            <w:vAlign w:val="center"/>
          </w:tcPr>
          <w:p w14:paraId="75BFDFFB" w14:textId="24E67B8F" w:rsidR="001815C3" w:rsidRDefault="00F419D8" w:rsidP="000900D3">
            <w:pPr>
              <w:jc w:val="right"/>
              <w:rPr>
                <w:b/>
                <w:bCs/>
              </w:rPr>
            </w:pPr>
            <w:r>
              <w:rPr>
                <w:b/>
                <w:bCs/>
              </w:rPr>
              <w:t>1.01</w:t>
            </w:r>
          </w:p>
          <w:p w14:paraId="5D00A27C" w14:textId="6FB5A5AE" w:rsidR="001815C3" w:rsidRPr="002B63B0" w:rsidRDefault="001815C3" w:rsidP="000900D3">
            <w:pPr>
              <w:jc w:val="right"/>
              <w:rPr>
                <w:b/>
                <w:bCs/>
              </w:rPr>
            </w:pPr>
            <w:r>
              <w:rPr>
                <w:b/>
                <w:bCs/>
              </w:rPr>
              <w:t>(95% CI: 0.</w:t>
            </w:r>
            <w:r w:rsidR="00F419D8">
              <w:rPr>
                <w:b/>
                <w:bCs/>
              </w:rPr>
              <w:t>57</w:t>
            </w:r>
            <w:r>
              <w:rPr>
                <w:b/>
                <w:bCs/>
              </w:rPr>
              <w:t>-1.</w:t>
            </w:r>
            <w:r w:rsidR="00F419D8">
              <w:rPr>
                <w:b/>
                <w:bCs/>
              </w:rPr>
              <w:t>61</w:t>
            </w:r>
            <w:r>
              <w:rPr>
                <w:b/>
                <w:bCs/>
              </w:rPr>
              <w:t>)</w:t>
            </w:r>
          </w:p>
        </w:tc>
      </w:tr>
    </w:tbl>
    <w:p w14:paraId="7A4F0669" w14:textId="11C5C4AB" w:rsidR="001815C3" w:rsidRDefault="002646AB" w:rsidP="001815C3">
      <w:r>
        <w:t>*</w:t>
      </w:r>
      <w:r w:rsidRPr="002646AB">
        <w:t xml:space="preserve"> </w:t>
      </w:r>
      <w:r w:rsidRPr="005D7034">
        <w:t>The R</w:t>
      </w:r>
      <w:r w:rsidRPr="005D7034">
        <w:rPr>
          <w:vertAlign w:val="subscript"/>
        </w:rPr>
        <w:t>obs</w:t>
      </w:r>
      <w:r w:rsidRPr="005D7034">
        <w:t xml:space="preserve"> from pre-symptomatic index cases was highly sensitive to the inclusion of a single study </w:t>
      </w:r>
      <w:r w:rsidR="00A957DD">
        <w:t xml:space="preserve">from a cluster outbreak related to fitness instructors </w:t>
      </w:r>
      <w:r w:rsidR="00CE1553">
        <w:t xml:space="preserve">at sports complex in South Korea. </w:t>
      </w:r>
    </w:p>
    <w:p w14:paraId="0969D2C2" w14:textId="39557AC5" w:rsidR="000D1FB5" w:rsidRDefault="000D1FB5">
      <w:pPr>
        <w:rPr>
          <w:i/>
          <w:iCs/>
          <w:noProof/>
          <w:sz w:val="18"/>
          <w:szCs w:val="18"/>
        </w:rPr>
      </w:pPr>
      <w:r>
        <w:rPr>
          <w:noProof/>
        </w:rPr>
        <w:br w:type="page"/>
      </w:r>
    </w:p>
    <w:p w14:paraId="6275AD30" w14:textId="6691B082" w:rsidR="0061669B" w:rsidRPr="000D1FB5" w:rsidRDefault="00AB270D" w:rsidP="000D1FB5">
      <w:pPr>
        <w:pStyle w:val="Heading2"/>
        <w:rPr>
          <w:rFonts w:asciiTheme="minorHAnsi" w:hAnsiTheme="minorHAnsi" w:cstheme="minorHAnsi"/>
          <w:sz w:val="28"/>
          <w:szCs w:val="28"/>
          <w:highlight w:val="yellow"/>
        </w:rPr>
      </w:pPr>
      <w:r>
        <w:rPr>
          <w:noProof/>
          <w:highlight w:val="yellow"/>
        </w:rPr>
        <w:lastRenderedPageBreak/>
        <w:drawing>
          <wp:anchor distT="0" distB="0" distL="114300" distR="114300" simplePos="0" relativeHeight="251659269" behindDoc="0" locked="0" layoutInCell="1" allowOverlap="1" wp14:anchorId="5A6F6447" wp14:editId="6D6CA587">
            <wp:simplePos x="0" y="0"/>
            <wp:positionH relativeFrom="column">
              <wp:posOffset>-448657</wp:posOffset>
            </wp:positionH>
            <wp:positionV relativeFrom="paragraph">
              <wp:posOffset>408132</wp:posOffset>
            </wp:positionV>
            <wp:extent cx="6831330" cy="4349750"/>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1330" cy="434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FB5" w:rsidRPr="000D1FB5">
        <w:rPr>
          <w:rFonts w:asciiTheme="minorHAnsi" w:hAnsiTheme="minorHAnsi" w:cstheme="minorHAnsi"/>
          <w:sz w:val="28"/>
          <w:szCs w:val="28"/>
        </w:rPr>
        <w:t>Figures</w:t>
      </w:r>
    </w:p>
    <w:p w14:paraId="4525905B" w14:textId="2C662B23" w:rsidR="0061669B" w:rsidRDefault="0061669B" w:rsidP="000900D3">
      <w:pPr>
        <w:rPr>
          <w:highlight w:val="yellow"/>
        </w:rPr>
      </w:pPr>
    </w:p>
    <w:p w14:paraId="0D694CD0" w14:textId="2CFFC613" w:rsidR="00061AF3" w:rsidRPr="009E09F8" w:rsidRDefault="00061AF3" w:rsidP="00061AF3">
      <w:pPr>
        <w:pStyle w:val="Caption"/>
        <w:rPr>
          <w:noProof/>
          <w:color w:val="auto"/>
          <w:sz w:val="20"/>
          <w:szCs w:val="20"/>
        </w:rPr>
      </w:pPr>
      <w:r w:rsidRPr="009E09F8">
        <w:rPr>
          <w:b/>
          <w:bCs/>
          <w:color w:val="auto"/>
          <w:sz w:val="20"/>
          <w:szCs w:val="20"/>
        </w:rPr>
        <w:t>Figure 1. Relationship between the number of index cases per study and the observed number of secondary cases.</w:t>
      </w:r>
      <w:r w:rsidRPr="009E09F8">
        <w:rPr>
          <w:color w:val="auto"/>
          <w:sz w:val="20"/>
          <w:szCs w:val="20"/>
        </w:rPr>
        <w:t xml:space="preserve"> Black line represents the expected number of secondary cases for observed numbers of index cases according to the model fitted R</w:t>
      </w:r>
      <w:r w:rsidRPr="009E09F8">
        <w:rPr>
          <w:color w:val="auto"/>
          <w:sz w:val="20"/>
          <w:szCs w:val="20"/>
          <w:vertAlign w:val="subscript"/>
        </w:rPr>
        <w:t>obs</w:t>
      </w:r>
      <w:r w:rsidRPr="009E09F8">
        <w:rPr>
          <w:color w:val="auto"/>
          <w:sz w:val="20"/>
          <w:szCs w:val="20"/>
        </w:rPr>
        <w:t xml:space="preserve"> across studies and the shaded area the 95% Confidence Interval of this estimate. Points circled in red represent studies </w:t>
      </w:r>
      <w:r w:rsidR="003B0894" w:rsidRPr="009E09F8">
        <w:rPr>
          <w:color w:val="auto"/>
          <w:sz w:val="20"/>
          <w:szCs w:val="20"/>
        </w:rPr>
        <w:t xml:space="preserve">whose inclusion </w:t>
      </w:r>
      <w:r w:rsidRPr="009E09F8">
        <w:rPr>
          <w:color w:val="auto"/>
          <w:sz w:val="20"/>
          <w:szCs w:val="20"/>
        </w:rPr>
        <w:t>resulted in the R</w:t>
      </w:r>
      <w:r w:rsidRPr="009E09F8">
        <w:rPr>
          <w:color w:val="auto"/>
          <w:sz w:val="20"/>
          <w:szCs w:val="20"/>
          <w:vertAlign w:val="subscript"/>
        </w:rPr>
        <w:t>obs</w:t>
      </w:r>
      <w:r w:rsidRPr="009E09F8">
        <w:rPr>
          <w:color w:val="auto"/>
          <w:sz w:val="20"/>
          <w:szCs w:val="20"/>
        </w:rPr>
        <w:t xml:space="preserve"> shown in red</w:t>
      </w:r>
      <w:r w:rsidR="002908B5" w:rsidRPr="009E09F8">
        <w:rPr>
          <w:color w:val="auto"/>
          <w:sz w:val="20"/>
          <w:szCs w:val="20"/>
        </w:rPr>
        <w:t xml:space="preserve"> line</w:t>
      </w:r>
      <w:r w:rsidRPr="009E09F8">
        <w:rPr>
          <w:color w:val="auto"/>
          <w:sz w:val="20"/>
          <w:szCs w:val="20"/>
        </w:rPr>
        <w:t>. Studies are shown only where it was clear that all index cases had setting specific contacts and thus the potential to transmit in this environment or to the contact group listed. Household only plot is draw</w:t>
      </w:r>
      <w:r w:rsidR="00656BE1" w:rsidRPr="009E09F8">
        <w:rPr>
          <w:color w:val="auto"/>
          <w:sz w:val="20"/>
          <w:szCs w:val="20"/>
        </w:rPr>
        <w:t>n</w:t>
      </w:r>
      <w:r w:rsidRPr="009E09F8">
        <w:rPr>
          <w:color w:val="auto"/>
          <w:sz w:val="20"/>
          <w:szCs w:val="20"/>
        </w:rPr>
        <w:t xml:space="preserve"> with a log10 axis transformation.</w:t>
      </w:r>
    </w:p>
    <w:p w14:paraId="115806E1" w14:textId="77777777" w:rsidR="0061669B" w:rsidRDefault="0061669B">
      <w:pPr>
        <w:rPr>
          <w:highlight w:val="yellow"/>
        </w:rPr>
      </w:pPr>
      <w:r>
        <w:rPr>
          <w:highlight w:val="yellow"/>
        </w:rPr>
        <w:br w:type="page"/>
      </w:r>
    </w:p>
    <w:p w14:paraId="15230F2B" w14:textId="2B4A186C" w:rsidR="00D2057D" w:rsidRPr="009E09F8" w:rsidRDefault="00D2057D" w:rsidP="00D2057D">
      <w:pPr>
        <w:pStyle w:val="Caption"/>
        <w:rPr>
          <w:color w:val="auto"/>
          <w:sz w:val="20"/>
          <w:szCs w:val="20"/>
        </w:rPr>
      </w:pPr>
      <w:r w:rsidRPr="009E09F8">
        <w:rPr>
          <w:noProof/>
        </w:rPr>
        <w:lastRenderedPageBreak/>
        <w:drawing>
          <wp:anchor distT="0" distB="0" distL="114300" distR="114300" simplePos="0" relativeHeight="251658241" behindDoc="0" locked="0" layoutInCell="1" allowOverlap="1" wp14:anchorId="6D2AD54F" wp14:editId="3E686FFA">
            <wp:simplePos x="0" y="0"/>
            <wp:positionH relativeFrom="page">
              <wp:align>right</wp:align>
            </wp:positionH>
            <wp:positionV relativeFrom="paragraph">
              <wp:posOffset>88265</wp:posOffset>
            </wp:positionV>
            <wp:extent cx="7393305" cy="3691255"/>
            <wp:effectExtent l="0" t="0" r="0"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93305" cy="369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9F8">
        <w:rPr>
          <w:b/>
          <w:bCs/>
          <w:color w:val="auto"/>
          <w:sz w:val="20"/>
          <w:szCs w:val="20"/>
        </w:rPr>
        <w:t xml:space="preserve">Figure 2. Estimates of secondary attack rates stratified by household size. </w:t>
      </w:r>
      <w:r w:rsidRPr="009E09F8">
        <w:rPr>
          <w:color w:val="auto"/>
          <w:sz w:val="20"/>
          <w:szCs w:val="20"/>
        </w:rPr>
        <w:t xml:space="preserve">Household size defined as the number of contacts in the household excluding the index case. Studies are ordered by the number of index cases reported in the study as this was not provided consistently at the household size level. </w:t>
      </w:r>
      <w:r w:rsidR="00D030E6" w:rsidRPr="009E09F8">
        <w:rPr>
          <w:color w:val="auto"/>
          <w:sz w:val="20"/>
          <w:szCs w:val="20"/>
        </w:rPr>
        <w:t xml:space="preserve">There was no significant difference in group level estimates of SAR, p-value = </w:t>
      </w:r>
      <w:r w:rsidR="005D71FA" w:rsidRPr="009E09F8">
        <w:rPr>
          <w:color w:val="auto"/>
          <w:sz w:val="20"/>
          <w:szCs w:val="20"/>
        </w:rPr>
        <w:t xml:space="preserve">0.10. </w:t>
      </w:r>
    </w:p>
    <w:p w14:paraId="16F1630D" w14:textId="75AE5DEF" w:rsidR="00254DE2" w:rsidRDefault="00254DE2" w:rsidP="000900D3">
      <w:pPr>
        <w:pStyle w:val="Caption"/>
        <w:rPr>
          <w:noProof/>
        </w:rPr>
      </w:pPr>
    </w:p>
    <w:p w14:paraId="3BC70264" w14:textId="36BCF59C" w:rsidR="001815C3" w:rsidRDefault="001815C3" w:rsidP="001815C3">
      <w:r>
        <w:br w:type="page"/>
      </w:r>
    </w:p>
    <w:p w14:paraId="67257469" w14:textId="77777777" w:rsidR="001815C3" w:rsidRDefault="001815C3" w:rsidP="001815C3">
      <w:pPr>
        <w:pStyle w:val="Heading2"/>
        <w:sectPr w:rsidR="001815C3">
          <w:headerReference w:type="default" r:id="rId17"/>
          <w:footerReference w:type="default" r:id="rId18"/>
          <w:pgSz w:w="11906" w:h="16838"/>
          <w:pgMar w:top="1440" w:right="1440" w:bottom="1440" w:left="1440" w:header="708" w:footer="708" w:gutter="0"/>
          <w:cols w:space="708"/>
          <w:docGrid w:linePitch="360"/>
        </w:sectPr>
      </w:pPr>
    </w:p>
    <w:p w14:paraId="7EDE19F0" w14:textId="146D910B" w:rsidR="00BE1C6E" w:rsidRPr="009E09F8" w:rsidRDefault="00BE1C6E" w:rsidP="00BE1C6E">
      <w:pPr>
        <w:pStyle w:val="Caption"/>
        <w:rPr>
          <w:color w:val="auto"/>
          <w:sz w:val="20"/>
          <w:szCs w:val="20"/>
        </w:rPr>
      </w:pPr>
      <w:r w:rsidRPr="009E09F8">
        <w:rPr>
          <w:noProof/>
        </w:rPr>
        <w:lastRenderedPageBreak/>
        <w:drawing>
          <wp:anchor distT="0" distB="0" distL="114300" distR="114300" simplePos="0" relativeHeight="251658242" behindDoc="0" locked="0" layoutInCell="1" allowOverlap="1" wp14:anchorId="726B14D9" wp14:editId="43CF0A3B">
            <wp:simplePos x="0" y="0"/>
            <wp:positionH relativeFrom="column">
              <wp:posOffset>-466090</wp:posOffset>
            </wp:positionH>
            <wp:positionV relativeFrom="paragraph">
              <wp:posOffset>101600</wp:posOffset>
            </wp:positionV>
            <wp:extent cx="6976110" cy="28448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185"/>
                    <a:stretch/>
                  </pic:blipFill>
                  <pic:spPr bwMode="auto">
                    <a:xfrm>
                      <a:off x="0" y="0"/>
                      <a:ext cx="6976110" cy="284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09F8">
        <w:rPr>
          <w:b/>
          <w:bCs/>
          <w:color w:val="auto"/>
          <w:sz w:val="20"/>
          <w:szCs w:val="20"/>
        </w:rPr>
        <w:t>Figure 3. Estimates of secondary attack rates in workplace contacts including the studies reporting on outbreak clusters from a single index case.</w:t>
      </w:r>
      <w:r w:rsidRPr="009E09F8">
        <w:rPr>
          <w:color w:val="auto"/>
          <w:sz w:val="20"/>
          <w:szCs w:val="20"/>
        </w:rPr>
        <w:t xml:space="preserve"> Studies are ordered by the number of index cases reported in the study. Where the number of index cases are missing these were not reported in the study but represent large contact tracing investigations.</w:t>
      </w:r>
    </w:p>
    <w:p w14:paraId="65324EFD" w14:textId="59997567" w:rsidR="001815C3" w:rsidRDefault="001815C3" w:rsidP="00E77573">
      <w:pPr>
        <w:rPr>
          <w:noProof/>
        </w:rPr>
      </w:pPr>
    </w:p>
    <w:p w14:paraId="4FF95870" w14:textId="77777777" w:rsidR="001815C3" w:rsidRPr="00665AEE" w:rsidRDefault="001815C3" w:rsidP="001815C3">
      <w:pPr>
        <w:pStyle w:val="Caption"/>
        <w:rPr>
          <w:i w:val="0"/>
          <w:iCs w:val="0"/>
          <w:noProof/>
          <w:color w:val="auto"/>
        </w:rPr>
      </w:pPr>
    </w:p>
    <w:p w14:paraId="2BC2B25B" w14:textId="77777777" w:rsidR="001815C3" w:rsidRDefault="001815C3" w:rsidP="001815C3">
      <w:r>
        <w:br w:type="page"/>
      </w:r>
    </w:p>
    <w:p w14:paraId="35A0B39D" w14:textId="6E577B59" w:rsidR="001C11F7" w:rsidRPr="000D1FB5" w:rsidRDefault="0060796D" w:rsidP="0065620F">
      <w:pPr>
        <w:rPr>
          <w:sz w:val="20"/>
          <w:szCs w:val="20"/>
        </w:rPr>
      </w:pPr>
      <w:r>
        <w:rPr>
          <w:noProof/>
        </w:rPr>
        <w:lastRenderedPageBreak/>
        <w:drawing>
          <wp:anchor distT="0" distB="0" distL="114300" distR="114300" simplePos="0" relativeHeight="251658244" behindDoc="0" locked="0" layoutInCell="1" allowOverlap="1" wp14:anchorId="7DF06F75" wp14:editId="0A39579A">
            <wp:simplePos x="0" y="0"/>
            <wp:positionH relativeFrom="column">
              <wp:posOffset>-596265</wp:posOffset>
            </wp:positionH>
            <wp:positionV relativeFrom="paragraph">
              <wp:posOffset>0</wp:posOffset>
            </wp:positionV>
            <wp:extent cx="6914515" cy="294195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557" b="9332"/>
                    <a:stretch/>
                  </pic:blipFill>
                  <pic:spPr bwMode="auto">
                    <a:xfrm>
                      <a:off x="0" y="0"/>
                      <a:ext cx="6914515" cy="294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2AF04" w14:textId="64B6CB0E" w:rsidR="0060796D" w:rsidRPr="009E09F8" w:rsidRDefault="0060796D" w:rsidP="0060796D">
      <w:pPr>
        <w:pStyle w:val="Caption"/>
        <w:rPr>
          <w:noProof/>
        </w:rPr>
      </w:pPr>
      <w:r w:rsidRPr="009E09F8">
        <w:rPr>
          <w:b/>
          <w:bCs/>
          <w:color w:val="auto"/>
          <w:sz w:val="20"/>
          <w:szCs w:val="20"/>
        </w:rPr>
        <w:t xml:space="preserve">Figure </w:t>
      </w:r>
      <w:r>
        <w:rPr>
          <w:b/>
          <w:bCs/>
          <w:color w:val="auto"/>
          <w:sz w:val="20"/>
          <w:szCs w:val="20"/>
        </w:rPr>
        <w:t>4</w:t>
      </w:r>
      <w:r w:rsidRPr="009E09F8">
        <w:rPr>
          <w:b/>
          <w:bCs/>
          <w:color w:val="auto"/>
          <w:sz w:val="20"/>
          <w:szCs w:val="20"/>
        </w:rPr>
        <w:t>. Estimates of secondary attack rates by age of the index case.</w:t>
      </w:r>
      <w:r w:rsidRPr="009E09F8">
        <w:rPr>
          <w:color w:val="auto"/>
          <w:sz w:val="20"/>
          <w:szCs w:val="20"/>
        </w:rPr>
        <w:t xml:space="preserve"> Index age stratified by those aged 0-19 years and those 20+ years, p-value = 0.12.</w:t>
      </w:r>
      <w:r w:rsidRPr="009E09F8">
        <w:rPr>
          <w:noProof/>
          <w:sz w:val="20"/>
          <w:szCs w:val="20"/>
        </w:rPr>
        <w:t xml:space="preserve"> </w:t>
      </w:r>
      <w:r w:rsidRPr="009E09F8">
        <w:rPr>
          <w:color w:val="auto"/>
          <w:sz w:val="20"/>
          <w:szCs w:val="20"/>
        </w:rPr>
        <w:t xml:space="preserve">Studies are ordered by the number of index cases reported in the study. </w:t>
      </w:r>
    </w:p>
    <w:p w14:paraId="5D92BFE2" w14:textId="77777777" w:rsidR="001815C3" w:rsidRPr="000D1FB5" w:rsidRDefault="001815C3" w:rsidP="001815C3">
      <w:pPr>
        <w:pStyle w:val="Heading2"/>
        <w:rPr>
          <w:sz w:val="20"/>
          <w:szCs w:val="20"/>
        </w:rPr>
        <w:sectPr w:rsidR="001815C3" w:rsidRPr="000D1FB5">
          <w:pgSz w:w="11906" w:h="16838"/>
          <w:pgMar w:top="1440" w:right="1440" w:bottom="1440" w:left="1440" w:header="708" w:footer="708" w:gutter="0"/>
          <w:cols w:space="708"/>
          <w:docGrid w:linePitch="360"/>
        </w:sectPr>
      </w:pPr>
    </w:p>
    <w:p w14:paraId="244E4A25" w14:textId="00CA8BBD" w:rsidR="002D058F" w:rsidRPr="009E09F8" w:rsidRDefault="00E307FF" w:rsidP="002D058F">
      <w:pPr>
        <w:pStyle w:val="Caption"/>
        <w:rPr>
          <w:color w:val="auto"/>
          <w:sz w:val="20"/>
          <w:szCs w:val="20"/>
        </w:rPr>
      </w:pPr>
      <w:r w:rsidRPr="009E09F8">
        <w:rPr>
          <w:b/>
          <w:bCs/>
          <w:noProof/>
          <w:color w:val="auto"/>
        </w:rPr>
        <w:lastRenderedPageBreak/>
        <w:drawing>
          <wp:anchor distT="0" distB="0" distL="114300" distR="114300" simplePos="0" relativeHeight="251658245" behindDoc="0" locked="0" layoutInCell="1" allowOverlap="1" wp14:anchorId="09B70A07" wp14:editId="3A234253">
            <wp:simplePos x="0" y="0"/>
            <wp:positionH relativeFrom="margin">
              <wp:posOffset>-523240</wp:posOffset>
            </wp:positionH>
            <wp:positionV relativeFrom="paragraph">
              <wp:posOffset>0</wp:posOffset>
            </wp:positionV>
            <wp:extent cx="6854190" cy="3426460"/>
            <wp:effectExtent l="0" t="0" r="381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4190" cy="342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58F" w:rsidRPr="009E09F8">
        <w:rPr>
          <w:b/>
          <w:bCs/>
          <w:color w:val="auto"/>
          <w:sz w:val="20"/>
          <w:szCs w:val="20"/>
        </w:rPr>
        <w:t xml:space="preserve">Figure </w:t>
      </w:r>
      <w:r w:rsidR="0060796D">
        <w:rPr>
          <w:b/>
          <w:bCs/>
          <w:color w:val="auto"/>
          <w:sz w:val="20"/>
          <w:szCs w:val="20"/>
        </w:rPr>
        <w:t>5</w:t>
      </w:r>
      <w:r w:rsidR="002D058F" w:rsidRPr="009E09F8">
        <w:rPr>
          <w:b/>
          <w:bCs/>
          <w:color w:val="auto"/>
          <w:sz w:val="20"/>
          <w:szCs w:val="20"/>
        </w:rPr>
        <w:t>. Estimates of secondary attack rates by age of contacts.</w:t>
      </w:r>
      <w:r w:rsidR="002D058F" w:rsidRPr="009E09F8">
        <w:rPr>
          <w:color w:val="auto"/>
          <w:sz w:val="20"/>
          <w:szCs w:val="20"/>
        </w:rPr>
        <w:t xml:space="preserve"> Contact age stratified by those aged 0-19 years and those 20+ years</w:t>
      </w:r>
      <w:r w:rsidR="000772D0" w:rsidRPr="009E09F8">
        <w:rPr>
          <w:color w:val="auto"/>
          <w:sz w:val="20"/>
          <w:szCs w:val="20"/>
        </w:rPr>
        <w:t>, p-value = 0.43</w:t>
      </w:r>
      <w:r w:rsidR="002D058F" w:rsidRPr="009E09F8">
        <w:rPr>
          <w:color w:val="auto"/>
          <w:sz w:val="20"/>
          <w:szCs w:val="20"/>
        </w:rPr>
        <w:t>.</w:t>
      </w:r>
      <w:r w:rsidR="002D058F" w:rsidRPr="009E09F8">
        <w:rPr>
          <w:noProof/>
          <w:sz w:val="20"/>
          <w:szCs w:val="20"/>
        </w:rPr>
        <w:t xml:space="preserve"> </w:t>
      </w:r>
      <w:r w:rsidR="002D058F" w:rsidRPr="009E09F8">
        <w:rPr>
          <w:color w:val="auto"/>
          <w:sz w:val="20"/>
          <w:szCs w:val="20"/>
        </w:rPr>
        <w:t>Studies are ordered by the number of index cases reported in the study.</w:t>
      </w:r>
      <w:r w:rsidR="0060796D">
        <w:rPr>
          <w:color w:val="auto"/>
          <w:sz w:val="20"/>
          <w:szCs w:val="20"/>
        </w:rPr>
        <w:t xml:space="preserve"> </w:t>
      </w:r>
    </w:p>
    <w:p w14:paraId="71C7741D" w14:textId="7E5EBB13" w:rsidR="002D058F" w:rsidRDefault="002D058F" w:rsidP="00F6420B">
      <w:pPr>
        <w:pStyle w:val="Caption"/>
        <w:rPr>
          <w:b/>
          <w:bCs/>
          <w:color w:val="auto"/>
        </w:rPr>
      </w:pPr>
    </w:p>
    <w:p w14:paraId="5BC93A46" w14:textId="27D0CF60" w:rsidR="00F6420B" w:rsidRPr="00F6420B" w:rsidRDefault="00F6420B" w:rsidP="00F6420B"/>
    <w:p w14:paraId="3265B4F9" w14:textId="49DB30D5" w:rsidR="001F31E3" w:rsidRDefault="001F31E3">
      <w:r>
        <w:br w:type="page"/>
      </w:r>
    </w:p>
    <w:p w14:paraId="0A17E0DD" w14:textId="77777777" w:rsidR="00E60648" w:rsidRDefault="00E60648" w:rsidP="00BA4DFD">
      <w:pPr>
        <w:pStyle w:val="Heading2"/>
        <w:sectPr w:rsidR="00E60648">
          <w:pgSz w:w="11906" w:h="16838"/>
          <w:pgMar w:top="1440" w:right="1440" w:bottom="1440" w:left="1440" w:header="708" w:footer="708" w:gutter="0"/>
          <w:cols w:space="708"/>
          <w:docGrid w:linePitch="360"/>
        </w:sectPr>
      </w:pPr>
    </w:p>
    <w:p w14:paraId="53BDF68C" w14:textId="1DAA3018" w:rsidR="00526600" w:rsidRPr="00A80249" w:rsidRDefault="00E77573" w:rsidP="001815C3">
      <w:pPr>
        <w:pStyle w:val="Heading2"/>
        <w:rPr>
          <w:rFonts w:asciiTheme="minorHAnsi" w:hAnsiTheme="minorHAnsi" w:cstheme="minorHAnsi"/>
          <w:sz w:val="28"/>
          <w:szCs w:val="28"/>
        </w:rPr>
      </w:pPr>
      <w:r w:rsidRPr="00A80249">
        <w:rPr>
          <w:rFonts w:asciiTheme="minorHAnsi" w:hAnsiTheme="minorHAnsi" w:cstheme="minorHAnsi"/>
          <w:sz w:val="28"/>
          <w:szCs w:val="28"/>
        </w:rPr>
        <w:lastRenderedPageBreak/>
        <w:t xml:space="preserve">References </w:t>
      </w:r>
    </w:p>
    <w:p w14:paraId="04B2B8FF" w14:textId="1B5DF91C" w:rsidR="001B3AB4" w:rsidRPr="001B3AB4" w:rsidRDefault="007E2DC0" w:rsidP="001B3AB4">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1B3AB4" w:rsidRPr="001B3AB4">
        <w:rPr>
          <w:rFonts w:ascii="Calibri" w:hAnsi="Calibri" w:cs="Calibri"/>
          <w:noProof/>
          <w:szCs w:val="24"/>
        </w:rPr>
        <w:t xml:space="preserve">1. </w:t>
      </w:r>
      <w:r w:rsidR="001B3AB4" w:rsidRPr="001B3AB4">
        <w:rPr>
          <w:rFonts w:ascii="Calibri" w:hAnsi="Calibri" w:cs="Calibri"/>
          <w:noProof/>
          <w:szCs w:val="24"/>
        </w:rPr>
        <w:tab/>
        <w:t xml:space="preserve">Williams DA. 394: The Analysis of Binary Responses from Toxicological Experiments Involving Reproduction and Teratogenicity. Biometrics </w:t>
      </w:r>
      <w:r w:rsidR="001B3AB4" w:rsidRPr="001B3AB4">
        <w:rPr>
          <w:rFonts w:ascii="Calibri" w:hAnsi="Calibri" w:cs="Calibri"/>
          <w:b/>
          <w:bCs/>
          <w:noProof/>
          <w:szCs w:val="24"/>
        </w:rPr>
        <w:t>1975</w:t>
      </w:r>
      <w:r w:rsidR="001B3AB4" w:rsidRPr="001B3AB4">
        <w:rPr>
          <w:rFonts w:ascii="Calibri" w:hAnsi="Calibri" w:cs="Calibri"/>
          <w:noProof/>
          <w:szCs w:val="24"/>
        </w:rPr>
        <w:t xml:space="preserve">; 31:949. </w:t>
      </w:r>
    </w:p>
    <w:p w14:paraId="576FC0D6"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 </w:t>
      </w:r>
      <w:r w:rsidRPr="001B3AB4">
        <w:rPr>
          <w:rFonts w:ascii="Calibri" w:hAnsi="Calibri" w:cs="Calibri"/>
          <w:noProof/>
          <w:szCs w:val="24"/>
        </w:rPr>
        <w:tab/>
        <w:t xml:space="preserve">Pham T V., Piersma SR, Warmoes M, Jimenez CR. On the beta-binomial model for analysis of spectral count data in label-free tandem mass spectrometry-based proteomics. Bioinformatics </w:t>
      </w:r>
      <w:r w:rsidRPr="001B3AB4">
        <w:rPr>
          <w:rFonts w:ascii="Calibri" w:hAnsi="Calibri" w:cs="Calibri"/>
          <w:b/>
          <w:bCs/>
          <w:noProof/>
          <w:szCs w:val="24"/>
        </w:rPr>
        <w:t>2009</w:t>
      </w:r>
      <w:r w:rsidRPr="001B3AB4">
        <w:rPr>
          <w:rFonts w:ascii="Calibri" w:hAnsi="Calibri" w:cs="Calibri"/>
          <w:noProof/>
          <w:szCs w:val="24"/>
        </w:rPr>
        <w:t xml:space="preserve">; 26:363–369. </w:t>
      </w:r>
    </w:p>
    <w:p w14:paraId="7545C667"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3. </w:t>
      </w:r>
      <w:r w:rsidRPr="001B3AB4">
        <w:rPr>
          <w:rFonts w:ascii="Calibri" w:hAnsi="Calibri" w:cs="Calibri"/>
          <w:noProof/>
          <w:szCs w:val="24"/>
        </w:rPr>
        <w:tab/>
        <w:t xml:space="preserve">Cai T, Parast L, Ryan L. Meta-analysis for rare events. Stat Med </w:t>
      </w:r>
      <w:r w:rsidRPr="001B3AB4">
        <w:rPr>
          <w:rFonts w:ascii="Calibri" w:hAnsi="Calibri" w:cs="Calibri"/>
          <w:b/>
          <w:bCs/>
          <w:noProof/>
          <w:szCs w:val="24"/>
        </w:rPr>
        <w:t>2010</w:t>
      </w:r>
      <w:r w:rsidRPr="001B3AB4">
        <w:rPr>
          <w:rFonts w:ascii="Calibri" w:hAnsi="Calibri" w:cs="Calibri"/>
          <w:noProof/>
          <w:szCs w:val="24"/>
        </w:rPr>
        <w:t>; 29:2078–2089. Available at: /pmc/articles/PMC2932857/?report=abstract. Accessed 19 November 2020.</w:t>
      </w:r>
    </w:p>
    <w:p w14:paraId="10D9568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4. </w:t>
      </w:r>
      <w:r w:rsidRPr="001B3AB4">
        <w:rPr>
          <w:rFonts w:ascii="Calibri" w:hAnsi="Calibri" w:cs="Calibri"/>
          <w:noProof/>
          <w:szCs w:val="24"/>
        </w:rPr>
        <w:tab/>
        <w:t xml:space="preserve">Baettig SJ, Parini A, Cardona I, Morand GB. Case series of coronavirus (SARS-CoV-2) in a military recruit school: clinical, sanitary and logistical implications. BMJ Mil Heal </w:t>
      </w:r>
      <w:r w:rsidRPr="001B3AB4">
        <w:rPr>
          <w:rFonts w:ascii="Calibri" w:hAnsi="Calibri" w:cs="Calibri"/>
          <w:b/>
          <w:bCs/>
          <w:noProof/>
          <w:szCs w:val="24"/>
        </w:rPr>
        <w:t>2020</w:t>
      </w:r>
      <w:r w:rsidRPr="001B3AB4">
        <w:rPr>
          <w:rFonts w:ascii="Calibri" w:hAnsi="Calibri" w:cs="Calibri"/>
          <w:noProof/>
          <w:szCs w:val="24"/>
        </w:rPr>
        <w:t xml:space="preserve">; </w:t>
      </w:r>
    </w:p>
    <w:p w14:paraId="7CD85AB7"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 </w:t>
      </w:r>
      <w:r w:rsidRPr="001B3AB4">
        <w:rPr>
          <w:rFonts w:ascii="Calibri" w:hAnsi="Calibri" w:cs="Calibri"/>
          <w:noProof/>
          <w:szCs w:val="24"/>
        </w:rPr>
        <w:tab/>
        <w:t xml:space="preserve">Danis K, Epaulard O, Bénet T, et al. Cluster of Coronavirus Disease 2019 (COVID-19) in the French Alps, February 2020. Clin Infect Dis </w:t>
      </w:r>
      <w:r w:rsidRPr="001B3AB4">
        <w:rPr>
          <w:rFonts w:ascii="Calibri" w:hAnsi="Calibri" w:cs="Calibri"/>
          <w:b/>
          <w:bCs/>
          <w:noProof/>
          <w:szCs w:val="24"/>
        </w:rPr>
        <w:t>2020</w:t>
      </w:r>
      <w:r w:rsidRPr="001B3AB4">
        <w:rPr>
          <w:rFonts w:ascii="Calibri" w:hAnsi="Calibri" w:cs="Calibri"/>
          <w:noProof/>
          <w:szCs w:val="24"/>
        </w:rPr>
        <w:t>; 71:825–832. Available at: https://doi.org/10.1093/cid/ciaa424.</w:t>
      </w:r>
    </w:p>
    <w:p w14:paraId="131D261B"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 </w:t>
      </w:r>
      <w:r w:rsidRPr="001B3AB4">
        <w:rPr>
          <w:rFonts w:ascii="Calibri" w:hAnsi="Calibri" w:cs="Calibri"/>
          <w:noProof/>
          <w:szCs w:val="24"/>
        </w:rPr>
        <w:tab/>
        <w:t xml:space="preserve">Fontanet A, Tondeur L, Madec Y, et al. Cluster of COVID-19 in northern France: A retrospective closed cohort study. medRxiv </w:t>
      </w:r>
      <w:r w:rsidRPr="001B3AB4">
        <w:rPr>
          <w:rFonts w:ascii="Calibri" w:hAnsi="Calibri" w:cs="Calibri"/>
          <w:b/>
          <w:bCs/>
          <w:noProof/>
          <w:szCs w:val="24"/>
        </w:rPr>
        <w:t>2020</w:t>
      </w:r>
      <w:r w:rsidRPr="001B3AB4">
        <w:rPr>
          <w:rFonts w:ascii="Calibri" w:hAnsi="Calibri" w:cs="Calibri"/>
          <w:noProof/>
          <w:szCs w:val="24"/>
        </w:rPr>
        <w:t>; :2020.04.18.20071134. Available at: https://www.medrxiv.org/content/medrxiv/early/2020/04/23/2020.04.18.20071134.full.pdf.</w:t>
      </w:r>
    </w:p>
    <w:p w14:paraId="604B8497"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 </w:t>
      </w:r>
      <w:r w:rsidRPr="001B3AB4">
        <w:rPr>
          <w:rFonts w:ascii="Calibri" w:hAnsi="Calibri" w:cs="Calibri"/>
          <w:noProof/>
          <w:szCs w:val="24"/>
        </w:rPr>
        <w:tab/>
        <w:t xml:space="preserve">Fontanet A, Grant R, Tondeur L, et al. SARS-CoV-2 infection in primary schools in northern France: A retrospective cohort study in an area of high transmission. medRxiv </w:t>
      </w:r>
      <w:r w:rsidRPr="001B3AB4">
        <w:rPr>
          <w:rFonts w:ascii="Calibri" w:hAnsi="Calibri" w:cs="Calibri"/>
          <w:b/>
          <w:bCs/>
          <w:noProof/>
          <w:szCs w:val="24"/>
        </w:rPr>
        <w:t>2020</w:t>
      </w:r>
      <w:r w:rsidRPr="001B3AB4">
        <w:rPr>
          <w:rFonts w:ascii="Calibri" w:hAnsi="Calibri" w:cs="Calibri"/>
          <w:noProof/>
          <w:szCs w:val="24"/>
        </w:rPr>
        <w:t>; :2020.06.25.20140178. Available at: https://www.medrxiv.org/content/medrxiv/early/2020/06/29/2020.06.25.20140178.1.full.pdf.</w:t>
      </w:r>
    </w:p>
    <w:p w14:paraId="4C2A8A3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 </w:t>
      </w:r>
      <w:r w:rsidRPr="001B3AB4">
        <w:rPr>
          <w:rFonts w:ascii="Calibri" w:hAnsi="Calibri" w:cs="Calibri"/>
          <w:noProof/>
          <w:szCs w:val="24"/>
        </w:rPr>
        <w:tab/>
        <w:t xml:space="preserve">Heavey L, Casey G, Kelly C, Kelly D, McDarby G. No evidence of secondary transmission of COVID-19 from children attending school in Ireland, 2020. Euro Surveill </w:t>
      </w:r>
      <w:r w:rsidRPr="001B3AB4">
        <w:rPr>
          <w:rFonts w:ascii="Calibri" w:hAnsi="Calibri" w:cs="Calibri"/>
          <w:b/>
          <w:bCs/>
          <w:noProof/>
          <w:szCs w:val="24"/>
        </w:rPr>
        <w:t>2020</w:t>
      </w:r>
      <w:r w:rsidRPr="001B3AB4">
        <w:rPr>
          <w:rFonts w:ascii="Calibri" w:hAnsi="Calibri" w:cs="Calibri"/>
          <w:noProof/>
          <w:szCs w:val="24"/>
        </w:rPr>
        <w:t>; 25:2000903. Available at: https://pubmed.ncbi.nlm.nih.gov/32489179.</w:t>
      </w:r>
    </w:p>
    <w:p w14:paraId="170464E0"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9. </w:t>
      </w:r>
      <w:r w:rsidRPr="001B3AB4">
        <w:rPr>
          <w:rFonts w:ascii="Calibri" w:hAnsi="Calibri" w:cs="Calibri"/>
          <w:noProof/>
          <w:szCs w:val="24"/>
        </w:rPr>
        <w:tab/>
        <w:t xml:space="preserve">Macartney K, Quinn HE, Pillsbury AJ, et al. Transmission of SARS-CoV-2 in Australian educational settings: a prospective cohort study. Lancet Child Adolesc Heal </w:t>
      </w:r>
      <w:r w:rsidRPr="001B3AB4">
        <w:rPr>
          <w:rFonts w:ascii="Calibri" w:hAnsi="Calibri" w:cs="Calibri"/>
          <w:b/>
          <w:bCs/>
          <w:noProof/>
          <w:szCs w:val="24"/>
        </w:rPr>
        <w:t>2020</w:t>
      </w:r>
      <w:r w:rsidRPr="001B3AB4">
        <w:rPr>
          <w:rFonts w:ascii="Calibri" w:hAnsi="Calibri" w:cs="Calibri"/>
          <w:noProof/>
          <w:szCs w:val="24"/>
        </w:rPr>
        <w:t xml:space="preserve">; </w:t>
      </w:r>
    </w:p>
    <w:p w14:paraId="1E9EAE82"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10. </w:t>
      </w:r>
      <w:r w:rsidRPr="001B3AB4">
        <w:rPr>
          <w:rFonts w:ascii="Calibri" w:hAnsi="Calibri" w:cs="Calibri"/>
          <w:noProof/>
          <w:szCs w:val="24"/>
        </w:rPr>
        <w:tab/>
        <w:t xml:space="preserve">Stein-Zamir C, Abramson N, Shoob H, et al. A large COVID-19 outbreak in a high school 10 days after schools’ reopening, Israel, May 2020. Euro Surveill </w:t>
      </w:r>
      <w:r w:rsidRPr="001B3AB4">
        <w:rPr>
          <w:rFonts w:ascii="Calibri" w:hAnsi="Calibri" w:cs="Calibri"/>
          <w:b/>
          <w:bCs/>
          <w:noProof/>
          <w:szCs w:val="24"/>
        </w:rPr>
        <w:t>2020</w:t>
      </w:r>
      <w:r w:rsidRPr="001B3AB4">
        <w:rPr>
          <w:rFonts w:ascii="Calibri" w:hAnsi="Calibri" w:cs="Calibri"/>
          <w:noProof/>
          <w:szCs w:val="24"/>
        </w:rPr>
        <w:t>; 25:2001352. Available at: https://pubmed.ncbi.nlm.nih.gov/32720636.</w:t>
      </w:r>
    </w:p>
    <w:p w14:paraId="48996F7E"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11. </w:t>
      </w:r>
      <w:r w:rsidRPr="001B3AB4">
        <w:rPr>
          <w:rFonts w:ascii="Calibri" w:hAnsi="Calibri" w:cs="Calibri"/>
          <w:noProof/>
          <w:szCs w:val="24"/>
        </w:rPr>
        <w:tab/>
        <w:t xml:space="preserve">Kimball A, Hatfield KM, Arons M, et al. Asymptomatic and presymptomatic SARS-CoV-2 infections in residents of a long-term care skilled nursing facility—King County, Washington, March 2020. Morb Mortal Wkly Rep </w:t>
      </w:r>
      <w:r w:rsidRPr="001B3AB4">
        <w:rPr>
          <w:rFonts w:ascii="Calibri" w:hAnsi="Calibri" w:cs="Calibri"/>
          <w:b/>
          <w:bCs/>
          <w:noProof/>
          <w:szCs w:val="24"/>
        </w:rPr>
        <w:t>2020</w:t>
      </w:r>
      <w:r w:rsidRPr="001B3AB4">
        <w:rPr>
          <w:rFonts w:ascii="Calibri" w:hAnsi="Calibri" w:cs="Calibri"/>
          <w:noProof/>
          <w:szCs w:val="24"/>
        </w:rPr>
        <w:t xml:space="preserve">; 69:377. </w:t>
      </w:r>
    </w:p>
    <w:p w14:paraId="41570C7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12. </w:t>
      </w:r>
      <w:r w:rsidRPr="001B3AB4">
        <w:rPr>
          <w:rFonts w:ascii="Calibri" w:hAnsi="Calibri" w:cs="Calibri"/>
          <w:noProof/>
          <w:szCs w:val="24"/>
        </w:rPr>
        <w:tab/>
        <w:t xml:space="preserve">Roxby AC, Greninger AL, Hatfield KM, et al. Detection of SARS-CoV-2 among residents and staff members of an independent and assisted living community for older adults—Seattle, Washington, 2020. Morb Mortal Wkly Rep </w:t>
      </w:r>
      <w:r w:rsidRPr="001B3AB4">
        <w:rPr>
          <w:rFonts w:ascii="Calibri" w:hAnsi="Calibri" w:cs="Calibri"/>
          <w:b/>
          <w:bCs/>
          <w:noProof/>
          <w:szCs w:val="24"/>
        </w:rPr>
        <w:t>2020</w:t>
      </w:r>
      <w:r w:rsidRPr="001B3AB4">
        <w:rPr>
          <w:rFonts w:ascii="Calibri" w:hAnsi="Calibri" w:cs="Calibri"/>
          <w:noProof/>
          <w:szCs w:val="24"/>
        </w:rPr>
        <w:t xml:space="preserve">; 69:416. </w:t>
      </w:r>
    </w:p>
    <w:p w14:paraId="43851275"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13. </w:t>
      </w:r>
      <w:r w:rsidRPr="001B3AB4">
        <w:rPr>
          <w:rFonts w:ascii="Calibri" w:hAnsi="Calibri" w:cs="Calibri"/>
          <w:noProof/>
          <w:szCs w:val="24"/>
        </w:rPr>
        <w:tab/>
        <w:t xml:space="preserve">McMichael TM, Currie DW, Clark S, et al. Epidemiology of Covid-19 in a Long-Term Care Facility in King County, Washington. N Engl J Med </w:t>
      </w:r>
      <w:r w:rsidRPr="001B3AB4">
        <w:rPr>
          <w:rFonts w:ascii="Calibri" w:hAnsi="Calibri" w:cs="Calibri"/>
          <w:b/>
          <w:bCs/>
          <w:noProof/>
          <w:szCs w:val="24"/>
        </w:rPr>
        <w:t>2020</w:t>
      </w:r>
      <w:r w:rsidRPr="001B3AB4">
        <w:rPr>
          <w:rFonts w:ascii="Calibri" w:hAnsi="Calibri" w:cs="Calibri"/>
          <w:noProof/>
          <w:szCs w:val="24"/>
        </w:rPr>
        <w:t xml:space="preserve">; 382:2005–2011. </w:t>
      </w:r>
    </w:p>
    <w:p w14:paraId="6321F050"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14. </w:t>
      </w:r>
      <w:r w:rsidRPr="001B3AB4">
        <w:rPr>
          <w:rFonts w:ascii="Calibri" w:hAnsi="Calibri" w:cs="Calibri"/>
          <w:noProof/>
          <w:szCs w:val="24"/>
        </w:rPr>
        <w:tab/>
        <w:t xml:space="preserve">Baggett TP, Keyes H, Sporn N, Gaeta JM. Prevalence of SARS-CoV-2 Infection in Residents of a Large Homeless Shelter in Boston. JAMA </w:t>
      </w:r>
      <w:r w:rsidRPr="001B3AB4">
        <w:rPr>
          <w:rFonts w:ascii="Calibri" w:hAnsi="Calibri" w:cs="Calibri"/>
          <w:b/>
          <w:bCs/>
          <w:noProof/>
          <w:szCs w:val="24"/>
        </w:rPr>
        <w:t>2020</w:t>
      </w:r>
      <w:r w:rsidRPr="001B3AB4">
        <w:rPr>
          <w:rFonts w:ascii="Calibri" w:hAnsi="Calibri" w:cs="Calibri"/>
          <w:noProof/>
          <w:szCs w:val="24"/>
        </w:rPr>
        <w:t>; 323:2191–2192. Available at: https://doi.org/10.1001/jama.2020.6887.</w:t>
      </w:r>
    </w:p>
    <w:p w14:paraId="280D16CA"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15. </w:t>
      </w:r>
      <w:r w:rsidRPr="001B3AB4">
        <w:rPr>
          <w:rFonts w:ascii="Calibri" w:hAnsi="Calibri" w:cs="Calibri"/>
          <w:noProof/>
          <w:szCs w:val="24"/>
        </w:rPr>
        <w:tab/>
        <w:t xml:space="preserve">Marcus JE, Frankel DN, Pawlak MT, et al. COVID-19 Monitoring and Response Among U.S. Air Force Basic Military Trainees - Texas, March-April 2020. MMWR Morb Mortal Wkly Rep </w:t>
      </w:r>
      <w:r w:rsidRPr="001B3AB4">
        <w:rPr>
          <w:rFonts w:ascii="Calibri" w:hAnsi="Calibri" w:cs="Calibri"/>
          <w:b/>
          <w:bCs/>
          <w:noProof/>
          <w:szCs w:val="24"/>
        </w:rPr>
        <w:t>2020</w:t>
      </w:r>
      <w:r w:rsidRPr="001B3AB4">
        <w:rPr>
          <w:rFonts w:ascii="Calibri" w:hAnsi="Calibri" w:cs="Calibri"/>
          <w:noProof/>
          <w:szCs w:val="24"/>
        </w:rPr>
        <w:t xml:space="preserve">; 69:685–688. </w:t>
      </w:r>
    </w:p>
    <w:p w14:paraId="1930022D"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lastRenderedPageBreak/>
        <w:t xml:space="preserve">16. </w:t>
      </w:r>
      <w:r w:rsidRPr="001B3AB4">
        <w:rPr>
          <w:rFonts w:ascii="Calibri" w:hAnsi="Calibri" w:cs="Calibri"/>
          <w:noProof/>
          <w:szCs w:val="24"/>
        </w:rPr>
        <w:tab/>
        <w:t xml:space="preserve">Wallace M. Public Health Response to COVID-19 Cases in Correctional and Detention Facilities—Louisiana, March–April 2020. MMWR Morb Mortal Wkly Rep </w:t>
      </w:r>
      <w:r w:rsidRPr="001B3AB4">
        <w:rPr>
          <w:rFonts w:ascii="Calibri" w:hAnsi="Calibri" w:cs="Calibri"/>
          <w:b/>
          <w:bCs/>
          <w:noProof/>
          <w:szCs w:val="24"/>
        </w:rPr>
        <w:t>2020</w:t>
      </w:r>
      <w:r w:rsidRPr="001B3AB4">
        <w:rPr>
          <w:rFonts w:ascii="Calibri" w:hAnsi="Calibri" w:cs="Calibri"/>
          <w:noProof/>
          <w:szCs w:val="24"/>
        </w:rPr>
        <w:t xml:space="preserve">; 69. </w:t>
      </w:r>
    </w:p>
    <w:p w14:paraId="61D03410"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17. </w:t>
      </w:r>
      <w:r w:rsidRPr="001B3AB4">
        <w:rPr>
          <w:rFonts w:ascii="Calibri" w:hAnsi="Calibri" w:cs="Calibri"/>
          <w:noProof/>
          <w:szCs w:val="24"/>
        </w:rPr>
        <w:tab/>
        <w:t xml:space="preserve">Pavli A, Smeti P, Papadima K, et al. A cluster of COVID-19 in pilgrims to Israel. J Travel Med </w:t>
      </w:r>
      <w:r w:rsidRPr="001B3AB4">
        <w:rPr>
          <w:rFonts w:ascii="Calibri" w:hAnsi="Calibri" w:cs="Calibri"/>
          <w:b/>
          <w:bCs/>
          <w:noProof/>
          <w:szCs w:val="24"/>
        </w:rPr>
        <w:t>2020</w:t>
      </w:r>
      <w:r w:rsidRPr="001B3AB4">
        <w:rPr>
          <w:rFonts w:ascii="Calibri" w:hAnsi="Calibri" w:cs="Calibri"/>
          <w:noProof/>
          <w:szCs w:val="24"/>
        </w:rPr>
        <w:t>; Available at: https://doi.org/10.1093/jtm/taaa102.</w:t>
      </w:r>
    </w:p>
    <w:p w14:paraId="0B6A411A"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18. </w:t>
      </w:r>
      <w:r w:rsidRPr="001B3AB4">
        <w:rPr>
          <w:rFonts w:ascii="Calibri" w:hAnsi="Calibri" w:cs="Calibri"/>
          <w:noProof/>
          <w:szCs w:val="24"/>
        </w:rPr>
        <w:tab/>
        <w:t xml:space="preserve">Chaw L, Koh WC, Jamaludin SA, Naing L, Alikhan MF, Wong J. Analysis of SARS-CoV-2 Transmission in Different Settings, Brunei. Emerg Infect Dis J </w:t>
      </w:r>
      <w:r w:rsidRPr="001B3AB4">
        <w:rPr>
          <w:rFonts w:ascii="Calibri" w:hAnsi="Calibri" w:cs="Calibri"/>
          <w:b/>
          <w:bCs/>
          <w:noProof/>
          <w:szCs w:val="24"/>
        </w:rPr>
        <w:t>2020</w:t>
      </w:r>
      <w:r w:rsidRPr="001B3AB4">
        <w:rPr>
          <w:rFonts w:ascii="Calibri" w:hAnsi="Calibri" w:cs="Calibri"/>
          <w:noProof/>
          <w:szCs w:val="24"/>
        </w:rPr>
        <w:t>; 26. Available at: https://wwwnc.cdc.gov/eid/article/26/11/20-2263_article.</w:t>
      </w:r>
    </w:p>
    <w:p w14:paraId="06503C85"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19. </w:t>
      </w:r>
      <w:r w:rsidRPr="001B3AB4">
        <w:rPr>
          <w:rFonts w:ascii="Calibri" w:hAnsi="Calibri" w:cs="Calibri"/>
          <w:noProof/>
          <w:szCs w:val="24"/>
        </w:rPr>
        <w:tab/>
        <w:t xml:space="preserve">Jang S, Han SH, Rhee JY. Cluster of Coronavirus Disease Associated with Fitness Dance Classes, South Korea. Emerg Infect Dis </w:t>
      </w:r>
      <w:r w:rsidRPr="001B3AB4">
        <w:rPr>
          <w:rFonts w:ascii="Calibri" w:hAnsi="Calibri" w:cs="Calibri"/>
          <w:b/>
          <w:bCs/>
          <w:noProof/>
          <w:szCs w:val="24"/>
        </w:rPr>
        <w:t>2020</w:t>
      </w:r>
      <w:r w:rsidRPr="001B3AB4">
        <w:rPr>
          <w:rFonts w:ascii="Calibri" w:hAnsi="Calibri" w:cs="Calibri"/>
          <w:noProof/>
          <w:szCs w:val="24"/>
        </w:rPr>
        <w:t xml:space="preserve">; 26:1917–1920. </w:t>
      </w:r>
    </w:p>
    <w:p w14:paraId="4F2E6506"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20. </w:t>
      </w:r>
      <w:r w:rsidRPr="001B3AB4">
        <w:rPr>
          <w:rFonts w:ascii="Calibri" w:hAnsi="Calibri" w:cs="Calibri"/>
          <w:noProof/>
          <w:szCs w:val="24"/>
        </w:rPr>
        <w:tab/>
        <w:t xml:space="preserve">Yusef D, Hayajneh W, Awad S, et al. Large Outbreak of Coronavirus Disease among Wedding Attendees, Jordan. Emerg Infect Dis </w:t>
      </w:r>
      <w:r w:rsidRPr="001B3AB4">
        <w:rPr>
          <w:rFonts w:ascii="Calibri" w:hAnsi="Calibri" w:cs="Calibri"/>
          <w:b/>
          <w:bCs/>
          <w:noProof/>
          <w:szCs w:val="24"/>
        </w:rPr>
        <w:t>2020</w:t>
      </w:r>
      <w:r w:rsidRPr="001B3AB4">
        <w:rPr>
          <w:rFonts w:ascii="Calibri" w:hAnsi="Calibri" w:cs="Calibri"/>
          <w:noProof/>
          <w:szCs w:val="24"/>
        </w:rPr>
        <w:t xml:space="preserve">; 26. </w:t>
      </w:r>
    </w:p>
    <w:p w14:paraId="41E6858D"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21. </w:t>
      </w:r>
      <w:r w:rsidRPr="001B3AB4">
        <w:rPr>
          <w:rFonts w:ascii="Calibri" w:hAnsi="Calibri" w:cs="Calibri"/>
          <w:noProof/>
          <w:szCs w:val="24"/>
        </w:rPr>
        <w:tab/>
        <w:t xml:space="preserve">Huang L, Zhang X, Zhang X, et al. Rapid asymptomatic transmission of COVID-19 during the incubation period demonstrating strong infectivity in a cluster of youngsters aged 16-23 years outside Wuhan and characteristics of young patients with COVID-19: A prospective contact-tracing study. J Infect </w:t>
      </w:r>
      <w:r w:rsidRPr="001B3AB4">
        <w:rPr>
          <w:rFonts w:ascii="Calibri" w:hAnsi="Calibri" w:cs="Calibri"/>
          <w:b/>
          <w:bCs/>
          <w:noProof/>
          <w:szCs w:val="24"/>
        </w:rPr>
        <w:t>2020</w:t>
      </w:r>
      <w:r w:rsidRPr="001B3AB4">
        <w:rPr>
          <w:rFonts w:ascii="Calibri" w:hAnsi="Calibri" w:cs="Calibri"/>
          <w:noProof/>
          <w:szCs w:val="24"/>
        </w:rPr>
        <w:t xml:space="preserve">; 80:e1–e13. </w:t>
      </w:r>
    </w:p>
    <w:p w14:paraId="439E3B0E"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22. </w:t>
      </w:r>
      <w:r w:rsidRPr="001B3AB4">
        <w:rPr>
          <w:rFonts w:ascii="Calibri" w:hAnsi="Calibri" w:cs="Calibri"/>
          <w:noProof/>
          <w:szCs w:val="24"/>
        </w:rPr>
        <w:tab/>
        <w:t xml:space="preserve">Arnedo-Pena A, Sabater-Vidal S, Meseguer-Ferrer N, et al. COVID-19 secondary attack rate and risk factors in household contacts in Castellon (Spain): Preliminary report. Rev Enf Emerg </w:t>
      </w:r>
      <w:r w:rsidRPr="001B3AB4">
        <w:rPr>
          <w:rFonts w:ascii="Calibri" w:hAnsi="Calibri" w:cs="Calibri"/>
          <w:b/>
          <w:bCs/>
          <w:noProof/>
          <w:szCs w:val="24"/>
        </w:rPr>
        <w:t>2020</w:t>
      </w:r>
      <w:r w:rsidRPr="001B3AB4">
        <w:rPr>
          <w:rFonts w:ascii="Calibri" w:hAnsi="Calibri" w:cs="Calibri"/>
          <w:noProof/>
          <w:szCs w:val="24"/>
        </w:rPr>
        <w:t xml:space="preserve">; 19:64–70. </w:t>
      </w:r>
    </w:p>
    <w:p w14:paraId="284C50D8"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23. </w:t>
      </w:r>
      <w:r w:rsidRPr="001B3AB4">
        <w:rPr>
          <w:rFonts w:ascii="Calibri" w:hAnsi="Calibri" w:cs="Calibri"/>
          <w:noProof/>
          <w:szCs w:val="24"/>
        </w:rPr>
        <w:tab/>
        <w:t xml:space="preserve">Bai SL, Wang JY, Zhou YQ, et al. [Analysis of the first cluster of cases in a family of novel coronavirus pneumonia in Gansu Province]. Zhonghua Yu Fang Yi Xue Za Zhi </w:t>
      </w:r>
      <w:r w:rsidRPr="001B3AB4">
        <w:rPr>
          <w:rFonts w:ascii="Calibri" w:hAnsi="Calibri" w:cs="Calibri"/>
          <w:b/>
          <w:bCs/>
          <w:noProof/>
          <w:szCs w:val="24"/>
        </w:rPr>
        <w:t>2020</w:t>
      </w:r>
      <w:r w:rsidRPr="001B3AB4">
        <w:rPr>
          <w:rFonts w:ascii="Calibri" w:hAnsi="Calibri" w:cs="Calibri"/>
          <w:noProof/>
          <w:szCs w:val="24"/>
        </w:rPr>
        <w:t xml:space="preserve">; 54:E005. </w:t>
      </w:r>
    </w:p>
    <w:p w14:paraId="12C63042"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24. </w:t>
      </w:r>
      <w:r w:rsidRPr="001B3AB4">
        <w:rPr>
          <w:rFonts w:ascii="Calibri" w:hAnsi="Calibri" w:cs="Calibri"/>
          <w:noProof/>
          <w:szCs w:val="24"/>
        </w:rPr>
        <w:tab/>
        <w:t xml:space="preserve">Bi Q, Wu Y, Mei S, et al. Epidemiology and transmission of COVID-19 in 391 cases and 1286 of their close contacts in Shenzhen, China: a retrospective cohort study. Lancet Infect Dis </w:t>
      </w:r>
      <w:r w:rsidRPr="001B3AB4">
        <w:rPr>
          <w:rFonts w:ascii="Calibri" w:hAnsi="Calibri" w:cs="Calibri"/>
          <w:b/>
          <w:bCs/>
          <w:noProof/>
          <w:szCs w:val="24"/>
        </w:rPr>
        <w:t>2020</w:t>
      </w:r>
      <w:r w:rsidRPr="001B3AB4">
        <w:rPr>
          <w:rFonts w:ascii="Calibri" w:hAnsi="Calibri" w:cs="Calibri"/>
          <w:noProof/>
          <w:szCs w:val="24"/>
        </w:rPr>
        <w:t>; 20:911–919. Available at: https://pubmed.ncbi.nlm.nih.gov/32353347.</w:t>
      </w:r>
    </w:p>
    <w:p w14:paraId="583619E2"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25. </w:t>
      </w:r>
      <w:r w:rsidRPr="001B3AB4">
        <w:rPr>
          <w:rFonts w:ascii="Calibri" w:hAnsi="Calibri" w:cs="Calibri"/>
          <w:noProof/>
          <w:szCs w:val="24"/>
        </w:rPr>
        <w:tab/>
        <w:t xml:space="preserve">Böhmer MM, Buchholz U, Corman VM, et al. Investigation of a COVID-19 outbreak in Germany resulting from a single travel-associated primary case: a case series. Lancet Infect Dis </w:t>
      </w:r>
      <w:r w:rsidRPr="001B3AB4">
        <w:rPr>
          <w:rFonts w:ascii="Calibri" w:hAnsi="Calibri" w:cs="Calibri"/>
          <w:b/>
          <w:bCs/>
          <w:noProof/>
          <w:szCs w:val="24"/>
        </w:rPr>
        <w:t>2020</w:t>
      </w:r>
      <w:r w:rsidRPr="001B3AB4">
        <w:rPr>
          <w:rFonts w:ascii="Calibri" w:hAnsi="Calibri" w:cs="Calibri"/>
          <w:noProof/>
          <w:szCs w:val="24"/>
        </w:rPr>
        <w:t>; 20:920–928. Available at: https://pubmed.ncbi.nlm.nih.gov/32422201.</w:t>
      </w:r>
    </w:p>
    <w:p w14:paraId="2E8BDF00"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26. </w:t>
      </w:r>
      <w:r w:rsidRPr="001B3AB4">
        <w:rPr>
          <w:rFonts w:ascii="Calibri" w:hAnsi="Calibri" w:cs="Calibri"/>
          <w:noProof/>
          <w:szCs w:val="24"/>
        </w:rPr>
        <w:tab/>
        <w:t xml:space="preserve">Burke RM, Balter S, Barnes E, et al. Enhanced contact investigations for nine early travel-related cases of SARS-CoV-2 in the United States. PLoS One </w:t>
      </w:r>
      <w:r w:rsidRPr="001B3AB4">
        <w:rPr>
          <w:rFonts w:ascii="Calibri" w:hAnsi="Calibri" w:cs="Calibri"/>
          <w:b/>
          <w:bCs/>
          <w:noProof/>
          <w:szCs w:val="24"/>
        </w:rPr>
        <w:t>2020</w:t>
      </w:r>
      <w:r w:rsidRPr="001B3AB4">
        <w:rPr>
          <w:rFonts w:ascii="Calibri" w:hAnsi="Calibri" w:cs="Calibri"/>
          <w:noProof/>
          <w:szCs w:val="24"/>
        </w:rPr>
        <w:t xml:space="preserve">; 15. </w:t>
      </w:r>
    </w:p>
    <w:p w14:paraId="46F6CC0E"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27. </w:t>
      </w:r>
      <w:r w:rsidRPr="001B3AB4">
        <w:rPr>
          <w:rFonts w:ascii="Calibri" w:hAnsi="Calibri" w:cs="Calibri"/>
          <w:noProof/>
          <w:szCs w:val="24"/>
        </w:rPr>
        <w:tab/>
        <w:t xml:space="preserve">Chen M, Fan P, Liu Z, et al. A SARS-CoV-2 familial cluster infection reveals asymptomatic transmission to children. J Infect Public Health </w:t>
      </w:r>
      <w:r w:rsidRPr="001B3AB4">
        <w:rPr>
          <w:rFonts w:ascii="Calibri" w:hAnsi="Calibri" w:cs="Calibri"/>
          <w:b/>
          <w:bCs/>
          <w:noProof/>
          <w:szCs w:val="24"/>
        </w:rPr>
        <w:t>2020</w:t>
      </w:r>
      <w:r w:rsidRPr="001B3AB4">
        <w:rPr>
          <w:rFonts w:ascii="Calibri" w:hAnsi="Calibri" w:cs="Calibri"/>
          <w:noProof/>
          <w:szCs w:val="24"/>
        </w:rPr>
        <w:t>; 13:883–886. Available at: http://www.sciencedirect.com/science/article/pii/S1876034120304846.</w:t>
      </w:r>
    </w:p>
    <w:p w14:paraId="04FF12C0"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28. </w:t>
      </w:r>
      <w:r w:rsidRPr="001B3AB4">
        <w:rPr>
          <w:rFonts w:ascii="Calibri" w:hAnsi="Calibri" w:cs="Calibri"/>
          <w:noProof/>
          <w:szCs w:val="24"/>
        </w:rPr>
        <w:tab/>
        <w:t xml:space="preserve">Chen Y, Wang A, Yi B, et al. Epidemiological analysis of infection among close contacts of novel coronavirus pneumonia in Ningbo. Chinese J Epidemiol </w:t>
      </w:r>
      <w:r w:rsidRPr="001B3AB4">
        <w:rPr>
          <w:rFonts w:ascii="Calibri" w:hAnsi="Calibri" w:cs="Calibri"/>
          <w:b/>
          <w:bCs/>
          <w:noProof/>
          <w:szCs w:val="24"/>
        </w:rPr>
        <w:t>2020</w:t>
      </w:r>
      <w:r w:rsidRPr="001B3AB4">
        <w:rPr>
          <w:rFonts w:ascii="Calibri" w:hAnsi="Calibri" w:cs="Calibri"/>
          <w:noProof/>
          <w:szCs w:val="24"/>
        </w:rPr>
        <w:t xml:space="preserve">; 41. </w:t>
      </w:r>
    </w:p>
    <w:p w14:paraId="487F052C"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29. </w:t>
      </w:r>
      <w:r w:rsidRPr="001B3AB4">
        <w:rPr>
          <w:rFonts w:ascii="Calibri" w:hAnsi="Calibri" w:cs="Calibri"/>
          <w:noProof/>
          <w:szCs w:val="24"/>
        </w:rPr>
        <w:tab/>
        <w:t xml:space="preserve">Cheng H-Y, Jian S-W, Liu D-P, et al. Contact Tracing Assessment of COVID-19 Transmission Dynamics in Taiwan and Risk at Different Exposure Periods Before and After Symptom Onset. JAMA Intern Med </w:t>
      </w:r>
      <w:r w:rsidRPr="001B3AB4">
        <w:rPr>
          <w:rFonts w:ascii="Calibri" w:hAnsi="Calibri" w:cs="Calibri"/>
          <w:b/>
          <w:bCs/>
          <w:noProof/>
          <w:szCs w:val="24"/>
        </w:rPr>
        <w:t>2020</w:t>
      </w:r>
      <w:r w:rsidRPr="001B3AB4">
        <w:rPr>
          <w:rFonts w:ascii="Calibri" w:hAnsi="Calibri" w:cs="Calibri"/>
          <w:noProof/>
          <w:szCs w:val="24"/>
        </w:rPr>
        <w:t>; Available at: https://doi.org/10.1001/jamainternmed.2020.2020.</w:t>
      </w:r>
    </w:p>
    <w:p w14:paraId="4BF6566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30. </w:t>
      </w:r>
      <w:r w:rsidRPr="001B3AB4">
        <w:rPr>
          <w:rFonts w:ascii="Calibri" w:hAnsi="Calibri" w:cs="Calibri"/>
          <w:noProof/>
          <w:szCs w:val="24"/>
        </w:rPr>
        <w:tab/>
        <w:t xml:space="preserve">Dattner I, Goldberg Y, Katriel G, et al. The role of children in the spread of COVID-19: Using household data from Bnei Brak, Israel, to estimate the relative susceptibility and infectivity of children. medRxiv </w:t>
      </w:r>
      <w:r w:rsidRPr="001B3AB4">
        <w:rPr>
          <w:rFonts w:ascii="Calibri" w:hAnsi="Calibri" w:cs="Calibri"/>
          <w:b/>
          <w:bCs/>
          <w:noProof/>
          <w:szCs w:val="24"/>
        </w:rPr>
        <w:t>2020</w:t>
      </w:r>
      <w:r w:rsidRPr="001B3AB4">
        <w:rPr>
          <w:rFonts w:ascii="Calibri" w:hAnsi="Calibri" w:cs="Calibri"/>
          <w:noProof/>
          <w:szCs w:val="24"/>
        </w:rPr>
        <w:t xml:space="preserve">; </w:t>
      </w:r>
    </w:p>
    <w:p w14:paraId="445CA892"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31. </w:t>
      </w:r>
      <w:r w:rsidRPr="001B3AB4">
        <w:rPr>
          <w:rFonts w:ascii="Calibri" w:hAnsi="Calibri" w:cs="Calibri"/>
          <w:noProof/>
          <w:szCs w:val="24"/>
        </w:rPr>
        <w:tab/>
        <w:t xml:space="preserve">Dawson P, Rabold EM, Laws RL, et al. Loss of Taste and Smell as Distinguishing Symptoms of Coronavirus Disease 2019. Clin Infect Dis </w:t>
      </w:r>
      <w:r w:rsidRPr="001B3AB4">
        <w:rPr>
          <w:rFonts w:ascii="Calibri" w:hAnsi="Calibri" w:cs="Calibri"/>
          <w:b/>
          <w:bCs/>
          <w:noProof/>
          <w:szCs w:val="24"/>
        </w:rPr>
        <w:t>2020</w:t>
      </w:r>
      <w:r w:rsidRPr="001B3AB4">
        <w:rPr>
          <w:rFonts w:ascii="Calibri" w:hAnsi="Calibri" w:cs="Calibri"/>
          <w:noProof/>
          <w:szCs w:val="24"/>
        </w:rPr>
        <w:t>; Available at: https://doi.org/10.1093/cid/ciaa799.</w:t>
      </w:r>
    </w:p>
    <w:p w14:paraId="31BBC102"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lastRenderedPageBreak/>
        <w:t xml:space="preserve">32. </w:t>
      </w:r>
      <w:r w:rsidRPr="001B3AB4">
        <w:rPr>
          <w:rFonts w:ascii="Calibri" w:hAnsi="Calibri" w:cs="Calibri"/>
          <w:noProof/>
          <w:szCs w:val="24"/>
        </w:rPr>
        <w:tab/>
        <w:t xml:space="preserve">Dong XC, Li JM, Bai JY, et al. [Epidemiological characteristics of confirmed COVID-19 cases in Tianjin]. Zhonghua Liu Xing Bing Xue Za Zhi </w:t>
      </w:r>
      <w:r w:rsidRPr="001B3AB4">
        <w:rPr>
          <w:rFonts w:ascii="Calibri" w:hAnsi="Calibri" w:cs="Calibri"/>
          <w:b/>
          <w:bCs/>
          <w:noProof/>
          <w:szCs w:val="24"/>
        </w:rPr>
        <w:t>2020</w:t>
      </w:r>
      <w:r w:rsidRPr="001B3AB4">
        <w:rPr>
          <w:rFonts w:ascii="Calibri" w:hAnsi="Calibri" w:cs="Calibri"/>
          <w:noProof/>
          <w:szCs w:val="24"/>
        </w:rPr>
        <w:t>; 41:638–641. Available at: http://europepmc.org/abstract/MED/32164400.</w:t>
      </w:r>
    </w:p>
    <w:p w14:paraId="0AE826A6"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33. </w:t>
      </w:r>
      <w:r w:rsidRPr="001B3AB4">
        <w:rPr>
          <w:rFonts w:ascii="Calibri" w:hAnsi="Calibri" w:cs="Calibri"/>
          <w:noProof/>
          <w:szCs w:val="24"/>
        </w:rPr>
        <w:tab/>
        <w:t xml:space="preserve">Draper AD, Dempsey KE, Boyd RH, et al. The first 2 months of COVID-19 contact tracing in the Northern Territory of Australia, March-April 2020. Commun Dis Intell </w:t>
      </w:r>
      <w:r w:rsidRPr="001B3AB4">
        <w:rPr>
          <w:rFonts w:ascii="Calibri" w:hAnsi="Calibri" w:cs="Calibri"/>
          <w:b/>
          <w:bCs/>
          <w:noProof/>
          <w:szCs w:val="24"/>
        </w:rPr>
        <w:t>2020</w:t>
      </w:r>
      <w:r w:rsidRPr="001B3AB4">
        <w:rPr>
          <w:rFonts w:ascii="Calibri" w:hAnsi="Calibri" w:cs="Calibri"/>
          <w:noProof/>
          <w:szCs w:val="24"/>
        </w:rPr>
        <w:t>; 44. Available at: https://pubmed.ncbi.nlm.nih.gov/32615916/. Accessed 21 October 2020.</w:t>
      </w:r>
    </w:p>
    <w:p w14:paraId="071F5545"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34. </w:t>
      </w:r>
      <w:r w:rsidRPr="001B3AB4">
        <w:rPr>
          <w:rFonts w:ascii="Calibri" w:hAnsi="Calibri" w:cs="Calibri"/>
          <w:noProof/>
          <w:szCs w:val="24"/>
        </w:rPr>
        <w:tab/>
        <w:t xml:space="preserve">Guallar MP, Meiriño R, Donat-Vargas C, Corral O, Jouvé N, Soriano V. Inoculum at the time of SARS-CoV-2 exposure and risk of disease severity. Int J Infect Dis </w:t>
      </w:r>
      <w:r w:rsidRPr="001B3AB4">
        <w:rPr>
          <w:rFonts w:ascii="Calibri" w:hAnsi="Calibri" w:cs="Calibri"/>
          <w:b/>
          <w:bCs/>
          <w:noProof/>
          <w:szCs w:val="24"/>
        </w:rPr>
        <w:t>2020</w:t>
      </w:r>
      <w:r w:rsidRPr="001B3AB4">
        <w:rPr>
          <w:rFonts w:ascii="Calibri" w:hAnsi="Calibri" w:cs="Calibri"/>
          <w:noProof/>
          <w:szCs w:val="24"/>
        </w:rPr>
        <w:t>; 97:290–292. Available at: http://www.sciencedirect.com/science/article/pii/S1201971220304707.</w:t>
      </w:r>
    </w:p>
    <w:p w14:paraId="5816FCED"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35. </w:t>
      </w:r>
      <w:r w:rsidRPr="001B3AB4">
        <w:rPr>
          <w:rFonts w:ascii="Calibri" w:hAnsi="Calibri" w:cs="Calibri"/>
          <w:noProof/>
          <w:szCs w:val="24"/>
        </w:rPr>
        <w:tab/>
        <w:t xml:space="preserve">Hu Z, Song C, Xu C, et al. Clinical characteristics of 24 asymptomatic infections with COVID-19 screened among close contacts in Nanjing, China. Sci China Life Sci </w:t>
      </w:r>
      <w:r w:rsidRPr="001B3AB4">
        <w:rPr>
          <w:rFonts w:ascii="Calibri" w:hAnsi="Calibri" w:cs="Calibri"/>
          <w:b/>
          <w:bCs/>
          <w:noProof/>
          <w:szCs w:val="24"/>
        </w:rPr>
        <w:t>2020</w:t>
      </w:r>
      <w:r w:rsidRPr="001B3AB4">
        <w:rPr>
          <w:rFonts w:ascii="Calibri" w:hAnsi="Calibri" w:cs="Calibri"/>
          <w:noProof/>
          <w:szCs w:val="24"/>
        </w:rPr>
        <w:t xml:space="preserve">; 63:706–711. </w:t>
      </w:r>
    </w:p>
    <w:p w14:paraId="04F1E72B"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36. </w:t>
      </w:r>
      <w:r w:rsidRPr="001B3AB4">
        <w:rPr>
          <w:rFonts w:ascii="Calibri" w:hAnsi="Calibri" w:cs="Calibri"/>
          <w:noProof/>
          <w:szCs w:val="24"/>
        </w:rPr>
        <w:tab/>
        <w:t xml:space="preserve">Hua C, Miao Z, Zheng J, et al. Epidemiological features and viral shedding in children with SARS‐CoV‐2 infection. J Med Virol </w:t>
      </w:r>
      <w:r w:rsidRPr="001B3AB4">
        <w:rPr>
          <w:rFonts w:ascii="Calibri" w:hAnsi="Calibri" w:cs="Calibri"/>
          <w:b/>
          <w:bCs/>
          <w:noProof/>
          <w:szCs w:val="24"/>
        </w:rPr>
        <w:t>2020</w:t>
      </w:r>
      <w:r w:rsidRPr="001B3AB4">
        <w:rPr>
          <w:rFonts w:ascii="Calibri" w:hAnsi="Calibri" w:cs="Calibri"/>
          <w:noProof/>
          <w:szCs w:val="24"/>
        </w:rPr>
        <w:t xml:space="preserve">; </w:t>
      </w:r>
    </w:p>
    <w:p w14:paraId="4F3E12A5"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37. </w:t>
      </w:r>
      <w:r w:rsidRPr="001B3AB4">
        <w:rPr>
          <w:rFonts w:ascii="Calibri" w:hAnsi="Calibri" w:cs="Calibri"/>
          <w:noProof/>
          <w:szCs w:val="24"/>
        </w:rPr>
        <w:tab/>
        <w:t xml:space="preserve">Jiang XL, Zhang XL, Zhao XN, et al. Transmission Potential of Asymptomatic and Paucisymptomatic Severe Acute Respiratory Syndrome Coronavirus 2 Infections: A 3-Family Cluster Study in China. J Infect Dis </w:t>
      </w:r>
      <w:r w:rsidRPr="001B3AB4">
        <w:rPr>
          <w:rFonts w:ascii="Calibri" w:hAnsi="Calibri" w:cs="Calibri"/>
          <w:b/>
          <w:bCs/>
          <w:noProof/>
          <w:szCs w:val="24"/>
        </w:rPr>
        <w:t>2020</w:t>
      </w:r>
      <w:r w:rsidRPr="001B3AB4">
        <w:rPr>
          <w:rFonts w:ascii="Calibri" w:hAnsi="Calibri" w:cs="Calibri"/>
          <w:noProof/>
          <w:szCs w:val="24"/>
        </w:rPr>
        <w:t xml:space="preserve">; 221:1948–1952. </w:t>
      </w:r>
    </w:p>
    <w:p w14:paraId="1B5E1C5C"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38. </w:t>
      </w:r>
      <w:r w:rsidRPr="001B3AB4">
        <w:rPr>
          <w:rFonts w:ascii="Calibri" w:hAnsi="Calibri" w:cs="Calibri"/>
          <w:noProof/>
          <w:szCs w:val="24"/>
        </w:rPr>
        <w:tab/>
        <w:t xml:space="preserve">Jing Q-L, Liu M-J, Zhang Z-B, et al. Household secondary attack rate of COVID-19 and associated determinants in Guangzhou, China: a retrospective cohort study. Lancet Infect Dis </w:t>
      </w:r>
      <w:r w:rsidRPr="001B3AB4">
        <w:rPr>
          <w:rFonts w:ascii="Calibri" w:hAnsi="Calibri" w:cs="Calibri"/>
          <w:b/>
          <w:bCs/>
          <w:noProof/>
          <w:szCs w:val="24"/>
        </w:rPr>
        <w:t>2020</w:t>
      </w:r>
      <w:r w:rsidRPr="001B3AB4">
        <w:rPr>
          <w:rFonts w:ascii="Calibri" w:hAnsi="Calibri" w:cs="Calibri"/>
          <w:noProof/>
          <w:szCs w:val="24"/>
        </w:rPr>
        <w:t xml:space="preserve">; </w:t>
      </w:r>
    </w:p>
    <w:p w14:paraId="0472B5CA"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39. </w:t>
      </w:r>
      <w:r w:rsidRPr="001B3AB4">
        <w:rPr>
          <w:rFonts w:ascii="Calibri" w:hAnsi="Calibri" w:cs="Calibri"/>
          <w:noProof/>
          <w:szCs w:val="24"/>
        </w:rPr>
        <w:tab/>
        <w:t xml:space="preserve">Laxminarayan R, Wahl B, Dudala SR, et al. Epidemiology and transmission dynamics of COVID-19 in two Indian states. Science (80- ) </w:t>
      </w:r>
      <w:r w:rsidRPr="001B3AB4">
        <w:rPr>
          <w:rFonts w:ascii="Calibri" w:hAnsi="Calibri" w:cs="Calibri"/>
          <w:b/>
          <w:bCs/>
          <w:noProof/>
          <w:szCs w:val="24"/>
        </w:rPr>
        <w:t>2020</w:t>
      </w:r>
      <w:r w:rsidRPr="001B3AB4">
        <w:rPr>
          <w:rFonts w:ascii="Calibri" w:hAnsi="Calibri" w:cs="Calibri"/>
          <w:noProof/>
          <w:szCs w:val="24"/>
        </w:rPr>
        <w:t xml:space="preserve">; </w:t>
      </w:r>
    </w:p>
    <w:p w14:paraId="3FB4BAFC"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40. </w:t>
      </w:r>
      <w:r w:rsidRPr="001B3AB4">
        <w:rPr>
          <w:rFonts w:ascii="Calibri" w:hAnsi="Calibri" w:cs="Calibri"/>
          <w:noProof/>
          <w:szCs w:val="24"/>
        </w:rPr>
        <w:tab/>
        <w:t xml:space="preserve">Li W, Zhang B, Lu J, et al. Characteristics of Household Transmission of COVID-19. Clin Infect Dis </w:t>
      </w:r>
      <w:r w:rsidRPr="001B3AB4">
        <w:rPr>
          <w:rFonts w:ascii="Calibri" w:hAnsi="Calibri" w:cs="Calibri"/>
          <w:b/>
          <w:bCs/>
          <w:noProof/>
          <w:szCs w:val="24"/>
        </w:rPr>
        <w:t>2020</w:t>
      </w:r>
      <w:r w:rsidRPr="001B3AB4">
        <w:rPr>
          <w:rFonts w:ascii="Calibri" w:hAnsi="Calibri" w:cs="Calibri"/>
          <w:noProof/>
          <w:szCs w:val="24"/>
        </w:rPr>
        <w:t>; Available at: https://doi.org/10.1093/cid/ciaa450.</w:t>
      </w:r>
    </w:p>
    <w:p w14:paraId="13761CA8"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41. </w:t>
      </w:r>
      <w:r w:rsidRPr="001B3AB4">
        <w:rPr>
          <w:rFonts w:ascii="Calibri" w:hAnsi="Calibri" w:cs="Calibri"/>
          <w:noProof/>
          <w:szCs w:val="24"/>
        </w:rPr>
        <w:tab/>
        <w:t xml:space="preserve">Li P, Fu J-B, Li K-F, et al. Transmission of COVID-19 in the terminal stages of the incubation period: A familial cluster. Int J Infect Dis </w:t>
      </w:r>
      <w:r w:rsidRPr="001B3AB4">
        <w:rPr>
          <w:rFonts w:ascii="Calibri" w:hAnsi="Calibri" w:cs="Calibri"/>
          <w:b/>
          <w:bCs/>
          <w:noProof/>
          <w:szCs w:val="24"/>
        </w:rPr>
        <w:t>2020</w:t>
      </w:r>
      <w:r w:rsidRPr="001B3AB4">
        <w:rPr>
          <w:rFonts w:ascii="Calibri" w:hAnsi="Calibri" w:cs="Calibri"/>
          <w:noProof/>
          <w:szCs w:val="24"/>
        </w:rPr>
        <w:t>; 96:452–453. Available at: http://www.sciencedirect.com/science/article/pii/S1201971220301466.</w:t>
      </w:r>
    </w:p>
    <w:p w14:paraId="35361AF8"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42. </w:t>
      </w:r>
      <w:r w:rsidRPr="001B3AB4">
        <w:rPr>
          <w:rFonts w:ascii="Calibri" w:hAnsi="Calibri" w:cs="Calibri"/>
          <w:noProof/>
          <w:szCs w:val="24"/>
        </w:rPr>
        <w:tab/>
        <w:t xml:space="preserve">Li J, Gong X, Wang Z, et al. Clinical features of familial clustering in patients infected with 2019 novel coronavirus in Wuhan, China. Virus Res </w:t>
      </w:r>
      <w:r w:rsidRPr="001B3AB4">
        <w:rPr>
          <w:rFonts w:ascii="Calibri" w:hAnsi="Calibri" w:cs="Calibri"/>
          <w:b/>
          <w:bCs/>
          <w:noProof/>
          <w:szCs w:val="24"/>
        </w:rPr>
        <w:t>2020</w:t>
      </w:r>
      <w:r w:rsidRPr="001B3AB4">
        <w:rPr>
          <w:rFonts w:ascii="Calibri" w:hAnsi="Calibri" w:cs="Calibri"/>
          <w:noProof/>
          <w:szCs w:val="24"/>
        </w:rPr>
        <w:t>; 286:198043. Available at: https://pubmed.ncbi.nlm.nih.gov/32502551.</w:t>
      </w:r>
    </w:p>
    <w:p w14:paraId="77B56FEF"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43. </w:t>
      </w:r>
      <w:r w:rsidRPr="001B3AB4">
        <w:rPr>
          <w:rFonts w:ascii="Calibri" w:hAnsi="Calibri" w:cs="Calibri"/>
          <w:noProof/>
          <w:szCs w:val="24"/>
        </w:rPr>
        <w:tab/>
        <w:t xml:space="preserve">Luo L, Liu D, Liao X, et al. Modes of contact and risk of transmission in COVID-19 among close contacts. medRxiv </w:t>
      </w:r>
      <w:r w:rsidRPr="001B3AB4">
        <w:rPr>
          <w:rFonts w:ascii="Calibri" w:hAnsi="Calibri" w:cs="Calibri"/>
          <w:b/>
          <w:bCs/>
          <w:noProof/>
          <w:szCs w:val="24"/>
        </w:rPr>
        <w:t>2020</w:t>
      </w:r>
      <w:r w:rsidRPr="001B3AB4">
        <w:rPr>
          <w:rFonts w:ascii="Calibri" w:hAnsi="Calibri" w:cs="Calibri"/>
          <w:noProof/>
          <w:szCs w:val="24"/>
        </w:rPr>
        <w:t>; :2020.03.24.20042606. Available at: https://www.medrxiv.org/content/medrxiv/early/2020/03/26/2020.03.24.20042606.full.pdf.</w:t>
      </w:r>
    </w:p>
    <w:p w14:paraId="06942DD9"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44. </w:t>
      </w:r>
      <w:r w:rsidRPr="001B3AB4">
        <w:rPr>
          <w:rFonts w:ascii="Calibri" w:hAnsi="Calibri" w:cs="Calibri"/>
          <w:noProof/>
          <w:szCs w:val="24"/>
        </w:rPr>
        <w:tab/>
        <w:t xml:space="preserve">Mahapure KS, Kulkarni NS. Asymptomatic Transmission of Severe Acute Respiratory Syndrome-Coronavirus 2 within a Family Cluster of 26 Cases: Why Quarantine is Important? J Glob Infect Dis </w:t>
      </w:r>
      <w:r w:rsidRPr="001B3AB4">
        <w:rPr>
          <w:rFonts w:ascii="Calibri" w:hAnsi="Calibri" w:cs="Calibri"/>
          <w:b/>
          <w:bCs/>
          <w:noProof/>
          <w:szCs w:val="24"/>
        </w:rPr>
        <w:t>2020</w:t>
      </w:r>
      <w:r w:rsidRPr="001B3AB4">
        <w:rPr>
          <w:rFonts w:ascii="Calibri" w:hAnsi="Calibri" w:cs="Calibri"/>
          <w:noProof/>
          <w:szCs w:val="24"/>
        </w:rPr>
        <w:t>; 12:115–116. Available at: https://pubmed.ncbi.nlm.nih.gov/32774003.</w:t>
      </w:r>
    </w:p>
    <w:p w14:paraId="7DAF816B"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45. </w:t>
      </w:r>
      <w:r w:rsidRPr="001B3AB4">
        <w:rPr>
          <w:rFonts w:ascii="Calibri" w:hAnsi="Calibri" w:cs="Calibri"/>
          <w:noProof/>
          <w:szCs w:val="24"/>
        </w:rPr>
        <w:tab/>
        <w:t xml:space="preserve">Park YJ, Choe YJ, Park O, et al. Contact Tracing during Coronavirus Disease Outbreak, South Korea, 2020. Emerg Infect Dis </w:t>
      </w:r>
      <w:r w:rsidRPr="001B3AB4">
        <w:rPr>
          <w:rFonts w:ascii="Calibri" w:hAnsi="Calibri" w:cs="Calibri"/>
          <w:b/>
          <w:bCs/>
          <w:noProof/>
          <w:szCs w:val="24"/>
        </w:rPr>
        <w:t>2020</w:t>
      </w:r>
      <w:r w:rsidRPr="001B3AB4">
        <w:rPr>
          <w:rFonts w:ascii="Calibri" w:hAnsi="Calibri" w:cs="Calibri"/>
          <w:noProof/>
          <w:szCs w:val="24"/>
        </w:rPr>
        <w:t xml:space="preserve">; 26. </w:t>
      </w:r>
    </w:p>
    <w:p w14:paraId="5104F0CA"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46. </w:t>
      </w:r>
      <w:r w:rsidRPr="001B3AB4">
        <w:rPr>
          <w:rFonts w:ascii="Calibri" w:hAnsi="Calibri" w:cs="Calibri"/>
          <w:noProof/>
          <w:szCs w:val="24"/>
        </w:rPr>
        <w:tab/>
        <w:t xml:space="preserve">Pollán M, Pérez-Gómez B, Pastor-Barriuso R, et al. Prevalence of SARS-CoV-2 in Spain (ENE-COVID): a nationwide, population-based seroepidemiological study. Lancet </w:t>
      </w:r>
      <w:r w:rsidRPr="001B3AB4">
        <w:rPr>
          <w:rFonts w:ascii="Calibri" w:hAnsi="Calibri" w:cs="Calibri"/>
          <w:b/>
          <w:bCs/>
          <w:noProof/>
          <w:szCs w:val="24"/>
        </w:rPr>
        <w:t>2020</w:t>
      </w:r>
      <w:r w:rsidRPr="001B3AB4">
        <w:rPr>
          <w:rFonts w:ascii="Calibri" w:hAnsi="Calibri" w:cs="Calibri"/>
          <w:noProof/>
          <w:szCs w:val="24"/>
        </w:rPr>
        <w:t xml:space="preserve">; 396:535–544. </w:t>
      </w:r>
    </w:p>
    <w:p w14:paraId="4596463B"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47. </w:t>
      </w:r>
      <w:r w:rsidRPr="001B3AB4">
        <w:rPr>
          <w:rFonts w:ascii="Calibri" w:hAnsi="Calibri" w:cs="Calibri"/>
          <w:noProof/>
          <w:szCs w:val="24"/>
        </w:rPr>
        <w:tab/>
        <w:t xml:space="preserve">Pung R, Chiew CJ, Young BE, et al. Investigation of three clusters of COVID-19 in Singapore: implications for surveillance and response measures. Lancet </w:t>
      </w:r>
      <w:r w:rsidRPr="001B3AB4">
        <w:rPr>
          <w:rFonts w:ascii="Calibri" w:hAnsi="Calibri" w:cs="Calibri"/>
          <w:b/>
          <w:bCs/>
          <w:noProof/>
          <w:szCs w:val="24"/>
        </w:rPr>
        <w:t>2020</w:t>
      </w:r>
      <w:r w:rsidRPr="001B3AB4">
        <w:rPr>
          <w:rFonts w:ascii="Calibri" w:hAnsi="Calibri" w:cs="Calibri"/>
          <w:noProof/>
          <w:szCs w:val="24"/>
        </w:rPr>
        <w:t xml:space="preserve">; 395:1039–1046. </w:t>
      </w:r>
    </w:p>
    <w:p w14:paraId="31111EE6"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lastRenderedPageBreak/>
        <w:t xml:space="preserve">48. </w:t>
      </w:r>
      <w:r w:rsidRPr="001B3AB4">
        <w:rPr>
          <w:rFonts w:ascii="Calibri" w:hAnsi="Calibri" w:cs="Calibri"/>
          <w:noProof/>
          <w:szCs w:val="24"/>
        </w:rPr>
        <w:tab/>
        <w:t xml:space="preserve">Rosenberg ES, Dufort EM, Blog DS, et al. COVID-19 Testing, Epidemic Features, Hospital Outcomes, and Household Prevalence, New York State-March 2020. Clin Infect Dis </w:t>
      </w:r>
      <w:r w:rsidRPr="001B3AB4">
        <w:rPr>
          <w:rFonts w:ascii="Calibri" w:hAnsi="Calibri" w:cs="Calibri"/>
          <w:b/>
          <w:bCs/>
          <w:noProof/>
          <w:szCs w:val="24"/>
        </w:rPr>
        <w:t>2020</w:t>
      </w:r>
      <w:r w:rsidRPr="001B3AB4">
        <w:rPr>
          <w:rFonts w:ascii="Calibri" w:hAnsi="Calibri" w:cs="Calibri"/>
          <w:noProof/>
          <w:szCs w:val="24"/>
        </w:rPr>
        <w:t>; :ciaa549. Available at: https://pubmed.ncbi.nlm.nih.gov/32382743.</w:t>
      </w:r>
    </w:p>
    <w:p w14:paraId="78DB32BF"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49. </w:t>
      </w:r>
      <w:r w:rsidRPr="001B3AB4">
        <w:rPr>
          <w:rFonts w:ascii="Calibri" w:hAnsi="Calibri" w:cs="Calibri"/>
          <w:noProof/>
          <w:szCs w:val="24"/>
        </w:rPr>
        <w:tab/>
        <w:t xml:space="preserve">Sun WW, Ling F, Pan JR, et al. [Epidemiological characteristics of 2019 novel coronavirus family clustering in Zhejiang Province]. Zhonghua Yu Fang Yi Xue Za Zhi </w:t>
      </w:r>
      <w:r w:rsidRPr="001B3AB4">
        <w:rPr>
          <w:rFonts w:ascii="Calibri" w:hAnsi="Calibri" w:cs="Calibri"/>
          <w:b/>
          <w:bCs/>
          <w:noProof/>
          <w:szCs w:val="24"/>
        </w:rPr>
        <w:t>2020</w:t>
      </w:r>
      <w:r w:rsidRPr="001B3AB4">
        <w:rPr>
          <w:rFonts w:ascii="Calibri" w:hAnsi="Calibri" w:cs="Calibri"/>
          <w:noProof/>
          <w:szCs w:val="24"/>
        </w:rPr>
        <w:t xml:space="preserve">; 54:E027. </w:t>
      </w:r>
    </w:p>
    <w:p w14:paraId="0C36B763"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50. </w:t>
      </w:r>
      <w:r w:rsidRPr="001B3AB4">
        <w:rPr>
          <w:rFonts w:ascii="Calibri" w:hAnsi="Calibri" w:cs="Calibri"/>
          <w:noProof/>
          <w:szCs w:val="24"/>
        </w:rPr>
        <w:tab/>
        <w:t xml:space="preserve">van der Hoek W, Backer JA, Bodewes R, et al. [The role of children in the transmission of SARS-CoV-2]. Ned Tijdschr Geneeskd </w:t>
      </w:r>
      <w:r w:rsidRPr="001B3AB4">
        <w:rPr>
          <w:rFonts w:ascii="Calibri" w:hAnsi="Calibri" w:cs="Calibri"/>
          <w:b/>
          <w:bCs/>
          <w:noProof/>
          <w:szCs w:val="24"/>
        </w:rPr>
        <w:t>2020</w:t>
      </w:r>
      <w:r w:rsidRPr="001B3AB4">
        <w:rPr>
          <w:rFonts w:ascii="Calibri" w:hAnsi="Calibri" w:cs="Calibri"/>
          <w:noProof/>
          <w:szCs w:val="24"/>
        </w:rPr>
        <w:t xml:space="preserve">; 164. </w:t>
      </w:r>
    </w:p>
    <w:p w14:paraId="2A25F6F5"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51. </w:t>
      </w:r>
      <w:r w:rsidRPr="001B3AB4">
        <w:rPr>
          <w:rFonts w:ascii="Calibri" w:hAnsi="Calibri" w:cs="Calibri"/>
          <w:noProof/>
          <w:szCs w:val="24"/>
        </w:rPr>
        <w:tab/>
        <w:t xml:space="preserve">Wang X, Zhou Q, He Y, et al. Nosocomial outbreak of COVID-19 pneumonia in Wuhan, China. Eur Respir J </w:t>
      </w:r>
      <w:r w:rsidRPr="001B3AB4">
        <w:rPr>
          <w:rFonts w:ascii="Calibri" w:hAnsi="Calibri" w:cs="Calibri"/>
          <w:b/>
          <w:bCs/>
          <w:noProof/>
          <w:szCs w:val="24"/>
        </w:rPr>
        <w:t>2020</w:t>
      </w:r>
      <w:r w:rsidRPr="001B3AB4">
        <w:rPr>
          <w:rFonts w:ascii="Calibri" w:hAnsi="Calibri" w:cs="Calibri"/>
          <w:noProof/>
          <w:szCs w:val="24"/>
        </w:rPr>
        <w:t>; 55:2000544. Available at: https://pubmed.ncbi.nlm.nih.gov/32366488.</w:t>
      </w:r>
    </w:p>
    <w:p w14:paraId="0D7FCC0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52. </w:t>
      </w:r>
      <w:r w:rsidRPr="001B3AB4">
        <w:rPr>
          <w:rFonts w:ascii="Calibri" w:hAnsi="Calibri" w:cs="Calibri"/>
          <w:noProof/>
          <w:szCs w:val="24"/>
        </w:rPr>
        <w:tab/>
        <w:t xml:space="preserve">Wang Y, Tian H, Zhang L, et al. Reduction of secondary transmission of SARS-CoV-2 in households by face mask use, disinfection and social distancing: a cohort study in Beijing, China. BMJ Glob Heal </w:t>
      </w:r>
      <w:r w:rsidRPr="001B3AB4">
        <w:rPr>
          <w:rFonts w:ascii="Calibri" w:hAnsi="Calibri" w:cs="Calibri"/>
          <w:b/>
          <w:bCs/>
          <w:noProof/>
          <w:szCs w:val="24"/>
        </w:rPr>
        <w:t>2020</w:t>
      </w:r>
      <w:r w:rsidRPr="001B3AB4">
        <w:rPr>
          <w:rFonts w:ascii="Calibri" w:hAnsi="Calibri" w:cs="Calibri"/>
          <w:noProof/>
          <w:szCs w:val="24"/>
        </w:rPr>
        <w:t>; 5:e002794. Available at: https://pubmed.ncbi.nlm.nih.gov/32467353.</w:t>
      </w:r>
    </w:p>
    <w:p w14:paraId="7AC20246"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53. </w:t>
      </w:r>
      <w:r w:rsidRPr="001B3AB4">
        <w:rPr>
          <w:rFonts w:ascii="Calibri" w:hAnsi="Calibri" w:cs="Calibri"/>
          <w:noProof/>
          <w:szCs w:val="24"/>
        </w:rPr>
        <w:tab/>
        <w:t xml:space="preserve">Wang Z, Ma W, Zheng X, Wu G, Zhang R. Household transmission of SARS-CoV-2. J Infect </w:t>
      </w:r>
      <w:r w:rsidRPr="001B3AB4">
        <w:rPr>
          <w:rFonts w:ascii="Calibri" w:hAnsi="Calibri" w:cs="Calibri"/>
          <w:b/>
          <w:bCs/>
          <w:noProof/>
          <w:szCs w:val="24"/>
        </w:rPr>
        <w:t>2020</w:t>
      </w:r>
      <w:r w:rsidRPr="001B3AB4">
        <w:rPr>
          <w:rFonts w:ascii="Calibri" w:hAnsi="Calibri" w:cs="Calibri"/>
          <w:noProof/>
          <w:szCs w:val="24"/>
        </w:rPr>
        <w:t>; 81:179–182. Available at: https://pubmed.ncbi.nlm.nih.gov/32283139.</w:t>
      </w:r>
    </w:p>
    <w:p w14:paraId="7FDE354E"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54. </w:t>
      </w:r>
      <w:r w:rsidRPr="001B3AB4">
        <w:rPr>
          <w:rFonts w:ascii="Calibri" w:hAnsi="Calibri" w:cs="Calibri"/>
          <w:noProof/>
          <w:szCs w:val="24"/>
        </w:rPr>
        <w:tab/>
        <w:t xml:space="preserve">Wang X, Pan Y, Zhang D, et al. Basic epidemiological parameter values from data of real-world in mega-cities: the characteristics of COVID-19 in Beijing, China. </w:t>
      </w:r>
      <w:r w:rsidRPr="001B3AB4">
        <w:rPr>
          <w:rFonts w:ascii="Calibri" w:hAnsi="Calibri" w:cs="Calibri"/>
          <w:b/>
          <w:bCs/>
          <w:noProof/>
          <w:szCs w:val="24"/>
        </w:rPr>
        <w:t>2020</w:t>
      </w:r>
      <w:r w:rsidRPr="001B3AB4">
        <w:rPr>
          <w:rFonts w:ascii="Calibri" w:hAnsi="Calibri" w:cs="Calibri"/>
          <w:noProof/>
          <w:szCs w:val="24"/>
        </w:rPr>
        <w:t xml:space="preserve">; </w:t>
      </w:r>
    </w:p>
    <w:p w14:paraId="0AAFF789"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55. </w:t>
      </w:r>
      <w:r w:rsidRPr="001B3AB4">
        <w:rPr>
          <w:rFonts w:ascii="Calibri" w:hAnsi="Calibri" w:cs="Calibri"/>
          <w:noProof/>
          <w:szCs w:val="24"/>
        </w:rPr>
        <w:tab/>
        <w:t xml:space="preserve">Wu J, Huang Y, Tu C, et al. Household Transmission of SARS-CoV-2, Zhuhai, China, 2020. Clin Infect Dis </w:t>
      </w:r>
      <w:r w:rsidRPr="001B3AB4">
        <w:rPr>
          <w:rFonts w:ascii="Calibri" w:hAnsi="Calibri" w:cs="Calibri"/>
          <w:b/>
          <w:bCs/>
          <w:noProof/>
          <w:szCs w:val="24"/>
        </w:rPr>
        <w:t>2020</w:t>
      </w:r>
      <w:r w:rsidRPr="001B3AB4">
        <w:rPr>
          <w:rFonts w:ascii="Calibri" w:hAnsi="Calibri" w:cs="Calibri"/>
          <w:noProof/>
          <w:szCs w:val="24"/>
        </w:rPr>
        <w:t>; Available at: https://doi.org/10.1093/cid/ciaa557.</w:t>
      </w:r>
    </w:p>
    <w:p w14:paraId="1BB80289"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56. </w:t>
      </w:r>
      <w:r w:rsidRPr="001B3AB4">
        <w:rPr>
          <w:rFonts w:ascii="Calibri" w:hAnsi="Calibri" w:cs="Calibri"/>
          <w:noProof/>
          <w:szCs w:val="24"/>
        </w:rPr>
        <w:tab/>
        <w:t xml:space="preserve">Wu Y, Song S, Kao Q, Kong Q, Sun Z, Wang B. Risk of SARS-CoV-2 infection among contacts of individuals with COVID-19 in Hangzhou, China. Public Health </w:t>
      </w:r>
      <w:r w:rsidRPr="001B3AB4">
        <w:rPr>
          <w:rFonts w:ascii="Calibri" w:hAnsi="Calibri" w:cs="Calibri"/>
          <w:b/>
          <w:bCs/>
          <w:noProof/>
          <w:szCs w:val="24"/>
        </w:rPr>
        <w:t>2020</w:t>
      </w:r>
      <w:r w:rsidRPr="001B3AB4">
        <w:rPr>
          <w:rFonts w:ascii="Calibri" w:hAnsi="Calibri" w:cs="Calibri"/>
          <w:noProof/>
          <w:szCs w:val="24"/>
        </w:rPr>
        <w:t>; 185:57–59. Available at: http://www.sciencedirect.com/science/article/pii/S0033350620301785.</w:t>
      </w:r>
    </w:p>
    <w:p w14:paraId="7D460B58"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57. </w:t>
      </w:r>
      <w:r w:rsidRPr="001B3AB4">
        <w:rPr>
          <w:rFonts w:ascii="Calibri" w:hAnsi="Calibri" w:cs="Calibri"/>
          <w:noProof/>
          <w:szCs w:val="24"/>
        </w:rPr>
        <w:tab/>
        <w:t xml:space="preserve">Xin H, Jiang F, Xue A, et al. Risk factors associated with occurrence of COVID‐19 among household persons exposed to patients with confirmed COVID‐19 in Qingdao Municipal, China. Transbound Emerg Dis </w:t>
      </w:r>
      <w:r w:rsidRPr="001B3AB4">
        <w:rPr>
          <w:rFonts w:ascii="Calibri" w:hAnsi="Calibri" w:cs="Calibri"/>
          <w:b/>
          <w:bCs/>
          <w:noProof/>
          <w:szCs w:val="24"/>
        </w:rPr>
        <w:t>2020</w:t>
      </w:r>
      <w:r w:rsidRPr="001B3AB4">
        <w:rPr>
          <w:rFonts w:ascii="Calibri" w:hAnsi="Calibri" w:cs="Calibri"/>
          <w:noProof/>
          <w:szCs w:val="24"/>
        </w:rPr>
        <w:t xml:space="preserve">; </w:t>
      </w:r>
    </w:p>
    <w:p w14:paraId="032E3D69"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58. </w:t>
      </w:r>
      <w:r w:rsidRPr="001B3AB4">
        <w:rPr>
          <w:rFonts w:ascii="Calibri" w:hAnsi="Calibri" w:cs="Calibri"/>
          <w:noProof/>
          <w:szCs w:val="24"/>
        </w:rPr>
        <w:tab/>
        <w:t xml:space="preserve">Yousaf AR, Duca LM, Chu V, et al. A prospective cohort study in non-hospitalized household contacts with SARS-CoV-2 infection: symptom profiles and symptom change over time. Clin Infect Dis </w:t>
      </w:r>
      <w:r w:rsidRPr="001B3AB4">
        <w:rPr>
          <w:rFonts w:ascii="Calibri" w:hAnsi="Calibri" w:cs="Calibri"/>
          <w:b/>
          <w:bCs/>
          <w:noProof/>
          <w:szCs w:val="24"/>
        </w:rPr>
        <w:t>2020</w:t>
      </w:r>
      <w:r w:rsidRPr="001B3AB4">
        <w:rPr>
          <w:rFonts w:ascii="Calibri" w:hAnsi="Calibri" w:cs="Calibri"/>
          <w:noProof/>
          <w:szCs w:val="24"/>
        </w:rPr>
        <w:t xml:space="preserve">; </w:t>
      </w:r>
    </w:p>
    <w:p w14:paraId="1FF6A429"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59. </w:t>
      </w:r>
      <w:r w:rsidRPr="001B3AB4">
        <w:rPr>
          <w:rFonts w:ascii="Calibri" w:hAnsi="Calibri" w:cs="Calibri"/>
          <w:noProof/>
          <w:szCs w:val="24"/>
        </w:rPr>
        <w:tab/>
        <w:t xml:space="preserve">Yu H-J, Hu Y-F, Liu X-X, et al. Household infection: The predominant risk factor for close contacts of patients with COVID-19. Travel Med Infect Dis </w:t>
      </w:r>
      <w:r w:rsidRPr="001B3AB4">
        <w:rPr>
          <w:rFonts w:ascii="Calibri" w:hAnsi="Calibri" w:cs="Calibri"/>
          <w:b/>
          <w:bCs/>
          <w:noProof/>
          <w:szCs w:val="24"/>
        </w:rPr>
        <w:t>2020</w:t>
      </w:r>
      <w:r w:rsidRPr="001B3AB4">
        <w:rPr>
          <w:rFonts w:ascii="Calibri" w:hAnsi="Calibri" w:cs="Calibri"/>
          <w:noProof/>
          <w:szCs w:val="24"/>
        </w:rPr>
        <w:t>; 36:101809. Available at: https://pubmed.ncbi.nlm.nih.gov/32592904.</w:t>
      </w:r>
    </w:p>
    <w:p w14:paraId="54048985"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60. </w:t>
      </w:r>
      <w:r w:rsidRPr="001B3AB4">
        <w:rPr>
          <w:rFonts w:ascii="Calibri" w:hAnsi="Calibri" w:cs="Calibri"/>
          <w:noProof/>
          <w:szCs w:val="24"/>
        </w:rPr>
        <w:tab/>
        <w:t xml:space="preserve">Yung CF, Kam K-Q, Chong CY, et al. Household Transmission of Severe Acute Respiratory Syndrome Coronavirus 2 from Adults to Children. J Pediatr </w:t>
      </w:r>
      <w:r w:rsidRPr="001B3AB4">
        <w:rPr>
          <w:rFonts w:ascii="Calibri" w:hAnsi="Calibri" w:cs="Calibri"/>
          <w:b/>
          <w:bCs/>
          <w:noProof/>
          <w:szCs w:val="24"/>
        </w:rPr>
        <w:t>2020</w:t>
      </w:r>
      <w:r w:rsidRPr="001B3AB4">
        <w:rPr>
          <w:rFonts w:ascii="Calibri" w:hAnsi="Calibri" w:cs="Calibri"/>
          <w:noProof/>
          <w:szCs w:val="24"/>
        </w:rPr>
        <w:t xml:space="preserve">; 225:249–251. </w:t>
      </w:r>
    </w:p>
    <w:p w14:paraId="4D1C8EE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61. </w:t>
      </w:r>
      <w:r w:rsidRPr="001B3AB4">
        <w:rPr>
          <w:rFonts w:ascii="Calibri" w:hAnsi="Calibri" w:cs="Calibri"/>
          <w:noProof/>
          <w:szCs w:val="24"/>
        </w:rPr>
        <w:tab/>
        <w:t xml:space="preserve">Zhang JZ, Zhou P, Han DB, et al. [Investigation on a cluster epidemic of COVID-19 in a supermarket in Liaocheng, Shandong province]. Zhonghua Liu Xing Bing Xue Za Zhi </w:t>
      </w:r>
      <w:r w:rsidRPr="001B3AB4">
        <w:rPr>
          <w:rFonts w:ascii="Calibri" w:hAnsi="Calibri" w:cs="Calibri"/>
          <w:b/>
          <w:bCs/>
          <w:noProof/>
          <w:szCs w:val="24"/>
        </w:rPr>
        <w:t>2020</w:t>
      </w:r>
      <w:r w:rsidRPr="001B3AB4">
        <w:rPr>
          <w:rFonts w:ascii="Calibri" w:hAnsi="Calibri" w:cs="Calibri"/>
          <w:noProof/>
          <w:szCs w:val="24"/>
        </w:rPr>
        <w:t>; 41:E055. Available at: http://europepmc.org/abstract/MED/32340093.</w:t>
      </w:r>
    </w:p>
    <w:p w14:paraId="5BA2263A"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62. </w:t>
      </w:r>
      <w:r w:rsidRPr="001B3AB4">
        <w:rPr>
          <w:rFonts w:ascii="Calibri" w:hAnsi="Calibri" w:cs="Calibri"/>
          <w:noProof/>
          <w:szCs w:val="24"/>
        </w:rPr>
        <w:tab/>
        <w:t xml:space="preserve">Zhang W, Cheng W, Luo L, et al. Secondary Transmission of Coronavirus Disease from Presymptomatic Persons, China. Emerg Infect Dis </w:t>
      </w:r>
      <w:r w:rsidRPr="001B3AB4">
        <w:rPr>
          <w:rFonts w:ascii="Calibri" w:hAnsi="Calibri" w:cs="Calibri"/>
          <w:b/>
          <w:bCs/>
          <w:noProof/>
          <w:szCs w:val="24"/>
        </w:rPr>
        <w:t>2020</w:t>
      </w:r>
      <w:r w:rsidRPr="001B3AB4">
        <w:rPr>
          <w:rFonts w:ascii="Calibri" w:hAnsi="Calibri" w:cs="Calibri"/>
          <w:noProof/>
          <w:szCs w:val="24"/>
        </w:rPr>
        <w:t xml:space="preserve">; 26:1924–1926. </w:t>
      </w:r>
    </w:p>
    <w:p w14:paraId="76A16CC3"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63. </w:t>
      </w:r>
      <w:r w:rsidRPr="001B3AB4">
        <w:rPr>
          <w:rFonts w:ascii="Calibri" w:hAnsi="Calibri" w:cs="Calibri"/>
          <w:noProof/>
          <w:szCs w:val="24"/>
        </w:rPr>
        <w:tab/>
        <w:t xml:space="preserve">Zhang J, Litvinova M, Liang Y, et al. Changes in contact patterns shape the dynamics of the COVID-19 outbreak in China. Science (80- ) </w:t>
      </w:r>
      <w:r w:rsidRPr="001B3AB4">
        <w:rPr>
          <w:rFonts w:ascii="Calibri" w:hAnsi="Calibri" w:cs="Calibri"/>
          <w:b/>
          <w:bCs/>
          <w:noProof/>
          <w:szCs w:val="24"/>
        </w:rPr>
        <w:t>2020</w:t>
      </w:r>
      <w:r w:rsidRPr="001B3AB4">
        <w:rPr>
          <w:rFonts w:ascii="Calibri" w:hAnsi="Calibri" w:cs="Calibri"/>
          <w:noProof/>
          <w:szCs w:val="24"/>
        </w:rPr>
        <w:t>; 368:1481–1486. Available at: https://science.sciencemag.org/content/sci/368/6498/1481.full.pdf.</w:t>
      </w:r>
    </w:p>
    <w:p w14:paraId="29D6720C"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64. </w:t>
      </w:r>
      <w:r w:rsidRPr="001B3AB4">
        <w:rPr>
          <w:rFonts w:ascii="Calibri" w:hAnsi="Calibri" w:cs="Calibri"/>
          <w:noProof/>
          <w:szCs w:val="24"/>
        </w:rPr>
        <w:tab/>
        <w:t xml:space="preserve">Chu V, Freeman-Ponder B, Lindquist S, et al. Investigation and Serologic Follow-Up of </w:t>
      </w:r>
      <w:r w:rsidRPr="001B3AB4">
        <w:rPr>
          <w:rFonts w:ascii="Calibri" w:hAnsi="Calibri" w:cs="Calibri"/>
          <w:noProof/>
          <w:szCs w:val="24"/>
        </w:rPr>
        <w:lastRenderedPageBreak/>
        <w:t xml:space="preserve">Contacts of an Early Confirmed Case-Patient with COVID-19, Washington, USA. Emerg Infect Dis J </w:t>
      </w:r>
      <w:r w:rsidRPr="001B3AB4">
        <w:rPr>
          <w:rFonts w:ascii="Calibri" w:hAnsi="Calibri" w:cs="Calibri"/>
          <w:b/>
          <w:bCs/>
          <w:noProof/>
          <w:szCs w:val="24"/>
        </w:rPr>
        <w:t>2020</w:t>
      </w:r>
      <w:r w:rsidRPr="001B3AB4">
        <w:rPr>
          <w:rFonts w:ascii="Calibri" w:hAnsi="Calibri" w:cs="Calibri"/>
          <w:noProof/>
          <w:szCs w:val="24"/>
        </w:rPr>
        <w:t>; 26:1671. Available at: https://wwwnc.cdc.gov/eid/article/26/8/20-1423_article.</w:t>
      </w:r>
    </w:p>
    <w:p w14:paraId="22E1FDEB"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65. </w:t>
      </w:r>
      <w:r w:rsidRPr="001B3AB4">
        <w:rPr>
          <w:rFonts w:ascii="Calibri" w:hAnsi="Calibri" w:cs="Calibri"/>
          <w:noProof/>
          <w:szCs w:val="24"/>
        </w:rPr>
        <w:tab/>
        <w:t xml:space="preserve">Hijnen D, Marzano AV, Eyerich K, et al. SARS-CoV-2 Transmission from Presymptomatic Meeting Attendee, Germany. Emerg Infect Dis J </w:t>
      </w:r>
      <w:r w:rsidRPr="001B3AB4">
        <w:rPr>
          <w:rFonts w:ascii="Calibri" w:hAnsi="Calibri" w:cs="Calibri"/>
          <w:b/>
          <w:bCs/>
          <w:noProof/>
          <w:szCs w:val="24"/>
        </w:rPr>
        <w:t>2020</w:t>
      </w:r>
      <w:r w:rsidRPr="001B3AB4">
        <w:rPr>
          <w:rFonts w:ascii="Calibri" w:hAnsi="Calibri" w:cs="Calibri"/>
          <w:noProof/>
          <w:szCs w:val="24"/>
        </w:rPr>
        <w:t>; 26:1935. Available at: https://wwwnc.cdc.gov/eid/article/26/8/20-1235_article.</w:t>
      </w:r>
    </w:p>
    <w:p w14:paraId="52D6E5C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66. </w:t>
      </w:r>
      <w:r w:rsidRPr="001B3AB4">
        <w:rPr>
          <w:rFonts w:ascii="Calibri" w:hAnsi="Calibri" w:cs="Calibri"/>
          <w:noProof/>
          <w:szCs w:val="24"/>
        </w:rPr>
        <w:tab/>
        <w:t xml:space="preserve">Park SY, Kim YM, Yi S, et al. Coronavirus Disease Outbreak in Call Center, South Korea. Emerg Infect Dis </w:t>
      </w:r>
      <w:r w:rsidRPr="001B3AB4">
        <w:rPr>
          <w:rFonts w:ascii="Calibri" w:hAnsi="Calibri" w:cs="Calibri"/>
          <w:b/>
          <w:bCs/>
          <w:noProof/>
          <w:szCs w:val="24"/>
        </w:rPr>
        <w:t>2020</w:t>
      </w:r>
      <w:r w:rsidRPr="001B3AB4">
        <w:rPr>
          <w:rFonts w:ascii="Calibri" w:hAnsi="Calibri" w:cs="Calibri"/>
          <w:noProof/>
          <w:szCs w:val="24"/>
        </w:rPr>
        <w:t xml:space="preserve">; 26:1666–1670. </w:t>
      </w:r>
    </w:p>
    <w:p w14:paraId="1938FE99"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67. </w:t>
      </w:r>
      <w:r w:rsidRPr="001B3AB4">
        <w:rPr>
          <w:rFonts w:ascii="Calibri" w:hAnsi="Calibri" w:cs="Calibri"/>
          <w:noProof/>
          <w:szCs w:val="24"/>
        </w:rPr>
        <w:tab/>
        <w:t xml:space="preserve">Baker MA, Rhee C, Fiumara K, et al. COVID-19 infections among HCWs exposed to a patient with a delayed diagnosis of COVID-19. Infect Control Hosp Epidemiol </w:t>
      </w:r>
      <w:r w:rsidRPr="001B3AB4">
        <w:rPr>
          <w:rFonts w:ascii="Calibri" w:hAnsi="Calibri" w:cs="Calibri"/>
          <w:b/>
          <w:bCs/>
          <w:noProof/>
          <w:szCs w:val="24"/>
        </w:rPr>
        <w:t>2020</w:t>
      </w:r>
      <w:r w:rsidRPr="001B3AB4">
        <w:rPr>
          <w:rFonts w:ascii="Calibri" w:hAnsi="Calibri" w:cs="Calibri"/>
          <w:noProof/>
          <w:szCs w:val="24"/>
        </w:rPr>
        <w:t>; :1–2. Available at: https://pubmed.ncbi.nlm.nih.gov/32456720.</w:t>
      </w:r>
    </w:p>
    <w:p w14:paraId="3A8BF31F"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68. </w:t>
      </w:r>
      <w:r w:rsidRPr="001B3AB4">
        <w:rPr>
          <w:rFonts w:ascii="Calibri" w:hAnsi="Calibri" w:cs="Calibri"/>
          <w:noProof/>
          <w:szCs w:val="24"/>
        </w:rPr>
        <w:tab/>
        <w:t xml:space="preserve">Canova V, Lederer Schläpfer H, Piso RJ, et al. Transmission risk of SARS-CoV-2 to healthcare workers -observational results of a primary care hospital contact tracing. Swiss Med Wkly </w:t>
      </w:r>
      <w:r w:rsidRPr="001B3AB4">
        <w:rPr>
          <w:rFonts w:ascii="Calibri" w:hAnsi="Calibri" w:cs="Calibri"/>
          <w:b/>
          <w:bCs/>
          <w:noProof/>
          <w:szCs w:val="24"/>
        </w:rPr>
        <w:t>2020</w:t>
      </w:r>
      <w:r w:rsidRPr="001B3AB4">
        <w:rPr>
          <w:rFonts w:ascii="Calibri" w:hAnsi="Calibri" w:cs="Calibri"/>
          <w:noProof/>
          <w:szCs w:val="24"/>
        </w:rPr>
        <w:t xml:space="preserve">; 150:w20257. </w:t>
      </w:r>
    </w:p>
    <w:p w14:paraId="25FAC74D"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69. </w:t>
      </w:r>
      <w:r w:rsidRPr="001B3AB4">
        <w:rPr>
          <w:rFonts w:ascii="Calibri" w:hAnsi="Calibri" w:cs="Calibri"/>
          <w:noProof/>
          <w:szCs w:val="24"/>
        </w:rPr>
        <w:tab/>
        <w:t xml:space="preserve">Chen Y, Tong X, Wang J, et al. High SARS-CoV-2 antibody prevalence among healthcare workers exposed to COVID-19 patients. J Infect </w:t>
      </w:r>
      <w:r w:rsidRPr="001B3AB4">
        <w:rPr>
          <w:rFonts w:ascii="Calibri" w:hAnsi="Calibri" w:cs="Calibri"/>
          <w:b/>
          <w:bCs/>
          <w:noProof/>
          <w:szCs w:val="24"/>
        </w:rPr>
        <w:t>2020</w:t>
      </w:r>
      <w:r w:rsidRPr="001B3AB4">
        <w:rPr>
          <w:rFonts w:ascii="Calibri" w:hAnsi="Calibri" w:cs="Calibri"/>
          <w:noProof/>
          <w:szCs w:val="24"/>
        </w:rPr>
        <w:t>; 81:420–426. Available at: https://pubmed.ncbi.nlm.nih.gov/32504745.</w:t>
      </w:r>
    </w:p>
    <w:p w14:paraId="20BCA30D"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70. </w:t>
      </w:r>
      <w:r w:rsidRPr="001B3AB4">
        <w:rPr>
          <w:rFonts w:ascii="Calibri" w:hAnsi="Calibri" w:cs="Calibri"/>
          <w:noProof/>
          <w:szCs w:val="24"/>
        </w:rPr>
        <w:tab/>
        <w:t xml:space="preserve">Gao M, Yang L, Chen X, et al. A study on infectivity of asymptomatic SARS-CoV-2 carriers. Respir Med </w:t>
      </w:r>
      <w:r w:rsidRPr="001B3AB4">
        <w:rPr>
          <w:rFonts w:ascii="Calibri" w:hAnsi="Calibri" w:cs="Calibri"/>
          <w:b/>
          <w:bCs/>
          <w:noProof/>
          <w:szCs w:val="24"/>
        </w:rPr>
        <w:t>2020</w:t>
      </w:r>
      <w:r w:rsidRPr="001B3AB4">
        <w:rPr>
          <w:rFonts w:ascii="Calibri" w:hAnsi="Calibri" w:cs="Calibri"/>
          <w:noProof/>
          <w:szCs w:val="24"/>
        </w:rPr>
        <w:t>; 169:106026. Available at: https://pubmed.ncbi.nlm.nih.gov/32513410.</w:t>
      </w:r>
    </w:p>
    <w:p w14:paraId="7FC7E789"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71. </w:t>
      </w:r>
      <w:r w:rsidRPr="001B3AB4">
        <w:rPr>
          <w:rFonts w:ascii="Calibri" w:hAnsi="Calibri" w:cs="Calibri"/>
          <w:noProof/>
          <w:szCs w:val="24"/>
        </w:rPr>
        <w:tab/>
        <w:t xml:space="preserve">Ghinai I, McPherson TD, Hunter JC, et al. First known person-to-person transmission of severe acute respiratory syndrome coronavirus 2 (SARS-CoV-2) in the USA. Lancet (London, England) </w:t>
      </w:r>
      <w:r w:rsidRPr="001B3AB4">
        <w:rPr>
          <w:rFonts w:ascii="Calibri" w:hAnsi="Calibri" w:cs="Calibri"/>
          <w:b/>
          <w:bCs/>
          <w:noProof/>
          <w:szCs w:val="24"/>
        </w:rPr>
        <w:t>2020</w:t>
      </w:r>
      <w:r w:rsidRPr="001B3AB4">
        <w:rPr>
          <w:rFonts w:ascii="Calibri" w:hAnsi="Calibri" w:cs="Calibri"/>
          <w:noProof/>
          <w:szCs w:val="24"/>
        </w:rPr>
        <w:t>; 395:1137–1144. Available at: http://europepmc.org/abstract/MED/32178768.</w:t>
      </w:r>
    </w:p>
    <w:p w14:paraId="330A6D5A"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72. </w:t>
      </w:r>
      <w:r w:rsidRPr="001B3AB4">
        <w:rPr>
          <w:rFonts w:ascii="Calibri" w:hAnsi="Calibri" w:cs="Calibri"/>
          <w:noProof/>
          <w:szCs w:val="24"/>
        </w:rPr>
        <w:tab/>
        <w:t xml:space="preserve">Hara T, Yamamoto C, Sawada R, et al. Infection risk in a gastroenterological ward during a nosocomial COVID-19 infection event. J Med Virol </w:t>
      </w:r>
      <w:r w:rsidRPr="001B3AB4">
        <w:rPr>
          <w:rFonts w:ascii="Calibri" w:hAnsi="Calibri" w:cs="Calibri"/>
          <w:b/>
          <w:bCs/>
          <w:noProof/>
          <w:szCs w:val="24"/>
        </w:rPr>
        <w:t>2020</w:t>
      </w:r>
      <w:r w:rsidRPr="001B3AB4">
        <w:rPr>
          <w:rFonts w:ascii="Calibri" w:hAnsi="Calibri" w:cs="Calibri"/>
          <w:noProof/>
          <w:szCs w:val="24"/>
        </w:rPr>
        <w:t>; :10.1002/jmv.25853. Available at: https://pubmed.ncbi.nlm.nih.gov/32320062.</w:t>
      </w:r>
    </w:p>
    <w:p w14:paraId="3211F5D4"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73. </w:t>
      </w:r>
      <w:r w:rsidRPr="001B3AB4">
        <w:rPr>
          <w:rFonts w:ascii="Calibri" w:hAnsi="Calibri" w:cs="Calibri"/>
          <w:noProof/>
          <w:szCs w:val="24"/>
        </w:rPr>
        <w:tab/>
        <w:t xml:space="preserve">Heinzerling A, Stuckey MJ, Scheuer T, et al. Transmission of COVID-19 to Health Care Personnel During Exposures to a Hospitalized Patient - Solano County, California, February 2020. MMWR Morb Mortal Wkly Rep </w:t>
      </w:r>
      <w:r w:rsidRPr="001B3AB4">
        <w:rPr>
          <w:rFonts w:ascii="Calibri" w:hAnsi="Calibri" w:cs="Calibri"/>
          <w:b/>
          <w:bCs/>
          <w:noProof/>
          <w:szCs w:val="24"/>
        </w:rPr>
        <w:t>2020</w:t>
      </w:r>
      <w:r w:rsidRPr="001B3AB4">
        <w:rPr>
          <w:rFonts w:ascii="Calibri" w:hAnsi="Calibri" w:cs="Calibri"/>
          <w:noProof/>
          <w:szCs w:val="24"/>
        </w:rPr>
        <w:t xml:space="preserve">; 69:472–476. </w:t>
      </w:r>
    </w:p>
    <w:p w14:paraId="7610A193"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74. </w:t>
      </w:r>
      <w:r w:rsidRPr="001B3AB4">
        <w:rPr>
          <w:rFonts w:ascii="Calibri" w:hAnsi="Calibri" w:cs="Calibri"/>
          <w:noProof/>
          <w:szCs w:val="24"/>
        </w:rPr>
        <w:tab/>
        <w:t xml:space="preserve">COVID-19 National Emergency Response Center  Korea Centers for Disease Control and Prevention, E and CMT. Coronavirus Disease-19: Summary of 2,370 Contact Investigations of the First 30 Cases in the Republic of Korea. Osong Public Heal Res Perspect </w:t>
      </w:r>
      <w:r w:rsidRPr="001B3AB4">
        <w:rPr>
          <w:rFonts w:ascii="Calibri" w:hAnsi="Calibri" w:cs="Calibri"/>
          <w:b/>
          <w:bCs/>
          <w:noProof/>
          <w:szCs w:val="24"/>
        </w:rPr>
        <w:t>2020</w:t>
      </w:r>
      <w:r w:rsidRPr="001B3AB4">
        <w:rPr>
          <w:rFonts w:ascii="Calibri" w:hAnsi="Calibri" w:cs="Calibri"/>
          <w:noProof/>
          <w:szCs w:val="24"/>
        </w:rPr>
        <w:t xml:space="preserve">; 11:81–84. </w:t>
      </w:r>
    </w:p>
    <w:p w14:paraId="7713834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75. </w:t>
      </w:r>
      <w:r w:rsidRPr="001B3AB4">
        <w:rPr>
          <w:rFonts w:ascii="Calibri" w:hAnsi="Calibri" w:cs="Calibri"/>
          <w:noProof/>
          <w:szCs w:val="24"/>
        </w:rPr>
        <w:tab/>
        <w:t xml:space="preserve">Liu T, Liang W, Zhong H, et al. Risk factors associated with COVID-19 infection: a retrospective cohort study based on contacts tracing. Emerg Microbes Infect </w:t>
      </w:r>
      <w:r w:rsidRPr="001B3AB4">
        <w:rPr>
          <w:rFonts w:ascii="Calibri" w:hAnsi="Calibri" w:cs="Calibri"/>
          <w:b/>
          <w:bCs/>
          <w:noProof/>
          <w:szCs w:val="24"/>
        </w:rPr>
        <w:t>2020</w:t>
      </w:r>
      <w:r w:rsidRPr="001B3AB4">
        <w:rPr>
          <w:rFonts w:ascii="Calibri" w:hAnsi="Calibri" w:cs="Calibri"/>
          <w:noProof/>
          <w:szCs w:val="24"/>
        </w:rPr>
        <w:t>; 9:1546–1553. Available at: https://doi.org/10.1080/22221751.2020.1787799.</w:t>
      </w:r>
    </w:p>
    <w:p w14:paraId="429F4262"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76. </w:t>
      </w:r>
      <w:r w:rsidRPr="001B3AB4">
        <w:rPr>
          <w:rFonts w:ascii="Calibri" w:hAnsi="Calibri" w:cs="Calibri"/>
          <w:noProof/>
          <w:szCs w:val="24"/>
        </w:rPr>
        <w:tab/>
        <w:t xml:space="preserve">Lombardi A, Consonni D, Carugno M, et al. Characteristics of 1,573 healthcare workers who underwent nasopharyngeal swab for SARS-CoV-2 in Milano, Lombardy, Italy. Clin Microbiol Infect </w:t>
      </w:r>
      <w:r w:rsidRPr="001B3AB4">
        <w:rPr>
          <w:rFonts w:ascii="Calibri" w:hAnsi="Calibri" w:cs="Calibri"/>
          <w:b/>
          <w:bCs/>
          <w:noProof/>
          <w:szCs w:val="24"/>
        </w:rPr>
        <w:t>2020</w:t>
      </w:r>
      <w:r w:rsidRPr="001B3AB4">
        <w:rPr>
          <w:rFonts w:ascii="Calibri" w:hAnsi="Calibri" w:cs="Calibri"/>
          <w:noProof/>
          <w:szCs w:val="24"/>
        </w:rPr>
        <w:t xml:space="preserve">; </w:t>
      </w:r>
    </w:p>
    <w:p w14:paraId="72C2877C"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77. </w:t>
      </w:r>
      <w:r w:rsidRPr="001B3AB4">
        <w:rPr>
          <w:rFonts w:ascii="Calibri" w:hAnsi="Calibri" w:cs="Calibri"/>
          <w:noProof/>
          <w:szCs w:val="24"/>
        </w:rPr>
        <w:tab/>
        <w:t xml:space="preserve">Ng K, Poon BH, Kiat Puar TH, et al. COVID-19 and the Risk to Health Care Workers: A Case Report. Ann Intern Med </w:t>
      </w:r>
      <w:r w:rsidRPr="001B3AB4">
        <w:rPr>
          <w:rFonts w:ascii="Calibri" w:hAnsi="Calibri" w:cs="Calibri"/>
          <w:b/>
          <w:bCs/>
          <w:noProof/>
          <w:szCs w:val="24"/>
        </w:rPr>
        <w:t>2020</w:t>
      </w:r>
      <w:r w:rsidRPr="001B3AB4">
        <w:rPr>
          <w:rFonts w:ascii="Calibri" w:hAnsi="Calibri" w:cs="Calibri"/>
          <w:noProof/>
          <w:szCs w:val="24"/>
        </w:rPr>
        <w:t xml:space="preserve">; 172:766–767. </w:t>
      </w:r>
    </w:p>
    <w:p w14:paraId="2BD490BE"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78. </w:t>
      </w:r>
      <w:r w:rsidRPr="001B3AB4">
        <w:rPr>
          <w:rFonts w:ascii="Calibri" w:hAnsi="Calibri" w:cs="Calibri"/>
          <w:noProof/>
          <w:szCs w:val="24"/>
        </w:rPr>
        <w:tab/>
        <w:t xml:space="preserve">Pini R, Faggioli G, Vacirca A, et al. Is it Possible to Safely Maintain a Regular Vascular Practice During the COVID-19 Pandemic? Eur J Vasc Endovasc Surg </w:t>
      </w:r>
      <w:r w:rsidRPr="001B3AB4">
        <w:rPr>
          <w:rFonts w:ascii="Calibri" w:hAnsi="Calibri" w:cs="Calibri"/>
          <w:b/>
          <w:bCs/>
          <w:noProof/>
          <w:szCs w:val="24"/>
        </w:rPr>
        <w:t>2020</w:t>
      </w:r>
      <w:r w:rsidRPr="001B3AB4">
        <w:rPr>
          <w:rFonts w:ascii="Calibri" w:hAnsi="Calibri" w:cs="Calibri"/>
          <w:noProof/>
          <w:szCs w:val="24"/>
        </w:rPr>
        <w:t>; 60:127–134. Available at: https://pubmed.ncbi.nlm.nih.gov/32499169.</w:t>
      </w:r>
    </w:p>
    <w:p w14:paraId="14C183B2"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79. </w:t>
      </w:r>
      <w:r w:rsidRPr="001B3AB4">
        <w:rPr>
          <w:rFonts w:ascii="Calibri" w:hAnsi="Calibri" w:cs="Calibri"/>
          <w:noProof/>
          <w:szCs w:val="24"/>
        </w:rPr>
        <w:tab/>
        <w:t xml:space="preserve">Saban O, Levy J, Chowers I. Risk of SARS-CoV-2 transmission to medical staff and patients from an exposure to a COVID-19-positive ophthalmologist. Graefes Arch Clin Exp Ophthalmol </w:t>
      </w:r>
      <w:r w:rsidRPr="001B3AB4">
        <w:rPr>
          <w:rFonts w:ascii="Calibri" w:hAnsi="Calibri" w:cs="Calibri"/>
          <w:b/>
          <w:bCs/>
          <w:noProof/>
          <w:szCs w:val="24"/>
        </w:rPr>
        <w:lastRenderedPageBreak/>
        <w:t>2020</w:t>
      </w:r>
      <w:r w:rsidRPr="001B3AB4">
        <w:rPr>
          <w:rFonts w:ascii="Calibri" w:hAnsi="Calibri" w:cs="Calibri"/>
          <w:noProof/>
          <w:szCs w:val="24"/>
        </w:rPr>
        <w:t>; :1–4. Available at: https://pubmed.ncbi.nlm.nih.gov/32567041.</w:t>
      </w:r>
    </w:p>
    <w:p w14:paraId="5EE5FFC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80. </w:t>
      </w:r>
      <w:r w:rsidRPr="001B3AB4">
        <w:rPr>
          <w:rFonts w:ascii="Calibri" w:hAnsi="Calibri" w:cs="Calibri"/>
          <w:noProof/>
          <w:szCs w:val="24"/>
        </w:rPr>
        <w:tab/>
        <w:t xml:space="preserve">Schneider KN, Correa-Martínez CL, Gosheger G, et al. Assessing the spreading potential of an undetected case of COVID-19 in orthopaedic surgery. Arch Orthop Trauma Surg </w:t>
      </w:r>
      <w:r w:rsidRPr="001B3AB4">
        <w:rPr>
          <w:rFonts w:ascii="Calibri" w:hAnsi="Calibri" w:cs="Calibri"/>
          <w:b/>
          <w:bCs/>
          <w:noProof/>
          <w:szCs w:val="24"/>
        </w:rPr>
        <w:t>2020</w:t>
      </w:r>
      <w:r w:rsidRPr="001B3AB4">
        <w:rPr>
          <w:rFonts w:ascii="Calibri" w:hAnsi="Calibri" w:cs="Calibri"/>
          <w:noProof/>
          <w:szCs w:val="24"/>
        </w:rPr>
        <w:t>; :1–7. Available at: https://pubmed.ncbi.nlm.nih.gov/32524227.</w:t>
      </w:r>
    </w:p>
    <w:p w14:paraId="389182E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81. </w:t>
      </w:r>
      <w:r w:rsidRPr="001B3AB4">
        <w:rPr>
          <w:rFonts w:ascii="Calibri" w:hAnsi="Calibri" w:cs="Calibri"/>
          <w:noProof/>
          <w:szCs w:val="24"/>
        </w:rPr>
        <w:tab/>
        <w:t xml:space="preserve">Singh G, Srinivas G, Jyothi EK, Gayatri LK, Gaitonde R, Soman B. Containing the first outbreak of COVID-19 in a healthcare setting in India: The sree chitra experience. Indian J Public Heal </w:t>
      </w:r>
      <w:r w:rsidRPr="001B3AB4">
        <w:rPr>
          <w:rFonts w:ascii="Calibri" w:hAnsi="Calibri" w:cs="Calibri"/>
          <w:b/>
          <w:bCs/>
          <w:noProof/>
          <w:szCs w:val="24"/>
        </w:rPr>
        <w:t>2020</w:t>
      </w:r>
      <w:r w:rsidRPr="001B3AB4">
        <w:rPr>
          <w:rFonts w:ascii="Calibri" w:hAnsi="Calibri" w:cs="Calibri"/>
          <w:noProof/>
          <w:szCs w:val="24"/>
        </w:rPr>
        <w:t xml:space="preserve">; 64:S240-s242. </w:t>
      </w:r>
    </w:p>
    <w:p w14:paraId="4156BD9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82. </w:t>
      </w:r>
      <w:r w:rsidRPr="001B3AB4">
        <w:rPr>
          <w:rFonts w:ascii="Calibri" w:hAnsi="Calibri" w:cs="Calibri"/>
          <w:noProof/>
          <w:szCs w:val="24"/>
        </w:rPr>
        <w:tab/>
        <w:t xml:space="preserve">Wee LE, Hsieh JYC, Phua GC, et al. Respiratory surveillance wards as a strategy to reduce nosocomial transmission of COVID-19 through early detection: The experience of a tertiary-care hospital in Singapore. Infect Control Hosp Epidemiol </w:t>
      </w:r>
      <w:r w:rsidRPr="001B3AB4">
        <w:rPr>
          <w:rFonts w:ascii="Calibri" w:hAnsi="Calibri" w:cs="Calibri"/>
          <w:b/>
          <w:bCs/>
          <w:noProof/>
          <w:szCs w:val="24"/>
        </w:rPr>
        <w:t>2020</w:t>
      </w:r>
      <w:r w:rsidRPr="001B3AB4">
        <w:rPr>
          <w:rFonts w:ascii="Calibri" w:hAnsi="Calibri" w:cs="Calibri"/>
          <w:noProof/>
          <w:szCs w:val="24"/>
        </w:rPr>
        <w:t>; :1–6. Available at: https://pubmed.ncbi.nlm.nih.gov/32381147.</w:t>
      </w:r>
    </w:p>
    <w:p w14:paraId="37B3369F"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83. </w:t>
      </w:r>
      <w:r w:rsidRPr="001B3AB4">
        <w:rPr>
          <w:rFonts w:ascii="Calibri" w:hAnsi="Calibri" w:cs="Calibri"/>
          <w:noProof/>
          <w:szCs w:val="24"/>
        </w:rPr>
        <w:tab/>
        <w:t xml:space="preserve">Wee LEI, Sim XYJ, Conceicao EP, et al. Containing COVID-19 outside the isolation ward: The impact of an infection control bundle on environmental contamination and transmission in a cohorted general ward. Am J Infect Control </w:t>
      </w:r>
      <w:r w:rsidRPr="001B3AB4">
        <w:rPr>
          <w:rFonts w:ascii="Calibri" w:hAnsi="Calibri" w:cs="Calibri"/>
          <w:b/>
          <w:bCs/>
          <w:noProof/>
          <w:szCs w:val="24"/>
        </w:rPr>
        <w:t>2020</w:t>
      </w:r>
      <w:r w:rsidRPr="001B3AB4">
        <w:rPr>
          <w:rFonts w:ascii="Calibri" w:hAnsi="Calibri" w:cs="Calibri"/>
          <w:noProof/>
          <w:szCs w:val="24"/>
        </w:rPr>
        <w:t>; :S0196-6553(20)30569–1. Available at: https://pubmed.ncbi.nlm.nih.gov/32599101.</w:t>
      </w:r>
    </w:p>
    <w:p w14:paraId="71434E85"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84. </w:t>
      </w:r>
      <w:r w:rsidRPr="001B3AB4">
        <w:rPr>
          <w:rFonts w:ascii="Calibri" w:hAnsi="Calibri" w:cs="Calibri"/>
          <w:noProof/>
          <w:szCs w:val="24"/>
        </w:rPr>
        <w:tab/>
        <w:t xml:space="preserve">Wee LE, Sim XYJ, Conceicao EP, et al. Containment of COVID-19 cases among healthcare workers: The role of surveillance, early detection, and outbreak management. Infect Control Hosp Epidemiol </w:t>
      </w:r>
      <w:r w:rsidRPr="001B3AB4">
        <w:rPr>
          <w:rFonts w:ascii="Calibri" w:hAnsi="Calibri" w:cs="Calibri"/>
          <w:b/>
          <w:bCs/>
          <w:noProof/>
          <w:szCs w:val="24"/>
        </w:rPr>
        <w:t>2020</w:t>
      </w:r>
      <w:r w:rsidRPr="001B3AB4">
        <w:rPr>
          <w:rFonts w:ascii="Calibri" w:hAnsi="Calibri" w:cs="Calibri"/>
          <w:noProof/>
          <w:szCs w:val="24"/>
        </w:rPr>
        <w:t xml:space="preserve">; :1–7. </w:t>
      </w:r>
    </w:p>
    <w:p w14:paraId="3E283F93"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85. </w:t>
      </w:r>
      <w:r w:rsidRPr="001B3AB4">
        <w:rPr>
          <w:rFonts w:ascii="Calibri" w:hAnsi="Calibri" w:cs="Calibri"/>
          <w:noProof/>
          <w:szCs w:val="24"/>
        </w:rPr>
        <w:tab/>
        <w:t xml:space="preserve">Wendt R, Nagel S, Nickel O, et al. Comprehensive investigation of an in-hospital transmission cluster of a symptomatic SARS-CoV-2-positive physician among patients and healthcare workers in Germany. Infect Control Hosp Epidemiol </w:t>
      </w:r>
      <w:r w:rsidRPr="001B3AB4">
        <w:rPr>
          <w:rFonts w:ascii="Calibri" w:hAnsi="Calibri" w:cs="Calibri"/>
          <w:b/>
          <w:bCs/>
          <w:noProof/>
          <w:szCs w:val="24"/>
        </w:rPr>
        <w:t>2020</w:t>
      </w:r>
      <w:r w:rsidRPr="001B3AB4">
        <w:rPr>
          <w:rFonts w:ascii="Calibri" w:hAnsi="Calibri" w:cs="Calibri"/>
          <w:noProof/>
          <w:szCs w:val="24"/>
        </w:rPr>
        <w:t>; :1–3. Available at: https://pubmed.ncbi.nlm.nih.gov/32489162.</w:t>
      </w:r>
    </w:p>
    <w:p w14:paraId="291BBC9A"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86. </w:t>
      </w:r>
      <w:r w:rsidRPr="001B3AB4">
        <w:rPr>
          <w:rFonts w:ascii="Calibri" w:hAnsi="Calibri" w:cs="Calibri"/>
          <w:noProof/>
          <w:szCs w:val="24"/>
        </w:rPr>
        <w:tab/>
        <w:t xml:space="preserve">Wong SCY, Kwong RT, Wu TC, et al. Risk of nosocomial transmission of coronavirus disease 2019: an experience in a general ward setting in Hong Kong. J Hosp Infect </w:t>
      </w:r>
      <w:r w:rsidRPr="001B3AB4">
        <w:rPr>
          <w:rFonts w:ascii="Calibri" w:hAnsi="Calibri" w:cs="Calibri"/>
          <w:b/>
          <w:bCs/>
          <w:noProof/>
          <w:szCs w:val="24"/>
        </w:rPr>
        <w:t>2020</w:t>
      </w:r>
      <w:r w:rsidRPr="001B3AB4">
        <w:rPr>
          <w:rFonts w:ascii="Calibri" w:hAnsi="Calibri" w:cs="Calibri"/>
          <w:noProof/>
          <w:szCs w:val="24"/>
        </w:rPr>
        <w:t xml:space="preserve">; 105:119–127. </w:t>
      </w:r>
    </w:p>
    <w:p w14:paraId="281F1D63"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87. </w:t>
      </w:r>
      <w:r w:rsidRPr="001B3AB4">
        <w:rPr>
          <w:rFonts w:ascii="Calibri" w:hAnsi="Calibri" w:cs="Calibri"/>
          <w:noProof/>
          <w:szCs w:val="24"/>
        </w:rPr>
        <w:tab/>
        <w:t xml:space="preserve">Hamner L, Dubbel P, Capron I, et al. High SARS-CoV-2 Attack Rate Following Exposure at a Choir Practice — Skagit County, Washington, March 2020. 2020. </w:t>
      </w:r>
    </w:p>
    <w:p w14:paraId="4CB736B5"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88. </w:t>
      </w:r>
      <w:r w:rsidRPr="001B3AB4">
        <w:rPr>
          <w:rFonts w:ascii="Calibri" w:hAnsi="Calibri" w:cs="Calibri"/>
          <w:noProof/>
          <w:szCs w:val="24"/>
        </w:rPr>
        <w:tab/>
        <w:t xml:space="preserve">James A, Eagle L, Phillips C, et al. High COVID-19 Attack Rate Among Attendees at Events at a Church - Arkansas, March 2020. MMWR Morb Mortal Wkly Rep </w:t>
      </w:r>
      <w:r w:rsidRPr="001B3AB4">
        <w:rPr>
          <w:rFonts w:ascii="Calibri" w:hAnsi="Calibri" w:cs="Calibri"/>
          <w:b/>
          <w:bCs/>
          <w:noProof/>
          <w:szCs w:val="24"/>
        </w:rPr>
        <w:t>2020</w:t>
      </w:r>
      <w:r w:rsidRPr="001B3AB4">
        <w:rPr>
          <w:rFonts w:ascii="Calibri" w:hAnsi="Calibri" w:cs="Calibri"/>
          <w:noProof/>
          <w:szCs w:val="24"/>
        </w:rPr>
        <w:t xml:space="preserve">; 69:632–635. </w:t>
      </w:r>
    </w:p>
    <w:p w14:paraId="2BBA8C21"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89. </w:t>
      </w:r>
      <w:r w:rsidRPr="001B3AB4">
        <w:rPr>
          <w:rFonts w:ascii="Calibri" w:hAnsi="Calibri" w:cs="Calibri"/>
          <w:noProof/>
          <w:szCs w:val="24"/>
        </w:rPr>
        <w:tab/>
        <w:t xml:space="preserve">Aghaali M, Kolifarhood G, Nikbakht R, Saadati HM, Hashemi Nazari SS. Estimation of the serial interval and basic reproduction number of COVID-19 in Qom, Iran, and three other countries: A data-driven analysis in the early phase of the outbreak. Transbound Emerg Dis </w:t>
      </w:r>
      <w:r w:rsidRPr="001B3AB4">
        <w:rPr>
          <w:rFonts w:ascii="Calibri" w:hAnsi="Calibri" w:cs="Calibri"/>
          <w:b/>
          <w:bCs/>
          <w:noProof/>
          <w:szCs w:val="24"/>
        </w:rPr>
        <w:t>2020</w:t>
      </w:r>
      <w:r w:rsidRPr="001B3AB4">
        <w:rPr>
          <w:rFonts w:ascii="Calibri" w:hAnsi="Calibri" w:cs="Calibri"/>
          <w:noProof/>
          <w:szCs w:val="24"/>
        </w:rPr>
        <w:t>; :10.1111/tbed.13656. Available at: https://pubmed.ncbi.nlm.nih.gov/32473049.</w:t>
      </w:r>
    </w:p>
    <w:p w14:paraId="2E9EA7AE"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90. </w:t>
      </w:r>
      <w:r w:rsidRPr="001B3AB4">
        <w:rPr>
          <w:rFonts w:ascii="Calibri" w:hAnsi="Calibri" w:cs="Calibri"/>
          <w:noProof/>
          <w:szCs w:val="24"/>
        </w:rPr>
        <w:tab/>
        <w:t xml:space="preserve">Barrett PM, Bambury N, Kelly L, Condon R, Crompton J, Sheahan A. Measuring the effectiveness of an automated text messaging active surveillance system for COVID-19 in the south of Ireland, March to April 2020. Euro Surveill </w:t>
      </w:r>
      <w:r w:rsidRPr="001B3AB4">
        <w:rPr>
          <w:rFonts w:ascii="Calibri" w:hAnsi="Calibri" w:cs="Calibri"/>
          <w:b/>
          <w:bCs/>
          <w:noProof/>
          <w:szCs w:val="24"/>
        </w:rPr>
        <w:t>2020</w:t>
      </w:r>
      <w:r w:rsidRPr="001B3AB4">
        <w:rPr>
          <w:rFonts w:ascii="Calibri" w:hAnsi="Calibri" w:cs="Calibri"/>
          <w:noProof/>
          <w:szCs w:val="24"/>
        </w:rPr>
        <w:t xml:space="preserve">; 25. </w:t>
      </w:r>
    </w:p>
    <w:p w14:paraId="179381F3"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91. </w:t>
      </w:r>
      <w:r w:rsidRPr="001B3AB4">
        <w:rPr>
          <w:rFonts w:ascii="Calibri" w:hAnsi="Calibri" w:cs="Calibri"/>
          <w:noProof/>
          <w:szCs w:val="24"/>
        </w:rPr>
        <w:tab/>
        <w:t xml:space="preserve">Ge R, Tian M, Gu Q, et al. The role of close contacts tracking management in COVID-19 prevention: A cluster investigation in Jiaxing, China. J Infect </w:t>
      </w:r>
      <w:r w:rsidRPr="001B3AB4">
        <w:rPr>
          <w:rFonts w:ascii="Calibri" w:hAnsi="Calibri" w:cs="Calibri"/>
          <w:b/>
          <w:bCs/>
          <w:noProof/>
          <w:szCs w:val="24"/>
        </w:rPr>
        <w:t>2020</w:t>
      </w:r>
      <w:r w:rsidRPr="001B3AB4">
        <w:rPr>
          <w:rFonts w:ascii="Calibri" w:hAnsi="Calibri" w:cs="Calibri"/>
          <w:noProof/>
          <w:szCs w:val="24"/>
        </w:rPr>
        <w:t>; 81:e71–e74. Available at: https://pubmed.ncbi.nlm.nih.gov/32268181.</w:t>
      </w:r>
    </w:p>
    <w:p w14:paraId="10ED028C"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92. </w:t>
      </w:r>
      <w:r w:rsidRPr="001B3AB4">
        <w:rPr>
          <w:rFonts w:ascii="Calibri" w:hAnsi="Calibri" w:cs="Calibri"/>
          <w:noProof/>
          <w:szCs w:val="24"/>
        </w:rPr>
        <w:tab/>
        <w:t xml:space="preserve">Han X, Wei X, Alwalid O, et al. Severe Acute Respiratory Syndrome Coronavirus 2 among Asymptomatic Workers Screened for Work Resumption, China. Emerg Infect Dis </w:t>
      </w:r>
      <w:r w:rsidRPr="001B3AB4">
        <w:rPr>
          <w:rFonts w:ascii="Calibri" w:hAnsi="Calibri" w:cs="Calibri"/>
          <w:b/>
          <w:bCs/>
          <w:noProof/>
          <w:szCs w:val="24"/>
        </w:rPr>
        <w:t>2020</w:t>
      </w:r>
      <w:r w:rsidRPr="001B3AB4">
        <w:rPr>
          <w:rFonts w:ascii="Calibri" w:hAnsi="Calibri" w:cs="Calibri"/>
          <w:noProof/>
          <w:szCs w:val="24"/>
        </w:rPr>
        <w:t xml:space="preserve">; 26. </w:t>
      </w:r>
    </w:p>
    <w:p w14:paraId="6F878255"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93. </w:t>
      </w:r>
      <w:r w:rsidRPr="001B3AB4">
        <w:rPr>
          <w:rFonts w:ascii="Calibri" w:hAnsi="Calibri" w:cs="Calibri"/>
          <w:noProof/>
          <w:szCs w:val="24"/>
        </w:rPr>
        <w:tab/>
        <w:t xml:space="preserve">Hong L-X, Lin A, He Z-B, et al. Mask wearing in pre-symptomatic patients prevents SARS-CoV-2 transmission: An epidemiological analysis. Travel Med Infect Dis </w:t>
      </w:r>
      <w:r w:rsidRPr="001B3AB4">
        <w:rPr>
          <w:rFonts w:ascii="Calibri" w:hAnsi="Calibri" w:cs="Calibri"/>
          <w:b/>
          <w:bCs/>
          <w:noProof/>
          <w:szCs w:val="24"/>
        </w:rPr>
        <w:t>2020</w:t>
      </w:r>
      <w:r w:rsidRPr="001B3AB4">
        <w:rPr>
          <w:rFonts w:ascii="Calibri" w:hAnsi="Calibri" w:cs="Calibri"/>
          <w:noProof/>
          <w:szCs w:val="24"/>
        </w:rPr>
        <w:t>; 36:101803. Available at: http://www.sciencedirect.com/science/article/pii/S1477893920302994.</w:t>
      </w:r>
    </w:p>
    <w:p w14:paraId="3C9FF00A"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lastRenderedPageBreak/>
        <w:t xml:space="preserve">94. </w:t>
      </w:r>
      <w:r w:rsidRPr="001B3AB4">
        <w:rPr>
          <w:rFonts w:ascii="Calibri" w:hAnsi="Calibri" w:cs="Calibri"/>
          <w:noProof/>
          <w:szCs w:val="24"/>
        </w:rPr>
        <w:tab/>
        <w:t xml:space="preserve">Jia J, Hu X, Yang F, et al. Epidemiological Characteristics on the Clustering Nature of COVID-19 in Qingdao City, 2020: A Descriptive Analysis. Disaster Med Public Health Prep </w:t>
      </w:r>
      <w:r w:rsidRPr="001B3AB4">
        <w:rPr>
          <w:rFonts w:ascii="Calibri" w:hAnsi="Calibri" w:cs="Calibri"/>
          <w:b/>
          <w:bCs/>
          <w:noProof/>
          <w:szCs w:val="24"/>
        </w:rPr>
        <w:t>2020</w:t>
      </w:r>
      <w:r w:rsidRPr="001B3AB4">
        <w:rPr>
          <w:rFonts w:ascii="Calibri" w:hAnsi="Calibri" w:cs="Calibri"/>
          <w:noProof/>
          <w:szCs w:val="24"/>
        </w:rPr>
        <w:t>; :1–5. Available at: https://pubmed.ncbi.nlm.nih.gov/32228732.</w:t>
      </w:r>
    </w:p>
    <w:p w14:paraId="5EC87E88"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95. </w:t>
      </w:r>
      <w:r w:rsidRPr="001B3AB4">
        <w:rPr>
          <w:rFonts w:ascii="Calibri" w:hAnsi="Calibri" w:cs="Calibri"/>
          <w:noProof/>
          <w:szCs w:val="24"/>
        </w:rPr>
        <w:tab/>
        <w:t xml:space="preserve">Kwok KO, Wong VWY, Wei WI, Wong SYS, Tang JW-T. Epidemiological characteristics of the first 53 laboratory-confirmed cases of COVID-19 epidemic in Hong Kong, 13 February 2020. Eurosurveillance </w:t>
      </w:r>
      <w:r w:rsidRPr="001B3AB4">
        <w:rPr>
          <w:rFonts w:ascii="Calibri" w:hAnsi="Calibri" w:cs="Calibri"/>
          <w:b/>
          <w:bCs/>
          <w:noProof/>
          <w:szCs w:val="24"/>
        </w:rPr>
        <w:t>2020</w:t>
      </w:r>
      <w:r w:rsidRPr="001B3AB4">
        <w:rPr>
          <w:rFonts w:ascii="Calibri" w:hAnsi="Calibri" w:cs="Calibri"/>
          <w:noProof/>
          <w:szCs w:val="24"/>
        </w:rPr>
        <w:t>; 25:2000155. Available at: https://www.eurosurveillance.org/content/10.2807/1560-7917.ES.2020.25.16.2000155.</w:t>
      </w:r>
    </w:p>
    <w:p w14:paraId="4CAB0B83"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96. </w:t>
      </w:r>
      <w:r w:rsidRPr="001B3AB4">
        <w:rPr>
          <w:rFonts w:ascii="Calibri" w:hAnsi="Calibri" w:cs="Calibri"/>
          <w:noProof/>
          <w:szCs w:val="24"/>
        </w:rPr>
        <w:tab/>
        <w:t xml:space="preserve">Liu Z, Chu R, Gong L, Su B, Wu J. The assessment of transmission efficiency and latent infection period on asymptomatic carriers of SARS-CoV-2 infection. Int J Infect Dis </w:t>
      </w:r>
      <w:r w:rsidRPr="001B3AB4">
        <w:rPr>
          <w:rFonts w:ascii="Calibri" w:hAnsi="Calibri" w:cs="Calibri"/>
          <w:b/>
          <w:bCs/>
          <w:noProof/>
          <w:szCs w:val="24"/>
        </w:rPr>
        <w:t>2020</w:t>
      </w:r>
      <w:r w:rsidRPr="001B3AB4">
        <w:rPr>
          <w:rFonts w:ascii="Calibri" w:hAnsi="Calibri" w:cs="Calibri"/>
          <w:noProof/>
          <w:szCs w:val="24"/>
        </w:rPr>
        <w:t>; Available at: http://www.sciencedirect.com/science/article/pii/S1201971220304719.</w:t>
      </w:r>
    </w:p>
    <w:p w14:paraId="58E56DD7"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97. </w:t>
      </w:r>
      <w:r w:rsidRPr="001B3AB4">
        <w:rPr>
          <w:rFonts w:ascii="Calibri" w:hAnsi="Calibri" w:cs="Calibri"/>
          <w:noProof/>
          <w:szCs w:val="24"/>
        </w:rPr>
        <w:tab/>
        <w:t xml:space="preserve">Liu L, Lei X, Xiao X, et al. Epidemiological and Clinical Characteristics of Patients With Coronavirus Disease-2019 in Shiyan City, China. Front Cell Infect Microbiol </w:t>
      </w:r>
      <w:r w:rsidRPr="001B3AB4">
        <w:rPr>
          <w:rFonts w:ascii="Calibri" w:hAnsi="Calibri" w:cs="Calibri"/>
          <w:b/>
          <w:bCs/>
          <w:noProof/>
          <w:szCs w:val="24"/>
        </w:rPr>
        <w:t>2020</w:t>
      </w:r>
      <w:r w:rsidRPr="001B3AB4">
        <w:rPr>
          <w:rFonts w:ascii="Calibri" w:hAnsi="Calibri" w:cs="Calibri"/>
          <w:noProof/>
          <w:szCs w:val="24"/>
        </w:rPr>
        <w:t>; 10:284. Available at: https://pubmed.ncbi.nlm.nih.gov/32574282.</w:t>
      </w:r>
    </w:p>
    <w:p w14:paraId="74B3B55B"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98. </w:t>
      </w:r>
      <w:r w:rsidRPr="001B3AB4">
        <w:rPr>
          <w:rFonts w:ascii="Calibri" w:hAnsi="Calibri" w:cs="Calibri"/>
          <w:noProof/>
          <w:szCs w:val="24"/>
        </w:rPr>
        <w:tab/>
        <w:t xml:space="preserve">Valent F, Gallo T, Mazzolini E, et al. A cluster of COVID-19 cases in a small Italian town: a successful example of contact tracing and swab collection. Clin Microbiol Infect </w:t>
      </w:r>
      <w:r w:rsidRPr="001B3AB4">
        <w:rPr>
          <w:rFonts w:ascii="Calibri" w:hAnsi="Calibri" w:cs="Calibri"/>
          <w:b/>
          <w:bCs/>
          <w:noProof/>
          <w:szCs w:val="24"/>
        </w:rPr>
        <w:t>2020</w:t>
      </w:r>
      <w:r w:rsidRPr="001B3AB4">
        <w:rPr>
          <w:rFonts w:ascii="Calibri" w:hAnsi="Calibri" w:cs="Calibri"/>
          <w:noProof/>
          <w:szCs w:val="24"/>
        </w:rPr>
        <w:t>; 26:1112–1114. Available at: https://pubmed.ncbi.nlm.nih.gov/32344169.</w:t>
      </w:r>
    </w:p>
    <w:p w14:paraId="2D41659C"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szCs w:val="24"/>
        </w:rPr>
      </w:pPr>
      <w:r w:rsidRPr="001B3AB4">
        <w:rPr>
          <w:rFonts w:ascii="Calibri" w:hAnsi="Calibri" w:cs="Calibri"/>
          <w:noProof/>
          <w:szCs w:val="24"/>
        </w:rPr>
        <w:t xml:space="preserve">99. </w:t>
      </w:r>
      <w:r w:rsidRPr="001B3AB4">
        <w:rPr>
          <w:rFonts w:ascii="Calibri" w:hAnsi="Calibri" w:cs="Calibri"/>
          <w:noProof/>
          <w:szCs w:val="24"/>
        </w:rPr>
        <w:tab/>
        <w:t xml:space="preserve">Wong J, Koh WC, Momin RN, Alikhan MF, Fadillah N, Naing L. Probable causes and risk factors for positive SARS-CoV-2 test in recovered patients: Evidence from Brunei Darussalam. medRxiv </w:t>
      </w:r>
      <w:r w:rsidRPr="001B3AB4">
        <w:rPr>
          <w:rFonts w:ascii="Calibri" w:hAnsi="Calibri" w:cs="Calibri"/>
          <w:b/>
          <w:bCs/>
          <w:noProof/>
          <w:szCs w:val="24"/>
        </w:rPr>
        <w:t>2020</w:t>
      </w:r>
      <w:r w:rsidRPr="001B3AB4">
        <w:rPr>
          <w:rFonts w:ascii="Calibri" w:hAnsi="Calibri" w:cs="Calibri"/>
          <w:noProof/>
          <w:szCs w:val="24"/>
        </w:rPr>
        <w:t>; :2020.04.30.20086082. Available at: https://www.medrxiv.org/content/medrxiv/early/2020/05/05/2020.04.30.20086082.full.pdf.</w:t>
      </w:r>
    </w:p>
    <w:p w14:paraId="40E3EDC2" w14:textId="77777777" w:rsidR="001B3AB4" w:rsidRPr="001B3AB4" w:rsidRDefault="001B3AB4" w:rsidP="001B3AB4">
      <w:pPr>
        <w:widowControl w:val="0"/>
        <w:autoSpaceDE w:val="0"/>
        <w:autoSpaceDN w:val="0"/>
        <w:adjustRightInd w:val="0"/>
        <w:spacing w:line="240" w:lineRule="auto"/>
        <w:ind w:left="640" w:hanging="640"/>
        <w:rPr>
          <w:rFonts w:ascii="Calibri" w:hAnsi="Calibri" w:cs="Calibri"/>
          <w:noProof/>
        </w:rPr>
      </w:pPr>
      <w:r w:rsidRPr="001B3AB4">
        <w:rPr>
          <w:rFonts w:ascii="Calibri" w:hAnsi="Calibri" w:cs="Calibri"/>
          <w:noProof/>
          <w:szCs w:val="24"/>
        </w:rPr>
        <w:t xml:space="preserve">100. </w:t>
      </w:r>
      <w:r w:rsidRPr="001B3AB4">
        <w:rPr>
          <w:rFonts w:ascii="Calibri" w:hAnsi="Calibri" w:cs="Calibri"/>
          <w:noProof/>
          <w:szCs w:val="24"/>
        </w:rPr>
        <w:tab/>
        <w:t xml:space="preserve">Zhang HJ, Su YY, Xu SL, et al. Asymptomatic and symptomatic SARS-CoV-2 infections in close contacts of COVID-19 patients: a seroepidemiological study. Clin Infect Dis </w:t>
      </w:r>
      <w:r w:rsidRPr="001B3AB4">
        <w:rPr>
          <w:rFonts w:ascii="Calibri" w:hAnsi="Calibri" w:cs="Calibri"/>
          <w:b/>
          <w:bCs/>
          <w:noProof/>
          <w:szCs w:val="24"/>
        </w:rPr>
        <w:t>2020</w:t>
      </w:r>
      <w:r w:rsidRPr="001B3AB4">
        <w:rPr>
          <w:rFonts w:ascii="Calibri" w:hAnsi="Calibri" w:cs="Calibri"/>
          <w:noProof/>
          <w:szCs w:val="24"/>
        </w:rPr>
        <w:t xml:space="preserve">; </w:t>
      </w:r>
    </w:p>
    <w:p w14:paraId="3AADE24F" w14:textId="29928A68" w:rsidR="00653987" w:rsidRPr="00653987" w:rsidRDefault="007E2DC0" w:rsidP="00653987">
      <w:r>
        <w:fldChar w:fldCharType="end"/>
      </w:r>
    </w:p>
    <w:sectPr w:rsidR="00653987" w:rsidRPr="006539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DB6D3" w14:textId="77777777" w:rsidR="00C4326E" w:rsidRDefault="00C4326E" w:rsidP="00AF7226">
      <w:pPr>
        <w:spacing w:after="0" w:line="240" w:lineRule="auto"/>
      </w:pPr>
      <w:r>
        <w:separator/>
      </w:r>
    </w:p>
  </w:endnote>
  <w:endnote w:type="continuationSeparator" w:id="0">
    <w:p w14:paraId="0E18C9E0" w14:textId="77777777" w:rsidR="00C4326E" w:rsidRDefault="00C4326E" w:rsidP="00AF7226">
      <w:pPr>
        <w:spacing w:after="0" w:line="240" w:lineRule="auto"/>
      </w:pPr>
      <w:r>
        <w:continuationSeparator/>
      </w:r>
    </w:p>
  </w:endnote>
  <w:endnote w:type="continuationNotice" w:id="1">
    <w:p w14:paraId="2E9B7A1C" w14:textId="77777777" w:rsidR="00C4326E" w:rsidRDefault="00C432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6334947"/>
      <w:docPartObj>
        <w:docPartGallery w:val="Page Numbers (Bottom of Page)"/>
        <w:docPartUnique/>
      </w:docPartObj>
    </w:sdtPr>
    <w:sdtEndPr>
      <w:rPr>
        <w:noProof/>
      </w:rPr>
    </w:sdtEndPr>
    <w:sdtContent>
      <w:p w14:paraId="5771E878" w14:textId="61ABBCBC" w:rsidR="000C40FD" w:rsidRDefault="000C40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D8A49C" w14:textId="580874B3" w:rsidR="00A80249" w:rsidRDefault="00A80249" w:rsidP="00A80249">
    <w:pPr>
      <w:pStyle w:val="Footer"/>
      <w:tabs>
        <w:tab w:val="clear" w:pos="4513"/>
        <w:tab w:val="clear" w:pos="9026"/>
        <w:tab w:val="left" w:pos="20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3982402"/>
      <w:docPartObj>
        <w:docPartGallery w:val="Page Numbers (Bottom of Page)"/>
        <w:docPartUnique/>
      </w:docPartObj>
    </w:sdtPr>
    <w:sdtEndPr>
      <w:rPr>
        <w:noProof/>
      </w:rPr>
    </w:sdtEndPr>
    <w:sdtContent>
      <w:p w14:paraId="06BBEAE1" w14:textId="7CD8495A" w:rsidR="000C40FD" w:rsidRDefault="000C40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4378E1" w14:textId="4AAA6A46" w:rsidR="00A80249" w:rsidRDefault="00A80249" w:rsidP="00A80249">
    <w:pPr>
      <w:pStyle w:val="Footer"/>
      <w:tabs>
        <w:tab w:val="clear" w:pos="4513"/>
        <w:tab w:val="clear" w:pos="9026"/>
        <w:tab w:val="left" w:pos="202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3188495"/>
      <w:docPartObj>
        <w:docPartGallery w:val="Page Numbers (Bottom of Page)"/>
        <w:docPartUnique/>
      </w:docPartObj>
    </w:sdtPr>
    <w:sdtEndPr>
      <w:rPr>
        <w:noProof/>
      </w:rPr>
    </w:sdtEndPr>
    <w:sdtContent>
      <w:p w14:paraId="70D2A2E6" w14:textId="788C7992" w:rsidR="002C72A0" w:rsidRDefault="002C72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371A8D" w14:textId="59AA2ECF" w:rsidR="00A80249" w:rsidRDefault="00A80249" w:rsidP="00A80249">
    <w:pPr>
      <w:pStyle w:val="Footer"/>
      <w:tabs>
        <w:tab w:val="clear" w:pos="4513"/>
        <w:tab w:val="clear" w:pos="9026"/>
        <w:tab w:val="left" w:pos="20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C6EE8" w14:textId="77777777" w:rsidR="00C4326E" w:rsidRDefault="00C4326E" w:rsidP="00AF7226">
      <w:pPr>
        <w:spacing w:after="0" w:line="240" w:lineRule="auto"/>
      </w:pPr>
      <w:r>
        <w:separator/>
      </w:r>
    </w:p>
  </w:footnote>
  <w:footnote w:type="continuationSeparator" w:id="0">
    <w:p w14:paraId="1337BC7D" w14:textId="77777777" w:rsidR="00C4326E" w:rsidRDefault="00C4326E" w:rsidP="00AF7226">
      <w:pPr>
        <w:spacing w:after="0" w:line="240" w:lineRule="auto"/>
      </w:pPr>
      <w:r>
        <w:continuationSeparator/>
      </w:r>
    </w:p>
  </w:footnote>
  <w:footnote w:type="continuationNotice" w:id="1">
    <w:p w14:paraId="221495C6" w14:textId="77777777" w:rsidR="00C4326E" w:rsidRDefault="00C432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8C055" w14:textId="72A86527" w:rsidR="00A80249" w:rsidRPr="00A80249" w:rsidRDefault="00A80249" w:rsidP="00A80249">
    <w:pPr>
      <w:tabs>
        <w:tab w:val="left" w:pos="3810"/>
        <w:tab w:val="center" w:pos="4680"/>
        <w:tab w:val="right" w:pos="9360"/>
      </w:tabs>
      <w:rPr>
        <w:rFonts w:ascii="Calibri" w:eastAsia="Arial" w:hAnsi="Calibri" w:cs="Calibri"/>
        <w:i/>
        <w:iCs/>
        <w:color w:val="365F91"/>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24B9B" w14:textId="69563397" w:rsidR="00A80249" w:rsidRPr="00A80249" w:rsidRDefault="00A80249" w:rsidP="00A80249">
    <w:pPr>
      <w:tabs>
        <w:tab w:val="left" w:pos="3810"/>
        <w:tab w:val="center" w:pos="4680"/>
        <w:tab w:val="right" w:pos="9360"/>
      </w:tabs>
      <w:rPr>
        <w:rFonts w:ascii="Calibri" w:eastAsia="Arial" w:hAnsi="Calibri" w:cs="Calibri"/>
        <w:i/>
        <w:iCs/>
        <w:color w:val="365F91"/>
        <w:lang w:eastAsia="ja-JP"/>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14630" w14:textId="56101B4D" w:rsidR="00A80249" w:rsidRPr="00A80249" w:rsidRDefault="00A80249" w:rsidP="00A80249">
    <w:pPr>
      <w:tabs>
        <w:tab w:val="left" w:pos="3810"/>
        <w:tab w:val="center" w:pos="4680"/>
        <w:tab w:val="right" w:pos="9360"/>
      </w:tabs>
      <w:rPr>
        <w:rFonts w:ascii="Calibri" w:eastAsia="Arial" w:hAnsi="Calibri" w:cs="Calibri"/>
        <w:i/>
        <w:iCs/>
        <w:color w:val="365F91"/>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C04D30"/>
    <w:multiLevelType w:val="hybridMultilevel"/>
    <w:tmpl w:val="9304A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40E"/>
    <w:rsid w:val="0000100C"/>
    <w:rsid w:val="00002DBF"/>
    <w:rsid w:val="00005F47"/>
    <w:rsid w:val="0000692E"/>
    <w:rsid w:val="00007185"/>
    <w:rsid w:val="00012244"/>
    <w:rsid w:val="0001629A"/>
    <w:rsid w:val="0002039D"/>
    <w:rsid w:val="000221B4"/>
    <w:rsid w:val="00023ABF"/>
    <w:rsid w:val="00027BE3"/>
    <w:rsid w:val="00035899"/>
    <w:rsid w:val="0003614C"/>
    <w:rsid w:val="0004151B"/>
    <w:rsid w:val="00042071"/>
    <w:rsid w:val="00044187"/>
    <w:rsid w:val="00044467"/>
    <w:rsid w:val="00044E15"/>
    <w:rsid w:val="00047A20"/>
    <w:rsid w:val="00056E47"/>
    <w:rsid w:val="000574F2"/>
    <w:rsid w:val="00060AD8"/>
    <w:rsid w:val="00061AF3"/>
    <w:rsid w:val="00063143"/>
    <w:rsid w:val="000655DA"/>
    <w:rsid w:val="000679AA"/>
    <w:rsid w:val="00072833"/>
    <w:rsid w:val="0007434A"/>
    <w:rsid w:val="00076A64"/>
    <w:rsid w:val="000772D0"/>
    <w:rsid w:val="00080725"/>
    <w:rsid w:val="000813B6"/>
    <w:rsid w:val="00084A14"/>
    <w:rsid w:val="000900D3"/>
    <w:rsid w:val="00097018"/>
    <w:rsid w:val="000A2C84"/>
    <w:rsid w:val="000A32AB"/>
    <w:rsid w:val="000A5233"/>
    <w:rsid w:val="000B39D4"/>
    <w:rsid w:val="000B47AC"/>
    <w:rsid w:val="000B50AB"/>
    <w:rsid w:val="000B5142"/>
    <w:rsid w:val="000B55F0"/>
    <w:rsid w:val="000B611C"/>
    <w:rsid w:val="000C3674"/>
    <w:rsid w:val="000C40B1"/>
    <w:rsid w:val="000C40FD"/>
    <w:rsid w:val="000C65CB"/>
    <w:rsid w:val="000D1FB5"/>
    <w:rsid w:val="000D2B16"/>
    <w:rsid w:val="000E558D"/>
    <w:rsid w:val="000F00DF"/>
    <w:rsid w:val="000F13C3"/>
    <w:rsid w:val="000F327B"/>
    <w:rsid w:val="000F55AA"/>
    <w:rsid w:val="000F6F91"/>
    <w:rsid w:val="00102CC1"/>
    <w:rsid w:val="0010457D"/>
    <w:rsid w:val="00105148"/>
    <w:rsid w:val="00105434"/>
    <w:rsid w:val="00106D11"/>
    <w:rsid w:val="001135A2"/>
    <w:rsid w:val="00116538"/>
    <w:rsid w:val="001173B7"/>
    <w:rsid w:val="00117DEC"/>
    <w:rsid w:val="00120712"/>
    <w:rsid w:val="00120D68"/>
    <w:rsid w:val="00122294"/>
    <w:rsid w:val="00122E7A"/>
    <w:rsid w:val="00124E69"/>
    <w:rsid w:val="00125C2B"/>
    <w:rsid w:val="001323C9"/>
    <w:rsid w:val="00133036"/>
    <w:rsid w:val="00133594"/>
    <w:rsid w:val="00133619"/>
    <w:rsid w:val="00133D3D"/>
    <w:rsid w:val="001354A0"/>
    <w:rsid w:val="001446A8"/>
    <w:rsid w:val="001475D4"/>
    <w:rsid w:val="00150632"/>
    <w:rsid w:val="001516F1"/>
    <w:rsid w:val="00151A75"/>
    <w:rsid w:val="00153218"/>
    <w:rsid w:val="00153DFC"/>
    <w:rsid w:val="001551C3"/>
    <w:rsid w:val="00160A2A"/>
    <w:rsid w:val="00161F1D"/>
    <w:rsid w:val="00164FC0"/>
    <w:rsid w:val="001676EE"/>
    <w:rsid w:val="00167D3B"/>
    <w:rsid w:val="00167DDD"/>
    <w:rsid w:val="00173F8B"/>
    <w:rsid w:val="0017558D"/>
    <w:rsid w:val="00175A70"/>
    <w:rsid w:val="001815C3"/>
    <w:rsid w:val="001819B9"/>
    <w:rsid w:val="00185C74"/>
    <w:rsid w:val="001866ED"/>
    <w:rsid w:val="001909E8"/>
    <w:rsid w:val="00190D3B"/>
    <w:rsid w:val="0019324D"/>
    <w:rsid w:val="00193F6C"/>
    <w:rsid w:val="0019406B"/>
    <w:rsid w:val="0019602A"/>
    <w:rsid w:val="0019685C"/>
    <w:rsid w:val="001A1D6D"/>
    <w:rsid w:val="001A402A"/>
    <w:rsid w:val="001A6530"/>
    <w:rsid w:val="001A65C6"/>
    <w:rsid w:val="001A7922"/>
    <w:rsid w:val="001B02A6"/>
    <w:rsid w:val="001B1379"/>
    <w:rsid w:val="001B3AB4"/>
    <w:rsid w:val="001B401E"/>
    <w:rsid w:val="001B62CD"/>
    <w:rsid w:val="001C11F7"/>
    <w:rsid w:val="001C52B1"/>
    <w:rsid w:val="001C5BB0"/>
    <w:rsid w:val="001C77FA"/>
    <w:rsid w:val="001D1E50"/>
    <w:rsid w:val="001D65CF"/>
    <w:rsid w:val="001E0CDA"/>
    <w:rsid w:val="001E2097"/>
    <w:rsid w:val="001E499D"/>
    <w:rsid w:val="001F31E3"/>
    <w:rsid w:val="001F3689"/>
    <w:rsid w:val="001F3B29"/>
    <w:rsid w:val="001F6CAD"/>
    <w:rsid w:val="001F784E"/>
    <w:rsid w:val="00211106"/>
    <w:rsid w:val="00211D14"/>
    <w:rsid w:val="00217439"/>
    <w:rsid w:val="0022413A"/>
    <w:rsid w:val="0022583E"/>
    <w:rsid w:val="00226F56"/>
    <w:rsid w:val="00233522"/>
    <w:rsid w:val="002360F9"/>
    <w:rsid w:val="002435F0"/>
    <w:rsid w:val="00246C80"/>
    <w:rsid w:val="00247E20"/>
    <w:rsid w:val="00250990"/>
    <w:rsid w:val="00251EA8"/>
    <w:rsid w:val="00252683"/>
    <w:rsid w:val="00253A7B"/>
    <w:rsid w:val="00254DE2"/>
    <w:rsid w:val="0025612E"/>
    <w:rsid w:val="0026017C"/>
    <w:rsid w:val="0026226E"/>
    <w:rsid w:val="00263F99"/>
    <w:rsid w:val="002646AB"/>
    <w:rsid w:val="002663F9"/>
    <w:rsid w:val="00271A60"/>
    <w:rsid w:val="00280C09"/>
    <w:rsid w:val="002815B3"/>
    <w:rsid w:val="00284ED4"/>
    <w:rsid w:val="00286709"/>
    <w:rsid w:val="002869FA"/>
    <w:rsid w:val="0028760E"/>
    <w:rsid w:val="00287BF1"/>
    <w:rsid w:val="002908B5"/>
    <w:rsid w:val="002929D8"/>
    <w:rsid w:val="00295BDC"/>
    <w:rsid w:val="002A1C71"/>
    <w:rsid w:val="002A7525"/>
    <w:rsid w:val="002B29B0"/>
    <w:rsid w:val="002B2B5E"/>
    <w:rsid w:val="002B4D36"/>
    <w:rsid w:val="002B63B0"/>
    <w:rsid w:val="002C1A84"/>
    <w:rsid w:val="002C6B7A"/>
    <w:rsid w:val="002C72A0"/>
    <w:rsid w:val="002D058F"/>
    <w:rsid w:val="002D5EEC"/>
    <w:rsid w:val="002D7813"/>
    <w:rsid w:val="002E1F1F"/>
    <w:rsid w:val="002E22BD"/>
    <w:rsid w:val="002E4C54"/>
    <w:rsid w:val="002E6D7F"/>
    <w:rsid w:val="002F40CF"/>
    <w:rsid w:val="002F57A9"/>
    <w:rsid w:val="002F6691"/>
    <w:rsid w:val="00303169"/>
    <w:rsid w:val="003068AB"/>
    <w:rsid w:val="0030762C"/>
    <w:rsid w:val="00313EDC"/>
    <w:rsid w:val="00323EA9"/>
    <w:rsid w:val="00324A63"/>
    <w:rsid w:val="003276DA"/>
    <w:rsid w:val="003334ED"/>
    <w:rsid w:val="003370E9"/>
    <w:rsid w:val="00345429"/>
    <w:rsid w:val="00347599"/>
    <w:rsid w:val="00347CC0"/>
    <w:rsid w:val="003505F4"/>
    <w:rsid w:val="0035071D"/>
    <w:rsid w:val="00350B68"/>
    <w:rsid w:val="0035231A"/>
    <w:rsid w:val="0035338B"/>
    <w:rsid w:val="003550D0"/>
    <w:rsid w:val="00355B44"/>
    <w:rsid w:val="00360185"/>
    <w:rsid w:val="00362073"/>
    <w:rsid w:val="00362219"/>
    <w:rsid w:val="00363F00"/>
    <w:rsid w:val="0036406C"/>
    <w:rsid w:val="00364858"/>
    <w:rsid w:val="00366080"/>
    <w:rsid w:val="003669BB"/>
    <w:rsid w:val="00371DD8"/>
    <w:rsid w:val="0038776B"/>
    <w:rsid w:val="00387922"/>
    <w:rsid w:val="00390E9A"/>
    <w:rsid w:val="00397195"/>
    <w:rsid w:val="003A59EF"/>
    <w:rsid w:val="003A5F54"/>
    <w:rsid w:val="003A60B4"/>
    <w:rsid w:val="003B007B"/>
    <w:rsid w:val="003B0894"/>
    <w:rsid w:val="003B48DD"/>
    <w:rsid w:val="003B4B15"/>
    <w:rsid w:val="003B5FBF"/>
    <w:rsid w:val="003B75D8"/>
    <w:rsid w:val="003C0803"/>
    <w:rsid w:val="003C2565"/>
    <w:rsid w:val="003C2E14"/>
    <w:rsid w:val="003C4167"/>
    <w:rsid w:val="003C651B"/>
    <w:rsid w:val="003D1E7F"/>
    <w:rsid w:val="003E5B00"/>
    <w:rsid w:val="003E7E51"/>
    <w:rsid w:val="003F4255"/>
    <w:rsid w:val="003F5FA4"/>
    <w:rsid w:val="003F7DDB"/>
    <w:rsid w:val="0040492A"/>
    <w:rsid w:val="0040640E"/>
    <w:rsid w:val="00406551"/>
    <w:rsid w:val="004108A5"/>
    <w:rsid w:val="00410ABF"/>
    <w:rsid w:val="004112DF"/>
    <w:rsid w:val="0041155E"/>
    <w:rsid w:val="0042256A"/>
    <w:rsid w:val="00427546"/>
    <w:rsid w:val="004474D2"/>
    <w:rsid w:val="004503D3"/>
    <w:rsid w:val="00461E47"/>
    <w:rsid w:val="00462757"/>
    <w:rsid w:val="00463F8E"/>
    <w:rsid w:val="00464F86"/>
    <w:rsid w:val="00473097"/>
    <w:rsid w:val="00475474"/>
    <w:rsid w:val="00475556"/>
    <w:rsid w:val="004800C1"/>
    <w:rsid w:val="00483329"/>
    <w:rsid w:val="0048382E"/>
    <w:rsid w:val="00485408"/>
    <w:rsid w:val="004867FA"/>
    <w:rsid w:val="00486BB5"/>
    <w:rsid w:val="00487707"/>
    <w:rsid w:val="004910C6"/>
    <w:rsid w:val="00492025"/>
    <w:rsid w:val="004A2392"/>
    <w:rsid w:val="004B56DA"/>
    <w:rsid w:val="004C12DD"/>
    <w:rsid w:val="004C1E16"/>
    <w:rsid w:val="004C3B79"/>
    <w:rsid w:val="004D4039"/>
    <w:rsid w:val="004D46A4"/>
    <w:rsid w:val="004D546D"/>
    <w:rsid w:val="004D6045"/>
    <w:rsid w:val="004E647B"/>
    <w:rsid w:val="004E7F1D"/>
    <w:rsid w:val="004F140D"/>
    <w:rsid w:val="004F19EF"/>
    <w:rsid w:val="004F2421"/>
    <w:rsid w:val="004F34A5"/>
    <w:rsid w:val="004F414F"/>
    <w:rsid w:val="00501022"/>
    <w:rsid w:val="00503538"/>
    <w:rsid w:val="005078D2"/>
    <w:rsid w:val="005113B4"/>
    <w:rsid w:val="00511582"/>
    <w:rsid w:val="0051253B"/>
    <w:rsid w:val="00516DCE"/>
    <w:rsid w:val="00521233"/>
    <w:rsid w:val="00525706"/>
    <w:rsid w:val="00526600"/>
    <w:rsid w:val="005273B3"/>
    <w:rsid w:val="005306C8"/>
    <w:rsid w:val="00532C83"/>
    <w:rsid w:val="005359CD"/>
    <w:rsid w:val="00536996"/>
    <w:rsid w:val="0053787D"/>
    <w:rsid w:val="00540114"/>
    <w:rsid w:val="00541F33"/>
    <w:rsid w:val="005460EB"/>
    <w:rsid w:val="005522A9"/>
    <w:rsid w:val="00554192"/>
    <w:rsid w:val="005549B1"/>
    <w:rsid w:val="00555C77"/>
    <w:rsid w:val="005563E0"/>
    <w:rsid w:val="00557901"/>
    <w:rsid w:val="0056216A"/>
    <w:rsid w:val="0056233E"/>
    <w:rsid w:val="0056560A"/>
    <w:rsid w:val="00570D01"/>
    <w:rsid w:val="00570FFB"/>
    <w:rsid w:val="00571972"/>
    <w:rsid w:val="00573AE2"/>
    <w:rsid w:val="0057443A"/>
    <w:rsid w:val="00576687"/>
    <w:rsid w:val="005778CA"/>
    <w:rsid w:val="00585E18"/>
    <w:rsid w:val="00586263"/>
    <w:rsid w:val="0059055D"/>
    <w:rsid w:val="00591D5B"/>
    <w:rsid w:val="00593198"/>
    <w:rsid w:val="00596DFC"/>
    <w:rsid w:val="005A0998"/>
    <w:rsid w:val="005B5B4D"/>
    <w:rsid w:val="005B5D08"/>
    <w:rsid w:val="005B6D1C"/>
    <w:rsid w:val="005C0650"/>
    <w:rsid w:val="005C0D1A"/>
    <w:rsid w:val="005C2A45"/>
    <w:rsid w:val="005C7299"/>
    <w:rsid w:val="005D20E9"/>
    <w:rsid w:val="005D2B84"/>
    <w:rsid w:val="005D63A5"/>
    <w:rsid w:val="005D6E6E"/>
    <w:rsid w:val="005D71FA"/>
    <w:rsid w:val="005E3A55"/>
    <w:rsid w:val="005E3C72"/>
    <w:rsid w:val="005E40EF"/>
    <w:rsid w:val="005E7A9E"/>
    <w:rsid w:val="005F04F8"/>
    <w:rsid w:val="005F37AD"/>
    <w:rsid w:val="005F3A5F"/>
    <w:rsid w:val="005F47A7"/>
    <w:rsid w:val="005F52AA"/>
    <w:rsid w:val="005F6479"/>
    <w:rsid w:val="005F6A7A"/>
    <w:rsid w:val="00602D04"/>
    <w:rsid w:val="00602FA1"/>
    <w:rsid w:val="00605766"/>
    <w:rsid w:val="0060796D"/>
    <w:rsid w:val="0061669B"/>
    <w:rsid w:val="0062457B"/>
    <w:rsid w:val="00635116"/>
    <w:rsid w:val="0063799E"/>
    <w:rsid w:val="0064008B"/>
    <w:rsid w:val="00646A5E"/>
    <w:rsid w:val="00652C9C"/>
    <w:rsid w:val="00653987"/>
    <w:rsid w:val="00654BEC"/>
    <w:rsid w:val="00655D41"/>
    <w:rsid w:val="0065620F"/>
    <w:rsid w:val="00656BE1"/>
    <w:rsid w:val="00665AEE"/>
    <w:rsid w:val="006662F7"/>
    <w:rsid w:val="0067067C"/>
    <w:rsid w:val="00671B54"/>
    <w:rsid w:val="00672DA8"/>
    <w:rsid w:val="00681C7F"/>
    <w:rsid w:val="006852D7"/>
    <w:rsid w:val="00686F86"/>
    <w:rsid w:val="00692D19"/>
    <w:rsid w:val="00694B5D"/>
    <w:rsid w:val="006A2FFE"/>
    <w:rsid w:val="006A7DF6"/>
    <w:rsid w:val="006C15AF"/>
    <w:rsid w:val="006C1E79"/>
    <w:rsid w:val="006C5F38"/>
    <w:rsid w:val="006C6D03"/>
    <w:rsid w:val="006C7EB0"/>
    <w:rsid w:val="006D19DB"/>
    <w:rsid w:val="006D4B68"/>
    <w:rsid w:val="006D5BD9"/>
    <w:rsid w:val="006D7E39"/>
    <w:rsid w:val="006E7256"/>
    <w:rsid w:val="006F0527"/>
    <w:rsid w:val="006F7F05"/>
    <w:rsid w:val="00700712"/>
    <w:rsid w:val="00702F9E"/>
    <w:rsid w:val="00704140"/>
    <w:rsid w:val="00704342"/>
    <w:rsid w:val="007048D1"/>
    <w:rsid w:val="00714C0E"/>
    <w:rsid w:val="0072279E"/>
    <w:rsid w:val="0073340B"/>
    <w:rsid w:val="0073521B"/>
    <w:rsid w:val="00737300"/>
    <w:rsid w:val="007411DF"/>
    <w:rsid w:val="00745233"/>
    <w:rsid w:val="00745F46"/>
    <w:rsid w:val="007538F9"/>
    <w:rsid w:val="0076323E"/>
    <w:rsid w:val="00767A49"/>
    <w:rsid w:val="00770785"/>
    <w:rsid w:val="0077119D"/>
    <w:rsid w:val="00771855"/>
    <w:rsid w:val="00771E3D"/>
    <w:rsid w:val="00771F21"/>
    <w:rsid w:val="00774516"/>
    <w:rsid w:val="0077458B"/>
    <w:rsid w:val="00775156"/>
    <w:rsid w:val="00776771"/>
    <w:rsid w:val="00782CEB"/>
    <w:rsid w:val="00783AF1"/>
    <w:rsid w:val="00784EAC"/>
    <w:rsid w:val="007863EB"/>
    <w:rsid w:val="00791726"/>
    <w:rsid w:val="007934F2"/>
    <w:rsid w:val="007951B1"/>
    <w:rsid w:val="00796A55"/>
    <w:rsid w:val="00796B97"/>
    <w:rsid w:val="007A4C08"/>
    <w:rsid w:val="007B13AC"/>
    <w:rsid w:val="007B1730"/>
    <w:rsid w:val="007B3CEB"/>
    <w:rsid w:val="007B5DFC"/>
    <w:rsid w:val="007C48BB"/>
    <w:rsid w:val="007C6E44"/>
    <w:rsid w:val="007D02DA"/>
    <w:rsid w:val="007D1A43"/>
    <w:rsid w:val="007D5EC5"/>
    <w:rsid w:val="007D63A5"/>
    <w:rsid w:val="007E2DC0"/>
    <w:rsid w:val="007F05F7"/>
    <w:rsid w:val="0080122D"/>
    <w:rsid w:val="008013FB"/>
    <w:rsid w:val="00804CB8"/>
    <w:rsid w:val="00805939"/>
    <w:rsid w:val="00811065"/>
    <w:rsid w:val="00811A64"/>
    <w:rsid w:val="00813230"/>
    <w:rsid w:val="008145A7"/>
    <w:rsid w:val="0081581D"/>
    <w:rsid w:val="00815E8F"/>
    <w:rsid w:val="008170EF"/>
    <w:rsid w:val="00820655"/>
    <w:rsid w:val="008208BF"/>
    <w:rsid w:val="00821B78"/>
    <w:rsid w:val="00822DE6"/>
    <w:rsid w:val="008249F1"/>
    <w:rsid w:val="00830208"/>
    <w:rsid w:val="008308F0"/>
    <w:rsid w:val="00831E5C"/>
    <w:rsid w:val="00834679"/>
    <w:rsid w:val="00837AA8"/>
    <w:rsid w:val="00861FF5"/>
    <w:rsid w:val="00866A44"/>
    <w:rsid w:val="00867B22"/>
    <w:rsid w:val="008708BE"/>
    <w:rsid w:val="00873EAD"/>
    <w:rsid w:val="00875684"/>
    <w:rsid w:val="00877AA3"/>
    <w:rsid w:val="0088199A"/>
    <w:rsid w:val="00883280"/>
    <w:rsid w:val="00884FF2"/>
    <w:rsid w:val="00887C10"/>
    <w:rsid w:val="00890C98"/>
    <w:rsid w:val="008911E6"/>
    <w:rsid w:val="008933A8"/>
    <w:rsid w:val="00897865"/>
    <w:rsid w:val="008A1A87"/>
    <w:rsid w:val="008A4DB7"/>
    <w:rsid w:val="008A54F3"/>
    <w:rsid w:val="008A6B79"/>
    <w:rsid w:val="008A6CA3"/>
    <w:rsid w:val="008B1154"/>
    <w:rsid w:val="008B15B3"/>
    <w:rsid w:val="008B16AB"/>
    <w:rsid w:val="008B3137"/>
    <w:rsid w:val="008B4937"/>
    <w:rsid w:val="008B595F"/>
    <w:rsid w:val="008B7684"/>
    <w:rsid w:val="008C1637"/>
    <w:rsid w:val="008C1C24"/>
    <w:rsid w:val="008C2E53"/>
    <w:rsid w:val="008C4D21"/>
    <w:rsid w:val="008D02D3"/>
    <w:rsid w:val="008D52F5"/>
    <w:rsid w:val="008D79BF"/>
    <w:rsid w:val="008E1B03"/>
    <w:rsid w:val="008E1DF1"/>
    <w:rsid w:val="008E2025"/>
    <w:rsid w:val="008E7E2B"/>
    <w:rsid w:val="008F0152"/>
    <w:rsid w:val="008F2252"/>
    <w:rsid w:val="00902426"/>
    <w:rsid w:val="009026C8"/>
    <w:rsid w:val="0090299D"/>
    <w:rsid w:val="00907DF6"/>
    <w:rsid w:val="00914971"/>
    <w:rsid w:val="00916AF7"/>
    <w:rsid w:val="00920509"/>
    <w:rsid w:val="00921944"/>
    <w:rsid w:val="00922450"/>
    <w:rsid w:val="0092253B"/>
    <w:rsid w:val="00922966"/>
    <w:rsid w:val="00924141"/>
    <w:rsid w:val="00924CEE"/>
    <w:rsid w:val="00924E25"/>
    <w:rsid w:val="00927469"/>
    <w:rsid w:val="0092786B"/>
    <w:rsid w:val="00943CC8"/>
    <w:rsid w:val="009464DB"/>
    <w:rsid w:val="009531FB"/>
    <w:rsid w:val="0095696A"/>
    <w:rsid w:val="00960467"/>
    <w:rsid w:val="009614D1"/>
    <w:rsid w:val="00961514"/>
    <w:rsid w:val="00961DEC"/>
    <w:rsid w:val="00975EE1"/>
    <w:rsid w:val="00975F7E"/>
    <w:rsid w:val="00976ED5"/>
    <w:rsid w:val="00986654"/>
    <w:rsid w:val="00996D1C"/>
    <w:rsid w:val="00996F4B"/>
    <w:rsid w:val="009A09A3"/>
    <w:rsid w:val="009A6104"/>
    <w:rsid w:val="009A63B7"/>
    <w:rsid w:val="009B02D9"/>
    <w:rsid w:val="009B1721"/>
    <w:rsid w:val="009B1F01"/>
    <w:rsid w:val="009B7D54"/>
    <w:rsid w:val="009C0407"/>
    <w:rsid w:val="009C0CF9"/>
    <w:rsid w:val="009C14A9"/>
    <w:rsid w:val="009C3FF3"/>
    <w:rsid w:val="009D2121"/>
    <w:rsid w:val="009D5616"/>
    <w:rsid w:val="009D5F89"/>
    <w:rsid w:val="009D6F4B"/>
    <w:rsid w:val="009E09F8"/>
    <w:rsid w:val="009E0A02"/>
    <w:rsid w:val="009E0D04"/>
    <w:rsid w:val="009E49DD"/>
    <w:rsid w:val="009F1DD8"/>
    <w:rsid w:val="009F21E5"/>
    <w:rsid w:val="009F2B3D"/>
    <w:rsid w:val="009F4936"/>
    <w:rsid w:val="009F4C38"/>
    <w:rsid w:val="009F733F"/>
    <w:rsid w:val="009F795D"/>
    <w:rsid w:val="00A00A03"/>
    <w:rsid w:val="00A01023"/>
    <w:rsid w:val="00A0298E"/>
    <w:rsid w:val="00A12A22"/>
    <w:rsid w:val="00A1795D"/>
    <w:rsid w:val="00A17F0F"/>
    <w:rsid w:val="00A31DE6"/>
    <w:rsid w:val="00A33FC1"/>
    <w:rsid w:val="00A34BF5"/>
    <w:rsid w:val="00A35ED1"/>
    <w:rsid w:val="00A37465"/>
    <w:rsid w:val="00A37D73"/>
    <w:rsid w:val="00A42331"/>
    <w:rsid w:val="00A43827"/>
    <w:rsid w:val="00A45525"/>
    <w:rsid w:val="00A46597"/>
    <w:rsid w:val="00A528B3"/>
    <w:rsid w:val="00A54203"/>
    <w:rsid w:val="00A555E0"/>
    <w:rsid w:val="00A5565E"/>
    <w:rsid w:val="00A64996"/>
    <w:rsid w:val="00A67E1C"/>
    <w:rsid w:val="00A7236F"/>
    <w:rsid w:val="00A731B1"/>
    <w:rsid w:val="00A76378"/>
    <w:rsid w:val="00A80249"/>
    <w:rsid w:val="00A80367"/>
    <w:rsid w:val="00A93CAE"/>
    <w:rsid w:val="00A9469E"/>
    <w:rsid w:val="00A94D3E"/>
    <w:rsid w:val="00A957DD"/>
    <w:rsid w:val="00A95F1C"/>
    <w:rsid w:val="00A96094"/>
    <w:rsid w:val="00A96C2A"/>
    <w:rsid w:val="00AA172B"/>
    <w:rsid w:val="00AA5DCE"/>
    <w:rsid w:val="00AA7CB7"/>
    <w:rsid w:val="00AB270D"/>
    <w:rsid w:val="00AB47D3"/>
    <w:rsid w:val="00AB6501"/>
    <w:rsid w:val="00AC05A9"/>
    <w:rsid w:val="00AC1807"/>
    <w:rsid w:val="00AC4431"/>
    <w:rsid w:val="00AC51A7"/>
    <w:rsid w:val="00AC58EC"/>
    <w:rsid w:val="00AD3103"/>
    <w:rsid w:val="00AE0B49"/>
    <w:rsid w:val="00AE4FB4"/>
    <w:rsid w:val="00AF41FE"/>
    <w:rsid w:val="00AF487A"/>
    <w:rsid w:val="00AF7226"/>
    <w:rsid w:val="00B058AB"/>
    <w:rsid w:val="00B11A8D"/>
    <w:rsid w:val="00B1497E"/>
    <w:rsid w:val="00B164BC"/>
    <w:rsid w:val="00B20AD6"/>
    <w:rsid w:val="00B22D65"/>
    <w:rsid w:val="00B2349F"/>
    <w:rsid w:val="00B2650E"/>
    <w:rsid w:val="00B32BCB"/>
    <w:rsid w:val="00B419E1"/>
    <w:rsid w:val="00B419EF"/>
    <w:rsid w:val="00B45106"/>
    <w:rsid w:val="00B568AF"/>
    <w:rsid w:val="00B65C17"/>
    <w:rsid w:val="00B76C46"/>
    <w:rsid w:val="00B802CE"/>
    <w:rsid w:val="00B808A2"/>
    <w:rsid w:val="00B80D7A"/>
    <w:rsid w:val="00B82584"/>
    <w:rsid w:val="00B84973"/>
    <w:rsid w:val="00B90EAA"/>
    <w:rsid w:val="00B91EFD"/>
    <w:rsid w:val="00B93391"/>
    <w:rsid w:val="00B94AAD"/>
    <w:rsid w:val="00BA208D"/>
    <w:rsid w:val="00BA4DFD"/>
    <w:rsid w:val="00BB185E"/>
    <w:rsid w:val="00BB4277"/>
    <w:rsid w:val="00BB775C"/>
    <w:rsid w:val="00BB784F"/>
    <w:rsid w:val="00BC0E0A"/>
    <w:rsid w:val="00BC14FD"/>
    <w:rsid w:val="00BC1D1E"/>
    <w:rsid w:val="00BC5314"/>
    <w:rsid w:val="00BC78A7"/>
    <w:rsid w:val="00BD00A1"/>
    <w:rsid w:val="00BD3EA7"/>
    <w:rsid w:val="00BD79EE"/>
    <w:rsid w:val="00BE0B99"/>
    <w:rsid w:val="00BE1C6E"/>
    <w:rsid w:val="00BE781E"/>
    <w:rsid w:val="00C011D9"/>
    <w:rsid w:val="00C0722B"/>
    <w:rsid w:val="00C14C75"/>
    <w:rsid w:val="00C15981"/>
    <w:rsid w:val="00C165D5"/>
    <w:rsid w:val="00C16996"/>
    <w:rsid w:val="00C205C3"/>
    <w:rsid w:val="00C22C26"/>
    <w:rsid w:val="00C23396"/>
    <w:rsid w:val="00C25AC0"/>
    <w:rsid w:val="00C30156"/>
    <w:rsid w:val="00C30514"/>
    <w:rsid w:val="00C32969"/>
    <w:rsid w:val="00C32EC3"/>
    <w:rsid w:val="00C33745"/>
    <w:rsid w:val="00C4326E"/>
    <w:rsid w:val="00C46A5F"/>
    <w:rsid w:val="00C47B2B"/>
    <w:rsid w:val="00C52415"/>
    <w:rsid w:val="00C52A9F"/>
    <w:rsid w:val="00C5441B"/>
    <w:rsid w:val="00C77729"/>
    <w:rsid w:val="00C77E4A"/>
    <w:rsid w:val="00C80941"/>
    <w:rsid w:val="00C81358"/>
    <w:rsid w:val="00C828FD"/>
    <w:rsid w:val="00C83B75"/>
    <w:rsid w:val="00C84BA5"/>
    <w:rsid w:val="00C86DAE"/>
    <w:rsid w:val="00C87E31"/>
    <w:rsid w:val="00C94097"/>
    <w:rsid w:val="00CA0CAB"/>
    <w:rsid w:val="00CA1F75"/>
    <w:rsid w:val="00CA443B"/>
    <w:rsid w:val="00CA5A63"/>
    <w:rsid w:val="00CB1A23"/>
    <w:rsid w:val="00CB478C"/>
    <w:rsid w:val="00CB6AC0"/>
    <w:rsid w:val="00CC3750"/>
    <w:rsid w:val="00CD0DB3"/>
    <w:rsid w:val="00CD1E08"/>
    <w:rsid w:val="00CD2CAC"/>
    <w:rsid w:val="00CD3624"/>
    <w:rsid w:val="00CE1553"/>
    <w:rsid w:val="00CE2107"/>
    <w:rsid w:val="00CE23FF"/>
    <w:rsid w:val="00CF0584"/>
    <w:rsid w:val="00CF0D27"/>
    <w:rsid w:val="00CF4ED7"/>
    <w:rsid w:val="00CF5669"/>
    <w:rsid w:val="00CF693C"/>
    <w:rsid w:val="00D030E6"/>
    <w:rsid w:val="00D039D5"/>
    <w:rsid w:val="00D103D7"/>
    <w:rsid w:val="00D1488F"/>
    <w:rsid w:val="00D15513"/>
    <w:rsid w:val="00D17082"/>
    <w:rsid w:val="00D203C8"/>
    <w:rsid w:val="00D2057D"/>
    <w:rsid w:val="00D2671E"/>
    <w:rsid w:val="00D316DB"/>
    <w:rsid w:val="00D3255E"/>
    <w:rsid w:val="00D327B2"/>
    <w:rsid w:val="00D36DE9"/>
    <w:rsid w:val="00D37386"/>
    <w:rsid w:val="00D42C43"/>
    <w:rsid w:val="00D44705"/>
    <w:rsid w:val="00D46D3F"/>
    <w:rsid w:val="00D47117"/>
    <w:rsid w:val="00D50123"/>
    <w:rsid w:val="00D53344"/>
    <w:rsid w:val="00D536AF"/>
    <w:rsid w:val="00D5543F"/>
    <w:rsid w:val="00D55441"/>
    <w:rsid w:val="00D56151"/>
    <w:rsid w:val="00D60926"/>
    <w:rsid w:val="00D64645"/>
    <w:rsid w:val="00D6684A"/>
    <w:rsid w:val="00D7097F"/>
    <w:rsid w:val="00D72DF4"/>
    <w:rsid w:val="00D74DC1"/>
    <w:rsid w:val="00D7746F"/>
    <w:rsid w:val="00D825AF"/>
    <w:rsid w:val="00D82C2C"/>
    <w:rsid w:val="00D86FEF"/>
    <w:rsid w:val="00D922BE"/>
    <w:rsid w:val="00D924C2"/>
    <w:rsid w:val="00D9318A"/>
    <w:rsid w:val="00D9380C"/>
    <w:rsid w:val="00D96235"/>
    <w:rsid w:val="00D97802"/>
    <w:rsid w:val="00DA5ED4"/>
    <w:rsid w:val="00DB37A6"/>
    <w:rsid w:val="00DB3A57"/>
    <w:rsid w:val="00DC0A95"/>
    <w:rsid w:val="00DC3B8D"/>
    <w:rsid w:val="00DC5F62"/>
    <w:rsid w:val="00DC678B"/>
    <w:rsid w:val="00DD089B"/>
    <w:rsid w:val="00DD4DFE"/>
    <w:rsid w:val="00DE43A9"/>
    <w:rsid w:val="00DE4ED5"/>
    <w:rsid w:val="00DE5878"/>
    <w:rsid w:val="00DE61CC"/>
    <w:rsid w:val="00DF1F8E"/>
    <w:rsid w:val="00DF5A68"/>
    <w:rsid w:val="00DF64A4"/>
    <w:rsid w:val="00DF6A40"/>
    <w:rsid w:val="00DF7AEC"/>
    <w:rsid w:val="00E00F99"/>
    <w:rsid w:val="00E01B96"/>
    <w:rsid w:val="00E066BE"/>
    <w:rsid w:val="00E07BB7"/>
    <w:rsid w:val="00E1156A"/>
    <w:rsid w:val="00E147AB"/>
    <w:rsid w:val="00E16332"/>
    <w:rsid w:val="00E168D5"/>
    <w:rsid w:val="00E21C43"/>
    <w:rsid w:val="00E22BD4"/>
    <w:rsid w:val="00E23CEC"/>
    <w:rsid w:val="00E243BE"/>
    <w:rsid w:val="00E24C59"/>
    <w:rsid w:val="00E307FF"/>
    <w:rsid w:val="00E3315B"/>
    <w:rsid w:val="00E34611"/>
    <w:rsid w:val="00E413DE"/>
    <w:rsid w:val="00E451F7"/>
    <w:rsid w:val="00E57F9C"/>
    <w:rsid w:val="00E60648"/>
    <w:rsid w:val="00E63CA2"/>
    <w:rsid w:val="00E655CB"/>
    <w:rsid w:val="00E65D2E"/>
    <w:rsid w:val="00E677EF"/>
    <w:rsid w:val="00E77573"/>
    <w:rsid w:val="00E81B49"/>
    <w:rsid w:val="00E87ECE"/>
    <w:rsid w:val="00E91E13"/>
    <w:rsid w:val="00E95A4B"/>
    <w:rsid w:val="00E96AD9"/>
    <w:rsid w:val="00EA00F4"/>
    <w:rsid w:val="00EA3512"/>
    <w:rsid w:val="00EA66D3"/>
    <w:rsid w:val="00EB06B5"/>
    <w:rsid w:val="00EB25A7"/>
    <w:rsid w:val="00EB40F2"/>
    <w:rsid w:val="00EB5CDE"/>
    <w:rsid w:val="00EB6162"/>
    <w:rsid w:val="00EB7300"/>
    <w:rsid w:val="00EC66DD"/>
    <w:rsid w:val="00EC738B"/>
    <w:rsid w:val="00ED0E62"/>
    <w:rsid w:val="00ED25A6"/>
    <w:rsid w:val="00ED3679"/>
    <w:rsid w:val="00ED69B5"/>
    <w:rsid w:val="00ED6D60"/>
    <w:rsid w:val="00EE2B36"/>
    <w:rsid w:val="00EF6D1B"/>
    <w:rsid w:val="00EF7133"/>
    <w:rsid w:val="00F008CB"/>
    <w:rsid w:val="00F02A6E"/>
    <w:rsid w:val="00F1394A"/>
    <w:rsid w:val="00F20D5F"/>
    <w:rsid w:val="00F234B2"/>
    <w:rsid w:val="00F23926"/>
    <w:rsid w:val="00F25EA5"/>
    <w:rsid w:val="00F264AC"/>
    <w:rsid w:val="00F318EE"/>
    <w:rsid w:val="00F3271C"/>
    <w:rsid w:val="00F3304F"/>
    <w:rsid w:val="00F40BBE"/>
    <w:rsid w:val="00F419D8"/>
    <w:rsid w:val="00F44A91"/>
    <w:rsid w:val="00F478BF"/>
    <w:rsid w:val="00F506EC"/>
    <w:rsid w:val="00F51254"/>
    <w:rsid w:val="00F539BE"/>
    <w:rsid w:val="00F57880"/>
    <w:rsid w:val="00F60C07"/>
    <w:rsid w:val="00F6133A"/>
    <w:rsid w:val="00F63E47"/>
    <w:rsid w:val="00F6420B"/>
    <w:rsid w:val="00F70993"/>
    <w:rsid w:val="00F72BBB"/>
    <w:rsid w:val="00F735C7"/>
    <w:rsid w:val="00F738DA"/>
    <w:rsid w:val="00F7434F"/>
    <w:rsid w:val="00F90771"/>
    <w:rsid w:val="00F91D8E"/>
    <w:rsid w:val="00F9361F"/>
    <w:rsid w:val="00F93770"/>
    <w:rsid w:val="00F93ADE"/>
    <w:rsid w:val="00F950AD"/>
    <w:rsid w:val="00F958E1"/>
    <w:rsid w:val="00F959B0"/>
    <w:rsid w:val="00FA2BD9"/>
    <w:rsid w:val="00FA5A42"/>
    <w:rsid w:val="00FA642B"/>
    <w:rsid w:val="00FA74AE"/>
    <w:rsid w:val="00FB6A0C"/>
    <w:rsid w:val="00FC00AB"/>
    <w:rsid w:val="00FC15CB"/>
    <w:rsid w:val="00FC4D52"/>
    <w:rsid w:val="00FC6036"/>
    <w:rsid w:val="00FC6D3F"/>
    <w:rsid w:val="00FD3032"/>
    <w:rsid w:val="00FD4320"/>
    <w:rsid w:val="00FE0F1B"/>
    <w:rsid w:val="00FE666A"/>
    <w:rsid w:val="00FF21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B35CE"/>
  <w15:chartTrackingRefBased/>
  <w15:docId w15:val="{B5119F19-EDBF-4C59-85FA-DF9E88077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F3689"/>
    <w:pPr>
      <w:keepNext/>
      <w:keepLines/>
      <w:spacing w:before="40" w:after="0"/>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4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40E"/>
    <w:rPr>
      <w:rFonts w:ascii="Segoe UI" w:hAnsi="Segoe UI" w:cs="Segoe UI"/>
      <w:sz w:val="18"/>
      <w:szCs w:val="18"/>
    </w:rPr>
  </w:style>
  <w:style w:type="paragraph" w:styleId="Caption">
    <w:name w:val="caption"/>
    <w:basedOn w:val="Normal"/>
    <w:next w:val="Normal"/>
    <w:uiPriority w:val="35"/>
    <w:unhideWhenUsed/>
    <w:qFormat/>
    <w:rsid w:val="0040640E"/>
    <w:pPr>
      <w:spacing w:after="200" w:line="240" w:lineRule="auto"/>
      <w:jc w:val="both"/>
    </w:pPr>
    <w:rPr>
      <w:i/>
      <w:iCs/>
      <w:color w:val="44546A" w:themeColor="text2"/>
      <w:sz w:val="18"/>
      <w:szCs w:val="18"/>
    </w:rPr>
  </w:style>
  <w:style w:type="character" w:styleId="CommentReference">
    <w:name w:val="annotation reference"/>
    <w:basedOn w:val="DefaultParagraphFont"/>
    <w:uiPriority w:val="99"/>
    <w:semiHidden/>
    <w:unhideWhenUsed/>
    <w:rsid w:val="008D02D3"/>
    <w:rPr>
      <w:sz w:val="16"/>
      <w:szCs w:val="16"/>
    </w:rPr>
  </w:style>
  <w:style w:type="paragraph" w:styleId="CommentText">
    <w:name w:val="annotation text"/>
    <w:basedOn w:val="Normal"/>
    <w:link w:val="CommentTextChar"/>
    <w:uiPriority w:val="99"/>
    <w:unhideWhenUsed/>
    <w:rsid w:val="008D02D3"/>
    <w:pPr>
      <w:spacing w:line="240" w:lineRule="auto"/>
    </w:pPr>
    <w:rPr>
      <w:sz w:val="20"/>
      <w:szCs w:val="20"/>
    </w:rPr>
  </w:style>
  <w:style w:type="character" w:customStyle="1" w:styleId="CommentTextChar">
    <w:name w:val="Comment Text Char"/>
    <w:basedOn w:val="DefaultParagraphFont"/>
    <w:link w:val="CommentText"/>
    <w:uiPriority w:val="99"/>
    <w:rsid w:val="008D02D3"/>
    <w:rPr>
      <w:sz w:val="20"/>
      <w:szCs w:val="20"/>
    </w:rPr>
  </w:style>
  <w:style w:type="paragraph" w:styleId="CommentSubject">
    <w:name w:val="annotation subject"/>
    <w:basedOn w:val="CommentText"/>
    <w:next w:val="CommentText"/>
    <w:link w:val="CommentSubjectChar"/>
    <w:uiPriority w:val="99"/>
    <w:semiHidden/>
    <w:unhideWhenUsed/>
    <w:rsid w:val="008D02D3"/>
    <w:rPr>
      <w:b/>
      <w:bCs/>
    </w:rPr>
  </w:style>
  <w:style w:type="character" w:customStyle="1" w:styleId="CommentSubjectChar">
    <w:name w:val="Comment Subject Char"/>
    <w:basedOn w:val="CommentTextChar"/>
    <w:link w:val="CommentSubject"/>
    <w:uiPriority w:val="99"/>
    <w:semiHidden/>
    <w:rsid w:val="008D02D3"/>
    <w:rPr>
      <w:b/>
      <w:bCs/>
      <w:sz w:val="20"/>
      <w:szCs w:val="20"/>
    </w:rPr>
  </w:style>
  <w:style w:type="character" w:customStyle="1" w:styleId="Heading2Char">
    <w:name w:val="Heading 2 Char"/>
    <w:basedOn w:val="DefaultParagraphFont"/>
    <w:link w:val="Heading2"/>
    <w:uiPriority w:val="9"/>
    <w:rsid w:val="001F3689"/>
    <w:rPr>
      <w:rFonts w:asciiTheme="majorHAnsi" w:eastAsiaTheme="majorEastAsia" w:hAnsiTheme="majorHAnsi" w:cstheme="majorBidi"/>
      <w:b/>
      <w:sz w:val="26"/>
      <w:szCs w:val="26"/>
    </w:rPr>
  </w:style>
  <w:style w:type="table" w:styleId="TableGrid">
    <w:name w:val="Table Grid"/>
    <w:basedOn w:val="TableNormal"/>
    <w:uiPriority w:val="39"/>
    <w:rsid w:val="000E5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815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15C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F7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226"/>
  </w:style>
  <w:style w:type="paragraph" w:styleId="Footer">
    <w:name w:val="footer"/>
    <w:basedOn w:val="Normal"/>
    <w:link w:val="FooterChar"/>
    <w:uiPriority w:val="99"/>
    <w:unhideWhenUsed/>
    <w:rsid w:val="00AF7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226"/>
  </w:style>
  <w:style w:type="character" w:styleId="PlaceholderText">
    <w:name w:val="Placeholder Text"/>
    <w:basedOn w:val="DefaultParagraphFont"/>
    <w:uiPriority w:val="99"/>
    <w:semiHidden/>
    <w:rsid w:val="0019406B"/>
    <w:rPr>
      <w:color w:val="808080"/>
    </w:rPr>
  </w:style>
  <w:style w:type="character" w:styleId="Hyperlink">
    <w:name w:val="Hyperlink"/>
    <w:basedOn w:val="DefaultParagraphFont"/>
    <w:uiPriority w:val="99"/>
    <w:unhideWhenUsed/>
    <w:rsid w:val="008911E6"/>
    <w:rPr>
      <w:color w:val="0563C1" w:themeColor="hyperlink"/>
      <w:u w:val="single"/>
    </w:rPr>
  </w:style>
  <w:style w:type="character" w:styleId="UnresolvedMention">
    <w:name w:val="Unresolved Mention"/>
    <w:basedOn w:val="DefaultParagraphFont"/>
    <w:uiPriority w:val="99"/>
    <w:semiHidden/>
    <w:unhideWhenUsed/>
    <w:rsid w:val="008911E6"/>
    <w:rPr>
      <w:color w:val="605E5C"/>
      <w:shd w:val="clear" w:color="auto" w:fill="E1DFDD"/>
    </w:rPr>
  </w:style>
  <w:style w:type="character" w:styleId="FollowedHyperlink">
    <w:name w:val="FollowedHyperlink"/>
    <w:basedOn w:val="DefaultParagraphFont"/>
    <w:uiPriority w:val="99"/>
    <w:semiHidden/>
    <w:unhideWhenUsed/>
    <w:rsid w:val="00831E5C"/>
    <w:rPr>
      <w:color w:val="954F72" w:themeColor="followedHyperlink"/>
      <w:u w:val="single"/>
    </w:rPr>
  </w:style>
  <w:style w:type="paragraph" w:styleId="Revision">
    <w:name w:val="Revision"/>
    <w:hidden/>
    <w:uiPriority w:val="99"/>
    <w:semiHidden/>
    <w:rsid w:val="0056216A"/>
    <w:pPr>
      <w:spacing w:after="0" w:line="240" w:lineRule="auto"/>
    </w:pPr>
  </w:style>
  <w:style w:type="paragraph" w:styleId="ListParagraph">
    <w:name w:val="List Paragraph"/>
    <w:basedOn w:val="Normal"/>
    <w:uiPriority w:val="34"/>
    <w:qFormat/>
    <w:rsid w:val="00462757"/>
    <w:pPr>
      <w:spacing w:line="276" w:lineRule="auto"/>
      <w:ind w:left="720"/>
      <w:contextualSpacing/>
      <w:jc w:val="both"/>
    </w:pPr>
  </w:style>
  <w:style w:type="table" w:styleId="PlainTable2">
    <w:name w:val="Plain Table 2"/>
    <w:basedOn w:val="TableNormal"/>
    <w:uiPriority w:val="42"/>
    <w:rsid w:val="009F79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32822">
      <w:bodyDiv w:val="1"/>
      <w:marLeft w:val="0"/>
      <w:marRight w:val="0"/>
      <w:marTop w:val="0"/>
      <w:marBottom w:val="0"/>
      <w:divBdr>
        <w:top w:val="none" w:sz="0" w:space="0" w:color="auto"/>
        <w:left w:val="none" w:sz="0" w:space="0" w:color="auto"/>
        <w:bottom w:val="none" w:sz="0" w:space="0" w:color="auto"/>
        <w:right w:val="none" w:sz="0" w:space="0" w:color="auto"/>
      </w:divBdr>
    </w:div>
    <w:div w:id="177234369">
      <w:bodyDiv w:val="1"/>
      <w:marLeft w:val="0"/>
      <w:marRight w:val="0"/>
      <w:marTop w:val="0"/>
      <w:marBottom w:val="0"/>
      <w:divBdr>
        <w:top w:val="none" w:sz="0" w:space="0" w:color="auto"/>
        <w:left w:val="none" w:sz="0" w:space="0" w:color="auto"/>
        <w:bottom w:val="none" w:sz="0" w:space="0" w:color="auto"/>
        <w:right w:val="none" w:sz="0" w:space="0" w:color="auto"/>
      </w:divBdr>
    </w:div>
    <w:div w:id="342785030">
      <w:bodyDiv w:val="1"/>
      <w:marLeft w:val="0"/>
      <w:marRight w:val="0"/>
      <w:marTop w:val="0"/>
      <w:marBottom w:val="0"/>
      <w:divBdr>
        <w:top w:val="none" w:sz="0" w:space="0" w:color="auto"/>
        <w:left w:val="none" w:sz="0" w:space="0" w:color="auto"/>
        <w:bottom w:val="none" w:sz="0" w:space="0" w:color="auto"/>
        <w:right w:val="none" w:sz="0" w:space="0" w:color="auto"/>
      </w:divBdr>
    </w:div>
    <w:div w:id="796413313">
      <w:bodyDiv w:val="1"/>
      <w:marLeft w:val="0"/>
      <w:marRight w:val="0"/>
      <w:marTop w:val="0"/>
      <w:marBottom w:val="0"/>
      <w:divBdr>
        <w:top w:val="none" w:sz="0" w:space="0" w:color="auto"/>
        <w:left w:val="none" w:sz="0" w:space="0" w:color="auto"/>
        <w:bottom w:val="none" w:sz="0" w:space="0" w:color="auto"/>
        <w:right w:val="none" w:sz="0" w:space="0" w:color="auto"/>
      </w:divBdr>
    </w:div>
    <w:div w:id="1049302578">
      <w:bodyDiv w:val="1"/>
      <w:marLeft w:val="0"/>
      <w:marRight w:val="0"/>
      <w:marTop w:val="0"/>
      <w:marBottom w:val="0"/>
      <w:divBdr>
        <w:top w:val="none" w:sz="0" w:space="0" w:color="auto"/>
        <w:left w:val="none" w:sz="0" w:space="0" w:color="auto"/>
        <w:bottom w:val="none" w:sz="0" w:space="0" w:color="auto"/>
        <w:right w:val="none" w:sz="0" w:space="0" w:color="auto"/>
      </w:divBdr>
    </w:div>
    <w:div w:id="1157695943">
      <w:bodyDiv w:val="1"/>
      <w:marLeft w:val="0"/>
      <w:marRight w:val="0"/>
      <w:marTop w:val="0"/>
      <w:marBottom w:val="0"/>
      <w:divBdr>
        <w:top w:val="none" w:sz="0" w:space="0" w:color="auto"/>
        <w:left w:val="none" w:sz="0" w:space="0" w:color="auto"/>
        <w:bottom w:val="none" w:sz="0" w:space="0" w:color="auto"/>
        <w:right w:val="none" w:sz="0" w:space="0" w:color="auto"/>
      </w:divBdr>
    </w:div>
    <w:div w:id="1189484695">
      <w:bodyDiv w:val="1"/>
      <w:marLeft w:val="0"/>
      <w:marRight w:val="0"/>
      <w:marTop w:val="0"/>
      <w:marBottom w:val="0"/>
      <w:divBdr>
        <w:top w:val="none" w:sz="0" w:space="0" w:color="auto"/>
        <w:left w:val="none" w:sz="0" w:space="0" w:color="auto"/>
        <w:bottom w:val="none" w:sz="0" w:space="0" w:color="auto"/>
        <w:right w:val="none" w:sz="0" w:space="0" w:color="auto"/>
      </w:divBdr>
    </w:div>
    <w:div w:id="1218275308">
      <w:bodyDiv w:val="1"/>
      <w:marLeft w:val="0"/>
      <w:marRight w:val="0"/>
      <w:marTop w:val="0"/>
      <w:marBottom w:val="0"/>
      <w:divBdr>
        <w:top w:val="none" w:sz="0" w:space="0" w:color="auto"/>
        <w:left w:val="none" w:sz="0" w:space="0" w:color="auto"/>
        <w:bottom w:val="none" w:sz="0" w:space="0" w:color="auto"/>
        <w:right w:val="none" w:sz="0" w:space="0" w:color="auto"/>
      </w:divBdr>
    </w:div>
    <w:div w:id="1256472166">
      <w:bodyDiv w:val="1"/>
      <w:marLeft w:val="0"/>
      <w:marRight w:val="0"/>
      <w:marTop w:val="0"/>
      <w:marBottom w:val="0"/>
      <w:divBdr>
        <w:top w:val="none" w:sz="0" w:space="0" w:color="auto"/>
        <w:left w:val="none" w:sz="0" w:space="0" w:color="auto"/>
        <w:bottom w:val="none" w:sz="0" w:space="0" w:color="auto"/>
        <w:right w:val="none" w:sz="0" w:space="0" w:color="auto"/>
      </w:divBdr>
    </w:div>
    <w:div w:id="1405177010">
      <w:bodyDiv w:val="1"/>
      <w:marLeft w:val="0"/>
      <w:marRight w:val="0"/>
      <w:marTop w:val="0"/>
      <w:marBottom w:val="0"/>
      <w:divBdr>
        <w:top w:val="none" w:sz="0" w:space="0" w:color="auto"/>
        <w:left w:val="none" w:sz="0" w:space="0" w:color="auto"/>
        <w:bottom w:val="none" w:sz="0" w:space="0" w:color="auto"/>
        <w:right w:val="none" w:sz="0" w:space="0" w:color="auto"/>
      </w:divBdr>
    </w:div>
    <w:div w:id="1485118573">
      <w:bodyDiv w:val="1"/>
      <w:marLeft w:val="0"/>
      <w:marRight w:val="0"/>
      <w:marTop w:val="0"/>
      <w:marBottom w:val="0"/>
      <w:divBdr>
        <w:top w:val="none" w:sz="0" w:space="0" w:color="auto"/>
        <w:left w:val="none" w:sz="0" w:space="0" w:color="auto"/>
        <w:bottom w:val="none" w:sz="0" w:space="0" w:color="auto"/>
        <w:right w:val="none" w:sz="0" w:space="0" w:color="auto"/>
      </w:divBdr>
    </w:div>
    <w:div w:id="1611281089">
      <w:bodyDiv w:val="1"/>
      <w:marLeft w:val="0"/>
      <w:marRight w:val="0"/>
      <w:marTop w:val="0"/>
      <w:marBottom w:val="0"/>
      <w:divBdr>
        <w:top w:val="none" w:sz="0" w:space="0" w:color="auto"/>
        <w:left w:val="none" w:sz="0" w:space="0" w:color="auto"/>
        <w:bottom w:val="none" w:sz="0" w:space="0" w:color="auto"/>
        <w:right w:val="none" w:sz="0" w:space="0" w:color="auto"/>
      </w:divBdr>
    </w:div>
    <w:div w:id="1612475795">
      <w:bodyDiv w:val="1"/>
      <w:marLeft w:val="0"/>
      <w:marRight w:val="0"/>
      <w:marTop w:val="0"/>
      <w:marBottom w:val="0"/>
      <w:divBdr>
        <w:top w:val="none" w:sz="0" w:space="0" w:color="auto"/>
        <w:left w:val="none" w:sz="0" w:space="0" w:color="auto"/>
        <w:bottom w:val="none" w:sz="0" w:space="0" w:color="auto"/>
        <w:right w:val="none" w:sz="0" w:space="0" w:color="auto"/>
      </w:divBdr>
    </w:div>
    <w:div w:id="1717579582">
      <w:bodyDiv w:val="1"/>
      <w:marLeft w:val="0"/>
      <w:marRight w:val="0"/>
      <w:marTop w:val="0"/>
      <w:marBottom w:val="0"/>
      <w:divBdr>
        <w:top w:val="none" w:sz="0" w:space="0" w:color="auto"/>
        <w:left w:val="none" w:sz="0" w:space="0" w:color="auto"/>
        <w:bottom w:val="none" w:sz="0" w:space="0" w:color="auto"/>
        <w:right w:val="none" w:sz="0" w:space="0" w:color="auto"/>
      </w:divBdr>
    </w:div>
    <w:div w:id="1844006130">
      <w:bodyDiv w:val="1"/>
      <w:marLeft w:val="0"/>
      <w:marRight w:val="0"/>
      <w:marTop w:val="0"/>
      <w:marBottom w:val="0"/>
      <w:divBdr>
        <w:top w:val="none" w:sz="0" w:space="0" w:color="auto"/>
        <w:left w:val="none" w:sz="0" w:space="0" w:color="auto"/>
        <w:bottom w:val="none" w:sz="0" w:space="0" w:color="auto"/>
        <w:right w:val="none" w:sz="0" w:space="0" w:color="auto"/>
      </w:divBdr>
    </w:div>
    <w:div w:id="1890804746">
      <w:bodyDiv w:val="1"/>
      <w:marLeft w:val="0"/>
      <w:marRight w:val="0"/>
      <w:marTop w:val="0"/>
      <w:marBottom w:val="0"/>
      <w:divBdr>
        <w:top w:val="none" w:sz="0" w:space="0" w:color="auto"/>
        <w:left w:val="none" w:sz="0" w:space="0" w:color="auto"/>
        <w:bottom w:val="none" w:sz="0" w:space="0" w:color="auto"/>
        <w:right w:val="none" w:sz="0" w:space="0" w:color="auto"/>
      </w:divBdr>
    </w:div>
    <w:div w:id="1977711050">
      <w:bodyDiv w:val="1"/>
      <w:marLeft w:val="0"/>
      <w:marRight w:val="0"/>
      <w:marTop w:val="0"/>
      <w:marBottom w:val="0"/>
      <w:divBdr>
        <w:top w:val="none" w:sz="0" w:space="0" w:color="auto"/>
        <w:left w:val="none" w:sz="0" w:space="0" w:color="auto"/>
        <w:bottom w:val="none" w:sz="0" w:space="0" w:color="auto"/>
        <w:right w:val="none" w:sz="0" w:space="0" w:color="auto"/>
      </w:divBdr>
    </w:div>
    <w:div w:id="1990862471">
      <w:bodyDiv w:val="1"/>
      <w:marLeft w:val="0"/>
      <w:marRight w:val="0"/>
      <w:marTop w:val="0"/>
      <w:marBottom w:val="0"/>
      <w:divBdr>
        <w:top w:val="none" w:sz="0" w:space="0" w:color="auto"/>
        <w:left w:val="none" w:sz="0" w:space="0" w:color="auto"/>
        <w:bottom w:val="none" w:sz="0" w:space="0" w:color="auto"/>
        <w:right w:val="none" w:sz="0" w:space="0" w:color="auto"/>
      </w:divBdr>
    </w:div>
    <w:div w:id="206787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02770DCAEC734E8EB73418E6EC8A3D" ma:contentTypeVersion="13" ma:contentTypeDescription="Create a new document." ma:contentTypeScope="" ma:versionID="af75934e04ab35782fcd810f9460f8d3">
  <xsd:schema xmlns:xsd="http://www.w3.org/2001/XMLSchema" xmlns:xs="http://www.w3.org/2001/XMLSchema" xmlns:p="http://schemas.microsoft.com/office/2006/metadata/properties" xmlns:ns2="012b7256-b6cf-40b6-b733-1f7ee20e4e65" xmlns:ns3="8dc0456f-2036-4fc4-9de1-a80949446cb6" targetNamespace="http://schemas.microsoft.com/office/2006/metadata/properties" ma:root="true" ma:fieldsID="23ebba3bffe71377838332d3133354f0" ns2:_="" ns3:_="">
    <xsd:import namespace="012b7256-b6cf-40b6-b733-1f7ee20e4e65"/>
    <xsd:import namespace="8dc0456f-2036-4fc4-9de1-a80949446c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b7256-b6cf-40b6-b733-1f7ee20e4e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c0456f-2036-4fc4-9de1-a80949446c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 xmlns="8dc0456f-2036-4fc4-9de1-a80949446cb6" xsi:nil="true"/>
    <SharedWithUsers xmlns="012b7256-b6cf-40b6-b733-1f7ee20e4e65">
      <UserInfo>
        <DisplayName>Ferguson, Neil M</DisplayName>
        <AccountId>12</AccountId>
        <AccountType/>
      </UserInfo>
      <UserInfo>
        <DisplayName>Ghani, Azra C H</DisplayName>
        <AccountId>17</AccountId>
        <AccountType/>
      </UserInfo>
      <UserInfo>
        <DisplayName>van Elsland, Sabine L</DisplayName>
        <AccountId>34</AccountId>
        <AccountType/>
      </UserInfo>
    </SharedWithUsers>
  </documentManagement>
</p:properties>
</file>

<file path=customXml/itemProps1.xml><?xml version="1.0" encoding="utf-8"?>
<ds:datastoreItem xmlns:ds="http://schemas.openxmlformats.org/officeDocument/2006/customXml" ds:itemID="{6CC3E52D-1A68-4D36-83A0-63B1A2B4D6A2}">
  <ds:schemaRefs>
    <ds:schemaRef ds:uri="http://schemas.microsoft.com/sharepoint/v3/contenttype/forms"/>
  </ds:schemaRefs>
</ds:datastoreItem>
</file>

<file path=customXml/itemProps2.xml><?xml version="1.0" encoding="utf-8"?>
<ds:datastoreItem xmlns:ds="http://schemas.openxmlformats.org/officeDocument/2006/customXml" ds:itemID="{D12D377A-9E5B-4D47-BCAE-056AE50C96B9}">
  <ds:schemaRefs>
    <ds:schemaRef ds:uri="http://schemas.openxmlformats.org/officeDocument/2006/bibliography"/>
  </ds:schemaRefs>
</ds:datastoreItem>
</file>

<file path=customXml/itemProps3.xml><?xml version="1.0" encoding="utf-8"?>
<ds:datastoreItem xmlns:ds="http://schemas.openxmlformats.org/officeDocument/2006/customXml" ds:itemID="{949B5297-AC94-4388-BB3D-BA16A9C3F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b7256-b6cf-40b6-b733-1f7ee20e4e65"/>
    <ds:schemaRef ds:uri="8dc0456f-2036-4fc4-9de1-a80949446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69061-2A45-4D77-B458-B1945962D8F3}">
  <ds:schemaRefs>
    <ds:schemaRef ds:uri="http://schemas.microsoft.com/office/2006/metadata/properties"/>
    <ds:schemaRef ds:uri="http://schemas.microsoft.com/office/infopath/2007/PartnerControls"/>
    <ds:schemaRef ds:uri="8dc0456f-2036-4fc4-9de1-a80949446cb6"/>
    <ds:schemaRef ds:uri="012b7256-b6cf-40b6-b733-1f7ee20e4e65"/>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41</Pages>
  <Words>150220</Words>
  <Characters>856257</Characters>
  <Application>Microsoft Office Word</Application>
  <DocSecurity>0</DocSecurity>
  <Lines>7135</Lines>
  <Paragraphs>2008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Hayley A</dc:creator>
  <cp:keywords/>
  <dc:description/>
  <cp:lastModifiedBy>Thompson, Hayley A</cp:lastModifiedBy>
  <cp:revision>87</cp:revision>
  <dcterms:created xsi:type="dcterms:W3CDTF">2020-11-20T10:52:00Z</dcterms:created>
  <dcterms:modified xsi:type="dcterms:W3CDTF">2021-01-22T15:22:00Z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0x0101000C02770DCAEC734E8EB73418E6EC8A3D</vt:lpwstr>
  </property>
  <property fmtid="{D5CDD505-2E9C-101B-9397-08002B2CF9AE}" pid="3" name="Mendeley Unique User Id_1">
    <vt:lpwstr>3db5d689-51a8-3fc5-81c6-ba4758965a43</vt:lpwstr>
  </property>
  <property fmtid="{D5CDD505-2E9C-101B-9397-08002B2CF9AE}" pid="4" name="Mendeley Citation Style_1">
    <vt:lpwstr>http://www.zotero.org/styles/clinical-infectious-diseases</vt:lpwstr>
  </property>
  <property fmtid="{D5CDD505-2E9C-101B-9397-08002B2CF9AE}" pid="5" name="Mendeley Document_1">
    <vt:lpwstr>True</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7th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10th edition - Harvard</vt:lpwstr>
  </property>
  <property fmtid="{D5CDD505-2E9C-101B-9397-08002B2CF9AE}" pid="14" name="Mendeley Recent Style Id 4_1">
    <vt:lpwstr>http://www.zotero.org/styles/clinical-infectious-diseases</vt:lpwstr>
  </property>
  <property fmtid="{D5CDD505-2E9C-101B-9397-08002B2CF9AE}" pid="15" name="Mendeley Recent Style Name 4_1">
    <vt:lpwstr>Clinical Infectious Diseases</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