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BF8" w:rsidRDefault="00B87BF8" w:rsidP="00B87BF8">
      <w:pPr>
        <w:autoSpaceDE w:val="0"/>
        <w:spacing w:line="480" w:lineRule="auto"/>
        <w:jc w:val="center"/>
        <w:rPr>
          <w:b/>
          <w:sz w:val="24"/>
          <w:szCs w:val="24"/>
        </w:rPr>
      </w:pPr>
      <w:bookmarkStart w:id="0" w:name="page1"/>
      <w:bookmarkEnd w:id="0"/>
      <w:r>
        <w:rPr>
          <w:b/>
          <w:sz w:val="24"/>
          <w:szCs w:val="24"/>
        </w:rPr>
        <w:t>SUPPLEMENTARY INFORMATION</w:t>
      </w:r>
    </w:p>
    <w:p w:rsidR="00B87BF8" w:rsidRPr="00F80A8C" w:rsidRDefault="00B87BF8" w:rsidP="00B87BF8">
      <w:pPr>
        <w:autoSpaceDE w:val="0"/>
        <w:spacing w:line="480" w:lineRule="auto"/>
        <w:jc w:val="center"/>
        <w:rPr>
          <w:b/>
          <w:sz w:val="24"/>
          <w:szCs w:val="24"/>
        </w:rPr>
      </w:pPr>
      <w:proofErr w:type="spellStart"/>
      <w:r w:rsidRPr="00F80A8C">
        <w:rPr>
          <w:b/>
          <w:sz w:val="24"/>
          <w:szCs w:val="24"/>
        </w:rPr>
        <w:t>PvaxDB</w:t>
      </w:r>
      <w:proofErr w:type="spellEnd"/>
      <w:r w:rsidRPr="00F80A8C">
        <w:rPr>
          <w:b/>
          <w:sz w:val="24"/>
          <w:szCs w:val="24"/>
        </w:rPr>
        <w:t xml:space="preserve">: A comprehensive structural repository of </w:t>
      </w:r>
      <w:r w:rsidRPr="00F80A8C">
        <w:rPr>
          <w:b/>
          <w:i/>
          <w:sz w:val="24"/>
          <w:szCs w:val="24"/>
        </w:rPr>
        <w:t xml:space="preserve">Plasmodium </w:t>
      </w:r>
      <w:proofErr w:type="spellStart"/>
      <w:r w:rsidRPr="00F80A8C">
        <w:rPr>
          <w:b/>
          <w:i/>
          <w:sz w:val="24"/>
          <w:szCs w:val="24"/>
        </w:rPr>
        <w:t>vivax</w:t>
      </w:r>
      <w:proofErr w:type="spellEnd"/>
      <w:r w:rsidRPr="00F80A8C">
        <w:rPr>
          <w:b/>
          <w:i/>
          <w:sz w:val="24"/>
          <w:szCs w:val="24"/>
        </w:rPr>
        <w:t xml:space="preserve"> </w:t>
      </w:r>
      <w:r w:rsidRPr="00F80A8C">
        <w:rPr>
          <w:b/>
          <w:sz w:val="24"/>
          <w:szCs w:val="24"/>
        </w:rPr>
        <w:t>proteome</w:t>
      </w:r>
    </w:p>
    <w:p w:rsidR="00B87BF8" w:rsidRPr="009C2239" w:rsidRDefault="00B87BF8" w:rsidP="00B87BF8">
      <w:pPr>
        <w:autoSpaceDE w:val="0"/>
        <w:spacing w:line="480" w:lineRule="auto"/>
        <w:jc w:val="center"/>
        <w:rPr>
          <w:sz w:val="24"/>
          <w:szCs w:val="24"/>
        </w:rPr>
      </w:pPr>
      <w:proofErr w:type="spellStart"/>
      <w:r w:rsidRPr="009C2239">
        <w:rPr>
          <w:sz w:val="24"/>
          <w:szCs w:val="24"/>
        </w:rPr>
        <w:t>Ankita</w:t>
      </w:r>
      <w:proofErr w:type="spellEnd"/>
      <w:r w:rsidRPr="009C2239">
        <w:rPr>
          <w:sz w:val="24"/>
          <w:szCs w:val="24"/>
        </w:rPr>
        <w:t xml:space="preserve"> Singh</w:t>
      </w:r>
      <w:r w:rsidRPr="009C2239">
        <w:rPr>
          <w:sz w:val="24"/>
          <w:szCs w:val="24"/>
          <w:vertAlign w:val="superscript"/>
        </w:rPr>
        <w:t>1, 2</w:t>
      </w:r>
      <w:r w:rsidRPr="009C2239">
        <w:rPr>
          <w:sz w:val="24"/>
          <w:szCs w:val="24"/>
        </w:rPr>
        <w:t>, Rahul Kaushik</w:t>
      </w:r>
      <w:r w:rsidRPr="009C2239">
        <w:rPr>
          <w:sz w:val="24"/>
          <w:szCs w:val="24"/>
          <w:vertAlign w:val="superscript"/>
        </w:rPr>
        <w:t>2, 3</w:t>
      </w:r>
      <w:r w:rsidRPr="009C2239">
        <w:rPr>
          <w:sz w:val="24"/>
          <w:szCs w:val="24"/>
        </w:rPr>
        <w:t xml:space="preserve">, </w:t>
      </w:r>
      <w:proofErr w:type="spellStart"/>
      <w:r w:rsidRPr="009C2239">
        <w:rPr>
          <w:sz w:val="24"/>
          <w:szCs w:val="24"/>
        </w:rPr>
        <w:t>Himani</w:t>
      </w:r>
      <w:proofErr w:type="spellEnd"/>
      <w:r w:rsidRPr="009C2239">
        <w:rPr>
          <w:sz w:val="24"/>
          <w:szCs w:val="24"/>
        </w:rPr>
        <w:t xml:space="preserve"> Kuntal</w:t>
      </w:r>
      <w:r w:rsidRPr="009C2239">
        <w:rPr>
          <w:sz w:val="24"/>
          <w:szCs w:val="24"/>
          <w:vertAlign w:val="superscript"/>
        </w:rPr>
        <w:t>1</w:t>
      </w:r>
      <w:r w:rsidRPr="009C2239">
        <w:rPr>
          <w:sz w:val="24"/>
          <w:szCs w:val="24"/>
        </w:rPr>
        <w:t>, B. Jayaram</w:t>
      </w:r>
      <w:r w:rsidRPr="009C2239">
        <w:rPr>
          <w:sz w:val="24"/>
          <w:szCs w:val="24"/>
          <w:vertAlign w:val="superscript"/>
        </w:rPr>
        <w:t>2, 3, 4*</w:t>
      </w:r>
    </w:p>
    <w:p w:rsidR="00B87BF8" w:rsidRPr="009C2239" w:rsidRDefault="00B87BF8" w:rsidP="00B87BF8">
      <w:pPr>
        <w:autoSpaceDE w:val="0"/>
        <w:spacing w:line="480" w:lineRule="auto"/>
        <w:jc w:val="center"/>
        <w:rPr>
          <w:sz w:val="24"/>
          <w:szCs w:val="24"/>
        </w:rPr>
      </w:pPr>
      <w:r w:rsidRPr="009C2239">
        <w:rPr>
          <w:sz w:val="24"/>
          <w:szCs w:val="24"/>
          <w:vertAlign w:val="superscript"/>
        </w:rPr>
        <w:t>1</w:t>
      </w:r>
      <w:r w:rsidRPr="009C2239">
        <w:rPr>
          <w:sz w:val="24"/>
          <w:szCs w:val="24"/>
        </w:rPr>
        <w:t xml:space="preserve">Department of Bioinformatics, </w:t>
      </w:r>
      <w:proofErr w:type="spellStart"/>
      <w:r w:rsidRPr="009C2239">
        <w:rPr>
          <w:sz w:val="24"/>
          <w:szCs w:val="24"/>
        </w:rPr>
        <w:t>Banasthali</w:t>
      </w:r>
      <w:proofErr w:type="spellEnd"/>
      <w:r w:rsidRPr="009C2239">
        <w:rPr>
          <w:sz w:val="24"/>
          <w:szCs w:val="24"/>
        </w:rPr>
        <w:t xml:space="preserve"> </w:t>
      </w:r>
      <w:proofErr w:type="spellStart"/>
      <w:r w:rsidRPr="009C2239">
        <w:rPr>
          <w:sz w:val="24"/>
          <w:szCs w:val="24"/>
        </w:rPr>
        <w:t>Vidyapith</w:t>
      </w:r>
      <w:proofErr w:type="spellEnd"/>
      <w:r w:rsidRPr="009C2239">
        <w:rPr>
          <w:sz w:val="24"/>
          <w:szCs w:val="24"/>
        </w:rPr>
        <w:t xml:space="preserve">, </w:t>
      </w:r>
      <w:proofErr w:type="spellStart"/>
      <w:r w:rsidRPr="009C2239">
        <w:rPr>
          <w:sz w:val="24"/>
          <w:szCs w:val="24"/>
        </w:rPr>
        <w:t>Banasthali</w:t>
      </w:r>
      <w:proofErr w:type="spellEnd"/>
      <w:r w:rsidRPr="009C2239">
        <w:rPr>
          <w:sz w:val="24"/>
          <w:szCs w:val="24"/>
        </w:rPr>
        <w:t>, 304022, India,</w:t>
      </w:r>
    </w:p>
    <w:p w:rsidR="00B87BF8" w:rsidRPr="009C2239" w:rsidRDefault="00B87BF8" w:rsidP="00B87BF8">
      <w:pPr>
        <w:autoSpaceDE w:val="0"/>
        <w:spacing w:line="480" w:lineRule="auto"/>
        <w:jc w:val="center"/>
        <w:rPr>
          <w:sz w:val="24"/>
          <w:szCs w:val="24"/>
        </w:rPr>
      </w:pPr>
      <w:r w:rsidRPr="009C2239">
        <w:rPr>
          <w:sz w:val="24"/>
          <w:szCs w:val="24"/>
          <w:vertAlign w:val="superscript"/>
        </w:rPr>
        <w:t xml:space="preserve">2 </w:t>
      </w:r>
      <w:r w:rsidRPr="009C2239">
        <w:rPr>
          <w:sz w:val="24"/>
          <w:szCs w:val="24"/>
        </w:rPr>
        <w:t>Supercomputing Facility for Bioinformatics &amp; Computational Biology, IIT Delhi, India,</w:t>
      </w:r>
    </w:p>
    <w:p w:rsidR="00B87BF8" w:rsidRPr="009C2239" w:rsidRDefault="00B87BF8" w:rsidP="00B87BF8">
      <w:pPr>
        <w:autoSpaceDE w:val="0"/>
        <w:spacing w:line="480" w:lineRule="auto"/>
        <w:jc w:val="center"/>
        <w:rPr>
          <w:sz w:val="24"/>
          <w:szCs w:val="24"/>
        </w:rPr>
      </w:pPr>
      <w:r w:rsidRPr="009C2239">
        <w:rPr>
          <w:sz w:val="24"/>
          <w:szCs w:val="24"/>
          <w:vertAlign w:val="superscript"/>
        </w:rPr>
        <w:t>3</w:t>
      </w:r>
      <w:r w:rsidRPr="009C2239">
        <w:rPr>
          <w:sz w:val="24"/>
          <w:szCs w:val="24"/>
        </w:rPr>
        <w:t xml:space="preserve"> Kusuma School of Biological Sciences, IIT Delhi, India,</w:t>
      </w:r>
    </w:p>
    <w:p w:rsidR="00B87BF8" w:rsidRPr="009C2239" w:rsidRDefault="00B87BF8" w:rsidP="00B87BF8">
      <w:pPr>
        <w:autoSpaceDE w:val="0"/>
        <w:spacing w:line="480" w:lineRule="auto"/>
        <w:jc w:val="center"/>
        <w:rPr>
          <w:sz w:val="24"/>
          <w:szCs w:val="24"/>
        </w:rPr>
      </w:pPr>
      <w:r w:rsidRPr="009C2239">
        <w:rPr>
          <w:sz w:val="24"/>
          <w:szCs w:val="24"/>
          <w:vertAlign w:val="superscript"/>
        </w:rPr>
        <w:t>4</w:t>
      </w:r>
      <w:r w:rsidRPr="009C2239">
        <w:rPr>
          <w:sz w:val="24"/>
          <w:szCs w:val="24"/>
        </w:rPr>
        <w:t xml:space="preserve"> Department of Chemistry, Indian Institute of Technology Delhi, </w:t>
      </w:r>
    </w:p>
    <w:p w:rsidR="00B87BF8" w:rsidRPr="009C2239" w:rsidRDefault="00B87BF8" w:rsidP="00B87BF8">
      <w:pPr>
        <w:autoSpaceDE w:val="0"/>
        <w:spacing w:line="480" w:lineRule="auto"/>
        <w:jc w:val="center"/>
        <w:rPr>
          <w:sz w:val="24"/>
          <w:szCs w:val="24"/>
        </w:rPr>
      </w:pPr>
      <w:r w:rsidRPr="009C2239">
        <w:rPr>
          <w:sz w:val="24"/>
          <w:szCs w:val="24"/>
        </w:rPr>
        <w:t>Hauz Khas, New Delhi, 110016, India</w:t>
      </w:r>
    </w:p>
    <w:p w:rsidR="00B87BF8" w:rsidRPr="009C2239" w:rsidRDefault="00B87BF8" w:rsidP="00B87BF8">
      <w:pPr>
        <w:autoSpaceDE w:val="0"/>
        <w:spacing w:line="480" w:lineRule="auto"/>
        <w:jc w:val="both"/>
        <w:rPr>
          <w:sz w:val="24"/>
          <w:szCs w:val="24"/>
        </w:rPr>
      </w:pPr>
    </w:p>
    <w:p w:rsidR="00B87BF8" w:rsidRDefault="00B87BF8" w:rsidP="00B87BF8">
      <w:pPr>
        <w:autoSpaceDE w:val="0"/>
        <w:spacing w:line="480" w:lineRule="auto"/>
        <w:jc w:val="both"/>
        <w:rPr>
          <w:sz w:val="24"/>
          <w:szCs w:val="24"/>
        </w:rPr>
      </w:pPr>
    </w:p>
    <w:p w:rsidR="00B87BF8" w:rsidRDefault="00B87BF8" w:rsidP="00B87BF8">
      <w:pPr>
        <w:autoSpaceDE w:val="0"/>
        <w:spacing w:line="480" w:lineRule="auto"/>
        <w:jc w:val="both"/>
        <w:rPr>
          <w:sz w:val="24"/>
          <w:szCs w:val="24"/>
        </w:rPr>
      </w:pPr>
    </w:p>
    <w:p w:rsidR="00B87BF8" w:rsidRDefault="00B87BF8" w:rsidP="00B87BF8">
      <w:pPr>
        <w:autoSpaceDE w:val="0"/>
        <w:spacing w:line="480" w:lineRule="auto"/>
        <w:jc w:val="both"/>
        <w:rPr>
          <w:sz w:val="24"/>
          <w:szCs w:val="24"/>
        </w:rPr>
      </w:pPr>
    </w:p>
    <w:p w:rsidR="00B87BF8" w:rsidRDefault="00B87BF8" w:rsidP="00B87BF8">
      <w:pPr>
        <w:autoSpaceDE w:val="0"/>
        <w:spacing w:line="480" w:lineRule="auto"/>
        <w:jc w:val="both"/>
        <w:rPr>
          <w:sz w:val="24"/>
          <w:szCs w:val="24"/>
        </w:rPr>
      </w:pPr>
    </w:p>
    <w:p w:rsidR="00B87BF8" w:rsidRDefault="00B87BF8" w:rsidP="00B87BF8">
      <w:pPr>
        <w:autoSpaceDE w:val="0"/>
        <w:spacing w:line="480" w:lineRule="auto"/>
        <w:jc w:val="both"/>
        <w:rPr>
          <w:sz w:val="24"/>
          <w:szCs w:val="24"/>
        </w:rPr>
      </w:pPr>
    </w:p>
    <w:p w:rsidR="00B87BF8" w:rsidRDefault="00B87BF8" w:rsidP="00B87BF8">
      <w:pPr>
        <w:autoSpaceDE w:val="0"/>
        <w:spacing w:line="480" w:lineRule="auto"/>
        <w:jc w:val="both"/>
        <w:rPr>
          <w:sz w:val="24"/>
          <w:szCs w:val="24"/>
        </w:rPr>
      </w:pPr>
    </w:p>
    <w:p w:rsidR="00B87BF8" w:rsidRDefault="00B87BF8" w:rsidP="00B87BF8">
      <w:pPr>
        <w:autoSpaceDE w:val="0"/>
        <w:spacing w:line="480" w:lineRule="auto"/>
        <w:jc w:val="both"/>
        <w:rPr>
          <w:sz w:val="24"/>
          <w:szCs w:val="24"/>
        </w:rPr>
      </w:pPr>
    </w:p>
    <w:p w:rsidR="00B87BF8" w:rsidRDefault="00B87BF8" w:rsidP="00B87BF8">
      <w:pPr>
        <w:autoSpaceDE w:val="0"/>
        <w:spacing w:line="480" w:lineRule="auto"/>
        <w:jc w:val="both"/>
        <w:rPr>
          <w:sz w:val="24"/>
          <w:szCs w:val="24"/>
        </w:rPr>
      </w:pPr>
    </w:p>
    <w:p w:rsidR="00B87BF8" w:rsidRDefault="00B87BF8" w:rsidP="00B87BF8">
      <w:pPr>
        <w:autoSpaceDE w:val="0"/>
        <w:spacing w:line="480" w:lineRule="auto"/>
        <w:jc w:val="both"/>
        <w:rPr>
          <w:sz w:val="24"/>
          <w:szCs w:val="24"/>
        </w:rPr>
      </w:pPr>
    </w:p>
    <w:p w:rsidR="00B87BF8" w:rsidRDefault="00B87BF8" w:rsidP="00B87BF8">
      <w:pPr>
        <w:autoSpaceDE w:val="0"/>
        <w:spacing w:line="480" w:lineRule="auto"/>
        <w:jc w:val="both"/>
        <w:rPr>
          <w:sz w:val="24"/>
          <w:szCs w:val="24"/>
        </w:rPr>
      </w:pPr>
    </w:p>
    <w:p w:rsidR="00B87BF8" w:rsidRDefault="00B87BF8" w:rsidP="00B87BF8">
      <w:pPr>
        <w:autoSpaceDE w:val="0"/>
        <w:spacing w:line="480" w:lineRule="auto"/>
        <w:jc w:val="both"/>
        <w:rPr>
          <w:sz w:val="24"/>
          <w:szCs w:val="24"/>
        </w:rPr>
      </w:pPr>
    </w:p>
    <w:p w:rsidR="00B87BF8" w:rsidRDefault="00B87BF8" w:rsidP="00B87BF8">
      <w:pPr>
        <w:autoSpaceDE w:val="0"/>
        <w:spacing w:line="480" w:lineRule="auto"/>
        <w:jc w:val="both"/>
        <w:rPr>
          <w:sz w:val="24"/>
          <w:szCs w:val="24"/>
        </w:rPr>
      </w:pPr>
    </w:p>
    <w:p w:rsidR="00B87BF8" w:rsidRPr="009C2239" w:rsidRDefault="00B87BF8" w:rsidP="00B87BF8">
      <w:pPr>
        <w:autoSpaceDE w:val="0"/>
        <w:spacing w:line="480" w:lineRule="auto"/>
        <w:jc w:val="both"/>
        <w:rPr>
          <w:sz w:val="24"/>
          <w:szCs w:val="24"/>
        </w:rPr>
      </w:pPr>
    </w:p>
    <w:p w:rsidR="00B87BF8" w:rsidRPr="003325B7" w:rsidRDefault="00B87BF8" w:rsidP="00B87BF8">
      <w:pPr>
        <w:autoSpaceDE w:val="0"/>
        <w:spacing w:line="480" w:lineRule="auto"/>
        <w:jc w:val="both"/>
        <w:rPr>
          <w:sz w:val="24"/>
          <w:szCs w:val="24"/>
        </w:rPr>
      </w:pPr>
      <w:r w:rsidRPr="002E2EC9">
        <w:rPr>
          <w:sz w:val="24"/>
          <w:szCs w:val="24"/>
        </w:rPr>
        <w:t>*</w:t>
      </w:r>
      <w:r>
        <w:rPr>
          <w:sz w:val="24"/>
          <w:szCs w:val="24"/>
        </w:rPr>
        <w:t>Corresponding author</w:t>
      </w:r>
    </w:p>
    <w:p w:rsidR="00CB2191" w:rsidRPr="00C65793" w:rsidRDefault="00CB2191" w:rsidP="00CB2191">
      <w:pPr>
        <w:autoSpaceDE w:val="0"/>
        <w:spacing w:line="480" w:lineRule="auto"/>
        <w:jc w:val="both"/>
        <w:rPr>
          <w:sz w:val="24"/>
          <w:szCs w:val="24"/>
        </w:rPr>
      </w:pPr>
      <w:r w:rsidRPr="00CF05AE">
        <w:rPr>
          <w:noProof/>
          <w:sz w:val="24"/>
          <w:szCs w:val="24"/>
          <w:lang w:val="en-IN" w:eastAsia="en-IN"/>
        </w:rPr>
        <w:lastRenderedPageBreak/>
        <w:drawing>
          <wp:anchor distT="0" distB="0" distL="114300" distR="114300" simplePos="0" relativeHeight="251672576" behindDoc="0" locked="0" layoutInCell="1" allowOverlap="1" wp14:anchorId="253FF133" wp14:editId="2114F20B">
            <wp:simplePos x="0" y="0"/>
            <wp:positionH relativeFrom="margin">
              <wp:align>right</wp:align>
            </wp:positionH>
            <wp:positionV relativeFrom="paragraph">
              <wp:posOffset>0</wp:posOffset>
            </wp:positionV>
            <wp:extent cx="5934075" cy="2200275"/>
            <wp:effectExtent l="0" t="0" r="9525" b="9525"/>
            <wp:wrapTopAndBottom/>
            <wp:docPr id="1" name="Picture 1" descr="C:\Users\Rahul Kaushik\Desktop\PVAXDB\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ul Kaushik\Desktop\PVAXDB\Figure2.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0A15">
        <w:rPr>
          <w:b/>
          <w:sz w:val="24"/>
          <w:szCs w:val="24"/>
        </w:rPr>
        <w:t xml:space="preserve">Figure </w:t>
      </w:r>
      <w:r>
        <w:rPr>
          <w:b/>
          <w:sz w:val="24"/>
          <w:szCs w:val="24"/>
        </w:rPr>
        <w:t>S1</w:t>
      </w:r>
      <w:r w:rsidRPr="00FF0A15">
        <w:rPr>
          <w:b/>
          <w:sz w:val="24"/>
          <w:szCs w:val="24"/>
        </w:rPr>
        <w:t>.</w:t>
      </w:r>
      <w:r>
        <w:rPr>
          <w:sz w:val="24"/>
          <w:szCs w:val="24"/>
        </w:rPr>
        <w:t xml:space="preserve"> A depiction of </w:t>
      </w:r>
      <w:proofErr w:type="spellStart"/>
      <w:r>
        <w:rPr>
          <w:sz w:val="24"/>
          <w:szCs w:val="24"/>
        </w:rPr>
        <w:t>PvaxDB</w:t>
      </w:r>
      <w:proofErr w:type="spellEnd"/>
      <w:r>
        <w:rPr>
          <w:sz w:val="24"/>
          <w:szCs w:val="24"/>
        </w:rPr>
        <w:t xml:space="preserve"> architecture from data files repository to graphic user interface via MySQL, PHP, JavaScript, HTML5, AJAX and Apache.</w:t>
      </w:r>
    </w:p>
    <w:p w:rsidR="006B1055" w:rsidRDefault="006B1055">
      <w:pPr>
        <w:rPr>
          <w:b/>
          <w:sz w:val="24"/>
          <w:szCs w:val="24"/>
        </w:rPr>
      </w:pPr>
    </w:p>
    <w:p w:rsidR="00CB2191" w:rsidRDefault="00CB2191">
      <w:pPr>
        <w:rPr>
          <w:b/>
          <w:sz w:val="24"/>
          <w:szCs w:val="24"/>
        </w:rPr>
      </w:pPr>
      <w:r>
        <w:rPr>
          <w:b/>
          <w:sz w:val="24"/>
          <w:szCs w:val="24"/>
        </w:rPr>
        <w:br w:type="page"/>
      </w:r>
      <w:bookmarkStart w:id="1" w:name="_GoBack"/>
      <w:bookmarkEnd w:id="1"/>
    </w:p>
    <w:p w:rsidR="00FC2550" w:rsidRDefault="0024756E">
      <w:pPr>
        <w:spacing w:line="234" w:lineRule="exact"/>
        <w:rPr>
          <w:sz w:val="24"/>
          <w:szCs w:val="24"/>
        </w:rPr>
      </w:pPr>
      <w:r>
        <w:rPr>
          <w:noProof/>
          <w:lang w:val="en-IN" w:eastAsia="en-IN"/>
        </w:rPr>
        <w:lastRenderedPageBreak/>
        <w:drawing>
          <wp:anchor distT="0" distB="0" distL="114300" distR="114300" simplePos="0" relativeHeight="251660288" behindDoc="0" locked="0" layoutInCell="1" allowOverlap="1" wp14:anchorId="3FB794EC" wp14:editId="00D90385">
            <wp:simplePos x="0" y="0"/>
            <wp:positionH relativeFrom="column">
              <wp:posOffset>12700</wp:posOffset>
            </wp:positionH>
            <wp:positionV relativeFrom="paragraph">
              <wp:posOffset>233045</wp:posOffset>
            </wp:positionV>
            <wp:extent cx="6124575" cy="4371340"/>
            <wp:effectExtent l="19050" t="19050" r="28575" b="10160"/>
            <wp:wrapTopAndBottom/>
            <wp:docPr id="21" name="Picture 2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2"/>
                    <pic:cNvPicPr>
                      <a:picLocks noChangeAspect="1" noChangeArrowheads="1"/>
                    </pic:cNvPicPr>
                  </pic:nvPicPr>
                  <pic:blipFill>
                    <a:blip r:embed="rId6" cstate="print">
                      <a:extLst>
                        <a:ext uri="{28A0092B-C50C-407E-A947-70E740481C1C}">
                          <a14:useLocalDpi xmlns:a14="http://schemas.microsoft.com/office/drawing/2010/main" val="0"/>
                        </a:ext>
                      </a:extLst>
                    </a:blip>
                    <a:srcRect b="40872"/>
                    <a:stretch>
                      <a:fillRect/>
                    </a:stretch>
                  </pic:blipFill>
                  <pic:spPr bwMode="auto">
                    <a:xfrm>
                      <a:off x="0" y="0"/>
                      <a:ext cx="6124575" cy="4371340"/>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B87BF8" w:rsidRPr="00B87BF8">
        <w:rPr>
          <w:b/>
          <w:sz w:val="24"/>
          <w:szCs w:val="24"/>
        </w:rPr>
        <w:t xml:space="preserve">Step I: How to Search </w:t>
      </w:r>
      <w:proofErr w:type="spellStart"/>
      <w:r w:rsidR="00B87BF8" w:rsidRPr="00B87BF8">
        <w:rPr>
          <w:b/>
          <w:sz w:val="24"/>
          <w:szCs w:val="24"/>
        </w:rPr>
        <w:t>PvaxDB</w:t>
      </w:r>
      <w:proofErr w:type="spellEnd"/>
      <w:r w:rsidR="00B87BF8">
        <w:rPr>
          <w:sz w:val="24"/>
          <w:szCs w:val="24"/>
        </w:rPr>
        <w:t xml:space="preserve"> </w:t>
      </w:r>
    </w:p>
    <w:p w:rsidR="00FC2550" w:rsidRDefault="006B1055" w:rsidP="006B1055">
      <w:pPr>
        <w:spacing w:line="360" w:lineRule="auto"/>
        <w:jc w:val="both"/>
        <w:rPr>
          <w:sz w:val="24"/>
          <w:szCs w:val="24"/>
        </w:rPr>
      </w:pPr>
      <w:r>
        <w:rPr>
          <w:b/>
          <w:sz w:val="24"/>
          <w:szCs w:val="24"/>
        </w:rPr>
        <w:t>Figure S2</w:t>
      </w:r>
      <w:r w:rsidR="00B87BF8" w:rsidRPr="00B87BF8">
        <w:rPr>
          <w:b/>
          <w:sz w:val="24"/>
          <w:szCs w:val="24"/>
        </w:rPr>
        <w:t>.</w:t>
      </w:r>
      <w:r w:rsidR="00B87BF8">
        <w:rPr>
          <w:sz w:val="24"/>
          <w:szCs w:val="24"/>
        </w:rPr>
        <w:t xml:space="preserve"> A snapshot of </w:t>
      </w:r>
      <w:proofErr w:type="spellStart"/>
      <w:r w:rsidR="00B87BF8">
        <w:rPr>
          <w:sz w:val="24"/>
          <w:szCs w:val="24"/>
        </w:rPr>
        <w:t>PvaxDB</w:t>
      </w:r>
      <w:proofErr w:type="spellEnd"/>
      <w:r w:rsidR="00B87BF8">
        <w:rPr>
          <w:sz w:val="24"/>
          <w:szCs w:val="24"/>
        </w:rPr>
        <w:t xml:space="preserve"> webserver. Various key terms (e.g. </w:t>
      </w:r>
      <w:proofErr w:type="spellStart"/>
      <w:r w:rsidR="00B87BF8">
        <w:rPr>
          <w:sz w:val="24"/>
          <w:szCs w:val="24"/>
        </w:rPr>
        <w:t>Pvax</w:t>
      </w:r>
      <w:proofErr w:type="spellEnd"/>
      <w:r w:rsidR="00B87BF8">
        <w:rPr>
          <w:sz w:val="24"/>
          <w:szCs w:val="24"/>
        </w:rPr>
        <w:t xml:space="preserve"> </w:t>
      </w:r>
      <w:proofErr w:type="spellStart"/>
      <w:r w:rsidR="00B87BF8">
        <w:rPr>
          <w:sz w:val="24"/>
          <w:szCs w:val="24"/>
        </w:rPr>
        <w:t>Idetifier</w:t>
      </w:r>
      <w:proofErr w:type="spellEnd"/>
      <w:r w:rsidR="00B87BF8">
        <w:rPr>
          <w:sz w:val="24"/>
          <w:szCs w:val="24"/>
        </w:rPr>
        <w:t xml:space="preserve">, Chromosome number, </w:t>
      </w:r>
      <w:proofErr w:type="spellStart"/>
      <w:r w:rsidR="00B87BF8">
        <w:rPr>
          <w:sz w:val="24"/>
          <w:szCs w:val="24"/>
        </w:rPr>
        <w:t>UniProt</w:t>
      </w:r>
      <w:proofErr w:type="spellEnd"/>
      <w:r w:rsidR="00B87BF8">
        <w:rPr>
          <w:sz w:val="24"/>
          <w:szCs w:val="24"/>
        </w:rPr>
        <w:t xml:space="preserve"> Identifier, </w:t>
      </w:r>
      <w:proofErr w:type="spellStart"/>
      <w:r w:rsidR="00B87BF8">
        <w:rPr>
          <w:sz w:val="24"/>
          <w:szCs w:val="24"/>
        </w:rPr>
        <w:t>PFam</w:t>
      </w:r>
      <w:proofErr w:type="spellEnd"/>
      <w:r w:rsidR="00B87BF8">
        <w:rPr>
          <w:sz w:val="24"/>
          <w:szCs w:val="24"/>
        </w:rPr>
        <w:t xml:space="preserve"> Identifier, etc.) for browsing </w:t>
      </w:r>
      <w:proofErr w:type="spellStart"/>
      <w:r w:rsidR="00B87BF8">
        <w:rPr>
          <w:sz w:val="24"/>
          <w:szCs w:val="24"/>
        </w:rPr>
        <w:t>PvaxDB</w:t>
      </w:r>
      <w:proofErr w:type="spellEnd"/>
      <w:r w:rsidR="00B87BF8">
        <w:rPr>
          <w:sz w:val="24"/>
          <w:szCs w:val="24"/>
        </w:rPr>
        <w:t xml:space="preserve"> are indicated.</w:t>
      </w:r>
    </w:p>
    <w:p w:rsidR="00B87BF8" w:rsidRDefault="00B87BF8" w:rsidP="00B87BF8">
      <w:pPr>
        <w:jc w:val="both"/>
        <w:rPr>
          <w:sz w:val="24"/>
          <w:szCs w:val="24"/>
        </w:rPr>
      </w:pPr>
    </w:p>
    <w:p w:rsidR="00A84EBE" w:rsidRDefault="00B87BF8" w:rsidP="00A84EBE">
      <w:pPr>
        <w:spacing w:line="480" w:lineRule="auto"/>
        <w:ind w:firstLine="720"/>
        <w:jc w:val="both"/>
        <w:rPr>
          <w:sz w:val="24"/>
          <w:szCs w:val="24"/>
        </w:rPr>
      </w:pPr>
      <w:proofErr w:type="spellStart"/>
      <w:r>
        <w:rPr>
          <w:sz w:val="24"/>
          <w:szCs w:val="24"/>
        </w:rPr>
        <w:t>PvaxDB</w:t>
      </w:r>
      <w:proofErr w:type="spellEnd"/>
      <w:r>
        <w:rPr>
          <w:sz w:val="24"/>
          <w:szCs w:val="24"/>
        </w:rPr>
        <w:t xml:space="preserve"> provides </w:t>
      </w:r>
      <w:proofErr w:type="spellStart"/>
      <w:r>
        <w:rPr>
          <w:sz w:val="24"/>
          <w:szCs w:val="24"/>
        </w:rPr>
        <w:t>Pvax</w:t>
      </w:r>
      <w:proofErr w:type="spellEnd"/>
      <w:r>
        <w:rPr>
          <w:sz w:val="24"/>
          <w:szCs w:val="24"/>
        </w:rPr>
        <w:t xml:space="preserve"> Identifier(s) for searched terms (e.g. PVX_085625 in above case). Depending upon the search terms used the number of hits may be more than one also. For instance, if </w:t>
      </w:r>
      <w:proofErr w:type="spellStart"/>
      <w:r>
        <w:rPr>
          <w:sz w:val="24"/>
          <w:szCs w:val="24"/>
        </w:rPr>
        <w:t>PFam</w:t>
      </w:r>
      <w:proofErr w:type="spellEnd"/>
      <w:r>
        <w:rPr>
          <w:sz w:val="24"/>
          <w:szCs w:val="24"/>
        </w:rPr>
        <w:t xml:space="preserve"> Identifier ‘PF00208’ is used as search term, two hits are provided as results (PVX_085005 and PVX_085625)</w:t>
      </w:r>
      <w:r w:rsidR="00A84EBE">
        <w:rPr>
          <w:sz w:val="24"/>
          <w:szCs w:val="24"/>
        </w:rPr>
        <w:t xml:space="preserve">. Similarly, if ‘Chromosome 1’ is selected in advanced search option, a total of 64 hits are provided as results. User may click on any of the hits to get detailed information about the protein. The various advance features can be used individually or in combination for browse the </w:t>
      </w:r>
      <w:proofErr w:type="spellStart"/>
      <w:r w:rsidR="00A84EBE">
        <w:rPr>
          <w:sz w:val="24"/>
          <w:szCs w:val="24"/>
        </w:rPr>
        <w:t>PvaxDB</w:t>
      </w:r>
      <w:proofErr w:type="spellEnd"/>
      <w:r w:rsidR="00A84EBE">
        <w:rPr>
          <w:sz w:val="24"/>
          <w:szCs w:val="24"/>
        </w:rPr>
        <w:t xml:space="preserve"> webserver.</w:t>
      </w:r>
    </w:p>
    <w:p w:rsidR="00A84EBE" w:rsidRDefault="00A84EBE" w:rsidP="00A84EBE">
      <w:pPr>
        <w:spacing w:line="480" w:lineRule="auto"/>
        <w:jc w:val="both"/>
        <w:rPr>
          <w:sz w:val="24"/>
          <w:szCs w:val="24"/>
        </w:rPr>
      </w:pPr>
    </w:p>
    <w:p w:rsidR="00A84EBE" w:rsidRPr="00A84EBE" w:rsidRDefault="00A84EBE" w:rsidP="00A84EBE">
      <w:pPr>
        <w:spacing w:line="480" w:lineRule="auto"/>
        <w:jc w:val="both"/>
        <w:rPr>
          <w:b/>
          <w:sz w:val="24"/>
          <w:szCs w:val="24"/>
        </w:rPr>
      </w:pPr>
      <w:r w:rsidRPr="00A84EBE">
        <w:rPr>
          <w:b/>
          <w:sz w:val="24"/>
          <w:szCs w:val="24"/>
        </w:rPr>
        <w:lastRenderedPageBreak/>
        <w:t xml:space="preserve">Step II: Analyzing the Result Page </w:t>
      </w:r>
    </w:p>
    <w:p w:rsidR="001022CC" w:rsidRDefault="001022CC" w:rsidP="001022CC">
      <w:pPr>
        <w:spacing w:line="480" w:lineRule="auto"/>
        <w:rPr>
          <w:sz w:val="24"/>
          <w:szCs w:val="24"/>
        </w:rPr>
      </w:pPr>
      <w:r>
        <w:rPr>
          <w:noProof/>
          <w:lang w:val="en-IN" w:eastAsia="en-IN"/>
        </w:rPr>
        <w:drawing>
          <wp:anchor distT="0" distB="0" distL="114300" distR="114300" simplePos="0" relativeHeight="251663360" behindDoc="0" locked="0" layoutInCell="1" allowOverlap="1" wp14:anchorId="1C44FF2C" wp14:editId="1DFDF9C7">
            <wp:simplePos x="0" y="0"/>
            <wp:positionH relativeFrom="margin">
              <wp:align>left</wp:align>
            </wp:positionH>
            <wp:positionV relativeFrom="paragraph">
              <wp:posOffset>1689735</wp:posOffset>
            </wp:positionV>
            <wp:extent cx="2752725" cy="3000375"/>
            <wp:effectExtent l="19050" t="19050" r="28575" b="285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4019"/>
                    <a:stretch/>
                  </pic:blipFill>
                  <pic:spPr bwMode="auto">
                    <a:xfrm>
                      <a:off x="0" y="0"/>
                      <a:ext cx="2752725" cy="3000375"/>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A84EBE">
        <w:rPr>
          <w:sz w:val="24"/>
          <w:szCs w:val="24"/>
        </w:rPr>
        <w:t>Clicking on the hits related to search term, the user is directed to new tab in the browser. The new tab shows for options viz. Sequence Information, Structural Information, Ligand Binding Site and Function</w:t>
      </w:r>
      <w:r w:rsidR="00DE505D">
        <w:rPr>
          <w:sz w:val="24"/>
          <w:szCs w:val="24"/>
        </w:rPr>
        <w:t>al</w:t>
      </w:r>
      <w:r w:rsidR="00A84EBE">
        <w:rPr>
          <w:sz w:val="24"/>
          <w:szCs w:val="24"/>
        </w:rPr>
        <w:t xml:space="preserve"> Annotations</w:t>
      </w:r>
      <w:r w:rsidR="006B1055">
        <w:rPr>
          <w:sz w:val="24"/>
          <w:szCs w:val="24"/>
        </w:rPr>
        <w:t xml:space="preserve"> as shown in Figure S3</w:t>
      </w:r>
      <w:r w:rsidR="00A84EBE">
        <w:rPr>
          <w:sz w:val="24"/>
          <w:szCs w:val="24"/>
        </w:rPr>
        <w:t xml:space="preserve">. Clicking on any of the options displays corresponding information related to the selected protein. Here, the result page for PVX_085635 is explained in detail for better clarity. </w:t>
      </w:r>
    </w:p>
    <w:p w:rsidR="001022CC" w:rsidRDefault="006B1055" w:rsidP="001022CC">
      <w:pPr>
        <w:spacing w:line="360" w:lineRule="auto"/>
        <w:jc w:val="both"/>
        <w:rPr>
          <w:sz w:val="24"/>
          <w:szCs w:val="24"/>
        </w:rPr>
      </w:pPr>
      <w:r>
        <w:rPr>
          <w:b/>
          <w:sz w:val="24"/>
          <w:szCs w:val="24"/>
        </w:rPr>
        <w:t>Figure S3</w:t>
      </w:r>
      <w:r w:rsidR="001022CC" w:rsidRPr="001022CC">
        <w:rPr>
          <w:b/>
          <w:sz w:val="24"/>
          <w:szCs w:val="24"/>
        </w:rPr>
        <w:t>.</w:t>
      </w:r>
      <w:r w:rsidR="001022CC">
        <w:rPr>
          <w:sz w:val="24"/>
          <w:szCs w:val="24"/>
        </w:rPr>
        <w:t xml:space="preserve"> Result page of </w:t>
      </w:r>
      <w:proofErr w:type="spellStart"/>
      <w:r w:rsidR="001022CC">
        <w:rPr>
          <w:sz w:val="24"/>
          <w:szCs w:val="24"/>
        </w:rPr>
        <w:t>PvaxDB</w:t>
      </w:r>
      <w:proofErr w:type="spellEnd"/>
      <w:r w:rsidR="001022CC">
        <w:rPr>
          <w:sz w:val="24"/>
          <w:szCs w:val="24"/>
        </w:rPr>
        <w:t xml:space="preserve"> webserver showing   links for different information for searched protein (e.g. PVX_085625).</w:t>
      </w:r>
    </w:p>
    <w:p w:rsidR="001022CC" w:rsidRDefault="001022CC" w:rsidP="006B1055">
      <w:pPr>
        <w:spacing w:before="240" w:line="480" w:lineRule="auto"/>
        <w:jc w:val="both"/>
        <w:rPr>
          <w:b/>
          <w:sz w:val="24"/>
          <w:szCs w:val="24"/>
        </w:rPr>
      </w:pPr>
      <w:r w:rsidRPr="001022CC">
        <w:rPr>
          <w:b/>
          <w:sz w:val="24"/>
          <w:szCs w:val="24"/>
        </w:rPr>
        <w:t>Step III. Sequence Information</w:t>
      </w:r>
    </w:p>
    <w:p w:rsidR="001022CC" w:rsidRPr="001022CC" w:rsidRDefault="001022CC" w:rsidP="006B1055">
      <w:pPr>
        <w:spacing w:line="480" w:lineRule="auto"/>
        <w:ind w:firstLine="720"/>
        <w:jc w:val="both"/>
        <w:rPr>
          <w:sz w:val="24"/>
          <w:szCs w:val="24"/>
        </w:rPr>
      </w:pPr>
      <w:r w:rsidRPr="001022CC">
        <w:rPr>
          <w:sz w:val="24"/>
          <w:szCs w:val="24"/>
        </w:rPr>
        <w:t xml:space="preserve">The </w:t>
      </w:r>
      <w:r>
        <w:rPr>
          <w:sz w:val="24"/>
          <w:szCs w:val="24"/>
        </w:rPr>
        <w:t>sequence information expands to provide various information derived/computed/predicted from protein sequ</w:t>
      </w:r>
      <w:r w:rsidR="006B1055">
        <w:rPr>
          <w:sz w:val="24"/>
          <w:szCs w:val="24"/>
        </w:rPr>
        <w:t>ence alone as shown in Figure S4</w:t>
      </w:r>
      <w:r>
        <w:rPr>
          <w:sz w:val="24"/>
          <w:szCs w:val="24"/>
        </w:rPr>
        <w:t xml:space="preserve">. Various sequence based features provided under sequence information are briefly discussed ahead.  </w:t>
      </w:r>
    </w:p>
    <w:p w:rsidR="00812DAF" w:rsidRPr="00066424" w:rsidRDefault="00812DAF" w:rsidP="006B1055">
      <w:pPr>
        <w:pStyle w:val="ListParagraph"/>
        <w:numPr>
          <w:ilvl w:val="0"/>
          <w:numId w:val="10"/>
        </w:numPr>
        <w:tabs>
          <w:tab w:val="left" w:pos="900"/>
        </w:tabs>
        <w:spacing w:line="480" w:lineRule="auto"/>
        <w:ind w:left="284" w:hanging="284"/>
        <w:jc w:val="both"/>
        <w:rPr>
          <w:sz w:val="24"/>
          <w:szCs w:val="24"/>
        </w:rPr>
      </w:pPr>
      <w:r w:rsidRPr="00066424">
        <w:rPr>
          <w:b/>
          <w:sz w:val="24"/>
          <w:szCs w:val="24"/>
        </w:rPr>
        <w:t>Sequence Length</w:t>
      </w:r>
      <w:r w:rsidRPr="00066424">
        <w:rPr>
          <w:sz w:val="24"/>
          <w:szCs w:val="24"/>
        </w:rPr>
        <w:t>: This indicates the number of amino acid residues in protein sequence (for PVX_085625, the sequence length is 470 amino acid residues)</w:t>
      </w:r>
    </w:p>
    <w:p w:rsidR="00812DAF" w:rsidRPr="00066424" w:rsidRDefault="00812DAF" w:rsidP="006B1055">
      <w:pPr>
        <w:pStyle w:val="ListParagraph"/>
        <w:numPr>
          <w:ilvl w:val="0"/>
          <w:numId w:val="10"/>
        </w:numPr>
        <w:tabs>
          <w:tab w:val="left" w:pos="900"/>
        </w:tabs>
        <w:spacing w:line="480" w:lineRule="auto"/>
        <w:ind w:left="284" w:hanging="284"/>
        <w:jc w:val="both"/>
        <w:rPr>
          <w:noProof/>
          <w:sz w:val="24"/>
          <w:szCs w:val="24"/>
        </w:rPr>
      </w:pPr>
      <w:r w:rsidRPr="00066424">
        <w:rPr>
          <w:b/>
          <w:sz w:val="24"/>
          <w:szCs w:val="24"/>
        </w:rPr>
        <w:lastRenderedPageBreak/>
        <w:t>Molecular Weight:</w:t>
      </w:r>
      <w:r w:rsidRPr="00066424">
        <w:rPr>
          <w:sz w:val="24"/>
          <w:szCs w:val="24"/>
        </w:rPr>
        <w:t xml:space="preserve"> Molecular weight is calculated for the protein sequence by adopting the parameters defined in</w:t>
      </w:r>
      <w:r w:rsidRPr="00066424">
        <w:rPr>
          <w:rFonts w:ascii="Helvetica" w:hAnsi="Helvetica"/>
          <w:color w:val="000000" w:themeColor="text1"/>
          <w:sz w:val="27"/>
          <w:szCs w:val="27"/>
          <w:shd w:val="clear" w:color="auto" w:fill="FFFFFF"/>
        </w:rPr>
        <w:t> </w:t>
      </w:r>
      <w:hyperlink r:id="rId8" w:history="1">
        <w:r w:rsidRPr="00066424">
          <w:rPr>
            <w:rStyle w:val="Hyperlink"/>
            <w:color w:val="000000" w:themeColor="text1"/>
            <w:sz w:val="24"/>
            <w:szCs w:val="24"/>
            <w:shd w:val="clear" w:color="auto" w:fill="FFFFFF"/>
          </w:rPr>
          <w:t>John M. Walker (</w:t>
        </w:r>
        <w:proofErr w:type="spellStart"/>
        <w:proofErr w:type="gramStart"/>
        <w:r w:rsidRPr="00066424">
          <w:rPr>
            <w:rStyle w:val="Hyperlink"/>
            <w:color w:val="000000" w:themeColor="text1"/>
            <w:sz w:val="24"/>
            <w:szCs w:val="24"/>
            <w:shd w:val="clear" w:color="auto" w:fill="FFFFFF"/>
          </w:rPr>
          <w:t>ed</w:t>
        </w:r>
        <w:proofErr w:type="spellEnd"/>
        <w:proofErr w:type="gramEnd"/>
        <w:r w:rsidRPr="00066424">
          <w:rPr>
            <w:rStyle w:val="Hyperlink"/>
            <w:color w:val="000000" w:themeColor="text1"/>
            <w:sz w:val="24"/>
            <w:szCs w:val="24"/>
            <w:shd w:val="clear" w:color="auto" w:fill="FFFFFF"/>
          </w:rPr>
          <w:t>): The Proteomics Protocols Handbook, Humana Press (2005)</w:t>
        </w:r>
      </w:hyperlink>
      <w:r w:rsidRPr="00066424">
        <w:rPr>
          <w:color w:val="000000" w:themeColor="text1"/>
          <w:sz w:val="24"/>
          <w:szCs w:val="24"/>
          <w:shd w:val="clear" w:color="auto" w:fill="FFFFFF"/>
        </w:rPr>
        <w:t>, pp. 571-607. </w:t>
      </w:r>
    </w:p>
    <w:p w:rsidR="00812DAF" w:rsidRPr="00066424" w:rsidRDefault="00812DAF" w:rsidP="006B1055">
      <w:pPr>
        <w:pStyle w:val="ListParagraph"/>
        <w:numPr>
          <w:ilvl w:val="0"/>
          <w:numId w:val="9"/>
        </w:numPr>
        <w:tabs>
          <w:tab w:val="left" w:pos="900"/>
        </w:tabs>
        <w:spacing w:line="480" w:lineRule="auto"/>
        <w:ind w:left="284" w:hanging="284"/>
        <w:jc w:val="both"/>
        <w:rPr>
          <w:sz w:val="24"/>
          <w:szCs w:val="24"/>
        </w:rPr>
      </w:pPr>
      <w:r w:rsidRPr="00066424">
        <w:rPr>
          <w:b/>
          <w:sz w:val="24"/>
          <w:szCs w:val="24"/>
        </w:rPr>
        <w:t>Sum of Absolute Deviation from Amino Acid Occurrence Frequencies</w:t>
      </w:r>
      <w:r w:rsidRPr="00066424">
        <w:rPr>
          <w:sz w:val="24"/>
          <w:szCs w:val="24"/>
        </w:rPr>
        <w:t xml:space="preserve">: The amino acid occurrence frequencies are computed from the protein sequence and compared with the amino acid occurrence frequencies adopted from </w:t>
      </w:r>
      <w:proofErr w:type="spellStart"/>
      <w:r w:rsidRPr="00066424">
        <w:rPr>
          <w:sz w:val="24"/>
          <w:szCs w:val="24"/>
        </w:rPr>
        <w:t>UniProt</w:t>
      </w:r>
      <w:proofErr w:type="spellEnd"/>
      <w:r w:rsidRPr="00066424">
        <w:rPr>
          <w:sz w:val="24"/>
          <w:szCs w:val="24"/>
        </w:rPr>
        <w:t xml:space="preserve"> database (Table S1).</w:t>
      </w:r>
    </w:p>
    <w:p w:rsidR="009168CC" w:rsidRPr="009168CC" w:rsidRDefault="009168CC" w:rsidP="00812DAF">
      <w:pPr>
        <w:tabs>
          <w:tab w:val="left" w:pos="900"/>
        </w:tabs>
        <w:spacing w:line="360" w:lineRule="auto"/>
        <w:jc w:val="both"/>
        <w:rPr>
          <w:sz w:val="24"/>
          <w:szCs w:val="24"/>
        </w:rPr>
      </w:pPr>
      <w:r w:rsidRPr="009168CC">
        <w:rPr>
          <w:b/>
          <w:sz w:val="24"/>
          <w:szCs w:val="24"/>
        </w:rPr>
        <w:t>Table S1.</w:t>
      </w:r>
      <w:r w:rsidRPr="009168CC">
        <w:rPr>
          <w:sz w:val="24"/>
          <w:szCs w:val="24"/>
        </w:rPr>
        <w:t xml:space="preserve"> The occurrence frequencies of amino acids adopted from UniProtKB</w:t>
      </w:r>
    </w:p>
    <w:tbl>
      <w:tblPr>
        <w:tblStyle w:val="TableGrid"/>
        <w:tblW w:w="9318" w:type="dxa"/>
        <w:jc w:val="center"/>
        <w:tblLook w:val="04A0" w:firstRow="1" w:lastRow="0" w:firstColumn="1" w:lastColumn="0" w:noHBand="0" w:noVBand="1"/>
      </w:tblPr>
      <w:tblGrid>
        <w:gridCol w:w="1394"/>
        <w:gridCol w:w="3077"/>
        <w:gridCol w:w="1774"/>
        <w:gridCol w:w="3073"/>
      </w:tblGrid>
      <w:tr w:rsidR="009168CC" w:rsidRPr="009168CC" w:rsidTr="00EB7A34">
        <w:trPr>
          <w:trHeight w:hRule="exact" w:val="390"/>
          <w:jc w:val="center"/>
        </w:trPr>
        <w:tc>
          <w:tcPr>
            <w:tcW w:w="1394" w:type="dxa"/>
            <w:vAlign w:val="center"/>
          </w:tcPr>
          <w:p w:rsidR="009168CC" w:rsidRPr="009168CC" w:rsidRDefault="009168CC" w:rsidP="009168CC">
            <w:pPr>
              <w:spacing w:line="360" w:lineRule="auto"/>
              <w:jc w:val="center"/>
              <w:rPr>
                <w:rFonts w:ascii="Times New Roman" w:hAnsi="Times New Roman" w:cs="Times New Roman"/>
              </w:rPr>
            </w:pPr>
            <w:r w:rsidRPr="009168CC">
              <w:rPr>
                <w:rFonts w:ascii="Times New Roman" w:hAnsi="Times New Roman" w:cs="Times New Roman"/>
              </w:rPr>
              <w:t>Amino Acid</w:t>
            </w:r>
          </w:p>
        </w:tc>
        <w:tc>
          <w:tcPr>
            <w:tcW w:w="3077" w:type="dxa"/>
            <w:vAlign w:val="center"/>
          </w:tcPr>
          <w:p w:rsidR="009168CC" w:rsidRPr="009168CC" w:rsidRDefault="009168CC" w:rsidP="009168CC">
            <w:pPr>
              <w:spacing w:line="360" w:lineRule="auto"/>
              <w:jc w:val="center"/>
              <w:rPr>
                <w:rFonts w:ascii="Times New Roman" w:hAnsi="Times New Roman" w:cs="Times New Roman"/>
              </w:rPr>
            </w:pPr>
            <w:r w:rsidRPr="009168CC">
              <w:rPr>
                <w:rFonts w:ascii="Times New Roman" w:hAnsi="Times New Roman" w:cs="Times New Roman"/>
              </w:rPr>
              <w:t>Frequency</w:t>
            </w:r>
          </w:p>
        </w:tc>
        <w:tc>
          <w:tcPr>
            <w:tcW w:w="1774" w:type="dxa"/>
            <w:vAlign w:val="center"/>
          </w:tcPr>
          <w:p w:rsidR="009168CC" w:rsidRPr="009168CC" w:rsidRDefault="009168CC" w:rsidP="009168CC">
            <w:pPr>
              <w:spacing w:line="360" w:lineRule="auto"/>
              <w:jc w:val="center"/>
              <w:rPr>
                <w:rFonts w:ascii="Times New Roman" w:hAnsi="Times New Roman" w:cs="Times New Roman"/>
              </w:rPr>
            </w:pPr>
            <w:r w:rsidRPr="009168CC">
              <w:rPr>
                <w:rFonts w:ascii="Times New Roman" w:hAnsi="Times New Roman" w:cs="Times New Roman"/>
              </w:rPr>
              <w:t>Amino Acid</w:t>
            </w:r>
          </w:p>
        </w:tc>
        <w:tc>
          <w:tcPr>
            <w:tcW w:w="3073" w:type="dxa"/>
            <w:vAlign w:val="center"/>
          </w:tcPr>
          <w:p w:rsidR="009168CC" w:rsidRPr="009168CC" w:rsidRDefault="009168CC" w:rsidP="009168CC">
            <w:pPr>
              <w:spacing w:line="360" w:lineRule="auto"/>
              <w:jc w:val="center"/>
              <w:rPr>
                <w:rFonts w:ascii="Times New Roman" w:hAnsi="Times New Roman" w:cs="Times New Roman"/>
              </w:rPr>
            </w:pPr>
            <w:r w:rsidRPr="009168CC">
              <w:rPr>
                <w:rFonts w:ascii="Times New Roman" w:hAnsi="Times New Roman" w:cs="Times New Roman"/>
              </w:rPr>
              <w:t>Frequency</w:t>
            </w:r>
          </w:p>
        </w:tc>
      </w:tr>
      <w:tr w:rsidR="009168CC" w:rsidRPr="009168CC" w:rsidTr="00EB7A34">
        <w:trPr>
          <w:trHeight w:hRule="exact" w:val="390"/>
          <w:jc w:val="center"/>
        </w:trPr>
        <w:tc>
          <w:tcPr>
            <w:tcW w:w="1394"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Alanine</w:t>
            </w:r>
          </w:p>
        </w:tc>
        <w:tc>
          <w:tcPr>
            <w:tcW w:w="3077"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0.088</w:t>
            </w:r>
          </w:p>
        </w:tc>
        <w:tc>
          <w:tcPr>
            <w:tcW w:w="1774" w:type="dxa"/>
            <w:vAlign w:val="center"/>
          </w:tcPr>
          <w:p w:rsidR="009168CC" w:rsidRPr="009168CC" w:rsidRDefault="009168CC" w:rsidP="009168CC">
            <w:pPr>
              <w:spacing w:line="360" w:lineRule="auto"/>
              <w:jc w:val="center"/>
              <w:rPr>
                <w:rFonts w:ascii="Times New Roman" w:hAnsi="Times New Roman" w:cs="Times New Roman"/>
              </w:rPr>
            </w:pPr>
            <w:proofErr w:type="spellStart"/>
            <w:r>
              <w:rPr>
                <w:rFonts w:ascii="Times New Roman" w:hAnsi="Times New Roman" w:cs="Times New Roman"/>
              </w:rPr>
              <w:t>Leucine</w:t>
            </w:r>
            <w:proofErr w:type="spellEnd"/>
          </w:p>
        </w:tc>
        <w:tc>
          <w:tcPr>
            <w:tcW w:w="3073"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0.098</w:t>
            </w:r>
          </w:p>
        </w:tc>
      </w:tr>
      <w:tr w:rsidR="009168CC" w:rsidRPr="009168CC" w:rsidTr="00EB7A34">
        <w:trPr>
          <w:trHeight w:hRule="exact" w:val="390"/>
          <w:jc w:val="center"/>
        </w:trPr>
        <w:tc>
          <w:tcPr>
            <w:tcW w:w="1394"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Arginine</w:t>
            </w:r>
          </w:p>
        </w:tc>
        <w:tc>
          <w:tcPr>
            <w:tcW w:w="3077"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0.056</w:t>
            </w:r>
          </w:p>
        </w:tc>
        <w:tc>
          <w:tcPr>
            <w:tcW w:w="1774" w:type="dxa"/>
            <w:vAlign w:val="center"/>
          </w:tcPr>
          <w:p w:rsidR="009168CC" w:rsidRPr="009168CC" w:rsidRDefault="009168CC" w:rsidP="009168CC">
            <w:pPr>
              <w:spacing w:line="360" w:lineRule="auto"/>
              <w:jc w:val="center"/>
              <w:rPr>
                <w:rFonts w:ascii="Times New Roman" w:hAnsi="Times New Roman" w:cs="Times New Roman"/>
              </w:rPr>
            </w:pPr>
            <w:r w:rsidRPr="009168CC">
              <w:rPr>
                <w:rFonts w:ascii="Times New Roman" w:hAnsi="Times New Roman" w:cs="Times New Roman"/>
              </w:rPr>
              <w:t>Lys</w:t>
            </w:r>
            <w:r>
              <w:rPr>
                <w:rFonts w:ascii="Times New Roman" w:hAnsi="Times New Roman" w:cs="Times New Roman"/>
              </w:rPr>
              <w:t>ine</w:t>
            </w:r>
          </w:p>
        </w:tc>
        <w:tc>
          <w:tcPr>
            <w:tcW w:w="3073"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0.052</w:t>
            </w:r>
          </w:p>
        </w:tc>
      </w:tr>
      <w:tr w:rsidR="009168CC" w:rsidRPr="009168CC" w:rsidTr="00EB7A34">
        <w:trPr>
          <w:trHeight w:hRule="exact" w:val="390"/>
          <w:jc w:val="center"/>
        </w:trPr>
        <w:tc>
          <w:tcPr>
            <w:tcW w:w="1394"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Asparagine</w:t>
            </w:r>
          </w:p>
        </w:tc>
        <w:tc>
          <w:tcPr>
            <w:tcW w:w="3077"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0.040</w:t>
            </w:r>
          </w:p>
        </w:tc>
        <w:tc>
          <w:tcPr>
            <w:tcW w:w="1774" w:type="dxa"/>
            <w:vAlign w:val="center"/>
          </w:tcPr>
          <w:p w:rsidR="009168CC" w:rsidRPr="009168CC" w:rsidRDefault="009168CC" w:rsidP="009168CC">
            <w:pPr>
              <w:spacing w:line="360" w:lineRule="auto"/>
              <w:jc w:val="center"/>
              <w:rPr>
                <w:rFonts w:ascii="Times New Roman" w:hAnsi="Times New Roman" w:cs="Times New Roman"/>
              </w:rPr>
            </w:pPr>
            <w:r w:rsidRPr="009168CC">
              <w:rPr>
                <w:rFonts w:ascii="Times New Roman" w:hAnsi="Times New Roman" w:cs="Times New Roman"/>
              </w:rPr>
              <w:t>Met</w:t>
            </w:r>
            <w:r>
              <w:rPr>
                <w:rFonts w:ascii="Times New Roman" w:hAnsi="Times New Roman" w:cs="Times New Roman"/>
              </w:rPr>
              <w:t>hionine</w:t>
            </w:r>
          </w:p>
        </w:tc>
        <w:tc>
          <w:tcPr>
            <w:tcW w:w="3073"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0.024</w:t>
            </w:r>
          </w:p>
        </w:tc>
      </w:tr>
      <w:tr w:rsidR="009168CC" w:rsidRPr="009168CC" w:rsidTr="00EB7A34">
        <w:trPr>
          <w:trHeight w:hRule="exact" w:val="390"/>
          <w:jc w:val="center"/>
        </w:trPr>
        <w:tc>
          <w:tcPr>
            <w:tcW w:w="1394"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Aspartate</w:t>
            </w:r>
          </w:p>
        </w:tc>
        <w:tc>
          <w:tcPr>
            <w:tcW w:w="3077"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0.054</w:t>
            </w:r>
          </w:p>
        </w:tc>
        <w:tc>
          <w:tcPr>
            <w:tcW w:w="1774"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Phenylalanine</w:t>
            </w:r>
          </w:p>
        </w:tc>
        <w:tc>
          <w:tcPr>
            <w:tcW w:w="3073"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0.040</w:t>
            </w:r>
          </w:p>
        </w:tc>
      </w:tr>
      <w:tr w:rsidR="009168CC" w:rsidRPr="009168CC" w:rsidTr="00EB7A34">
        <w:trPr>
          <w:trHeight w:hRule="exact" w:val="390"/>
          <w:jc w:val="center"/>
        </w:trPr>
        <w:tc>
          <w:tcPr>
            <w:tcW w:w="1394"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Cysteine</w:t>
            </w:r>
          </w:p>
        </w:tc>
        <w:tc>
          <w:tcPr>
            <w:tcW w:w="3077"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0.013</w:t>
            </w:r>
          </w:p>
        </w:tc>
        <w:tc>
          <w:tcPr>
            <w:tcW w:w="1774" w:type="dxa"/>
            <w:vAlign w:val="center"/>
          </w:tcPr>
          <w:p w:rsidR="009168CC" w:rsidRPr="009168CC" w:rsidRDefault="009168CC" w:rsidP="009168CC">
            <w:pPr>
              <w:spacing w:line="360" w:lineRule="auto"/>
              <w:jc w:val="center"/>
              <w:rPr>
                <w:rFonts w:ascii="Times New Roman" w:hAnsi="Times New Roman" w:cs="Times New Roman"/>
              </w:rPr>
            </w:pPr>
            <w:proofErr w:type="spellStart"/>
            <w:r>
              <w:rPr>
                <w:rFonts w:ascii="Times New Roman" w:hAnsi="Times New Roman" w:cs="Times New Roman"/>
              </w:rPr>
              <w:t>Proline</w:t>
            </w:r>
            <w:proofErr w:type="spellEnd"/>
          </w:p>
        </w:tc>
        <w:tc>
          <w:tcPr>
            <w:tcW w:w="3073"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0.048</w:t>
            </w:r>
          </w:p>
        </w:tc>
      </w:tr>
      <w:tr w:rsidR="009168CC" w:rsidRPr="009168CC" w:rsidTr="00EB7A34">
        <w:trPr>
          <w:trHeight w:hRule="exact" w:val="390"/>
          <w:jc w:val="center"/>
        </w:trPr>
        <w:tc>
          <w:tcPr>
            <w:tcW w:w="1394"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Glutamine</w:t>
            </w:r>
          </w:p>
        </w:tc>
        <w:tc>
          <w:tcPr>
            <w:tcW w:w="3077"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0.039</w:t>
            </w:r>
          </w:p>
        </w:tc>
        <w:tc>
          <w:tcPr>
            <w:tcW w:w="1774"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Serine</w:t>
            </w:r>
          </w:p>
        </w:tc>
        <w:tc>
          <w:tcPr>
            <w:tcW w:w="3073"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0.068</w:t>
            </w:r>
          </w:p>
        </w:tc>
      </w:tr>
      <w:tr w:rsidR="009168CC" w:rsidRPr="009168CC" w:rsidTr="00EB7A34">
        <w:trPr>
          <w:trHeight w:hRule="exact" w:val="390"/>
          <w:jc w:val="center"/>
        </w:trPr>
        <w:tc>
          <w:tcPr>
            <w:tcW w:w="1394"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Glutamate</w:t>
            </w:r>
          </w:p>
        </w:tc>
        <w:tc>
          <w:tcPr>
            <w:tcW w:w="3077"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0.062</w:t>
            </w:r>
          </w:p>
        </w:tc>
        <w:tc>
          <w:tcPr>
            <w:tcW w:w="1774" w:type="dxa"/>
            <w:vAlign w:val="center"/>
          </w:tcPr>
          <w:p w:rsidR="009168CC" w:rsidRPr="009168CC" w:rsidRDefault="009168CC" w:rsidP="009168CC">
            <w:pPr>
              <w:spacing w:line="360" w:lineRule="auto"/>
              <w:jc w:val="center"/>
              <w:rPr>
                <w:rFonts w:ascii="Times New Roman" w:hAnsi="Times New Roman" w:cs="Times New Roman"/>
              </w:rPr>
            </w:pPr>
            <w:r w:rsidRPr="009168CC">
              <w:rPr>
                <w:rFonts w:ascii="Times New Roman" w:hAnsi="Times New Roman" w:cs="Times New Roman"/>
              </w:rPr>
              <w:t>Thr</w:t>
            </w:r>
            <w:r>
              <w:rPr>
                <w:rFonts w:ascii="Times New Roman" w:hAnsi="Times New Roman" w:cs="Times New Roman"/>
              </w:rPr>
              <w:t>eonine</w:t>
            </w:r>
          </w:p>
        </w:tc>
        <w:tc>
          <w:tcPr>
            <w:tcW w:w="3073"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0.056</w:t>
            </w:r>
          </w:p>
        </w:tc>
      </w:tr>
      <w:tr w:rsidR="009168CC" w:rsidRPr="009168CC" w:rsidTr="00EB7A34">
        <w:trPr>
          <w:trHeight w:hRule="exact" w:val="390"/>
          <w:jc w:val="center"/>
        </w:trPr>
        <w:tc>
          <w:tcPr>
            <w:tcW w:w="1394"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Glycine</w:t>
            </w:r>
          </w:p>
        </w:tc>
        <w:tc>
          <w:tcPr>
            <w:tcW w:w="3077"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0.071</w:t>
            </w:r>
          </w:p>
        </w:tc>
        <w:tc>
          <w:tcPr>
            <w:tcW w:w="1774"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Tryptophan</w:t>
            </w:r>
          </w:p>
        </w:tc>
        <w:tc>
          <w:tcPr>
            <w:tcW w:w="3073"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0.013</w:t>
            </w:r>
          </w:p>
        </w:tc>
      </w:tr>
      <w:tr w:rsidR="009168CC" w:rsidRPr="009168CC" w:rsidTr="00EB7A34">
        <w:trPr>
          <w:trHeight w:hRule="exact" w:val="390"/>
          <w:jc w:val="center"/>
        </w:trPr>
        <w:tc>
          <w:tcPr>
            <w:tcW w:w="1394" w:type="dxa"/>
            <w:vAlign w:val="center"/>
          </w:tcPr>
          <w:p w:rsidR="009168CC" w:rsidRPr="009168CC" w:rsidRDefault="009168CC" w:rsidP="009168CC">
            <w:pPr>
              <w:spacing w:line="360" w:lineRule="auto"/>
              <w:jc w:val="center"/>
              <w:rPr>
                <w:rFonts w:ascii="Times New Roman" w:hAnsi="Times New Roman" w:cs="Times New Roman"/>
              </w:rPr>
            </w:pPr>
            <w:proofErr w:type="spellStart"/>
            <w:r>
              <w:rPr>
                <w:rFonts w:ascii="Times New Roman" w:hAnsi="Times New Roman" w:cs="Times New Roman"/>
              </w:rPr>
              <w:t>Histidine</w:t>
            </w:r>
            <w:proofErr w:type="spellEnd"/>
          </w:p>
        </w:tc>
        <w:tc>
          <w:tcPr>
            <w:tcW w:w="3077"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0.022</w:t>
            </w:r>
          </w:p>
        </w:tc>
        <w:tc>
          <w:tcPr>
            <w:tcW w:w="1774"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Tyrosine</w:t>
            </w:r>
          </w:p>
        </w:tc>
        <w:tc>
          <w:tcPr>
            <w:tcW w:w="3073"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0.030</w:t>
            </w:r>
          </w:p>
        </w:tc>
      </w:tr>
      <w:tr w:rsidR="009168CC" w:rsidRPr="009168CC" w:rsidTr="00EB7A34">
        <w:trPr>
          <w:trHeight w:hRule="exact" w:val="390"/>
          <w:jc w:val="center"/>
        </w:trPr>
        <w:tc>
          <w:tcPr>
            <w:tcW w:w="1394"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Isoleucine</w:t>
            </w:r>
          </w:p>
        </w:tc>
        <w:tc>
          <w:tcPr>
            <w:tcW w:w="3077" w:type="dxa"/>
            <w:vAlign w:val="center"/>
          </w:tcPr>
          <w:p w:rsidR="009168CC" w:rsidRPr="009168CC" w:rsidRDefault="009168CC" w:rsidP="009168CC">
            <w:pPr>
              <w:spacing w:line="360" w:lineRule="auto"/>
              <w:jc w:val="center"/>
              <w:rPr>
                <w:rFonts w:ascii="Times New Roman" w:hAnsi="Times New Roman" w:cs="Times New Roman"/>
              </w:rPr>
            </w:pPr>
            <w:r w:rsidRPr="009168CC">
              <w:rPr>
                <w:rFonts w:ascii="Times New Roman" w:hAnsi="Times New Roman" w:cs="Times New Roman"/>
              </w:rPr>
              <w:t>0.0574</w:t>
            </w:r>
          </w:p>
        </w:tc>
        <w:tc>
          <w:tcPr>
            <w:tcW w:w="1774" w:type="dxa"/>
            <w:vAlign w:val="center"/>
          </w:tcPr>
          <w:p w:rsidR="009168CC" w:rsidRPr="009168CC" w:rsidRDefault="009168CC" w:rsidP="009168CC">
            <w:pPr>
              <w:spacing w:line="360" w:lineRule="auto"/>
              <w:jc w:val="center"/>
              <w:rPr>
                <w:rFonts w:ascii="Times New Roman" w:hAnsi="Times New Roman" w:cs="Times New Roman"/>
              </w:rPr>
            </w:pPr>
            <w:proofErr w:type="spellStart"/>
            <w:r>
              <w:rPr>
                <w:rFonts w:ascii="Times New Roman" w:hAnsi="Times New Roman" w:cs="Times New Roman"/>
              </w:rPr>
              <w:t>Valine</w:t>
            </w:r>
            <w:proofErr w:type="spellEnd"/>
          </w:p>
        </w:tc>
        <w:tc>
          <w:tcPr>
            <w:tcW w:w="3073" w:type="dxa"/>
            <w:vAlign w:val="center"/>
          </w:tcPr>
          <w:p w:rsidR="009168CC" w:rsidRPr="009168CC" w:rsidRDefault="009168CC" w:rsidP="009168CC">
            <w:pPr>
              <w:spacing w:line="360" w:lineRule="auto"/>
              <w:jc w:val="center"/>
              <w:rPr>
                <w:rFonts w:ascii="Times New Roman" w:hAnsi="Times New Roman" w:cs="Times New Roman"/>
              </w:rPr>
            </w:pPr>
            <w:r>
              <w:rPr>
                <w:rFonts w:ascii="Times New Roman" w:hAnsi="Times New Roman" w:cs="Times New Roman"/>
              </w:rPr>
              <w:t>0.068</w:t>
            </w:r>
          </w:p>
        </w:tc>
      </w:tr>
    </w:tbl>
    <w:p w:rsidR="009168CC" w:rsidRDefault="009168CC" w:rsidP="009168CC">
      <w:pPr>
        <w:tabs>
          <w:tab w:val="left" w:pos="900"/>
        </w:tabs>
        <w:spacing w:line="360" w:lineRule="auto"/>
        <w:jc w:val="both"/>
        <w:rPr>
          <w:noProof/>
          <w:sz w:val="24"/>
          <w:szCs w:val="24"/>
        </w:rPr>
      </w:pPr>
    </w:p>
    <w:p w:rsidR="00066424" w:rsidRPr="006B1055" w:rsidRDefault="00812DAF" w:rsidP="006B1055">
      <w:pPr>
        <w:pStyle w:val="ListParagraph"/>
        <w:numPr>
          <w:ilvl w:val="0"/>
          <w:numId w:val="8"/>
        </w:numPr>
        <w:tabs>
          <w:tab w:val="left" w:pos="900"/>
        </w:tabs>
        <w:spacing w:line="480" w:lineRule="auto"/>
        <w:ind w:left="284" w:hanging="284"/>
        <w:jc w:val="both"/>
        <w:rPr>
          <w:sz w:val="24"/>
          <w:szCs w:val="24"/>
        </w:rPr>
      </w:pPr>
      <w:r w:rsidRPr="006B1055">
        <w:rPr>
          <w:b/>
          <w:sz w:val="24"/>
          <w:szCs w:val="24"/>
        </w:rPr>
        <w:t>Aliphatic Index</w:t>
      </w:r>
      <w:r w:rsidRPr="006B1055">
        <w:rPr>
          <w:sz w:val="24"/>
          <w:szCs w:val="24"/>
        </w:rPr>
        <w:t xml:space="preserve">: </w:t>
      </w:r>
      <w:r w:rsidR="00066424" w:rsidRPr="006B1055">
        <w:rPr>
          <w:sz w:val="24"/>
          <w:szCs w:val="24"/>
        </w:rPr>
        <w:t xml:space="preserve">Relative volume occupied by aliphatic amino acid residues in protein sequence define the aliphatic index of proteins. These residues includes alanine, </w:t>
      </w:r>
      <w:proofErr w:type="spellStart"/>
      <w:r w:rsidR="00066424" w:rsidRPr="006B1055">
        <w:rPr>
          <w:sz w:val="24"/>
          <w:szCs w:val="24"/>
        </w:rPr>
        <w:t>valine</w:t>
      </w:r>
      <w:proofErr w:type="spellEnd"/>
      <w:r w:rsidR="00066424" w:rsidRPr="006B1055">
        <w:rPr>
          <w:sz w:val="24"/>
          <w:szCs w:val="24"/>
        </w:rPr>
        <w:t xml:space="preserve">, </w:t>
      </w:r>
      <w:proofErr w:type="spellStart"/>
      <w:r w:rsidR="00066424" w:rsidRPr="006B1055">
        <w:rPr>
          <w:sz w:val="24"/>
          <w:szCs w:val="24"/>
        </w:rPr>
        <w:t>leucine</w:t>
      </w:r>
      <w:proofErr w:type="spellEnd"/>
      <w:r w:rsidR="00066424" w:rsidRPr="006B1055">
        <w:rPr>
          <w:sz w:val="24"/>
          <w:szCs w:val="24"/>
        </w:rPr>
        <w:t xml:space="preserve"> and Isoleucine. High aliphatic index is assumed to impart thermal stability to globular proteins.</w:t>
      </w:r>
    </w:p>
    <w:p w:rsidR="00066424" w:rsidRPr="006B1055" w:rsidRDefault="00812DAF" w:rsidP="006B1055">
      <w:pPr>
        <w:pStyle w:val="ListParagraph"/>
        <w:numPr>
          <w:ilvl w:val="0"/>
          <w:numId w:val="8"/>
        </w:numPr>
        <w:tabs>
          <w:tab w:val="left" w:pos="900"/>
        </w:tabs>
        <w:spacing w:line="480" w:lineRule="auto"/>
        <w:ind w:left="284" w:hanging="284"/>
        <w:jc w:val="both"/>
        <w:rPr>
          <w:noProof/>
          <w:sz w:val="24"/>
          <w:szCs w:val="24"/>
        </w:rPr>
      </w:pPr>
      <w:r w:rsidRPr="006B1055">
        <w:rPr>
          <w:b/>
          <w:sz w:val="24"/>
          <w:szCs w:val="24"/>
        </w:rPr>
        <w:t>Instability Index</w:t>
      </w:r>
      <w:r w:rsidRPr="006B1055">
        <w:rPr>
          <w:sz w:val="24"/>
          <w:szCs w:val="24"/>
        </w:rPr>
        <w:t xml:space="preserve">: </w:t>
      </w:r>
      <w:r w:rsidR="00066424" w:rsidRPr="006B1055">
        <w:rPr>
          <w:sz w:val="24"/>
          <w:szCs w:val="24"/>
        </w:rPr>
        <w:t>An estimation about the stability of protein can be derived from its instability index. Proteins with lower</w:t>
      </w:r>
      <w:r w:rsidRPr="006B1055">
        <w:rPr>
          <w:sz w:val="24"/>
          <w:szCs w:val="24"/>
        </w:rPr>
        <w:t xml:space="preserve"> instability index</w:t>
      </w:r>
      <w:r w:rsidR="00066424" w:rsidRPr="006B1055">
        <w:rPr>
          <w:sz w:val="24"/>
          <w:szCs w:val="24"/>
        </w:rPr>
        <w:t xml:space="preserve"> (&lt; 40)</w:t>
      </w:r>
      <w:r w:rsidRPr="006B1055">
        <w:rPr>
          <w:sz w:val="24"/>
          <w:szCs w:val="24"/>
        </w:rPr>
        <w:t xml:space="preserve"> </w:t>
      </w:r>
      <w:r w:rsidR="00066424" w:rsidRPr="006B1055">
        <w:rPr>
          <w:sz w:val="24"/>
          <w:szCs w:val="24"/>
        </w:rPr>
        <w:t>are considered as stable and vice-versa.</w:t>
      </w:r>
    </w:p>
    <w:p w:rsidR="00066424" w:rsidRPr="006B1055" w:rsidRDefault="00812DAF" w:rsidP="006B1055">
      <w:pPr>
        <w:pStyle w:val="ListParagraph"/>
        <w:numPr>
          <w:ilvl w:val="0"/>
          <w:numId w:val="8"/>
        </w:numPr>
        <w:tabs>
          <w:tab w:val="left" w:pos="900"/>
        </w:tabs>
        <w:spacing w:line="480" w:lineRule="auto"/>
        <w:ind w:left="284" w:hanging="284"/>
        <w:jc w:val="both"/>
        <w:rPr>
          <w:noProof/>
          <w:sz w:val="24"/>
          <w:szCs w:val="24"/>
        </w:rPr>
      </w:pPr>
      <w:r w:rsidRPr="006B1055">
        <w:rPr>
          <w:b/>
          <w:sz w:val="24"/>
          <w:szCs w:val="24"/>
        </w:rPr>
        <w:t>Isoelectric Point</w:t>
      </w:r>
      <w:r w:rsidRPr="006B1055">
        <w:rPr>
          <w:sz w:val="24"/>
          <w:szCs w:val="24"/>
        </w:rPr>
        <w:t xml:space="preserve">: </w:t>
      </w:r>
      <w:r w:rsidR="00066424" w:rsidRPr="006B1055">
        <w:rPr>
          <w:sz w:val="24"/>
          <w:szCs w:val="24"/>
        </w:rPr>
        <w:t>T</w:t>
      </w:r>
      <w:r w:rsidRPr="006B1055">
        <w:rPr>
          <w:sz w:val="24"/>
          <w:szCs w:val="24"/>
        </w:rPr>
        <w:t>he pH at which the net charge of a protein is zero</w:t>
      </w:r>
      <w:r w:rsidR="00066424" w:rsidRPr="006B1055">
        <w:rPr>
          <w:sz w:val="24"/>
          <w:szCs w:val="24"/>
        </w:rPr>
        <w:t xml:space="preserve"> is considered as its isoelectric point (represented </w:t>
      </w:r>
      <w:proofErr w:type="spellStart"/>
      <w:r w:rsidR="00066424" w:rsidRPr="006B1055">
        <w:rPr>
          <w:sz w:val="24"/>
          <w:szCs w:val="24"/>
        </w:rPr>
        <w:t>pI</w:t>
      </w:r>
      <w:proofErr w:type="spellEnd"/>
      <w:r w:rsidR="00066424" w:rsidRPr="006B1055">
        <w:rPr>
          <w:sz w:val="24"/>
          <w:szCs w:val="24"/>
        </w:rPr>
        <w:t xml:space="preserve">). The parameters for calculating </w:t>
      </w:r>
      <w:proofErr w:type="spellStart"/>
      <w:r w:rsidR="00066424" w:rsidRPr="006B1055">
        <w:rPr>
          <w:sz w:val="24"/>
          <w:szCs w:val="24"/>
        </w:rPr>
        <w:t>pI</w:t>
      </w:r>
      <w:proofErr w:type="spellEnd"/>
      <w:r w:rsidR="00066424" w:rsidRPr="006B1055">
        <w:rPr>
          <w:sz w:val="24"/>
          <w:szCs w:val="24"/>
        </w:rPr>
        <w:t xml:space="preserve"> are adopted from </w:t>
      </w:r>
      <w:hyperlink r:id="rId9" w:history="1">
        <w:r w:rsidR="00066424" w:rsidRPr="006B1055">
          <w:rPr>
            <w:rStyle w:val="Hyperlink"/>
            <w:sz w:val="24"/>
            <w:szCs w:val="24"/>
          </w:rPr>
          <w:t>https://web.expasy.org/compute_pi</w:t>
        </w:r>
      </w:hyperlink>
      <w:r w:rsidR="0047698E" w:rsidRPr="006B1055">
        <w:rPr>
          <w:sz w:val="24"/>
          <w:szCs w:val="24"/>
        </w:rPr>
        <w:t>.</w:t>
      </w:r>
    </w:p>
    <w:p w:rsidR="0047698E" w:rsidRPr="006B1055" w:rsidRDefault="0047698E" w:rsidP="006B1055">
      <w:pPr>
        <w:pStyle w:val="ListParagraph"/>
        <w:numPr>
          <w:ilvl w:val="0"/>
          <w:numId w:val="8"/>
        </w:numPr>
        <w:tabs>
          <w:tab w:val="left" w:pos="900"/>
        </w:tabs>
        <w:spacing w:line="480" w:lineRule="auto"/>
        <w:ind w:left="284" w:hanging="284"/>
        <w:jc w:val="both"/>
        <w:rPr>
          <w:noProof/>
          <w:sz w:val="24"/>
          <w:szCs w:val="24"/>
        </w:rPr>
      </w:pPr>
      <w:r w:rsidRPr="006B1055">
        <w:rPr>
          <w:b/>
          <w:sz w:val="24"/>
          <w:szCs w:val="24"/>
        </w:rPr>
        <w:lastRenderedPageBreak/>
        <w:t>Secondary Structural Features</w:t>
      </w:r>
      <w:r w:rsidRPr="006B1055">
        <w:rPr>
          <w:noProof/>
          <w:sz w:val="24"/>
          <w:szCs w:val="24"/>
        </w:rPr>
        <w:t>:</w:t>
      </w:r>
      <w:r w:rsidR="0022615A" w:rsidRPr="006B1055">
        <w:rPr>
          <w:noProof/>
          <w:sz w:val="24"/>
          <w:szCs w:val="24"/>
        </w:rPr>
        <w:t xml:space="preserve"> For all the protein sequences the secondary structure prediction  is performed by PSIPRED and percentagage secondary structural content is provided to user.</w:t>
      </w:r>
    </w:p>
    <w:p w:rsidR="00FC2550" w:rsidRPr="006B1055" w:rsidRDefault="00812DAF" w:rsidP="006B1055">
      <w:pPr>
        <w:pStyle w:val="ListParagraph"/>
        <w:numPr>
          <w:ilvl w:val="0"/>
          <w:numId w:val="8"/>
        </w:numPr>
        <w:tabs>
          <w:tab w:val="left" w:pos="900"/>
        </w:tabs>
        <w:spacing w:line="480" w:lineRule="auto"/>
        <w:ind w:left="284" w:hanging="284"/>
        <w:jc w:val="both"/>
        <w:rPr>
          <w:sz w:val="24"/>
          <w:szCs w:val="24"/>
        </w:rPr>
      </w:pPr>
      <w:r w:rsidRPr="006B1055">
        <w:rPr>
          <w:b/>
          <w:noProof/>
          <w:sz w:val="24"/>
          <w:szCs w:val="24"/>
        </w:rPr>
        <w:t>Structural Difficulty (SD) Index:</w:t>
      </w:r>
      <w:r w:rsidRPr="006B1055">
        <w:rPr>
          <w:sz w:val="24"/>
          <w:szCs w:val="24"/>
        </w:rPr>
        <w:t xml:space="preserve"> </w:t>
      </w:r>
      <w:r w:rsidR="009B705E" w:rsidRPr="006B1055">
        <w:rPr>
          <w:sz w:val="24"/>
          <w:szCs w:val="24"/>
        </w:rPr>
        <w:t xml:space="preserve">The structural difficulty index accounts for </w:t>
      </w:r>
      <w:proofErr w:type="spellStart"/>
      <w:r w:rsidR="009B705E" w:rsidRPr="006B1055">
        <w:rPr>
          <w:sz w:val="24"/>
          <w:szCs w:val="24"/>
        </w:rPr>
        <w:t>physico</w:t>
      </w:r>
      <w:proofErr w:type="spellEnd"/>
      <w:r w:rsidR="009B705E" w:rsidRPr="006B1055">
        <w:rPr>
          <w:sz w:val="24"/>
          <w:szCs w:val="24"/>
        </w:rPr>
        <w:t xml:space="preserve">-chemical, secondary structural and homology feature for calculating the ease of modelability of a protein sequence on a scale of 0 to 100 where score below 30 is considered as Modelable Zone, score from 30 – 50 is considered as Difficult Zone and score beyond 50 is considered as ‘Very Difficult Zone’. Detail regarding SD Index may be referred to </w:t>
      </w:r>
      <w:bookmarkStart w:id="2" w:name="page2"/>
      <w:bookmarkStart w:id="3" w:name="page3"/>
      <w:bookmarkEnd w:id="2"/>
      <w:bookmarkEnd w:id="3"/>
      <w:r w:rsidR="009B705E" w:rsidRPr="006B1055">
        <w:rPr>
          <w:sz w:val="24"/>
          <w:szCs w:val="24"/>
        </w:rPr>
        <w:fldChar w:fldCharType="begin"/>
      </w:r>
      <w:r w:rsidR="009B705E" w:rsidRPr="006B1055">
        <w:rPr>
          <w:sz w:val="24"/>
          <w:szCs w:val="24"/>
        </w:rPr>
        <w:instrText xml:space="preserve"> HYPERLINK "http://scfbio-iitd.res.in/SDIndex" </w:instrText>
      </w:r>
      <w:r w:rsidR="009B705E" w:rsidRPr="006B1055">
        <w:rPr>
          <w:sz w:val="24"/>
          <w:szCs w:val="24"/>
        </w:rPr>
        <w:fldChar w:fldCharType="separate"/>
      </w:r>
      <w:r w:rsidR="009B705E" w:rsidRPr="006B1055">
        <w:rPr>
          <w:rStyle w:val="Hyperlink"/>
          <w:sz w:val="24"/>
          <w:szCs w:val="24"/>
        </w:rPr>
        <w:t>http://scfbio-iitd.res.in/SDIndex</w:t>
      </w:r>
      <w:r w:rsidR="009B705E" w:rsidRPr="006B1055">
        <w:rPr>
          <w:sz w:val="24"/>
          <w:szCs w:val="24"/>
        </w:rPr>
        <w:fldChar w:fldCharType="end"/>
      </w:r>
      <w:r w:rsidR="009B705E" w:rsidRPr="006B1055">
        <w:rPr>
          <w:sz w:val="24"/>
          <w:szCs w:val="24"/>
        </w:rPr>
        <w:t>.</w:t>
      </w:r>
    </w:p>
    <w:p w:rsidR="0047698E" w:rsidRPr="00A84EBE" w:rsidRDefault="0047698E" w:rsidP="006B1055">
      <w:pPr>
        <w:pStyle w:val="ListParagraph"/>
        <w:numPr>
          <w:ilvl w:val="0"/>
          <w:numId w:val="8"/>
        </w:numPr>
        <w:tabs>
          <w:tab w:val="left" w:pos="900"/>
        </w:tabs>
        <w:spacing w:line="480" w:lineRule="auto"/>
        <w:ind w:left="284" w:hanging="284"/>
        <w:jc w:val="both"/>
        <w:rPr>
          <w:sz w:val="24"/>
          <w:szCs w:val="24"/>
        </w:rPr>
      </w:pPr>
      <w:r w:rsidRPr="006B1055">
        <w:rPr>
          <w:b/>
          <w:noProof/>
          <w:sz w:val="24"/>
          <w:szCs w:val="24"/>
        </w:rPr>
        <w:t>External Database Links:</w:t>
      </w:r>
      <w:r w:rsidR="0022615A" w:rsidRPr="006B1055">
        <w:rPr>
          <w:b/>
          <w:noProof/>
          <w:sz w:val="24"/>
          <w:szCs w:val="24"/>
        </w:rPr>
        <w:t xml:space="preserve"> </w:t>
      </w:r>
      <w:r w:rsidR="0022615A" w:rsidRPr="006B1055">
        <w:rPr>
          <w:noProof/>
          <w:sz w:val="24"/>
          <w:szCs w:val="24"/>
        </w:rPr>
        <w:t>A link to other databased is provided for all the proteins individully. UniProtKB furnishes various features of the proteins with experimental and predicted information. PlasmoDB  provides different knowledge at genomics and proteomics levels. Pfam provides the information about the protein family associated to the proteins. Links to external databases are provided wherever possible.</w:t>
      </w:r>
      <w:r w:rsidR="0022615A">
        <w:rPr>
          <w:noProof/>
          <w:sz w:val="24"/>
          <w:szCs w:val="24"/>
        </w:rPr>
        <w:t xml:space="preserve">  </w:t>
      </w:r>
    </w:p>
    <w:p w:rsidR="00A63D0F" w:rsidRPr="00FD494A" w:rsidRDefault="001022CC" w:rsidP="009B705E">
      <w:pPr>
        <w:spacing w:line="360" w:lineRule="auto"/>
        <w:rPr>
          <w:sz w:val="24"/>
          <w:szCs w:val="24"/>
        </w:rPr>
      </w:pPr>
      <w:r w:rsidRPr="009B705E">
        <w:rPr>
          <w:b/>
          <w:noProof/>
          <w:lang w:val="en-IN" w:eastAsia="en-IN"/>
        </w:rPr>
        <w:lastRenderedPageBreak/>
        <w:drawing>
          <wp:anchor distT="0" distB="0" distL="114300" distR="114300" simplePos="0" relativeHeight="251665408" behindDoc="0" locked="0" layoutInCell="1" allowOverlap="1" wp14:anchorId="2FEA3F5E" wp14:editId="488DD17D">
            <wp:simplePos x="0" y="0"/>
            <wp:positionH relativeFrom="margin">
              <wp:align>left</wp:align>
            </wp:positionH>
            <wp:positionV relativeFrom="paragraph">
              <wp:posOffset>19050</wp:posOffset>
            </wp:positionV>
            <wp:extent cx="5943600" cy="3524250"/>
            <wp:effectExtent l="19050" t="19050" r="19050" b="19050"/>
            <wp:wrapTopAndBottom/>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13461" t="9117" r="15063" b="5128"/>
                    <a:stretch>
                      <a:fillRect/>
                    </a:stretch>
                  </pic:blipFill>
                  <pic:spPr bwMode="auto">
                    <a:xfrm>
                      <a:off x="0" y="0"/>
                      <a:ext cx="5943600" cy="3524250"/>
                    </a:xfrm>
                    <a:prstGeom prst="rect">
                      <a:avLst/>
                    </a:prstGeom>
                    <a:ln w="127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r w:rsidR="006B1055">
        <w:rPr>
          <w:b/>
          <w:sz w:val="24"/>
          <w:szCs w:val="24"/>
        </w:rPr>
        <w:t>Figure S4</w:t>
      </w:r>
      <w:r w:rsidR="009B705E">
        <w:rPr>
          <w:sz w:val="24"/>
          <w:szCs w:val="24"/>
        </w:rPr>
        <w:t xml:space="preserve">. A snapshot of individual sequence based information provided in </w:t>
      </w:r>
      <w:proofErr w:type="spellStart"/>
      <w:r w:rsidR="009B705E">
        <w:rPr>
          <w:sz w:val="24"/>
          <w:szCs w:val="24"/>
        </w:rPr>
        <w:t>PvaxDB</w:t>
      </w:r>
      <w:proofErr w:type="spellEnd"/>
      <w:r w:rsidR="009B705E">
        <w:rPr>
          <w:sz w:val="24"/>
          <w:szCs w:val="24"/>
        </w:rPr>
        <w:t xml:space="preserve"> for each protein.</w:t>
      </w:r>
    </w:p>
    <w:p w:rsidR="00A63D0F" w:rsidRPr="00FD494A" w:rsidRDefault="00A63D0F" w:rsidP="0047698E">
      <w:pPr>
        <w:rPr>
          <w:noProof/>
          <w:sz w:val="24"/>
          <w:szCs w:val="24"/>
        </w:rPr>
      </w:pPr>
    </w:p>
    <w:p w:rsidR="00887BF0" w:rsidRPr="0022615A" w:rsidRDefault="0022615A" w:rsidP="0022615A">
      <w:pPr>
        <w:spacing w:line="480" w:lineRule="auto"/>
        <w:rPr>
          <w:b/>
          <w:sz w:val="24"/>
          <w:szCs w:val="24"/>
        </w:rPr>
      </w:pPr>
      <w:r>
        <w:rPr>
          <w:b/>
          <w:noProof/>
          <w:sz w:val="24"/>
          <w:szCs w:val="24"/>
        </w:rPr>
        <w:t>Step IV.</w:t>
      </w:r>
      <w:r w:rsidRPr="0022615A">
        <w:rPr>
          <w:b/>
          <w:noProof/>
          <w:sz w:val="24"/>
          <w:szCs w:val="24"/>
        </w:rPr>
        <w:t xml:space="preserve"> </w:t>
      </w:r>
      <w:r w:rsidR="00887BF0" w:rsidRPr="0022615A">
        <w:rPr>
          <w:b/>
          <w:sz w:val="24"/>
          <w:szCs w:val="24"/>
        </w:rPr>
        <w:t xml:space="preserve">Structural Information </w:t>
      </w:r>
    </w:p>
    <w:p w:rsidR="00FD1DAB" w:rsidRDefault="0022615A" w:rsidP="0096639A">
      <w:pPr>
        <w:spacing w:line="480" w:lineRule="auto"/>
        <w:ind w:firstLine="720"/>
        <w:jc w:val="both"/>
        <w:rPr>
          <w:sz w:val="24"/>
          <w:szCs w:val="24"/>
        </w:rPr>
      </w:pPr>
      <w:r w:rsidRPr="0022615A">
        <w:rPr>
          <w:sz w:val="24"/>
          <w:szCs w:val="24"/>
        </w:rPr>
        <w:t xml:space="preserve">Further in </w:t>
      </w:r>
      <w:proofErr w:type="spellStart"/>
      <w:r w:rsidRPr="0022615A">
        <w:rPr>
          <w:sz w:val="24"/>
          <w:szCs w:val="24"/>
        </w:rPr>
        <w:t>PvaxDB</w:t>
      </w:r>
      <w:proofErr w:type="spellEnd"/>
      <w:r>
        <w:rPr>
          <w:sz w:val="24"/>
          <w:szCs w:val="24"/>
        </w:rPr>
        <w:t xml:space="preserve">, an extensive structural information for all the non-membrane proteins is provided. Protein structure prediction is performed via some of the state of the art methods viz. </w:t>
      </w:r>
      <w:r w:rsidRPr="0022615A">
        <w:rPr>
          <w:i/>
          <w:sz w:val="24"/>
          <w:szCs w:val="24"/>
        </w:rPr>
        <w:t>BhageerathH</w:t>
      </w:r>
      <w:r w:rsidRPr="0022615A">
        <w:rPr>
          <w:i/>
          <w:sz w:val="24"/>
          <w:szCs w:val="24"/>
          <w:vertAlign w:val="superscript"/>
        </w:rPr>
        <w:t>+</w:t>
      </w:r>
      <w:r>
        <w:rPr>
          <w:sz w:val="24"/>
          <w:szCs w:val="24"/>
        </w:rPr>
        <w:t xml:space="preserve">, I-TASSER and RAPTORX.  </w:t>
      </w:r>
      <w:r w:rsidRPr="0022615A">
        <w:rPr>
          <w:i/>
          <w:sz w:val="24"/>
          <w:szCs w:val="24"/>
        </w:rPr>
        <w:t>BhageerathH</w:t>
      </w:r>
      <w:r w:rsidRPr="0022615A">
        <w:rPr>
          <w:i/>
          <w:sz w:val="24"/>
          <w:szCs w:val="24"/>
          <w:vertAlign w:val="superscript"/>
        </w:rPr>
        <w:t>+</w:t>
      </w:r>
      <w:r>
        <w:rPr>
          <w:sz w:val="24"/>
          <w:szCs w:val="24"/>
        </w:rPr>
        <w:t xml:space="preserve"> and I-TASSER are </w:t>
      </w:r>
      <w:r w:rsidRPr="006B1055">
        <w:rPr>
          <w:i/>
          <w:sz w:val="24"/>
          <w:szCs w:val="24"/>
        </w:rPr>
        <w:t xml:space="preserve">ab </w:t>
      </w:r>
      <w:proofErr w:type="spellStart"/>
      <w:r w:rsidRPr="006B1055">
        <w:rPr>
          <w:i/>
          <w:sz w:val="24"/>
          <w:szCs w:val="24"/>
        </w:rPr>
        <w:t>inito</w:t>
      </w:r>
      <w:proofErr w:type="spellEnd"/>
      <w:r>
        <w:rPr>
          <w:sz w:val="24"/>
          <w:szCs w:val="24"/>
        </w:rPr>
        <w:t xml:space="preserve"> / homology based hybrid methodology for structure prediction while RAPTORX performs homology based structure prediction.</w:t>
      </w:r>
      <w:r w:rsidR="00FD1DAB">
        <w:rPr>
          <w:sz w:val="24"/>
          <w:szCs w:val="24"/>
        </w:rPr>
        <w:t xml:space="preserve"> </w:t>
      </w:r>
    </w:p>
    <w:p w:rsidR="0096639A" w:rsidRDefault="00FD1DAB" w:rsidP="0096639A">
      <w:pPr>
        <w:spacing w:line="480" w:lineRule="auto"/>
        <w:ind w:firstLine="720"/>
        <w:jc w:val="both"/>
        <w:rPr>
          <w:sz w:val="24"/>
          <w:szCs w:val="24"/>
        </w:rPr>
      </w:pPr>
      <w:r>
        <w:rPr>
          <w:sz w:val="24"/>
          <w:szCs w:val="24"/>
        </w:rPr>
        <w:t xml:space="preserve">A snapshot of predicted model structures corresponding to each methodology is provided on the result page along with the sequence coverage (start and end positions). Alternatively, user may visualize the model structures in three dimensional view by clicking on ‘View in </w:t>
      </w:r>
      <w:proofErr w:type="spellStart"/>
      <w:r>
        <w:rPr>
          <w:sz w:val="24"/>
          <w:szCs w:val="24"/>
        </w:rPr>
        <w:t>Jmol</w:t>
      </w:r>
      <w:proofErr w:type="spellEnd"/>
      <w:r>
        <w:rPr>
          <w:sz w:val="24"/>
          <w:szCs w:val="24"/>
        </w:rPr>
        <w:t xml:space="preserve">’. The structures may be downloaded by clicking </w:t>
      </w:r>
      <w:r w:rsidR="0096639A">
        <w:rPr>
          <w:sz w:val="24"/>
          <w:szCs w:val="24"/>
        </w:rPr>
        <w:t xml:space="preserve">on download symbol next to method’s name. Also the </w:t>
      </w:r>
      <w:r w:rsidR="0096639A">
        <w:rPr>
          <w:sz w:val="24"/>
          <w:szCs w:val="24"/>
        </w:rPr>
        <w:lastRenderedPageBreak/>
        <w:t xml:space="preserve">images may be downloaded by simply clicking on them. Figure S4 shows a snapshot of </w:t>
      </w:r>
      <w:proofErr w:type="spellStart"/>
      <w:r w:rsidR="0096639A">
        <w:rPr>
          <w:sz w:val="24"/>
          <w:szCs w:val="24"/>
        </w:rPr>
        <w:t>PvaxDB</w:t>
      </w:r>
      <w:proofErr w:type="spellEnd"/>
      <w:r w:rsidR="0096639A">
        <w:rPr>
          <w:sz w:val="24"/>
          <w:szCs w:val="24"/>
        </w:rPr>
        <w:t xml:space="preserve"> webserver displaying structural information.</w:t>
      </w:r>
    </w:p>
    <w:p w:rsidR="00EB7A34" w:rsidRDefault="0096639A" w:rsidP="00EB7A34">
      <w:pPr>
        <w:spacing w:line="480" w:lineRule="auto"/>
        <w:ind w:firstLine="720"/>
        <w:jc w:val="both"/>
        <w:rPr>
          <w:sz w:val="24"/>
          <w:szCs w:val="24"/>
        </w:rPr>
      </w:pPr>
      <w:r>
        <w:rPr>
          <w:sz w:val="24"/>
          <w:szCs w:val="24"/>
        </w:rPr>
        <w:t>A comprehensive protein structure quality assessment is performed for all the model structures by using a m</w:t>
      </w:r>
      <w:r w:rsidR="006B1055">
        <w:rPr>
          <w:sz w:val="24"/>
          <w:szCs w:val="24"/>
        </w:rPr>
        <w:t>etaserver approach, ProTSAV</w:t>
      </w:r>
      <w:r>
        <w:rPr>
          <w:sz w:val="24"/>
          <w:szCs w:val="24"/>
        </w:rPr>
        <w:t>. The metaserver implements various structural features derived from individual tools to validate the accuracy of protein structures. The ProTSAV based quality assessment furnishes a depiction of normalized scores from individual tools</w:t>
      </w:r>
      <w:r w:rsidR="00EB7A34">
        <w:rPr>
          <w:sz w:val="24"/>
          <w:szCs w:val="24"/>
        </w:rPr>
        <w:t xml:space="preserve"> (</w:t>
      </w:r>
      <w:r w:rsidR="00EB7A34" w:rsidRPr="00FD494A">
        <w:rPr>
          <w:sz w:val="24"/>
          <w:szCs w:val="24"/>
        </w:rPr>
        <w:t>blue colored asterisk s</w:t>
      </w:r>
      <w:r w:rsidR="00EB7A34">
        <w:rPr>
          <w:sz w:val="24"/>
          <w:szCs w:val="24"/>
        </w:rPr>
        <w:t>ymbol)</w:t>
      </w:r>
      <w:r>
        <w:rPr>
          <w:sz w:val="24"/>
          <w:szCs w:val="24"/>
        </w:rPr>
        <w:t xml:space="preserve"> and an overall score (named as P-Score). The position of P-Score (blue dot on extreme right) in green, yellow, orange or red color indicates the overall quality of corresponding model structure.  The structure with P-Score falling in green and yellow zone are considered as high and medium accuracy model structures respectively and can be used for further structure based studies. A detailed interpretation of quality assessment results is discussed</w:t>
      </w:r>
      <w:r w:rsidR="00EB7A34">
        <w:rPr>
          <w:sz w:val="24"/>
          <w:szCs w:val="24"/>
        </w:rPr>
        <w:t xml:space="preserve"> using a case study (PVX_085625) for better clarity.</w:t>
      </w:r>
      <w:r w:rsidR="00EA73B7">
        <w:rPr>
          <w:sz w:val="24"/>
          <w:szCs w:val="24"/>
        </w:rPr>
        <w:t xml:space="preserve"> Among multiple models, the model with lowest P-Score should be selected for further studies.</w:t>
      </w:r>
    </w:p>
    <w:p w:rsidR="00C419DE" w:rsidRDefault="00EB7A34" w:rsidP="00C419DE">
      <w:pPr>
        <w:pStyle w:val="ListParagraph"/>
        <w:numPr>
          <w:ilvl w:val="0"/>
          <w:numId w:val="11"/>
        </w:numPr>
        <w:spacing w:line="480" w:lineRule="auto"/>
        <w:ind w:left="284" w:hanging="284"/>
        <w:jc w:val="both"/>
        <w:rPr>
          <w:b/>
          <w:sz w:val="24"/>
          <w:szCs w:val="24"/>
        </w:rPr>
      </w:pPr>
      <w:r w:rsidRPr="00EB7A34">
        <w:rPr>
          <w:b/>
          <w:sz w:val="24"/>
          <w:szCs w:val="24"/>
        </w:rPr>
        <w:t>Case Study for PVX_085625</w:t>
      </w:r>
    </w:p>
    <w:p w:rsidR="00EB7A34" w:rsidRDefault="00EB7A34" w:rsidP="00416955">
      <w:pPr>
        <w:pStyle w:val="ListParagraph"/>
        <w:spacing w:line="480" w:lineRule="auto"/>
        <w:ind w:left="0" w:firstLine="720"/>
        <w:jc w:val="both"/>
        <w:rPr>
          <w:sz w:val="24"/>
          <w:szCs w:val="24"/>
        </w:rPr>
      </w:pPr>
      <w:r w:rsidRPr="00C419DE">
        <w:rPr>
          <w:sz w:val="24"/>
          <w:szCs w:val="24"/>
        </w:rPr>
        <w:t>A detailed explanation</w:t>
      </w:r>
      <w:r w:rsidR="00C419DE">
        <w:rPr>
          <w:sz w:val="24"/>
          <w:szCs w:val="24"/>
        </w:rPr>
        <w:t xml:space="preserve"> of quality assessment</w:t>
      </w:r>
      <w:r w:rsidRPr="00C419DE">
        <w:rPr>
          <w:sz w:val="24"/>
          <w:szCs w:val="24"/>
        </w:rPr>
        <w:t xml:space="preserve"> for PVX_085625 structure predicted by </w:t>
      </w:r>
      <w:r w:rsidRPr="00C419DE">
        <w:rPr>
          <w:i/>
          <w:sz w:val="24"/>
          <w:szCs w:val="24"/>
        </w:rPr>
        <w:t>Bhageerath</w:t>
      </w:r>
      <w:r w:rsidR="00C419DE" w:rsidRPr="00C419DE">
        <w:rPr>
          <w:i/>
          <w:sz w:val="24"/>
          <w:szCs w:val="24"/>
        </w:rPr>
        <w:t>H</w:t>
      </w:r>
      <w:r w:rsidR="00C419DE" w:rsidRPr="00C419DE">
        <w:rPr>
          <w:i/>
          <w:sz w:val="24"/>
          <w:szCs w:val="24"/>
          <w:vertAlign w:val="superscript"/>
        </w:rPr>
        <w:t>+</w:t>
      </w:r>
      <w:r w:rsidRPr="00C419DE">
        <w:rPr>
          <w:sz w:val="24"/>
          <w:szCs w:val="24"/>
        </w:rPr>
        <w:t xml:space="preserve"> is provided</w:t>
      </w:r>
      <w:r w:rsidR="00C419DE">
        <w:rPr>
          <w:sz w:val="24"/>
          <w:szCs w:val="24"/>
        </w:rPr>
        <w:t xml:space="preserve"> here.</w:t>
      </w:r>
      <w:r w:rsidRPr="00C419DE">
        <w:rPr>
          <w:sz w:val="24"/>
          <w:szCs w:val="24"/>
        </w:rPr>
        <w:t xml:space="preserve"> ProTSAV </w:t>
      </w:r>
      <w:r w:rsidR="00C419DE">
        <w:rPr>
          <w:sz w:val="24"/>
          <w:szCs w:val="24"/>
        </w:rPr>
        <w:t xml:space="preserve">quality assessment, a </w:t>
      </w:r>
      <w:r w:rsidRPr="00C419DE">
        <w:rPr>
          <w:sz w:val="24"/>
          <w:szCs w:val="24"/>
        </w:rPr>
        <w:t>collectiv</w:t>
      </w:r>
      <w:r w:rsidR="00C419DE">
        <w:rPr>
          <w:sz w:val="24"/>
          <w:szCs w:val="24"/>
        </w:rPr>
        <w:t xml:space="preserve">e result from different individual tools is provided. For any individual tools, the green region represent high accuracy model prediction (under 2Å predicted </w:t>
      </w:r>
      <w:proofErr w:type="spellStart"/>
      <w:r w:rsidR="00C419DE">
        <w:rPr>
          <w:sz w:val="24"/>
          <w:szCs w:val="24"/>
        </w:rPr>
        <w:t>rmsd</w:t>
      </w:r>
      <w:proofErr w:type="spellEnd"/>
      <w:r w:rsidR="00C419DE">
        <w:rPr>
          <w:sz w:val="24"/>
          <w:szCs w:val="24"/>
        </w:rPr>
        <w:t xml:space="preserve">), yellow region represent medium accuracy model prediction (2-5Å predicted </w:t>
      </w:r>
      <w:proofErr w:type="spellStart"/>
      <w:r w:rsidR="00C419DE">
        <w:rPr>
          <w:sz w:val="24"/>
          <w:szCs w:val="24"/>
        </w:rPr>
        <w:t>rmsd</w:t>
      </w:r>
      <w:proofErr w:type="spellEnd"/>
      <w:r w:rsidR="00C419DE">
        <w:rPr>
          <w:sz w:val="24"/>
          <w:szCs w:val="24"/>
        </w:rPr>
        <w:t xml:space="preserve">), orange region represents low accuracy model prediction (5-8Å </w:t>
      </w:r>
      <w:proofErr w:type="spellStart"/>
      <w:r w:rsidR="00C419DE">
        <w:rPr>
          <w:sz w:val="24"/>
          <w:szCs w:val="24"/>
        </w:rPr>
        <w:t>rmsd</w:t>
      </w:r>
      <w:proofErr w:type="spellEnd"/>
      <w:r w:rsidR="00C419DE">
        <w:rPr>
          <w:sz w:val="24"/>
          <w:szCs w:val="24"/>
        </w:rPr>
        <w:t xml:space="preserve">) </w:t>
      </w:r>
      <w:r w:rsidRPr="00C419DE">
        <w:rPr>
          <w:sz w:val="24"/>
          <w:szCs w:val="24"/>
        </w:rPr>
        <w:t xml:space="preserve">and </w:t>
      </w:r>
      <w:r w:rsidR="00C419DE">
        <w:rPr>
          <w:sz w:val="24"/>
          <w:szCs w:val="24"/>
        </w:rPr>
        <w:t xml:space="preserve">red region represent bad structure prediction (beyond 8Å predicted </w:t>
      </w:r>
      <w:proofErr w:type="spellStart"/>
      <w:r w:rsidR="00C419DE">
        <w:rPr>
          <w:sz w:val="24"/>
          <w:szCs w:val="24"/>
        </w:rPr>
        <w:t>rmsd</w:t>
      </w:r>
      <w:proofErr w:type="spellEnd"/>
      <w:r w:rsidR="00C419DE">
        <w:rPr>
          <w:sz w:val="24"/>
          <w:szCs w:val="24"/>
        </w:rPr>
        <w:t>). Additionally, a graphical representation for individual quality assessment viz. PROCHECK</w:t>
      </w:r>
      <w:r w:rsidRPr="00C419DE">
        <w:rPr>
          <w:sz w:val="24"/>
          <w:szCs w:val="24"/>
        </w:rPr>
        <w:t>, ERRAT,</w:t>
      </w:r>
      <w:r w:rsidR="00C419DE">
        <w:rPr>
          <w:sz w:val="24"/>
          <w:szCs w:val="24"/>
        </w:rPr>
        <w:t xml:space="preserve"> Verify-3D and </w:t>
      </w:r>
      <w:proofErr w:type="spellStart"/>
      <w:r w:rsidRPr="00C419DE">
        <w:rPr>
          <w:sz w:val="24"/>
          <w:szCs w:val="24"/>
        </w:rPr>
        <w:t>Naccess</w:t>
      </w:r>
      <w:proofErr w:type="spellEnd"/>
      <w:r w:rsidR="00C419DE">
        <w:rPr>
          <w:sz w:val="24"/>
          <w:szCs w:val="24"/>
        </w:rPr>
        <w:t xml:space="preserve"> are provided.</w:t>
      </w:r>
      <w:r w:rsidRPr="00C419DE">
        <w:rPr>
          <w:sz w:val="24"/>
          <w:szCs w:val="24"/>
        </w:rPr>
        <w:t xml:space="preserve"> </w:t>
      </w:r>
      <w:r w:rsidR="00C419DE">
        <w:rPr>
          <w:sz w:val="24"/>
          <w:szCs w:val="24"/>
        </w:rPr>
        <w:t xml:space="preserve">In case of PVX_085625, the predicted model structure showing the P-Score falling in green region validates high accuracy model structure. Likewise, user may </w:t>
      </w:r>
      <w:r w:rsidR="00C419DE">
        <w:rPr>
          <w:sz w:val="24"/>
          <w:szCs w:val="24"/>
        </w:rPr>
        <w:lastRenderedPageBreak/>
        <w:t>interpret the structural information for predicted model structures via other prediction methods (I-TASSER and RAPTORX).</w:t>
      </w:r>
      <w:r w:rsidR="006B1055">
        <w:rPr>
          <w:sz w:val="24"/>
          <w:szCs w:val="24"/>
        </w:rPr>
        <w:t xml:space="preserve"> Figure S5</w:t>
      </w:r>
      <w:r w:rsidR="00416955">
        <w:rPr>
          <w:sz w:val="24"/>
          <w:szCs w:val="24"/>
        </w:rPr>
        <w:t xml:space="preserve"> depicts the result section for structural information of PVX_085625. Similar information is provided for all the non-membrane proteins addressed in </w:t>
      </w:r>
      <w:proofErr w:type="spellStart"/>
      <w:r w:rsidR="00416955">
        <w:rPr>
          <w:sz w:val="24"/>
          <w:szCs w:val="24"/>
        </w:rPr>
        <w:t>PvaxDB</w:t>
      </w:r>
      <w:proofErr w:type="spellEnd"/>
      <w:r w:rsidR="00416955">
        <w:rPr>
          <w:sz w:val="24"/>
          <w:szCs w:val="24"/>
        </w:rPr>
        <w:t>. The individual quality assessment tools are discussed briefly to get an idea about the various parameters used for quality assessment. Also, Table S2 furnishes an overall view about quality assessment individual tools used as modules in ProTSAV metaserver along with their structural parameter used.</w:t>
      </w:r>
    </w:p>
    <w:p w:rsidR="00416955" w:rsidRDefault="00416955" w:rsidP="00CB2191">
      <w:pPr>
        <w:pStyle w:val="ListParagraph"/>
        <w:numPr>
          <w:ilvl w:val="0"/>
          <w:numId w:val="12"/>
        </w:numPr>
        <w:spacing w:line="480" w:lineRule="auto"/>
        <w:ind w:left="284" w:hanging="284"/>
        <w:jc w:val="both"/>
        <w:rPr>
          <w:sz w:val="24"/>
          <w:szCs w:val="24"/>
        </w:rPr>
      </w:pPr>
      <w:r w:rsidRPr="00416955">
        <w:rPr>
          <w:b/>
          <w:sz w:val="24"/>
          <w:szCs w:val="24"/>
        </w:rPr>
        <w:t>PROCHECK</w:t>
      </w:r>
      <w:r w:rsidRPr="00416955">
        <w:rPr>
          <w:sz w:val="24"/>
          <w:szCs w:val="24"/>
        </w:rPr>
        <w:t xml:space="preserve">: It evaluates the stereo-chemical quality of a protein structure by considering bond lengths, bond angles, main chain and side chain parameters, residue contacts, geometry, and distribution of backbone </w:t>
      </w:r>
      <w:hyperlink r:id="rId11" w:tooltip="Learn more about Dihedral angle" w:history="1">
        <w:r w:rsidRPr="00416955">
          <w:rPr>
            <w:rStyle w:val="Hyperlink"/>
            <w:color w:val="000000"/>
            <w:sz w:val="24"/>
            <w:szCs w:val="24"/>
            <w:u w:val="none"/>
          </w:rPr>
          <w:t>torsion angles</w:t>
        </w:r>
      </w:hyperlink>
      <w:r w:rsidRPr="00416955">
        <w:rPr>
          <w:sz w:val="24"/>
          <w:szCs w:val="24"/>
        </w:rPr>
        <w:t xml:space="preserve"> (Φ and Ψ) in </w:t>
      </w:r>
      <w:hyperlink r:id="rId12" w:tooltip="Learn more about Ramachandran plot" w:history="1">
        <w:r w:rsidRPr="00416955">
          <w:rPr>
            <w:rStyle w:val="Hyperlink"/>
            <w:color w:val="000000"/>
            <w:sz w:val="24"/>
            <w:szCs w:val="24"/>
            <w:u w:val="none"/>
          </w:rPr>
          <w:t>Ramachandran plot</w:t>
        </w:r>
      </w:hyperlink>
      <w:r w:rsidRPr="00416955">
        <w:rPr>
          <w:sz w:val="24"/>
          <w:szCs w:val="24"/>
        </w:rPr>
        <w:t xml:space="preserve">. An overall G-factor is calculated measures the extent of normal or unusual parameters. </w:t>
      </w:r>
      <w:r>
        <w:rPr>
          <w:sz w:val="24"/>
          <w:szCs w:val="24"/>
        </w:rPr>
        <w:t>A higher value of G-factor is considered as indication of high accuracy model structure prediction. Also, higher percentage residues falling in allowed regions of Ramachandran Plot signifies bette</w:t>
      </w:r>
      <w:r w:rsidR="006B1055">
        <w:rPr>
          <w:sz w:val="24"/>
          <w:szCs w:val="24"/>
        </w:rPr>
        <w:t>r accuracy as shown in Figure S6</w:t>
      </w:r>
      <w:r>
        <w:rPr>
          <w:sz w:val="24"/>
          <w:szCs w:val="24"/>
        </w:rPr>
        <w:t>(a).</w:t>
      </w:r>
    </w:p>
    <w:p w:rsidR="00161CFA" w:rsidRDefault="00416955" w:rsidP="00CB2191">
      <w:pPr>
        <w:pStyle w:val="ListParagraph"/>
        <w:numPr>
          <w:ilvl w:val="0"/>
          <w:numId w:val="12"/>
        </w:numPr>
        <w:spacing w:line="480" w:lineRule="auto"/>
        <w:ind w:left="284" w:hanging="284"/>
        <w:jc w:val="both"/>
        <w:rPr>
          <w:sz w:val="24"/>
          <w:szCs w:val="24"/>
        </w:rPr>
      </w:pPr>
      <w:r w:rsidRPr="00416955">
        <w:rPr>
          <w:b/>
          <w:sz w:val="24"/>
          <w:szCs w:val="24"/>
        </w:rPr>
        <w:t>ERRAT</w:t>
      </w:r>
      <w:r w:rsidRPr="00FD494A">
        <w:rPr>
          <w:sz w:val="24"/>
          <w:szCs w:val="24"/>
        </w:rPr>
        <w:t>:</w:t>
      </w:r>
      <w:r>
        <w:rPr>
          <w:sz w:val="24"/>
          <w:szCs w:val="24"/>
        </w:rPr>
        <w:t xml:space="preserve"> It</w:t>
      </w:r>
      <w:r w:rsidRPr="00FD494A">
        <w:rPr>
          <w:sz w:val="24"/>
          <w:szCs w:val="24"/>
        </w:rPr>
        <w:t xml:space="preserve"> distinguishes between correctly and incorrectly determined regions based on characteristic </w:t>
      </w:r>
      <w:r>
        <w:rPr>
          <w:sz w:val="24"/>
          <w:szCs w:val="24"/>
        </w:rPr>
        <w:t>atomic interactions and</w:t>
      </w:r>
      <w:r w:rsidRPr="00FD494A">
        <w:rPr>
          <w:sz w:val="24"/>
          <w:szCs w:val="24"/>
        </w:rPr>
        <w:t xml:space="preserve"> </w:t>
      </w:r>
      <w:r>
        <w:rPr>
          <w:sz w:val="24"/>
          <w:szCs w:val="24"/>
        </w:rPr>
        <w:t xml:space="preserve">provides </w:t>
      </w:r>
      <w:r w:rsidRPr="00FD494A">
        <w:rPr>
          <w:sz w:val="24"/>
          <w:szCs w:val="24"/>
        </w:rPr>
        <w:t>an overall quality factor for the given structure. Based on the information derived from experimental structures, the threshold overall quality factor is considered to be 91% for medium resolution structures and 95% or above for hi</w:t>
      </w:r>
      <w:r w:rsidR="00161CFA">
        <w:rPr>
          <w:sz w:val="24"/>
          <w:szCs w:val="24"/>
        </w:rPr>
        <w:t xml:space="preserve">gh resolution (good) structures. A quality assessment of PVX_085625 by ERRAT for </w:t>
      </w:r>
      <w:r w:rsidR="00161CFA" w:rsidRPr="00161CFA">
        <w:rPr>
          <w:i/>
          <w:sz w:val="24"/>
          <w:szCs w:val="24"/>
        </w:rPr>
        <w:t>BhageerathH</w:t>
      </w:r>
      <w:r w:rsidR="00161CFA" w:rsidRPr="00161CFA">
        <w:rPr>
          <w:i/>
          <w:sz w:val="24"/>
          <w:szCs w:val="24"/>
          <w:vertAlign w:val="superscript"/>
        </w:rPr>
        <w:t>+</w:t>
      </w:r>
      <w:r w:rsidR="006B1055">
        <w:rPr>
          <w:sz w:val="24"/>
          <w:szCs w:val="24"/>
        </w:rPr>
        <w:t xml:space="preserve"> is shown in Figure </w:t>
      </w:r>
      <w:proofErr w:type="gramStart"/>
      <w:r w:rsidR="006B1055">
        <w:rPr>
          <w:sz w:val="24"/>
          <w:szCs w:val="24"/>
        </w:rPr>
        <w:t>S6</w:t>
      </w:r>
      <w:r w:rsidR="00161CFA">
        <w:rPr>
          <w:sz w:val="24"/>
          <w:szCs w:val="24"/>
        </w:rPr>
        <w:t>(</w:t>
      </w:r>
      <w:proofErr w:type="gramEnd"/>
      <w:r w:rsidR="00161CFA">
        <w:rPr>
          <w:sz w:val="24"/>
          <w:szCs w:val="24"/>
        </w:rPr>
        <w:t>b).</w:t>
      </w:r>
    </w:p>
    <w:p w:rsidR="00161CFA" w:rsidRDefault="00416955" w:rsidP="00CB2191">
      <w:pPr>
        <w:pStyle w:val="ListParagraph"/>
        <w:numPr>
          <w:ilvl w:val="0"/>
          <w:numId w:val="12"/>
        </w:numPr>
        <w:spacing w:line="480" w:lineRule="auto"/>
        <w:ind w:left="284" w:hanging="284"/>
        <w:jc w:val="both"/>
        <w:rPr>
          <w:sz w:val="24"/>
          <w:szCs w:val="24"/>
        </w:rPr>
      </w:pPr>
      <w:r w:rsidRPr="00161CFA">
        <w:rPr>
          <w:b/>
          <w:sz w:val="24"/>
          <w:szCs w:val="24"/>
        </w:rPr>
        <w:t>Verify-3D</w:t>
      </w:r>
      <w:r w:rsidRPr="00161CFA">
        <w:rPr>
          <w:sz w:val="24"/>
          <w:szCs w:val="24"/>
        </w:rPr>
        <w:t>: It performs the assessment of a protein tertiary structure by checking its compatibility with its amino acid sequence with a measure of 3D-1D Profile Score for each residue.</w:t>
      </w:r>
      <w:r w:rsidR="00161CFA" w:rsidRPr="00161CFA">
        <w:rPr>
          <w:sz w:val="24"/>
          <w:szCs w:val="24"/>
        </w:rPr>
        <w:t xml:space="preserve"> Higher percentage of residues having average 3D-1D score more than 0.2 with a sliding </w:t>
      </w:r>
      <w:r w:rsidR="00161CFA" w:rsidRPr="00161CFA">
        <w:rPr>
          <w:sz w:val="24"/>
          <w:szCs w:val="24"/>
        </w:rPr>
        <w:lastRenderedPageBreak/>
        <w:t>window of 21 residues</w:t>
      </w:r>
      <w:r w:rsidR="00161CFA">
        <w:rPr>
          <w:sz w:val="24"/>
          <w:szCs w:val="24"/>
        </w:rPr>
        <w:t xml:space="preserve"> (falling in green region)</w:t>
      </w:r>
      <w:r w:rsidR="00161CFA" w:rsidRPr="00161CFA">
        <w:rPr>
          <w:sz w:val="24"/>
          <w:szCs w:val="24"/>
        </w:rPr>
        <w:t xml:space="preserve"> indicates better protein structure </w:t>
      </w:r>
      <w:r w:rsidR="006B1055">
        <w:rPr>
          <w:sz w:val="24"/>
          <w:szCs w:val="24"/>
        </w:rPr>
        <w:t>prediction as shown in Figure S6</w:t>
      </w:r>
      <w:r w:rsidR="00161CFA">
        <w:rPr>
          <w:sz w:val="24"/>
          <w:szCs w:val="24"/>
        </w:rPr>
        <w:t>(c)</w:t>
      </w:r>
    </w:p>
    <w:p w:rsidR="00EB7A34" w:rsidRPr="00EB7A34" w:rsidRDefault="00CB2191" w:rsidP="00CB2191">
      <w:pPr>
        <w:pStyle w:val="ListParagraph"/>
        <w:numPr>
          <w:ilvl w:val="0"/>
          <w:numId w:val="12"/>
        </w:numPr>
        <w:spacing w:line="480" w:lineRule="auto"/>
        <w:ind w:left="284" w:hanging="284"/>
        <w:jc w:val="both"/>
        <w:rPr>
          <w:sz w:val="24"/>
          <w:szCs w:val="24"/>
        </w:rPr>
      </w:pPr>
      <w:r>
        <w:rPr>
          <w:b/>
          <w:noProof/>
          <w:sz w:val="24"/>
          <w:szCs w:val="24"/>
          <w:lang w:val="en-IN" w:eastAsia="en-IN"/>
        </w:rPr>
        <w:drawing>
          <wp:anchor distT="0" distB="0" distL="114300" distR="114300" simplePos="0" relativeHeight="251666432" behindDoc="0" locked="0" layoutInCell="1" allowOverlap="1" wp14:anchorId="29EB2017" wp14:editId="3C3ADB90">
            <wp:simplePos x="0" y="0"/>
            <wp:positionH relativeFrom="margin">
              <wp:align>right</wp:align>
            </wp:positionH>
            <wp:positionV relativeFrom="paragraph">
              <wp:posOffset>1318260</wp:posOffset>
            </wp:positionV>
            <wp:extent cx="5943600" cy="371475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416955" w:rsidRPr="00161CFA">
        <w:rPr>
          <w:b/>
          <w:sz w:val="24"/>
          <w:szCs w:val="24"/>
        </w:rPr>
        <w:t>Naccess</w:t>
      </w:r>
      <w:proofErr w:type="spellEnd"/>
      <w:r w:rsidR="00416955" w:rsidRPr="00161CFA">
        <w:rPr>
          <w:sz w:val="24"/>
          <w:szCs w:val="24"/>
        </w:rPr>
        <w:t xml:space="preserve">: </w:t>
      </w:r>
      <w:proofErr w:type="spellStart"/>
      <w:r w:rsidR="00416955" w:rsidRPr="00161CFA">
        <w:rPr>
          <w:sz w:val="24"/>
          <w:szCs w:val="24"/>
        </w:rPr>
        <w:t>Naccess</w:t>
      </w:r>
      <w:proofErr w:type="spellEnd"/>
      <w:r w:rsidR="00416955" w:rsidRPr="00161CFA">
        <w:rPr>
          <w:sz w:val="24"/>
          <w:szCs w:val="24"/>
        </w:rPr>
        <w:t xml:space="preserve"> calculates the solvent accessibility of al</w:t>
      </w:r>
      <w:r w:rsidR="00161CFA">
        <w:rPr>
          <w:sz w:val="24"/>
          <w:szCs w:val="24"/>
        </w:rPr>
        <w:t xml:space="preserve">l atoms and residues with a defined probe size. High solvent accessible </w:t>
      </w:r>
      <w:r w:rsidR="00416955" w:rsidRPr="00161CFA">
        <w:rPr>
          <w:sz w:val="24"/>
          <w:szCs w:val="24"/>
        </w:rPr>
        <w:t>surfac</w:t>
      </w:r>
      <w:r w:rsidR="00161CFA">
        <w:rPr>
          <w:sz w:val="24"/>
          <w:szCs w:val="24"/>
        </w:rPr>
        <w:t xml:space="preserve">e areas of a protein structure reflects bad quality of predicted model structure. A quality assessment of PVX_085625 by </w:t>
      </w:r>
      <w:proofErr w:type="spellStart"/>
      <w:r w:rsidR="00161CFA">
        <w:rPr>
          <w:sz w:val="24"/>
          <w:szCs w:val="24"/>
        </w:rPr>
        <w:t>Naccess</w:t>
      </w:r>
      <w:proofErr w:type="spellEnd"/>
      <w:r w:rsidR="00161CFA">
        <w:rPr>
          <w:sz w:val="24"/>
          <w:szCs w:val="24"/>
        </w:rPr>
        <w:t xml:space="preserve"> for </w:t>
      </w:r>
      <w:r w:rsidR="00161CFA" w:rsidRPr="00161CFA">
        <w:rPr>
          <w:i/>
          <w:sz w:val="24"/>
          <w:szCs w:val="24"/>
        </w:rPr>
        <w:t>BhageerathH</w:t>
      </w:r>
      <w:r w:rsidR="00161CFA" w:rsidRPr="00161CFA">
        <w:rPr>
          <w:i/>
          <w:sz w:val="24"/>
          <w:szCs w:val="24"/>
          <w:vertAlign w:val="superscript"/>
        </w:rPr>
        <w:t>+</w:t>
      </w:r>
      <w:r w:rsidR="00161CFA">
        <w:rPr>
          <w:sz w:val="24"/>
          <w:szCs w:val="24"/>
        </w:rPr>
        <w:t xml:space="preserve"> is shown in Figure </w:t>
      </w:r>
      <w:proofErr w:type="gramStart"/>
      <w:r w:rsidR="00161CFA">
        <w:rPr>
          <w:sz w:val="24"/>
          <w:szCs w:val="24"/>
        </w:rPr>
        <w:t>S5(</w:t>
      </w:r>
      <w:proofErr w:type="gramEnd"/>
      <w:r w:rsidR="00161CFA">
        <w:rPr>
          <w:sz w:val="24"/>
          <w:szCs w:val="24"/>
        </w:rPr>
        <w:t>d) where green region represent correctly modeled residues.</w:t>
      </w:r>
      <w:r w:rsidR="00161CFA" w:rsidRPr="00EB7A34">
        <w:rPr>
          <w:sz w:val="24"/>
          <w:szCs w:val="24"/>
        </w:rPr>
        <w:t xml:space="preserve"> </w:t>
      </w:r>
    </w:p>
    <w:p w:rsidR="00D33084" w:rsidRPr="00987075" w:rsidRDefault="006B1055" w:rsidP="00987075">
      <w:pPr>
        <w:spacing w:line="480" w:lineRule="auto"/>
        <w:jc w:val="both"/>
        <w:rPr>
          <w:sz w:val="24"/>
          <w:szCs w:val="24"/>
        </w:rPr>
      </w:pPr>
      <w:r w:rsidRPr="00987075">
        <w:rPr>
          <w:b/>
          <w:sz w:val="24"/>
          <w:szCs w:val="24"/>
        </w:rPr>
        <w:t>Figure S5</w:t>
      </w:r>
      <w:r w:rsidR="0038200B" w:rsidRPr="00987075">
        <w:rPr>
          <w:b/>
          <w:sz w:val="24"/>
          <w:szCs w:val="24"/>
        </w:rPr>
        <w:t xml:space="preserve">. </w:t>
      </w:r>
      <w:r w:rsidR="0038200B" w:rsidRPr="00987075">
        <w:rPr>
          <w:sz w:val="24"/>
          <w:szCs w:val="24"/>
        </w:rPr>
        <w:t>An interpretation of ProTSAV metaserver based quality assessment.</w:t>
      </w:r>
    </w:p>
    <w:p w:rsidR="00D33084" w:rsidRDefault="00D33084">
      <w:pPr>
        <w:rPr>
          <w:sz w:val="24"/>
          <w:szCs w:val="24"/>
        </w:rPr>
      </w:pPr>
      <w:r>
        <w:rPr>
          <w:sz w:val="24"/>
          <w:szCs w:val="24"/>
        </w:rPr>
        <w:br w:type="page"/>
      </w:r>
    </w:p>
    <w:p w:rsidR="00D33084" w:rsidRDefault="00D33084" w:rsidP="00D33084">
      <w:pPr>
        <w:autoSpaceDE w:val="0"/>
        <w:spacing w:before="240" w:line="480" w:lineRule="auto"/>
        <w:jc w:val="both"/>
        <w:rPr>
          <w:sz w:val="24"/>
          <w:szCs w:val="24"/>
        </w:rPr>
      </w:pPr>
      <w:r w:rsidRPr="0091712D">
        <w:rPr>
          <w:b/>
          <w:sz w:val="24"/>
          <w:szCs w:val="24"/>
        </w:rPr>
        <w:lastRenderedPageBreak/>
        <w:t xml:space="preserve">Table </w:t>
      </w:r>
      <w:r>
        <w:rPr>
          <w:b/>
          <w:sz w:val="24"/>
          <w:szCs w:val="24"/>
        </w:rPr>
        <w:t>S2</w:t>
      </w:r>
      <w:r>
        <w:rPr>
          <w:sz w:val="24"/>
          <w:szCs w:val="24"/>
        </w:rPr>
        <w:t>. Different quality assessment tools/</w:t>
      </w:r>
      <w:proofErr w:type="spellStart"/>
      <w:r>
        <w:rPr>
          <w:sz w:val="24"/>
          <w:szCs w:val="24"/>
        </w:rPr>
        <w:t>softwares</w:t>
      </w:r>
      <w:proofErr w:type="spellEnd"/>
      <w:r>
        <w:rPr>
          <w:sz w:val="24"/>
          <w:szCs w:val="24"/>
        </w:rPr>
        <w:t xml:space="preserve"> and their</w:t>
      </w:r>
      <w:r w:rsidRPr="0091712D">
        <w:rPr>
          <w:sz w:val="24"/>
          <w:szCs w:val="24"/>
        </w:rPr>
        <w:t xml:space="preserve"> qua</w:t>
      </w:r>
      <w:r>
        <w:rPr>
          <w:sz w:val="24"/>
          <w:szCs w:val="24"/>
        </w:rPr>
        <w:t xml:space="preserve">lity assessment parameter where ‘Yes’ </w:t>
      </w:r>
      <w:r w:rsidRPr="0091712D">
        <w:rPr>
          <w:sz w:val="24"/>
          <w:szCs w:val="24"/>
        </w:rPr>
        <w:t xml:space="preserve">represents </w:t>
      </w:r>
      <w:r>
        <w:rPr>
          <w:sz w:val="24"/>
          <w:szCs w:val="24"/>
        </w:rPr>
        <w:t>the implementation of the parameter in respective tool/software</w:t>
      </w:r>
      <w:r w:rsidRPr="0091712D">
        <w:rPr>
          <w:sz w:val="24"/>
          <w:szCs w:val="24"/>
        </w:rPr>
        <w:t>.</w:t>
      </w:r>
    </w:p>
    <w:tbl>
      <w:tblPr>
        <w:tblStyle w:val="PlainTable11"/>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4"/>
        <w:gridCol w:w="823"/>
        <w:gridCol w:w="745"/>
        <w:gridCol w:w="1000"/>
        <w:gridCol w:w="998"/>
        <w:gridCol w:w="1154"/>
        <w:gridCol w:w="1131"/>
        <w:gridCol w:w="815"/>
        <w:gridCol w:w="979"/>
      </w:tblGrid>
      <w:tr w:rsidR="00987075" w:rsidRPr="00987075" w:rsidTr="00987075">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744" w:type="dxa"/>
            <w:vAlign w:val="center"/>
            <w:hideMark/>
          </w:tcPr>
          <w:p w:rsidR="00D33084" w:rsidRPr="00987075" w:rsidRDefault="00D33084" w:rsidP="00987075">
            <w:pPr>
              <w:jc w:val="center"/>
              <w:rPr>
                <w:rFonts w:ascii="Times New Roman" w:hAnsi="Times New Roman"/>
                <w:color w:val="000000"/>
              </w:rPr>
            </w:pPr>
            <w:r w:rsidRPr="00987075">
              <w:rPr>
                <w:rFonts w:ascii="Times New Roman" w:hAnsi="Times New Roman"/>
                <w:color w:val="000000"/>
              </w:rPr>
              <w:t>Assessment Features</w:t>
            </w:r>
          </w:p>
        </w:tc>
        <w:tc>
          <w:tcPr>
            <w:tcW w:w="823" w:type="dxa"/>
            <w:vAlign w:val="center"/>
            <w:hideMark/>
          </w:tcPr>
          <w:p w:rsidR="00D33084" w:rsidRPr="00987075" w:rsidRDefault="00D33084" w:rsidP="0098707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proofErr w:type="spellStart"/>
            <w:r w:rsidRPr="00987075">
              <w:rPr>
                <w:rFonts w:ascii="Times New Roman" w:hAnsi="Times New Roman"/>
                <w:color w:val="000000"/>
              </w:rPr>
              <w:t>DFire</w:t>
            </w:r>
            <w:proofErr w:type="spellEnd"/>
          </w:p>
        </w:tc>
        <w:tc>
          <w:tcPr>
            <w:tcW w:w="745" w:type="dxa"/>
            <w:vAlign w:val="center"/>
            <w:hideMark/>
          </w:tcPr>
          <w:p w:rsidR="00D33084" w:rsidRPr="00987075" w:rsidRDefault="00D33084" w:rsidP="0098707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proofErr w:type="spellStart"/>
            <w:r w:rsidRPr="00987075">
              <w:rPr>
                <w:rFonts w:ascii="Times New Roman" w:hAnsi="Times New Roman"/>
                <w:color w:val="000000"/>
              </w:rPr>
              <w:t>Errat</w:t>
            </w:r>
            <w:proofErr w:type="spellEnd"/>
          </w:p>
        </w:tc>
        <w:tc>
          <w:tcPr>
            <w:tcW w:w="1000" w:type="dxa"/>
            <w:vAlign w:val="center"/>
            <w:hideMark/>
          </w:tcPr>
          <w:p w:rsidR="00D33084" w:rsidRPr="00987075" w:rsidRDefault="00D33084" w:rsidP="0098707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proofErr w:type="spellStart"/>
            <w:r w:rsidRPr="00987075">
              <w:rPr>
                <w:rFonts w:ascii="Times New Roman" w:hAnsi="Times New Roman"/>
                <w:color w:val="000000"/>
              </w:rPr>
              <w:t>Naccess</w:t>
            </w:r>
            <w:proofErr w:type="spellEnd"/>
          </w:p>
        </w:tc>
        <w:tc>
          <w:tcPr>
            <w:tcW w:w="998" w:type="dxa"/>
            <w:vAlign w:val="center"/>
            <w:hideMark/>
          </w:tcPr>
          <w:p w:rsidR="00D33084" w:rsidRPr="00987075" w:rsidRDefault="00D33084" w:rsidP="0098707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proofErr w:type="spellStart"/>
            <w:r w:rsidRPr="00987075">
              <w:rPr>
                <w:rFonts w:ascii="Times New Roman" w:hAnsi="Times New Roman"/>
                <w:color w:val="000000"/>
              </w:rPr>
              <w:t>ProSA</w:t>
            </w:r>
            <w:proofErr w:type="spellEnd"/>
          </w:p>
        </w:tc>
        <w:tc>
          <w:tcPr>
            <w:tcW w:w="1154" w:type="dxa"/>
            <w:vAlign w:val="center"/>
            <w:hideMark/>
          </w:tcPr>
          <w:p w:rsidR="00D33084" w:rsidRPr="00987075" w:rsidRDefault="00D33084" w:rsidP="0098707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proofErr w:type="spellStart"/>
            <w:r w:rsidRPr="00987075">
              <w:rPr>
                <w:rFonts w:ascii="Times New Roman" w:hAnsi="Times New Roman"/>
                <w:color w:val="000000"/>
              </w:rPr>
              <w:t>Procheck</w:t>
            </w:r>
            <w:proofErr w:type="spellEnd"/>
          </w:p>
        </w:tc>
        <w:tc>
          <w:tcPr>
            <w:tcW w:w="1131" w:type="dxa"/>
            <w:vAlign w:val="center"/>
            <w:hideMark/>
          </w:tcPr>
          <w:p w:rsidR="00D33084" w:rsidRPr="00987075" w:rsidRDefault="00D33084" w:rsidP="0098707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987075">
              <w:rPr>
                <w:rFonts w:ascii="Times New Roman" w:hAnsi="Times New Roman"/>
                <w:color w:val="000000"/>
              </w:rPr>
              <w:t>Verify3D</w:t>
            </w:r>
          </w:p>
        </w:tc>
        <w:tc>
          <w:tcPr>
            <w:tcW w:w="815" w:type="dxa"/>
            <w:vAlign w:val="center"/>
            <w:hideMark/>
          </w:tcPr>
          <w:p w:rsidR="00D33084" w:rsidRPr="00987075" w:rsidRDefault="00D33084" w:rsidP="0098707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987075">
              <w:rPr>
                <w:rFonts w:ascii="Times New Roman" w:hAnsi="Times New Roman"/>
                <w:color w:val="000000"/>
              </w:rPr>
              <w:t>D2N</w:t>
            </w:r>
          </w:p>
        </w:tc>
        <w:tc>
          <w:tcPr>
            <w:tcW w:w="979" w:type="dxa"/>
            <w:vAlign w:val="center"/>
            <w:hideMark/>
          </w:tcPr>
          <w:p w:rsidR="00D33084" w:rsidRPr="00987075" w:rsidRDefault="00D33084" w:rsidP="0098707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proofErr w:type="spellStart"/>
            <w:r w:rsidRPr="00987075">
              <w:rPr>
                <w:rFonts w:ascii="Times New Roman" w:hAnsi="Times New Roman"/>
                <w:color w:val="000000"/>
              </w:rPr>
              <w:t>ProQ</w:t>
            </w:r>
            <w:proofErr w:type="spellEnd"/>
          </w:p>
        </w:tc>
      </w:tr>
      <w:tr w:rsidR="00987075" w:rsidRPr="00AF47C7" w:rsidTr="00987075">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744" w:type="dxa"/>
            <w:vAlign w:val="center"/>
            <w:hideMark/>
          </w:tcPr>
          <w:p w:rsidR="00D33084" w:rsidRPr="00AF47C7" w:rsidRDefault="00D33084" w:rsidP="00D33084">
            <w:pPr>
              <w:jc w:val="center"/>
              <w:rPr>
                <w:rFonts w:ascii="Times New Roman" w:hAnsi="Times New Roman"/>
                <w:b w:val="0"/>
                <w:color w:val="000000"/>
              </w:rPr>
            </w:pPr>
            <w:r w:rsidRPr="00AF47C7">
              <w:rPr>
                <w:rFonts w:ascii="Times New Roman" w:hAnsi="Times New Roman"/>
                <w:b w:val="0"/>
                <w:color w:val="000000"/>
              </w:rPr>
              <w:t>Van der Waals Clashes</w:t>
            </w:r>
          </w:p>
        </w:tc>
        <w:tc>
          <w:tcPr>
            <w:tcW w:w="823"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745"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1000"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998"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AF47C7">
              <w:rPr>
                <w:rFonts w:ascii="Times New Roman" w:hAnsi="Times New Roman"/>
                <w:bCs/>
                <w:color w:val="000000" w:themeColor="text1"/>
              </w:rPr>
              <w:t>Yes</w:t>
            </w:r>
          </w:p>
        </w:tc>
        <w:tc>
          <w:tcPr>
            <w:tcW w:w="1154"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1131"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815"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AF47C7">
              <w:rPr>
                <w:rFonts w:ascii="Times New Roman" w:hAnsi="Times New Roman"/>
                <w:bCs/>
                <w:color w:val="000000" w:themeColor="text1"/>
              </w:rPr>
              <w:t>Yes</w:t>
            </w:r>
          </w:p>
        </w:tc>
        <w:tc>
          <w:tcPr>
            <w:tcW w:w="979"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r>
      <w:tr w:rsidR="00987075" w:rsidRPr="00AF47C7" w:rsidTr="00987075">
        <w:trPr>
          <w:trHeight w:val="371"/>
        </w:trPr>
        <w:tc>
          <w:tcPr>
            <w:cnfStyle w:val="001000000000" w:firstRow="0" w:lastRow="0" w:firstColumn="1" w:lastColumn="0" w:oddVBand="0" w:evenVBand="0" w:oddHBand="0" w:evenHBand="0" w:firstRowFirstColumn="0" w:firstRowLastColumn="0" w:lastRowFirstColumn="0" w:lastRowLastColumn="0"/>
            <w:tcW w:w="1744" w:type="dxa"/>
            <w:vAlign w:val="center"/>
            <w:hideMark/>
          </w:tcPr>
          <w:p w:rsidR="00D33084" w:rsidRPr="00AF47C7" w:rsidRDefault="00D33084" w:rsidP="00D33084">
            <w:pPr>
              <w:jc w:val="center"/>
              <w:rPr>
                <w:rFonts w:ascii="Times New Roman" w:hAnsi="Times New Roman"/>
                <w:b w:val="0"/>
                <w:color w:val="000000"/>
              </w:rPr>
            </w:pPr>
            <w:r w:rsidRPr="00AF47C7">
              <w:rPr>
                <w:rFonts w:ascii="Times New Roman" w:hAnsi="Times New Roman"/>
                <w:b w:val="0"/>
                <w:color w:val="000000"/>
              </w:rPr>
              <w:t>Contact Potential</w:t>
            </w:r>
          </w:p>
        </w:tc>
        <w:tc>
          <w:tcPr>
            <w:tcW w:w="823"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AF47C7">
              <w:rPr>
                <w:rFonts w:ascii="Times New Roman" w:hAnsi="Times New Roman"/>
                <w:bCs/>
                <w:color w:val="000000" w:themeColor="text1"/>
              </w:rPr>
              <w:t>Yes</w:t>
            </w:r>
          </w:p>
        </w:tc>
        <w:tc>
          <w:tcPr>
            <w:tcW w:w="745"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AF47C7">
              <w:rPr>
                <w:rFonts w:ascii="Times New Roman" w:hAnsi="Times New Roman"/>
                <w:bCs/>
                <w:color w:val="000000" w:themeColor="text1"/>
              </w:rPr>
              <w:t>Yes</w:t>
            </w:r>
          </w:p>
        </w:tc>
        <w:tc>
          <w:tcPr>
            <w:tcW w:w="1000"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998"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1154"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1131"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AF47C7">
              <w:rPr>
                <w:rFonts w:ascii="Times New Roman" w:hAnsi="Times New Roman"/>
                <w:bCs/>
                <w:color w:val="000000" w:themeColor="text1"/>
              </w:rPr>
              <w:t>Yes</w:t>
            </w:r>
          </w:p>
        </w:tc>
        <w:tc>
          <w:tcPr>
            <w:tcW w:w="815"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979"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AF47C7">
              <w:rPr>
                <w:rFonts w:ascii="Times New Roman" w:hAnsi="Times New Roman"/>
                <w:bCs/>
                <w:color w:val="000000" w:themeColor="text1"/>
              </w:rPr>
              <w:t>Yes</w:t>
            </w:r>
          </w:p>
        </w:tc>
      </w:tr>
      <w:tr w:rsidR="00987075" w:rsidRPr="00AF47C7" w:rsidTr="00987075">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744" w:type="dxa"/>
            <w:vAlign w:val="center"/>
            <w:hideMark/>
          </w:tcPr>
          <w:p w:rsidR="00D33084" w:rsidRPr="00AF47C7" w:rsidRDefault="00D33084" w:rsidP="00D33084">
            <w:pPr>
              <w:jc w:val="center"/>
              <w:rPr>
                <w:rFonts w:ascii="Times New Roman" w:hAnsi="Times New Roman"/>
                <w:b w:val="0"/>
                <w:color w:val="000000"/>
              </w:rPr>
            </w:pPr>
            <w:r w:rsidRPr="00AF47C7">
              <w:rPr>
                <w:rFonts w:ascii="Times New Roman" w:hAnsi="Times New Roman"/>
                <w:b w:val="0"/>
                <w:color w:val="000000"/>
              </w:rPr>
              <w:t>Burial Preferences</w:t>
            </w:r>
          </w:p>
        </w:tc>
        <w:tc>
          <w:tcPr>
            <w:tcW w:w="823"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745"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1000"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998"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AF47C7">
              <w:rPr>
                <w:rFonts w:ascii="Times New Roman" w:hAnsi="Times New Roman"/>
                <w:bCs/>
                <w:color w:val="000000" w:themeColor="text1"/>
              </w:rPr>
              <w:t>Yes</w:t>
            </w:r>
          </w:p>
        </w:tc>
        <w:tc>
          <w:tcPr>
            <w:tcW w:w="1154"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1131"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815"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979"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r>
      <w:tr w:rsidR="00987075" w:rsidRPr="00AF47C7" w:rsidTr="00987075">
        <w:trPr>
          <w:trHeight w:val="371"/>
        </w:trPr>
        <w:tc>
          <w:tcPr>
            <w:cnfStyle w:val="001000000000" w:firstRow="0" w:lastRow="0" w:firstColumn="1" w:lastColumn="0" w:oddVBand="0" w:evenVBand="0" w:oddHBand="0" w:evenHBand="0" w:firstRowFirstColumn="0" w:firstRowLastColumn="0" w:lastRowFirstColumn="0" w:lastRowLastColumn="0"/>
            <w:tcW w:w="1744" w:type="dxa"/>
            <w:vAlign w:val="center"/>
            <w:hideMark/>
          </w:tcPr>
          <w:p w:rsidR="00D33084" w:rsidRPr="00AF47C7" w:rsidRDefault="00D33084" w:rsidP="00D33084">
            <w:pPr>
              <w:jc w:val="center"/>
              <w:rPr>
                <w:rFonts w:ascii="Times New Roman" w:hAnsi="Times New Roman"/>
                <w:b w:val="0"/>
                <w:color w:val="000000"/>
              </w:rPr>
            </w:pPr>
            <w:r w:rsidRPr="00AF47C7">
              <w:rPr>
                <w:rFonts w:ascii="Times New Roman" w:hAnsi="Times New Roman"/>
                <w:b w:val="0"/>
                <w:color w:val="000000"/>
              </w:rPr>
              <w:t>Accessible Surface Area</w:t>
            </w:r>
          </w:p>
        </w:tc>
        <w:tc>
          <w:tcPr>
            <w:tcW w:w="823"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745"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1000"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AF47C7">
              <w:rPr>
                <w:rFonts w:ascii="Times New Roman" w:hAnsi="Times New Roman"/>
                <w:bCs/>
                <w:color w:val="000000" w:themeColor="text1"/>
              </w:rPr>
              <w:t>Yes</w:t>
            </w:r>
          </w:p>
        </w:tc>
        <w:tc>
          <w:tcPr>
            <w:tcW w:w="998"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1154"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1131"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815"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979"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AF47C7">
              <w:rPr>
                <w:rFonts w:ascii="Times New Roman" w:hAnsi="Times New Roman"/>
                <w:bCs/>
                <w:color w:val="000000" w:themeColor="text1"/>
              </w:rPr>
              <w:t>Yes</w:t>
            </w:r>
          </w:p>
        </w:tc>
      </w:tr>
      <w:tr w:rsidR="00987075" w:rsidRPr="00AF47C7" w:rsidTr="00987075">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744" w:type="dxa"/>
            <w:vAlign w:val="center"/>
            <w:hideMark/>
          </w:tcPr>
          <w:p w:rsidR="00D33084" w:rsidRPr="00AF47C7" w:rsidRDefault="00D33084" w:rsidP="00D33084">
            <w:pPr>
              <w:jc w:val="center"/>
              <w:rPr>
                <w:rFonts w:ascii="Times New Roman" w:hAnsi="Times New Roman"/>
                <w:b w:val="0"/>
                <w:color w:val="000000"/>
              </w:rPr>
            </w:pPr>
            <w:r w:rsidRPr="00AF47C7">
              <w:rPr>
                <w:rFonts w:ascii="Times New Roman" w:hAnsi="Times New Roman"/>
                <w:b w:val="0"/>
                <w:color w:val="000000"/>
              </w:rPr>
              <w:t>Residue Packing</w:t>
            </w:r>
          </w:p>
        </w:tc>
        <w:tc>
          <w:tcPr>
            <w:tcW w:w="823"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745"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AF47C7">
              <w:rPr>
                <w:rFonts w:ascii="Times New Roman" w:hAnsi="Times New Roman"/>
                <w:bCs/>
                <w:color w:val="000000" w:themeColor="text1"/>
              </w:rPr>
              <w:t>Yes</w:t>
            </w:r>
          </w:p>
        </w:tc>
        <w:tc>
          <w:tcPr>
            <w:tcW w:w="1000"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998"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1154"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1131"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815"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979"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r>
      <w:tr w:rsidR="00987075" w:rsidRPr="00AF47C7" w:rsidTr="00987075">
        <w:trPr>
          <w:trHeight w:val="446"/>
        </w:trPr>
        <w:tc>
          <w:tcPr>
            <w:cnfStyle w:val="001000000000" w:firstRow="0" w:lastRow="0" w:firstColumn="1" w:lastColumn="0" w:oddVBand="0" w:evenVBand="0" w:oddHBand="0" w:evenHBand="0" w:firstRowFirstColumn="0" w:firstRowLastColumn="0" w:lastRowFirstColumn="0" w:lastRowLastColumn="0"/>
            <w:tcW w:w="1744" w:type="dxa"/>
            <w:vAlign w:val="center"/>
            <w:hideMark/>
          </w:tcPr>
          <w:p w:rsidR="00D33084" w:rsidRPr="00AF47C7" w:rsidRDefault="00D33084" w:rsidP="00D33084">
            <w:pPr>
              <w:jc w:val="center"/>
              <w:rPr>
                <w:rFonts w:ascii="Times New Roman" w:hAnsi="Times New Roman"/>
                <w:b w:val="0"/>
                <w:color w:val="000000"/>
              </w:rPr>
            </w:pPr>
            <w:r w:rsidRPr="00AF47C7">
              <w:rPr>
                <w:rFonts w:ascii="Times New Roman" w:hAnsi="Times New Roman"/>
                <w:b w:val="0"/>
                <w:color w:val="000000"/>
              </w:rPr>
              <w:t>Globularity</w:t>
            </w:r>
          </w:p>
        </w:tc>
        <w:tc>
          <w:tcPr>
            <w:tcW w:w="823"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745"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1000"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AF47C7">
              <w:rPr>
                <w:rFonts w:ascii="Times New Roman" w:hAnsi="Times New Roman"/>
                <w:bCs/>
                <w:color w:val="000000" w:themeColor="text1"/>
              </w:rPr>
              <w:t>Yes</w:t>
            </w:r>
          </w:p>
        </w:tc>
        <w:tc>
          <w:tcPr>
            <w:tcW w:w="998"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1154"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1131"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815"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979"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AF47C7">
              <w:rPr>
                <w:rFonts w:ascii="Times New Roman" w:hAnsi="Times New Roman"/>
                <w:bCs/>
                <w:color w:val="000000" w:themeColor="text1"/>
              </w:rPr>
              <w:t>Yes</w:t>
            </w:r>
          </w:p>
        </w:tc>
      </w:tr>
      <w:tr w:rsidR="00987075" w:rsidRPr="00AF47C7" w:rsidTr="00987075">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744" w:type="dxa"/>
            <w:vAlign w:val="center"/>
            <w:hideMark/>
          </w:tcPr>
          <w:p w:rsidR="00D33084" w:rsidRPr="00AF47C7" w:rsidRDefault="00D33084" w:rsidP="00D33084">
            <w:pPr>
              <w:jc w:val="center"/>
              <w:rPr>
                <w:rFonts w:ascii="Times New Roman" w:hAnsi="Times New Roman"/>
                <w:b w:val="0"/>
                <w:color w:val="000000"/>
              </w:rPr>
            </w:pPr>
            <w:r w:rsidRPr="00AF47C7">
              <w:rPr>
                <w:rFonts w:ascii="Times New Roman" w:hAnsi="Times New Roman"/>
                <w:b w:val="0"/>
                <w:color w:val="000000"/>
              </w:rPr>
              <w:t>Secondary Structure</w:t>
            </w:r>
          </w:p>
        </w:tc>
        <w:tc>
          <w:tcPr>
            <w:tcW w:w="823"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745"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1000"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998"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AF47C7">
              <w:rPr>
                <w:rFonts w:ascii="Times New Roman" w:hAnsi="Times New Roman"/>
                <w:bCs/>
                <w:color w:val="000000" w:themeColor="text1"/>
              </w:rPr>
              <w:t>Yes</w:t>
            </w:r>
          </w:p>
        </w:tc>
        <w:tc>
          <w:tcPr>
            <w:tcW w:w="1154"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1131"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AF47C7">
              <w:rPr>
                <w:rFonts w:ascii="Times New Roman" w:hAnsi="Times New Roman"/>
                <w:bCs/>
                <w:color w:val="000000" w:themeColor="text1"/>
              </w:rPr>
              <w:t>Yes</w:t>
            </w:r>
          </w:p>
        </w:tc>
        <w:tc>
          <w:tcPr>
            <w:tcW w:w="815"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AF47C7">
              <w:rPr>
                <w:rFonts w:ascii="Times New Roman" w:hAnsi="Times New Roman"/>
                <w:bCs/>
                <w:color w:val="000000" w:themeColor="text1"/>
              </w:rPr>
              <w:t>Yes</w:t>
            </w:r>
          </w:p>
        </w:tc>
        <w:tc>
          <w:tcPr>
            <w:tcW w:w="979"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AF47C7">
              <w:rPr>
                <w:rFonts w:ascii="Times New Roman" w:hAnsi="Times New Roman"/>
                <w:bCs/>
                <w:color w:val="000000" w:themeColor="text1"/>
              </w:rPr>
              <w:t>Yes</w:t>
            </w:r>
          </w:p>
        </w:tc>
      </w:tr>
      <w:tr w:rsidR="00987075" w:rsidRPr="00AF47C7" w:rsidTr="00987075">
        <w:trPr>
          <w:trHeight w:val="371"/>
        </w:trPr>
        <w:tc>
          <w:tcPr>
            <w:cnfStyle w:val="001000000000" w:firstRow="0" w:lastRow="0" w:firstColumn="1" w:lastColumn="0" w:oddVBand="0" w:evenVBand="0" w:oddHBand="0" w:evenHBand="0" w:firstRowFirstColumn="0" w:firstRowLastColumn="0" w:lastRowFirstColumn="0" w:lastRowLastColumn="0"/>
            <w:tcW w:w="1744" w:type="dxa"/>
            <w:vAlign w:val="center"/>
            <w:hideMark/>
          </w:tcPr>
          <w:p w:rsidR="00D33084" w:rsidRPr="00AF47C7" w:rsidRDefault="00D33084" w:rsidP="00D33084">
            <w:pPr>
              <w:jc w:val="center"/>
              <w:rPr>
                <w:rFonts w:ascii="Times New Roman" w:hAnsi="Times New Roman"/>
                <w:b w:val="0"/>
                <w:color w:val="000000"/>
              </w:rPr>
            </w:pPr>
            <w:r w:rsidRPr="00AF47C7">
              <w:rPr>
                <w:rFonts w:ascii="Times New Roman" w:hAnsi="Times New Roman"/>
                <w:b w:val="0"/>
                <w:color w:val="000000"/>
              </w:rPr>
              <w:t>Φ and ψ Distribution</w:t>
            </w:r>
          </w:p>
        </w:tc>
        <w:tc>
          <w:tcPr>
            <w:tcW w:w="823"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745"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1000"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998"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1154"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AF47C7">
              <w:rPr>
                <w:rFonts w:ascii="Times New Roman" w:hAnsi="Times New Roman"/>
                <w:bCs/>
                <w:color w:val="000000" w:themeColor="text1"/>
              </w:rPr>
              <w:t>Yes</w:t>
            </w:r>
          </w:p>
        </w:tc>
        <w:tc>
          <w:tcPr>
            <w:tcW w:w="1131"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815"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979"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r>
      <w:tr w:rsidR="00987075" w:rsidRPr="00AF47C7" w:rsidTr="00987075">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744" w:type="dxa"/>
            <w:vAlign w:val="center"/>
            <w:hideMark/>
          </w:tcPr>
          <w:p w:rsidR="00D33084" w:rsidRPr="00AF47C7" w:rsidRDefault="00D33084" w:rsidP="00D33084">
            <w:pPr>
              <w:jc w:val="center"/>
              <w:rPr>
                <w:rFonts w:ascii="Times New Roman" w:hAnsi="Times New Roman"/>
                <w:b w:val="0"/>
                <w:color w:val="000000"/>
              </w:rPr>
            </w:pPr>
            <w:r w:rsidRPr="00AF47C7">
              <w:rPr>
                <w:rFonts w:ascii="Times New Roman" w:hAnsi="Times New Roman"/>
                <w:b w:val="0"/>
                <w:color w:val="000000"/>
              </w:rPr>
              <w:t>Energy Based Scorings</w:t>
            </w:r>
          </w:p>
        </w:tc>
        <w:tc>
          <w:tcPr>
            <w:tcW w:w="823"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AF47C7">
              <w:rPr>
                <w:rFonts w:ascii="Times New Roman" w:hAnsi="Times New Roman"/>
                <w:bCs/>
                <w:color w:val="000000" w:themeColor="text1"/>
              </w:rPr>
              <w:t>Yes</w:t>
            </w:r>
          </w:p>
        </w:tc>
        <w:tc>
          <w:tcPr>
            <w:tcW w:w="745"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1000"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998"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1154"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1131"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c>
          <w:tcPr>
            <w:tcW w:w="815"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AF47C7">
              <w:rPr>
                <w:rFonts w:ascii="Times New Roman" w:hAnsi="Times New Roman"/>
                <w:bCs/>
                <w:color w:val="000000" w:themeColor="text1"/>
              </w:rPr>
              <w:t>Yes</w:t>
            </w:r>
          </w:p>
        </w:tc>
        <w:tc>
          <w:tcPr>
            <w:tcW w:w="979" w:type="dxa"/>
            <w:vAlign w:val="center"/>
            <w:hideMark/>
          </w:tcPr>
          <w:p w:rsidR="00D33084" w:rsidRPr="00AF47C7" w:rsidRDefault="00D33084" w:rsidP="00D330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p>
        </w:tc>
      </w:tr>
      <w:tr w:rsidR="00987075" w:rsidRPr="00AF47C7" w:rsidTr="00987075">
        <w:trPr>
          <w:trHeight w:val="371"/>
        </w:trPr>
        <w:tc>
          <w:tcPr>
            <w:cnfStyle w:val="001000000000" w:firstRow="0" w:lastRow="0" w:firstColumn="1" w:lastColumn="0" w:oddVBand="0" w:evenVBand="0" w:oddHBand="0" w:evenHBand="0" w:firstRowFirstColumn="0" w:firstRowLastColumn="0" w:lastRowFirstColumn="0" w:lastRowLastColumn="0"/>
            <w:tcW w:w="1744" w:type="dxa"/>
            <w:vAlign w:val="center"/>
            <w:hideMark/>
          </w:tcPr>
          <w:p w:rsidR="00D33084" w:rsidRPr="00AF47C7" w:rsidRDefault="00D33084" w:rsidP="00D33084">
            <w:pPr>
              <w:jc w:val="center"/>
              <w:rPr>
                <w:rFonts w:ascii="Times New Roman" w:hAnsi="Times New Roman"/>
                <w:b w:val="0"/>
                <w:color w:val="000000"/>
              </w:rPr>
            </w:pPr>
            <w:r w:rsidRPr="00AF47C7">
              <w:rPr>
                <w:rFonts w:ascii="Times New Roman" w:hAnsi="Times New Roman"/>
                <w:b w:val="0"/>
                <w:color w:val="000000"/>
              </w:rPr>
              <w:t>Side Chain Packing</w:t>
            </w:r>
          </w:p>
        </w:tc>
        <w:tc>
          <w:tcPr>
            <w:tcW w:w="823"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745"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1000"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998"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1154"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AF47C7">
              <w:rPr>
                <w:rFonts w:ascii="Times New Roman" w:hAnsi="Times New Roman"/>
                <w:bCs/>
                <w:color w:val="000000" w:themeColor="text1"/>
              </w:rPr>
              <w:t>Yes</w:t>
            </w:r>
          </w:p>
        </w:tc>
        <w:tc>
          <w:tcPr>
            <w:tcW w:w="1131"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815"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c>
          <w:tcPr>
            <w:tcW w:w="979" w:type="dxa"/>
            <w:vAlign w:val="center"/>
            <w:hideMark/>
          </w:tcPr>
          <w:p w:rsidR="00D33084" w:rsidRPr="00AF47C7" w:rsidRDefault="00D33084" w:rsidP="00D330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tc>
      </w:tr>
    </w:tbl>
    <w:p w:rsidR="00666FA3" w:rsidRPr="00D33084" w:rsidRDefault="00666FA3" w:rsidP="00D33084">
      <w:pPr>
        <w:spacing w:line="480" w:lineRule="auto"/>
        <w:jc w:val="both"/>
        <w:rPr>
          <w:sz w:val="24"/>
          <w:szCs w:val="24"/>
        </w:rPr>
      </w:pPr>
    </w:p>
    <w:p w:rsidR="00F16D12" w:rsidRPr="00FD494A" w:rsidRDefault="00EA73B7" w:rsidP="00EA73B7">
      <w:pPr>
        <w:spacing w:line="480" w:lineRule="auto"/>
        <w:jc w:val="both"/>
        <w:rPr>
          <w:sz w:val="24"/>
          <w:szCs w:val="24"/>
        </w:rPr>
      </w:pPr>
      <w:r>
        <w:rPr>
          <w:b/>
          <w:noProof/>
          <w:sz w:val="24"/>
          <w:szCs w:val="24"/>
          <w:lang w:val="en-IN" w:eastAsia="en-IN"/>
        </w:rPr>
        <w:lastRenderedPageBreak/>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5943600" cy="544830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448300"/>
                    </a:xfrm>
                    <a:prstGeom prst="rect">
                      <a:avLst/>
                    </a:prstGeom>
                    <a:noFill/>
                  </pic:spPr>
                </pic:pic>
              </a:graphicData>
            </a:graphic>
            <wp14:sizeRelH relativeFrom="margin">
              <wp14:pctWidth>0</wp14:pctWidth>
            </wp14:sizeRelH>
            <wp14:sizeRelV relativeFrom="margin">
              <wp14:pctHeight>0</wp14:pctHeight>
            </wp14:sizeRelV>
          </wp:anchor>
        </w:drawing>
      </w:r>
      <w:r w:rsidR="006B1055">
        <w:rPr>
          <w:b/>
          <w:sz w:val="24"/>
          <w:szCs w:val="24"/>
        </w:rPr>
        <w:t>Figure S6</w:t>
      </w:r>
      <w:r>
        <w:rPr>
          <w:b/>
          <w:sz w:val="24"/>
          <w:szCs w:val="24"/>
        </w:rPr>
        <w:t xml:space="preserve">. </w:t>
      </w:r>
      <w:r w:rsidRPr="00EA73B7">
        <w:rPr>
          <w:sz w:val="24"/>
          <w:szCs w:val="24"/>
        </w:rPr>
        <w:t>Quality Assessment via different tools. (a)</w:t>
      </w:r>
      <w:r>
        <w:rPr>
          <w:b/>
          <w:sz w:val="24"/>
          <w:szCs w:val="24"/>
        </w:rPr>
        <w:t xml:space="preserve"> </w:t>
      </w:r>
      <w:r w:rsidRPr="00EA73B7">
        <w:rPr>
          <w:sz w:val="24"/>
          <w:szCs w:val="24"/>
        </w:rPr>
        <w:t>PROCHECK based backbone dihedral angles distribution in allowed (red and yellow) and disallow</w:t>
      </w:r>
      <w:r>
        <w:rPr>
          <w:sz w:val="24"/>
          <w:szCs w:val="24"/>
        </w:rPr>
        <w:t xml:space="preserve">ed regions of Ramachandran Plot, (b) </w:t>
      </w:r>
      <w:r w:rsidR="009A5631">
        <w:rPr>
          <w:sz w:val="24"/>
          <w:szCs w:val="24"/>
        </w:rPr>
        <w:t>Residue wise</w:t>
      </w:r>
      <w:r>
        <w:rPr>
          <w:sz w:val="24"/>
          <w:szCs w:val="24"/>
        </w:rPr>
        <w:t xml:space="preserve"> average 3D-1D scores of Verify3D, (c) ERRAT based quality assessment where black colored regions are erroneous, (d) </w:t>
      </w:r>
      <w:r w:rsidR="009A5631">
        <w:rPr>
          <w:sz w:val="24"/>
          <w:szCs w:val="24"/>
        </w:rPr>
        <w:t>Residue wise</w:t>
      </w:r>
      <w:r>
        <w:rPr>
          <w:sz w:val="24"/>
          <w:szCs w:val="24"/>
        </w:rPr>
        <w:t xml:space="preserve"> accessible surface area distribution calculated via </w:t>
      </w:r>
      <w:proofErr w:type="spellStart"/>
      <w:r>
        <w:rPr>
          <w:sz w:val="24"/>
          <w:szCs w:val="24"/>
        </w:rPr>
        <w:t>Naccess</w:t>
      </w:r>
      <w:proofErr w:type="spellEnd"/>
      <w:r>
        <w:rPr>
          <w:sz w:val="24"/>
          <w:szCs w:val="24"/>
        </w:rPr>
        <w:t xml:space="preserve"> and normalized to a 0-1 scale. Lower surface area is preferred. </w:t>
      </w:r>
    </w:p>
    <w:p w:rsidR="00FC2550" w:rsidRDefault="00F16D12" w:rsidP="00C45C3B">
      <w:pPr>
        <w:spacing w:line="480" w:lineRule="auto"/>
        <w:rPr>
          <w:b/>
          <w:sz w:val="24"/>
          <w:szCs w:val="24"/>
        </w:rPr>
      </w:pPr>
      <w:r w:rsidRPr="00FD494A">
        <w:rPr>
          <w:sz w:val="24"/>
          <w:szCs w:val="24"/>
        </w:rPr>
        <w:br w:type="page"/>
      </w:r>
      <w:r w:rsidR="00EA73B7" w:rsidRPr="00C45C3B">
        <w:rPr>
          <w:b/>
          <w:sz w:val="24"/>
          <w:szCs w:val="24"/>
        </w:rPr>
        <w:lastRenderedPageBreak/>
        <w:t>Step</w:t>
      </w:r>
      <w:r w:rsidR="00C45C3B" w:rsidRPr="00C45C3B">
        <w:rPr>
          <w:b/>
          <w:sz w:val="24"/>
          <w:szCs w:val="24"/>
        </w:rPr>
        <w:t xml:space="preserve"> V. </w:t>
      </w:r>
      <w:r w:rsidRPr="00C45C3B">
        <w:rPr>
          <w:b/>
          <w:sz w:val="24"/>
          <w:szCs w:val="24"/>
        </w:rPr>
        <w:t>Ligand Binding Site</w:t>
      </w:r>
    </w:p>
    <w:p w:rsidR="00C45C3B" w:rsidRDefault="00C45C3B" w:rsidP="00C45C3B">
      <w:pPr>
        <w:spacing w:line="480" w:lineRule="auto"/>
        <w:jc w:val="both"/>
        <w:rPr>
          <w:sz w:val="24"/>
          <w:szCs w:val="24"/>
        </w:rPr>
      </w:pPr>
      <w:r w:rsidRPr="00C45C3B">
        <w:rPr>
          <w:sz w:val="24"/>
          <w:szCs w:val="24"/>
        </w:rPr>
        <w:t>The</w:t>
      </w:r>
      <w:r>
        <w:rPr>
          <w:sz w:val="24"/>
          <w:szCs w:val="24"/>
        </w:rPr>
        <w:t xml:space="preserve"> ligand binding site information is very useful in various structure based function annotations and drug discovery. For ligand binding site detection three different tools are used for a consensus view and more reliable predictions. </w:t>
      </w:r>
      <w:r w:rsidRPr="00C45C3B">
        <w:rPr>
          <w:sz w:val="24"/>
          <w:szCs w:val="24"/>
        </w:rPr>
        <w:t xml:space="preserve"> </w:t>
      </w:r>
      <w:r>
        <w:rPr>
          <w:sz w:val="24"/>
          <w:szCs w:val="24"/>
        </w:rPr>
        <w:t>These tools are discussed briefly in the following section.</w:t>
      </w:r>
    </w:p>
    <w:p w:rsidR="00C45C3B" w:rsidRDefault="00C45C3B" w:rsidP="00C45C3B">
      <w:pPr>
        <w:pStyle w:val="ListParagraph"/>
        <w:numPr>
          <w:ilvl w:val="0"/>
          <w:numId w:val="13"/>
        </w:numPr>
        <w:spacing w:line="480" w:lineRule="auto"/>
        <w:ind w:left="284" w:hanging="284"/>
        <w:jc w:val="both"/>
        <w:rPr>
          <w:sz w:val="24"/>
          <w:szCs w:val="24"/>
        </w:rPr>
      </w:pPr>
      <w:proofErr w:type="spellStart"/>
      <w:r w:rsidRPr="00C45C3B">
        <w:rPr>
          <w:b/>
          <w:sz w:val="24"/>
          <w:szCs w:val="24"/>
        </w:rPr>
        <w:t>LigSite</w:t>
      </w:r>
      <w:proofErr w:type="spellEnd"/>
      <w:r>
        <w:rPr>
          <w:b/>
          <w:sz w:val="24"/>
          <w:szCs w:val="24"/>
        </w:rPr>
        <w:t xml:space="preserve">: </w:t>
      </w:r>
      <w:r w:rsidRPr="00C45C3B">
        <w:rPr>
          <w:sz w:val="24"/>
          <w:szCs w:val="24"/>
        </w:rPr>
        <w:t>It captures surface-solvent-surface events</w:t>
      </w:r>
      <w:r>
        <w:rPr>
          <w:sz w:val="24"/>
          <w:szCs w:val="24"/>
        </w:rPr>
        <w:t xml:space="preserve"> from an input protein </w:t>
      </w:r>
      <w:r w:rsidR="009A5631">
        <w:rPr>
          <w:sz w:val="24"/>
          <w:szCs w:val="24"/>
        </w:rPr>
        <w:t>structure</w:t>
      </w:r>
      <w:r w:rsidRPr="00C45C3B">
        <w:rPr>
          <w:sz w:val="24"/>
          <w:szCs w:val="24"/>
        </w:rPr>
        <w:t xml:space="preserve"> via protein’s Connolly surfaces and identified pockets are ranked on the basis of the extent of conservation of surface residues involved.</w:t>
      </w:r>
      <w:r>
        <w:rPr>
          <w:sz w:val="24"/>
          <w:szCs w:val="24"/>
        </w:rPr>
        <w:t xml:space="preserve"> </w:t>
      </w:r>
    </w:p>
    <w:p w:rsidR="00C45C3B" w:rsidRPr="00C45C3B" w:rsidRDefault="00C45C3B" w:rsidP="00C45C3B">
      <w:pPr>
        <w:pStyle w:val="ListParagraph"/>
        <w:numPr>
          <w:ilvl w:val="0"/>
          <w:numId w:val="13"/>
        </w:numPr>
        <w:spacing w:line="480" w:lineRule="auto"/>
        <w:ind w:left="284" w:hanging="284"/>
        <w:jc w:val="both"/>
        <w:rPr>
          <w:sz w:val="24"/>
          <w:szCs w:val="24"/>
        </w:rPr>
      </w:pPr>
      <w:r w:rsidRPr="00C45C3B">
        <w:rPr>
          <w:b/>
          <w:sz w:val="24"/>
          <w:szCs w:val="24"/>
        </w:rPr>
        <w:t>F-pocket</w:t>
      </w:r>
      <w:r>
        <w:rPr>
          <w:b/>
          <w:sz w:val="24"/>
          <w:szCs w:val="24"/>
        </w:rPr>
        <w:t>:</w:t>
      </w:r>
      <w:r>
        <w:rPr>
          <w:sz w:val="24"/>
          <w:szCs w:val="24"/>
        </w:rPr>
        <w:t xml:space="preserve"> It</w:t>
      </w:r>
      <w:r w:rsidRPr="00C45C3B">
        <w:rPr>
          <w:sz w:val="24"/>
          <w:szCs w:val="24"/>
        </w:rPr>
        <w:t xml:space="preserve"> is based on </w:t>
      </w:r>
      <w:proofErr w:type="spellStart"/>
      <w:r w:rsidRPr="00C45C3B">
        <w:rPr>
          <w:sz w:val="24"/>
          <w:szCs w:val="24"/>
        </w:rPr>
        <w:t>Voronoi</w:t>
      </w:r>
      <w:proofErr w:type="spellEnd"/>
      <w:r w:rsidRPr="00C45C3B">
        <w:rPr>
          <w:sz w:val="24"/>
          <w:szCs w:val="24"/>
        </w:rPr>
        <w:t xml:space="preserve"> partition and alpha sphere theory</w:t>
      </w:r>
      <w:r>
        <w:rPr>
          <w:sz w:val="24"/>
          <w:szCs w:val="24"/>
        </w:rPr>
        <w:t>. T</w:t>
      </w:r>
      <w:r w:rsidRPr="00C45C3B">
        <w:rPr>
          <w:sz w:val="24"/>
          <w:szCs w:val="24"/>
        </w:rPr>
        <w:t>he pocket ranking is performed v</w:t>
      </w:r>
      <w:r>
        <w:rPr>
          <w:sz w:val="24"/>
          <w:szCs w:val="24"/>
        </w:rPr>
        <w:t>ia Partial Least Square fitting</w:t>
      </w:r>
      <w:r>
        <w:t>.</w:t>
      </w:r>
      <w:r w:rsidRPr="005C1E0A">
        <w:t xml:space="preserve"> </w:t>
      </w:r>
      <w:r>
        <w:t>It has been considered to track cavities on different, aligned protein structures. F-pocket</w:t>
      </w:r>
      <w:r w:rsidRPr="00D176BD">
        <w:rPr>
          <w:b/>
          <w:sz w:val="24"/>
          <w:szCs w:val="24"/>
        </w:rPr>
        <w:t xml:space="preserve"> </w:t>
      </w:r>
      <w:r w:rsidRPr="00C45C3B">
        <w:rPr>
          <w:sz w:val="24"/>
          <w:szCs w:val="24"/>
        </w:rPr>
        <w:t xml:space="preserve">accepts protein </w:t>
      </w:r>
      <w:r>
        <w:rPr>
          <w:sz w:val="24"/>
          <w:szCs w:val="24"/>
        </w:rPr>
        <w:t>structure (</w:t>
      </w:r>
      <w:proofErr w:type="spellStart"/>
      <w:r>
        <w:rPr>
          <w:sz w:val="24"/>
          <w:szCs w:val="24"/>
        </w:rPr>
        <w:t>pdb</w:t>
      </w:r>
      <w:proofErr w:type="spellEnd"/>
      <w:r>
        <w:rPr>
          <w:sz w:val="24"/>
          <w:szCs w:val="24"/>
        </w:rPr>
        <w:t xml:space="preserve"> file format) and generates pocket information.</w:t>
      </w:r>
      <w:r w:rsidRPr="005C1E0A">
        <w:rPr>
          <w:b/>
          <w:sz w:val="24"/>
          <w:szCs w:val="24"/>
        </w:rPr>
        <w:t xml:space="preserve"> </w:t>
      </w:r>
    </w:p>
    <w:p w:rsidR="00DD2A25" w:rsidRPr="00336D36" w:rsidRDefault="00C45C3B" w:rsidP="00336D36">
      <w:pPr>
        <w:pStyle w:val="ListParagraph"/>
        <w:numPr>
          <w:ilvl w:val="0"/>
          <w:numId w:val="13"/>
        </w:numPr>
        <w:spacing w:line="480" w:lineRule="auto"/>
        <w:ind w:left="284" w:hanging="284"/>
        <w:jc w:val="both"/>
        <w:rPr>
          <w:sz w:val="24"/>
          <w:szCs w:val="24"/>
        </w:rPr>
      </w:pPr>
      <w:r w:rsidRPr="005C1E0A">
        <w:rPr>
          <w:b/>
          <w:sz w:val="24"/>
          <w:szCs w:val="24"/>
        </w:rPr>
        <w:t>AADS</w:t>
      </w:r>
      <w:r>
        <w:rPr>
          <w:b/>
          <w:sz w:val="24"/>
          <w:szCs w:val="24"/>
        </w:rPr>
        <w:t>:</w:t>
      </w:r>
      <w:r>
        <w:rPr>
          <w:sz w:val="24"/>
          <w:szCs w:val="24"/>
        </w:rPr>
        <w:t xml:space="preserve"> </w:t>
      </w:r>
      <w:r w:rsidR="00336D36">
        <w:rPr>
          <w:sz w:val="24"/>
          <w:szCs w:val="24"/>
        </w:rPr>
        <w:t>It</w:t>
      </w:r>
      <w:r>
        <w:rPr>
          <w:sz w:val="24"/>
          <w:szCs w:val="24"/>
        </w:rPr>
        <w:t xml:space="preserve"> is a</w:t>
      </w:r>
      <w:r w:rsidR="00336D36">
        <w:rPr>
          <w:sz w:val="24"/>
          <w:szCs w:val="24"/>
        </w:rPr>
        <w:t xml:space="preserve">n automated active site identification, docking and scoring protocol based on </w:t>
      </w:r>
      <w:proofErr w:type="spellStart"/>
      <w:r w:rsidR="00336D36">
        <w:rPr>
          <w:sz w:val="24"/>
          <w:szCs w:val="24"/>
        </w:rPr>
        <w:t>physico</w:t>
      </w:r>
      <w:proofErr w:type="spellEnd"/>
      <w:r w:rsidR="00336D36">
        <w:rPr>
          <w:sz w:val="24"/>
          <w:szCs w:val="24"/>
        </w:rPr>
        <w:t>-chemical descriptors</w:t>
      </w:r>
      <w:r>
        <w:rPr>
          <w:sz w:val="24"/>
          <w:szCs w:val="24"/>
        </w:rPr>
        <w:t>.</w:t>
      </w:r>
      <w:r w:rsidR="00336D36">
        <w:rPr>
          <w:sz w:val="24"/>
          <w:szCs w:val="24"/>
        </w:rPr>
        <w:t xml:space="preserve"> It takes protein structure (in </w:t>
      </w:r>
      <w:proofErr w:type="spellStart"/>
      <w:r w:rsidR="00336D36">
        <w:rPr>
          <w:sz w:val="24"/>
          <w:szCs w:val="24"/>
        </w:rPr>
        <w:t>pdb</w:t>
      </w:r>
      <w:proofErr w:type="spellEnd"/>
      <w:r w:rsidR="00336D36">
        <w:rPr>
          <w:sz w:val="24"/>
          <w:szCs w:val="24"/>
        </w:rPr>
        <w:t xml:space="preserve"> file format) and predicts ten po</w:t>
      </w:r>
      <w:r w:rsidR="006B1055">
        <w:rPr>
          <w:sz w:val="24"/>
          <w:szCs w:val="24"/>
        </w:rPr>
        <w:t>tential ligand binding sites</w:t>
      </w:r>
      <w:r w:rsidR="00336D36">
        <w:rPr>
          <w:sz w:val="24"/>
          <w:szCs w:val="24"/>
        </w:rPr>
        <w:t>.</w:t>
      </w:r>
    </w:p>
    <w:p w:rsidR="00DD2A25" w:rsidRPr="00336D36" w:rsidRDefault="00336D36" w:rsidP="006B1055">
      <w:pPr>
        <w:spacing w:line="480" w:lineRule="auto"/>
        <w:ind w:firstLine="720"/>
        <w:jc w:val="both"/>
        <w:rPr>
          <w:sz w:val="24"/>
          <w:szCs w:val="24"/>
        </w:rPr>
      </w:pPr>
      <w:r w:rsidRPr="00336D36">
        <w:rPr>
          <w:sz w:val="24"/>
          <w:szCs w:val="24"/>
        </w:rPr>
        <w:t xml:space="preserve">In </w:t>
      </w:r>
      <w:proofErr w:type="spellStart"/>
      <w:r w:rsidRPr="00336D36">
        <w:rPr>
          <w:sz w:val="24"/>
          <w:szCs w:val="24"/>
        </w:rPr>
        <w:t>PvaxDB</w:t>
      </w:r>
      <w:proofErr w:type="spellEnd"/>
      <w:r>
        <w:rPr>
          <w:sz w:val="24"/>
          <w:szCs w:val="24"/>
        </w:rPr>
        <w:t xml:space="preserve">, the residues lining the predicted ligand binding site indicated in three </w:t>
      </w:r>
      <w:r w:rsidR="009A5631">
        <w:rPr>
          <w:sz w:val="24"/>
          <w:szCs w:val="24"/>
        </w:rPr>
        <w:t>dimensional</w:t>
      </w:r>
      <w:r>
        <w:rPr>
          <w:sz w:val="24"/>
          <w:szCs w:val="24"/>
        </w:rPr>
        <w:t xml:space="preserve"> view as well </w:t>
      </w:r>
      <w:r w:rsidR="006B1055">
        <w:rPr>
          <w:sz w:val="24"/>
          <w:szCs w:val="24"/>
        </w:rPr>
        <w:t>as in text as shown in Figure S7</w:t>
      </w:r>
      <w:r>
        <w:rPr>
          <w:sz w:val="24"/>
          <w:szCs w:val="24"/>
        </w:rPr>
        <w:t xml:space="preserve">. For each method, at most four ligand binding sites are displayed on the ‘Ligand Binding Site’ section of result page. User may download the </w:t>
      </w:r>
      <w:r w:rsidR="00DE505D">
        <w:rPr>
          <w:sz w:val="24"/>
          <w:szCs w:val="24"/>
        </w:rPr>
        <w:t xml:space="preserve">predicted </w:t>
      </w:r>
      <w:r>
        <w:rPr>
          <w:sz w:val="24"/>
          <w:szCs w:val="24"/>
        </w:rPr>
        <w:t>model structure</w:t>
      </w:r>
      <w:r w:rsidR="00DE505D">
        <w:rPr>
          <w:sz w:val="24"/>
          <w:szCs w:val="24"/>
        </w:rPr>
        <w:t>s</w:t>
      </w:r>
      <w:r>
        <w:rPr>
          <w:sz w:val="24"/>
          <w:szCs w:val="24"/>
        </w:rPr>
        <w:t xml:space="preserve"> along with predicted ligand binding site information by clicking on the download symbol provided under the method’s name.  </w:t>
      </w:r>
    </w:p>
    <w:p w:rsidR="00DD2A25" w:rsidRPr="00DE505D" w:rsidRDefault="0024756E" w:rsidP="00DE505D">
      <w:pPr>
        <w:spacing w:line="360" w:lineRule="auto"/>
        <w:rPr>
          <w:sz w:val="24"/>
          <w:szCs w:val="24"/>
        </w:rPr>
      </w:pPr>
      <w:r w:rsidRPr="00DE505D">
        <w:rPr>
          <w:b/>
          <w:noProof/>
          <w:sz w:val="24"/>
          <w:szCs w:val="24"/>
          <w:lang w:val="en-IN" w:eastAsia="en-IN"/>
        </w:rPr>
        <w:lastRenderedPageBreak/>
        <w:drawing>
          <wp:anchor distT="0" distB="0" distL="114300" distR="114300" simplePos="0" relativeHeight="251668480" behindDoc="0" locked="0" layoutInCell="1" allowOverlap="1">
            <wp:simplePos x="0" y="0"/>
            <wp:positionH relativeFrom="margin">
              <wp:align>left</wp:align>
            </wp:positionH>
            <wp:positionV relativeFrom="paragraph">
              <wp:posOffset>0</wp:posOffset>
            </wp:positionV>
            <wp:extent cx="5848350" cy="2567356"/>
            <wp:effectExtent l="0" t="0" r="0" b="4445"/>
            <wp:wrapTopAndBottom/>
            <wp:docPr id="4" name="Picture 4" descr="pic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8350" cy="2567356"/>
                    </a:xfrm>
                    <a:prstGeom prst="rect">
                      <a:avLst/>
                    </a:prstGeom>
                    <a:noFill/>
                    <a:ln>
                      <a:noFill/>
                    </a:ln>
                  </pic:spPr>
                </pic:pic>
              </a:graphicData>
            </a:graphic>
          </wp:anchor>
        </w:drawing>
      </w:r>
      <w:r w:rsidR="006B1055">
        <w:rPr>
          <w:b/>
          <w:sz w:val="24"/>
          <w:szCs w:val="24"/>
        </w:rPr>
        <w:t>Figure S7</w:t>
      </w:r>
      <w:r w:rsidR="00DE505D">
        <w:rPr>
          <w:b/>
          <w:sz w:val="24"/>
          <w:szCs w:val="24"/>
        </w:rPr>
        <w:t xml:space="preserve">. </w:t>
      </w:r>
      <w:r w:rsidR="00DE505D">
        <w:rPr>
          <w:sz w:val="24"/>
          <w:szCs w:val="24"/>
        </w:rPr>
        <w:t xml:space="preserve">A snapshot of ligand binding site information provided via </w:t>
      </w:r>
      <w:proofErr w:type="spellStart"/>
      <w:r w:rsidR="00DE505D">
        <w:rPr>
          <w:sz w:val="24"/>
          <w:szCs w:val="24"/>
        </w:rPr>
        <w:t>PvaxDB</w:t>
      </w:r>
      <w:proofErr w:type="spellEnd"/>
      <w:r w:rsidR="00DE505D">
        <w:rPr>
          <w:sz w:val="24"/>
          <w:szCs w:val="24"/>
        </w:rPr>
        <w:t>. For each model structure at most 4 different binding sites are identified via each tool.</w:t>
      </w:r>
    </w:p>
    <w:p w:rsidR="00DD2A25" w:rsidRPr="00DE505D" w:rsidRDefault="00DD2A25" w:rsidP="00F16D12">
      <w:pPr>
        <w:rPr>
          <w:b/>
          <w:sz w:val="24"/>
          <w:szCs w:val="24"/>
        </w:rPr>
      </w:pPr>
    </w:p>
    <w:p w:rsidR="00DE505D" w:rsidRDefault="00DE505D" w:rsidP="00CC4007">
      <w:pPr>
        <w:autoSpaceDE w:val="0"/>
        <w:spacing w:line="480" w:lineRule="auto"/>
        <w:jc w:val="both"/>
        <w:rPr>
          <w:b/>
          <w:sz w:val="24"/>
          <w:szCs w:val="24"/>
        </w:rPr>
      </w:pPr>
      <w:r w:rsidRPr="00DE505D">
        <w:rPr>
          <w:b/>
          <w:sz w:val="24"/>
          <w:szCs w:val="24"/>
        </w:rPr>
        <w:t>Step VI. Functional Annotations</w:t>
      </w:r>
    </w:p>
    <w:p w:rsidR="00F60521" w:rsidRDefault="00DE505D" w:rsidP="00CC4007">
      <w:pPr>
        <w:autoSpaceDE w:val="0"/>
        <w:spacing w:line="480" w:lineRule="auto"/>
        <w:jc w:val="both"/>
        <w:rPr>
          <w:sz w:val="24"/>
          <w:szCs w:val="24"/>
        </w:rPr>
      </w:pPr>
      <w:r w:rsidRPr="00DE505D">
        <w:rPr>
          <w:sz w:val="24"/>
          <w:szCs w:val="24"/>
        </w:rPr>
        <w:t xml:space="preserve">In </w:t>
      </w:r>
      <w:proofErr w:type="spellStart"/>
      <w:r w:rsidRPr="00DE505D">
        <w:rPr>
          <w:sz w:val="24"/>
          <w:szCs w:val="24"/>
        </w:rPr>
        <w:t>PvaxDB</w:t>
      </w:r>
      <w:proofErr w:type="spellEnd"/>
      <w:r w:rsidRPr="00DE505D">
        <w:rPr>
          <w:sz w:val="24"/>
          <w:szCs w:val="24"/>
        </w:rPr>
        <w:t xml:space="preserve">, </w:t>
      </w:r>
      <w:r>
        <w:rPr>
          <w:sz w:val="24"/>
          <w:szCs w:val="24"/>
        </w:rPr>
        <w:t>function annotations of pro</w:t>
      </w:r>
      <w:r w:rsidR="006B1055">
        <w:rPr>
          <w:sz w:val="24"/>
          <w:szCs w:val="24"/>
        </w:rPr>
        <w:t xml:space="preserve">teins is performed via </w:t>
      </w:r>
      <w:proofErr w:type="spellStart"/>
      <w:r w:rsidR="006B1055">
        <w:rPr>
          <w:sz w:val="24"/>
          <w:szCs w:val="24"/>
        </w:rPr>
        <w:t>InterPro</w:t>
      </w:r>
      <w:proofErr w:type="spellEnd"/>
      <w:r w:rsidR="006B1055">
        <w:rPr>
          <w:sz w:val="24"/>
          <w:szCs w:val="24"/>
        </w:rPr>
        <w:t xml:space="preserve">, </w:t>
      </w:r>
      <w:proofErr w:type="spellStart"/>
      <w:r w:rsidR="006B1055">
        <w:rPr>
          <w:sz w:val="24"/>
          <w:szCs w:val="24"/>
        </w:rPr>
        <w:t>LocTree</w:t>
      </w:r>
      <w:proofErr w:type="spellEnd"/>
      <w:r w:rsidR="006B1055">
        <w:rPr>
          <w:sz w:val="24"/>
          <w:szCs w:val="24"/>
        </w:rPr>
        <w:t xml:space="preserve">, SHIFTER and </w:t>
      </w:r>
      <w:proofErr w:type="spellStart"/>
      <w:r w:rsidR="006B1055">
        <w:rPr>
          <w:sz w:val="24"/>
          <w:szCs w:val="24"/>
        </w:rPr>
        <w:t>ProBiS</w:t>
      </w:r>
      <w:proofErr w:type="spellEnd"/>
      <w:r>
        <w:rPr>
          <w:sz w:val="24"/>
          <w:szCs w:val="24"/>
        </w:rPr>
        <w:t xml:space="preserve">. Additionally, the function information is also retrieved from </w:t>
      </w:r>
      <w:proofErr w:type="spellStart"/>
      <w:r>
        <w:rPr>
          <w:sz w:val="24"/>
          <w:szCs w:val="24"/>
        </w:rPr>
        <w:t>UniProt</w:t>
      </w:r>
      <w:proofErr w:type="spellEnd"/>
      <w:r w:rsidR="00F60521">
        <w:rPr>
          <w:sz w:val="24"/>
          <w:szCs w:val="24"/>
        </w:rPr>
        <w:t xml:space="preserve"> (if available) and provided in </w:t>
      </w:r>
      <w:proofErr w:type="spellStart"/>
      <w:r w:rsidR="00CC4007">
        <w:rPr>
          <w:sz w:val="24"/>
          <w:szCs w:val="24"/>
        </w:rPr>
        <w:t>PvaxDB</w:t>
      </w:r>
      <w:proofErr w:type="spellEnd"/>
      <w:r w:rsidR="00CC4007">
        <w:rPr>
          <w:sz w:val="24"/>
          <w:szCs w:val="24"/>
        </w:rPr>
        <w:t xml:space="preserve">. </w:t>
      </w:r>
      <w:proofErr w:type="spellStart"/>
      <w:r w:rsidR="00CC4007">
        <w:rPr>
          <w:sz w:val="24"/>
          <w:szCs w:val="24"/>
        </w:rPr>
        <w:t>InterPro</w:t>
      </w:r>
      <w:proofErr w:type="spellEnd"/>
      <w:r w:rsidR="00CC4007">
        <w:rPr>
          <w:sz w:val="24"/>
          <w:szCs w:val="24"/>
        </w:rPr>
        <w:t xml:space="preserve">, </w:t>
      </w:r>
      <w:proofErr w:type="spellStart"/>
      <w:r w:rsidR="00CC4007">
        <w:rPr>
          <w:sz w:val="24"/>
          <w:szCs w:val="24"/>
        </w:rPr>
        <w:t>LocTree</w:t>
      </w:r>
      <w:proofErr w:type="spellEnd"/>
      <w:r w:rsidR="00CC4007">
        <w:rPr>
          <w:sz w:val="24"/>
          <w:szCs w:val="24"/>
        </w:rPr>
        <w:t xml:space="preserve"> and S</w:t>
      </w:r>
      <w:r w:rsidR="00F60521">
        <w:rPr>
          <w:sz w:val="24"/>
          <w:szCs w:val="24"/>
        </w:rPr>
        <w:t xml:space="preserve">IFTER perform function annotation from sequence information while </w:t>
      </w:r>
      <w:proofErr w:type="spellStart"/>
      <w:r w:rsidR="00F60521">
        <w:rPr>
          <w:sz w:val="24"/>
          <w:szCs w:val="24"/>
        </w:rPr>
        <w:t>ProBiS</w:t>
      </w:r>
      <w:proofErr w:type="spellEnd"/>
      <w:r w:rsidR="00F60521">
        <w:rPr>
          <w:sz w:val="24"/>
          <w:szCs w:val="24"/>
        </w:rPr>
        <w:t xml:space="preserve"> uses structural information. A brief summary of these methods is provided below. </w:t>
      </w:r>
    </w:p>
    <w:p w:rsidR="00F60521" w:rsidRPr="00F60521" w:rsidRDefault="00F60521" w:rsidP="006B1055">
      <w:pPr>
        <w:pStyle w:val="ListParagraph"/>
        <w:numPr>
          <w:ilvl w:val="0"/>
          <w:numId w:val="14"/>
        </w:numPr>
        <w:autoSpaceDE w:val="0"/>
        <w:spacing w:line="480" w:lineRule="auto"/>
        <w:ind w:left="284" w:hanging="284"/>
        <w:jc w:val="both"/>
        <w:rPr>
          <w:sz w:val="24"/>
          <w:szCs w:val="24"/>
        </w:rPr>
      </w:pPr>
      <w:proofErr w:type="spellStart"/>
      <w:r w:rsidRPr="00F60521">
        <w:rPr>
          <w:b/>
          <w:sz w:val="24"/>
          <w:szCs w:val="24"/>
        </w:rPr>
        <w:t>InterPro</w:t>
      </w:r>
      <w:proofErr w:type="spellEnd"/>
      <w:r>
        <w:rPr>
          <w:b/>
          <w:sz w:val="24"/>
          <w:szCs w:val="24"/>
        </w:rPr>
        <w:t>:</w:t>
      </w:r>
      <w:r w:rsidRPr="00F60521">
        <w:rPr>
          <w:sz w:val="24"/>
          <w:szCs w:val="24"/>
        </w:rPr>
        <w:t xml:space="preserve"> </w:t>
      </w:r>
      <w:r>
        <w:rPr>
          <w:sz w:val="24"/>
          <w:szCs w:val="24"/>
        </w:rPr>
        <w:t xml:space="preserve">It </w:t>
      </w:r>
      <w:r w:rsidRPr="00F60521">
        <w:rPr>
          <w:sz w:val="24"/>
          <w:szCs w:val="24"/>
        </w:rPr>
        <w:t>performs protein sequence analysis and classification by using prediction models or signatures compiled from different databases</w:t>
      </w:r>
      <w:r>
        <w:rPr>
          <w:sz w:val="24"/>
          <w:szCs w:val="24"/>
        </w:rPr>
        <w:t>.</w:t>
      </w:r>
      <w:r w:rsidRPr="00F60521">
        <w:rPr>
          <w:sz w:val="24"/>
          <w:szCs w:val="24"/>
        </w:rPr>
        <w:t xml:space="preserve"> </w:t>
      </w:r>
      <w:r>
        <w:rPr>
          <w:sz w:val="24"/>
          <w:szCs w:val="24"/>
        </w:rPr>
        <w:t xml:space="preserve">It </w:t>
      </w:r>
      <w:r w:rsidRPr="00F60521">
        <w:rPr>
          <w:sz w:val="24"/>
          <w:szCs w:val="24"/>
        </w:rPr>
        <w:t>c</w:t>
      </w:r>
      <w:r>
        <w:rPr>
          <w:sz w:val="24"/>
          <w:szCs w:val="24"/>
        </w:rPr>
        <w:t>ombines signatures from</w:t>
      </w:r>
      <w:r w:rsidRPr="00F60521">
        <w:rPr>
          <w:sz w:val="24"/>
          <w:szCs w:val="24"/>
        </w:rPr>
        <w:t xml:space="preserve"> different databases into a single searchable resource, decreasing redundancy and helping users interpret their sequence analysis results.</w:t>
      </w:r>
      <w:r>
        <w:rPr>
          <w:sz w:val="24"/>
          <w:szCs w:val="24"/>
        </w:rPr>
        <w:t xml:space="preserve"> A standalone version of </w:t>
      </w:r>
      <w:proofErr w:type="spellStart"/>
      <w:r>
        <w:rPr>
          <w:sz w:val="24"/>
          <w:szCs w:val="24"/>
        </w:rPr>
        <w:t>InterPro</w:t>
      </w:r>
      <w:proofErr w:type="spellEnd"/>
      <w:r>
        <w:rPr>
          <w:sz w:val="24"/>
          <w:szCs w:val="24"/>
        </w:rPr>
        <w:t xml:space="preserve"> (</w:t>
      </w:r>
      <w:proofErr w:type="spellStart"/>
      <w:r>
        <w:rPr>
          <w:sz w:val="24"/>
          <w:szCs w:val="24"/>
        </w:rPr>
        <w:t>InterProScan</w:t>
      </w:r>
      <w:proofErr w:type="spellEnd"/>
      <w:r>
        <w:rPr>
          <w:sz w:val="24"/>
          <w:szCs w:val="24"/>
        </w:rPr>
        <w:t>) is used to perform function annotations of protein sequences into corresponding gene ontology terms, protein families, domains, repeats, etc.</w:t>
      </w:r>
    </w:p>
    <w:p w:rsidR="00CC4007" w:rsidRDefault="00F60521" w:rsidP="006B1055">
      <w:pPr>
        <w:pStyle w:val="ListParagraph"/>
        <w:numPr>
          <w:ilvl w:val="0"/>
          <w:numId w:val="14"/>
        </w:numPr>
        <w:autoSpaceDE w:val="0"/>
        <w:spacing w:line="480" w:lineRule="auto"/>
        <w:ind w:left="284" w:hanging="284"/>
        <w:jc w:val="both"/>
        <w:rPr>
          <w:sz w:val="24"/>
          <w:szCs w:val="24"/>
        </w:rPr>
      </w:pPr>
      <w:proofErr w:type="spellStart"/>
      <w:r>
        <w:rPr>
          <w:b/>
          <w:sz w:val="24"/>
          <w:szCs w:val="24"/>
        </w:rPr>
        <w:t>LocTree</w:t>
      </w:r>
      <w:proofErr w:type="spellEnd"/>
      <w:r>
        <w:rPr>
          <w:b/>
          <w:sz w:val="24"/>
          <w:szCs w:val="24"/>
        </w:rPr>
        <w:t xml:space="preserve">: </w:t>
      </w:r>
      <w:r w:rsidRPr="00F60521">
        <w:rPr>
          <w:sz w:val="24"/>
          <w:szCs w:val="24"/>
        </w:rPr>
        <w:t>It is a support vector machine learning based hierarchical system for searching proteins of experimental localizations and function prediction.</w:t>
      </w:r>
      <w:r>
        <w:rPr>
          <w:sz w:val="24"/>
          <w:szCs w:val="24"/>
        </w:rPr>
        <w:t xml:space="preserve"> It accepts protein sequence as </w:t>
      </w:r>
      <w:r>
        <w:rPr>
          <w:sz w:val="24"/>
          <w:szCs w:val="24"/>
        </w:rPr>
        <w:lastRenderedPageBreak/>
        <w:t>input and perform protein function prediction with a reliability score varying from 0 to 100 where 100 reflect most confident prediction.</w:t>
      </w:r>
      <w:r w:rsidRPr="00DE505D">
        <w:rPr>
          <w:sz w:val="24"/>
          <w:szCs w:val="24"/>
        </w:rPr>
        <w:t xml:space="preserve"> </w:t>
      </w:r>
    </w:p>
    <w:p w:rsidR="00CC4007" w:rsidRPr="00CC4007" w:rsidRDefault="00E02103" w:rsidP="00DA4555">
      <w:pPr>
        <w:pStyle w:val="ListParagraph"/>
        <w:numPr>
          <w:ilvl w:val="0"/>
          <w:numId w:val="14"/>
        </w:numPr>
        <w:autoSpaceDE w:val="0"/>
        <w:spacing w:line="480" w:lineRule="auto"/>
        <w:ind w:left="284" w:hanging="284"/>
        <w:jc w:val="both"/>
        <w:rPr>
          <w:sz w:val="24"/>
          <w:szCs w:val="24"/>
        </w:rPr>
      </w:pPr>
      <w:r w:rsidRPr="00CC4007">
        <w:rPr>
          <w:b/>
          <w:sz w:val="24"/>
          <w:szCs w:val="24"/>
        </w:rPr>
        <w:t>SIFTER</w:t>
      </w:r>
      <w:r w:rsidR="00CC4007" w:rsidRPr="00CC4007">
        <w:rPr>
          <w:b/>
          <w:sz w:val="24"/>
          <w:szCs w:val="24"/>
        </w:rPr>
        <w:t>:</w:t>
      </w:r>
      <w:r w:rsidR="00CC4007" w:rsidRPr="00CC4007">
        <w:rPr>
          <w:sz w:val="24"/>
          <w:szCs w:val="24"/>
        </w:rPr>
        <w:t xml:space="preserve"> SIFTER</w:t>
      </w:r>
      <w:r w:rsidRPr="00CC4007">
        <w:rPr>
          <w:sz w:val="24"/>
          <w:szCs w:val="24"/>
        </w:rPr>
        <w:t xml:space="preserve"> </w:t>
      </w:r>
      <w:r w:rsidR="00E82E64" w:rsidRPr="00CC4007">
        <w:rPr>
          <w:sz w:val="24"/>
          <w:szCs w:val="24"/>
        </w:rPr>
        <w:t>(</w:t>
      </w:r>
      <w:r w:rsidR="00E82E64" w:rsidRPr="00CC4007">
        <w:rPr>
          <w:b/>
          <w:bCs/>
          <w:sz w:val="24"/>
          <w:szCs w:val="24"/>
        </w:rPr>
        <w:t>S</w:t>
      </w:r>
      <w:r w:rsidR="00E82E64" w:rsidRPr="00CC4007">
        <w:rPr>
          <w:sz w:val="24"/>
          <w:szCs w:val="24"/>
        </w:rPr>
        <w:t xml:space="preserve">tatistical </w:t>
      </w:r>
      <w:r w:rsidR="00E82E64" w:rsidRPr="00CC4007">
        <w:rPr>
          <w:b/>
          <w:bCs/>
          <w:sz w:val="24"/>
          <w:szCs w:val="24"/>
        </w:rPr>
        <w:t>I</w:t>
      </w:r>
      <w:r w:rsidR="00E82E64" w:rsidRPr="00CC4007">
        <w:rPr>
          <w:sz w:val="24"/>
          <w:szCs w:val="24"/>
        </w:rPr>
        <w:t xml:space="preserve">nference of </w:t>
      </w:r>
      <w:r w:rsidR="00E82E64" w:rsidRPr="00CC4007">
        <w:rPr>
          <w:b/>
          <w:bCs/>
          <w:sz w:val="24"/>
          <w:szCs w:val="24"/>
        </w:rPr>
        <w:t>F</w:t>
      </w:r>
      <w:r w:rsidR="00E82E64" w:rsidRPr="00CC4007">
        <w:rPr>
          <w:sz w:val="24"/>
          <w:szCs w:val="24"/>
        </w:rPr>
        <w:t xml:space="preserve">unction </w:t>
      </w:r>
      <w:proofErr w:type="gramStart"/>
      <w:r w:rsidR="00E82E64" w:rsidRPr="00CC4007">
        <w:rPr>
          <w:b/>
          <w:bCs/>
          <w:sz w:val="24"/>
          <w:szCs w:val="24"/>
        </w:rPr>
        <w:t>T</w:t>
      </w:r>
      <w:r w:rsidR="00E82E64" w:rsidRPr="00CC4007">
        <w:rPr>
          <w:sz w:val="24"/>
          <w:szCs w:val="24"/>
        </w:rPr>
        <w:t>hrough</w:t>
      </w:r>
      <w:proofErr w:type="gramEnd"/>
      <w:r w:rsidR="00E82E64" w:rsidRPr="00CC4007">
        <w:rPr>
          <w:sz w:val="24"/>
          <w:szCs w:val="24"/>
        </w:rPr>
        <w:t xml:space="preserve"> </w:t>
      </w:r>
      <w:r w:rsidR="00E82E64" w:rsidRPr="00CC4007">
        <w:rPr>
          <w:b/>
          <w:bCs/>
          <w:sz w:val="24"/>
          <w:szCs w:val="24"/>
        </w:rPr>
        <w:t>E</w:t>
      </w:r>
      <w:r w:rsidR="00E82E64" w:rsidRPr="00CC4007">
        <w:rPr>
          <w:sz w:val="24"/>
          <w:szCs w:val="24"/>
        </w:rPr>
        <w:t xml:space="preserve">volutionary </w:t>
      </w:r>
      <w:r w:rsidR="00E82E64" w:rsidRPr="00CC4007">
        <w:rPr>
          <w:b/>
          <w:bCs/>
          <w:sz w:val="24"/>
          <w:szCs w:val="24"/>
        </w:rPr>
        <w:t>R</w:t>
      </w:r>
      <w:r w:rsidR="00E82E64" w:rsidRPr="00CC4007">
        <w:rPr>
          <w:sz w:val="24"/>
          <w:szCs w:val="24"/>
        </w:rPr>
        <w:t xml:space="preserve">elationships) </w:t>
      </w:r>
      <w:r w:rsidR="00CC4007" w:rsidRPr="00CC4007">
        <w:rPr>
          <w:sz w:val="24"/>
          <w:szCs w:val="24"/>
        </w:rPr>
        <w:t xml:space="preserve">based function prediction </w:t>
      </w:r>
      <w:r w:rsidRPr="00CC4007">
        <w:rPr>
          <w:sz w:val="24"/>
          <w:szCs w:val="24"/>
        </w:rPr>
        <w:t>implements a statistical approach using phylogenetic analysis for re</w:t>
      </w:r>
      <w:r w:rsidR="00CC4007" w:rsidRPr="00CC4007">
        <w:rPr>
          <w:sz w:val="24"/>
          <w:szCs w:val="24"/>
        </w:rPr>
        <w:t xml:space="preserve">presenting protein relationships. For function annotations in </w:t>
      </w:r>
      <w:proofErr w:type="spellStart"/>
      <w:r w:rsidR="00CC4007" w:rsidRPr="00CC4007">
        <w:rPr>
          <w:sz w:val="24"/>
          <w:szCs w:val="24"/>
        </w:rPr>
        <w:t>PvaxDB</w:t>
      </w:r>
      <w:proofErr w:type="spellEnd"/>
      <w:r w:rsidR="00CC4007" w:rsidRPr="00CC4007">
        <w:rPr>
          <w:sz w:val="24"/>
          <w:szCs w:val="24"/>
        </w:rPr>
        <w:t xml:space="preserve">, protein sequences are used for performing SIFTER based function prediction. For an input protein sequence, SIFTER provides gene ontology terms and corresponding confidence scores. </w:t>
      </w:r>
    </w:p>
    <w:p w:rsidR="00780B71" w:rsidRDefault="005B0A49" w:rsidP="005B0A49">
      <w:pPr>
        <w:pStyle w:val="ListParagraph"/>
        <w:numPr>
          <w:ilvl w:val="0"/>
          <w:numId w:val="14"/>
        </w:numPr>
        <w:autoSpaceDE w:val="0"/>
        <w:spacing w:line="480" w:lineRule="auto"/>
        <w:ind w:left="284" w:hanging="284"/>
        <w:jc w:val="both"/>
        <w:rPr>
          <w:sz w:val="24"/>
          <w:szCs w:val="24"/>
        </w:rPr>
      </w:pPr>
      <w:r>
        <w:rPr>
          <w:noProof/>
          <w:sz w:val="24"/>
          <w:szCs w:val="24"/>
          <w:lang w:val="en-IN" w:eastAsia="en-IN"/>
        </w:rPr>
        <w:drawing>
          <wp:anchor distT="0" distB="0" distL="114300" distR="114300" simplePos="0" relativeHeight="251670528" behindDoc="0" locked="0" layoutInCell="1" allowOverlap="1" wp14:anchorId="7DE69BE2" wp14:editId="12F71D46">
            <wp:simplePos x="0" y="0"/>
            <wp:positionH relativeFrom="margin">
              <wp:align>right</wp:align>
            </wp:positionH>
            <wp:positionV relativeFrom="paragraph">
              <wp:posOffset>1750695</wp:posOffset>
            </wp:positionV>
            <wp:extent cx="5753100" cy="291465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291465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E02103" w:rsidRPr="00CC4007">
        <w:rPr>
          <w:b/>
          <w:color w:val="000000"/>
          <w:sz w:val="24"/>
          <w:szCs w:val="24"/>
        </w:rPr>
        <w:t>ProBiS</w:t>
      </w:r>
      <w:proofErr w:type="spellEnd"/>
      <w:r w:rsidR="00CC4007">
        <w:rPr>
          <w:b/>
          <w:color w:val="000000"/>
          <w:sz w:val="24"/>
          <w:szCs w:val="24"/>
        </w:rPr>
        <w:t xml:space="preserve">: </w:t>
      </w:r>
      <w:proofErr w:type="spellStart"/>
      <w:r w:rsidR="00CC4007" w:rsidRPr="00CC4007">
        <w:rPr>
          <w:color w:val="000000"/>
          <w:sz w:val="24"/>
          <w:szCs w:val="24"/>
        </w:rPr>
        <w:t>ProBiS</w:t>
      </w:r>
      <w:proofErr w:type="spellEnd"/>
      <w:r w:rsidR="00CC4007" w:rsidRPr="00CC4007">
        <w:rPr>
          <w:color w:val="000000"/>
          <w:sz w:val="24"/>
          <w:szCs w:val="24"/>
        </w:rPr>
        <w:t xml:space="preserve"> is a</w:t>
      </w:r>
      <w:r w:rsidR="00E02103" w:rsidRPr="00CC4007">
        <w:rPr>
          <w:color w:val="000000"/>
          <w:sz w:val="24"/>
          <w:szCs w:val="24"/>
        </w:rPr>
        <w:t xml:space="preserve"> </w:t>
      </w:r>
      <w:r w:rsidR="00E02103" w:rsidRPr="00CC4007">
        <w:rPr>
          <w:sz w:val="24"/>
          <w:szCs w:val="24"/>
        </w:rPr>
        <w:t>protein structure surface conservation based similar protein binding sites detection tool.</w:t>
      </w:r>
      <w:r w:rsidR="00DA4555">
        <w:rPr>
          <w:sz w:val="24"/>
          <w:szCs w:val="24"/>
        </w:rPr>
        <w:t xml:space="preserve"> For an input protein structure or binding site, the method scans for similar binding site and provides </w:t>
      </w:r>
      <w:proofErr w:type="spellStart"/>
      <w:r w:rsidR="00DA4555">
        <w:rPr>
          <w:sz w:val="24"/>
          <w:szCs w:val="24"/>
        </w:rPr>
        <w:t>pdb</w:t>
      </w:r>
      <w:proofErr w:type="spellEnd"/>
      <w:r w:rsidR="00DA4555">
        <w:rPr>
          <w:sz w:val="24"/>
          <w:szCs w:val="24"/>
        </w:rPr>
        <w:t xml:space="preserve"> identifiers of matching binding sites. In </w:t>
      </w:r>
      <w:proofErr w:type="spellStart"/>
      <w:r w:rsidR="00DA4555">
        <w:rPr>
          <w:sz w:val="24"/>
          <w:szCs w:val="24"/>
        </w:rPr>
        <w:t>PvaxDB</w:t>
      </w:r>
      <w:proofErr w:type="spellEnd"/>
      <w:r w:rsidR="00DA4555">
        <w:rPr>
          <w:sz w:val="24"/>
          <w:szCs w:val="24"/>
        </w:rPr>
        <w:t xml:space="preserve">, the gene ontology terms corresponding to these </w:t>
      </w:r>
      <w:proofErr w:type="spellStart"/>
      <w:r w:rsidR="00DA4555">
        <w:rPr>
          <w:sz w:val="24"/>
          <w:szCs w:val="24"/>
        </w:rPr>
        <w:t>pdb</w:t>
      </w:r>
      <w:proofErr w:type="spellEnd"/>
      <w:r w:rsidR="00DA4555">
        <w:rPr>
          <w:sz w:val="24"/>
          <w:szCs w:val="24"/>
        </w:rPr>
        <w:t xml:space="preserve"> file are used in assigning functions. A flowchart of ligand binding site based function assignment in</w:t>
      </w:r>
      <w:r w:rsidR="006B1055">
        <w:rPr>
          <w:sz w:val="24"/>
          <w:szCs w:val="24"/>
        </w:rPr>
        <w:t xml:space="preserve"> </w:t>
      </w:r>
      <w:proofErr w:type="spellStart"/>
      <w:r w:rsidR="006B1055">
        <w:rPr>
          <w:sz w:val="24"/>
          <w:szCs w:val="24"/>
        </w:rPr>
        <w:t>PvaxDB</w:t>
      </w:r>
      <w:proofErr w:type="spellEnd"/>
      <w:r w:rsidR="006B1055">
        <w:rPr>
          <w:sz w:val="24"/>
          <w:szCs w:val="24"/>
        </w:rPr>
        <w:t xml:space="preserve"> is depicted in Figure S8</w:t>
      </w:r>
      <w:r w:rsidR="00DA4555">
        <w:rPr>
          <w:sz w:val="24"/>
          <w:szCs w:val="24"/>
        </w:rPr>
        <w:t>.</w:t>
      </w:r>
    </w:p>
    <w:p w:rsidR="005B0A49" w:rsidRPr="005B0A49" w:rsidRDefault="006B1055" w:rsidP="005B0A49">
      <w:pPr>
        <w:pStyle w:val="ListParagraph"/>
        <w:autoSpaceDE w:val="0"/>
        <w:spacing w:line="480" w:lineRule="auto"/>
        <w:ind w:left="284"/>
        <w:jc w:val="both"/>
        <w:rPr>
          <w:sz w:val="24"/>
          <w:szCs w:val="24"/>
        </w:rPr>
      </w:pPr>
      <w:r>
        <w:rPr>
          <w:b/>
          <w:sz w:val="24"/>
          <w:szCs w:val="24"/>
        </w:rPr>
        <w:t>Figure S8</w:t>
      </w:r>
      <w:r w:rsidR="005B0A49" w:rsidRPr="005B0A49">
        <w:rPr>
          <w:b/>
          <w:sz w:val="24"/>
          <w:szCs w:val="24"/>
        </w:rPr>
        <w:t>.</w:t>
      </w:r>
      <w:r w:rsidR="005B0A49">
        <w:rPr>
          <w:sz w:val="24"/>
          <w:szCs w:val="24"/>
        </w:rPr>
        <w:t xml:space="preserve"> A flowchart of structure based function assignment using </w:t>
      </w:r>
      <w:proofErr w:type="spellStart"/>
      <w:r w:rsidR="005B0A49">
        <w:rPr>
          <w:sz w:val="24"/>
          <w:szCs w:val="24"/>
        </w:rPr>
        <w:t>ProBiS</w:t>
      </w:r>
      <w:proofErr w:type="spellEnd"/>
      <w:r w:rsidR="005B0A49">
        <w:rPr>
          <w:sz w:val="24"/>
          <w:szCs w:val="24"/>
        </w:rPr>
        <w:t>.</w:t>
      </w:r>
    </w:p>
    <w:p w:rsidR="005B0A49" w:rsidRDefault="005B0A49" w:rsidP="00F16D12">
      <w:pPr>
        <w:rPr>
          <w:sz w:val="24"/>
          <w:szCs w:val="24"/>
        </w:rPr>
      </w:pPr>
    </w:p>
    <w:p w:rsidR="005B0A49" w:rsidRDefault="005B0A49" w:rsidP="00F16D12">
      <w:pPr>
        <w:rPr>
          <w:sz w:val="24"/>
          <w:szCs w:val="24"/>
        </w:rPr>
      </w:pPr>
      <w:r w:rsidRPr="00B0297D">
        <w:rPr>
          <w:b/>
          <w:noProof/>
          <w:sz w:val="24"/>
          <w:szCs w:val="24"/>
          <w:u w:val="single"/>
          <w:lang w:val="en-IN" w:eastAsia="en-IN"/>
        </w:rPr>
        <w:lastRenderedPageBreak/>
        <w:drawing>
          <wp:anchor distT="0" distB="0" distL="114300" distR="114300" simplePos="0" relativeHeight="251669504" behindDoc="0" locked="0" layoutInCell="1" allowOverlap="1" wp14:anchorId="7A2A64AB" wp14:editId="4764EE7B">
            <wp:simplePos x="0" y="0"/>
            <wp:positionH relativeFrom="margin">
              <wp:align>right</wp:align>
            </wp:positionH>
            <wp:positionV relativeFrom="paragraph">
              <wp:posOffset>293370</wp:posOffset>
            </wp:positionV>
            <wp:extent cx="5905500" cy="2133600"/>
            <wp:effectExtent l="19050" t="19050" r="19050" b="19050"/>
            <wp:wrapTopAndBottom/>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b="6342"/>
                    <a:stretch>
                      <a:fillRect/>
                    </a:stretch>
                  </pic:blipFill>
                  <pic:spPr bwMode="auto">
                    <a:xfrm>
                      <a:off x="0" y="0"/>
                      <a:ext cx="5905500" cy="2133600"/>
                    </a:xfrm>
                    <a:prstGeom prst="rect">
                      <a:avLst/>
                    </a:prstGeom>
                    <a:noFill/>
                    <a:ln w="1270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Pr>
          <w:sz w:val="24"/>
          <w:szCs w:val="24"/>
        </w:rPr>
        <w:t xml:space="preserve">A snapshot of </w:t>
      </w:r>
      <w:proofErr w:type="spellStart"/>
      <w:r>
        <w:rPr>
          <w:sz w:val="24"/>
          <w:szCs w:val="24"/>
        </w:rPr>
        <w:t>PvaxDB</w:t>
      </w:r>
      <w:proofErr w:type="spellEnd"/>
      <w:r>
        <w:rPr>
          <w:sz w:val="24"/>
          <w:szCs w:val="24"/>
        </w:rPr>
        <w:t xml:space="preserve"> for function a</w:t>
      </w:r>
      <w:r w:rsidR="006B1055">
        <w:rPr>
          <w:sz w:val="24"/>
          <w:szCs w:val="24"/>
        </w:rPr>
        <w:t>nnotations is shown in Figure S9</w:t>
      </w:r>
      <w:r>
        <w:rPr>
          <w:sz w:val="24"/>
          <w:szCs w:val="24"/>
        </w:rPr>
        <w:t>.</w:t>
      </w:r>
    </w:p>
    <w:p w:rsidR="00026E7A" w:rsidRPr="00FD494A" w:rsidRDefault="006B1055" w:rsidP="00F16D12">
      <w:pPr>
        <w:rPr>
          <w:sz w:val="24"/>
          <w:szCs w:val="24"/>
        </w:rPr>
      </w:pPr>
      <w:r>
        <w:rPr>
          <w:b/>
          <w:sz w:val="24"/>
          <w:szCs w:val="24"/>
        </w:rPr>
        <w:t>Figure S9</w:t>
      </w:r>
      <w:r w:rsidR="005B0A49" w:rsidRPr="005B0A49">
        <w:rPr>
          <w:b/>
          <w:sz w:val="24"/>
          <w:szCs w:val="24"/>
        </w:rPr>
        <w:t>.</w:t>
      </w:r>
      <w:r w:rsidR="005B0A49">
        <w:rPr>
          <w:sz w:val="24"/>
          <w:szCs w:val="24"/>
        </w:rPr>
        <w:t xml:space="preserve"> A snapshot of function annotations performed in </w:t>
      </w:r>
      <w:proofErr w:type="spellStart"/>
      <w:r w:rsidR="005B0A49">
        <w:rPr>
          <w:sz w:val="24"/>
          <w:szCs w:val="24"/>
        </w:rPr>
        <w:t>PvaxDB</w:t>
      </w:r>
      <w:proofErr w:type="spellEnd"/>
      <w:r w:rsidR="005B0A49">
        <w:rPr>
          <w:sz w:val="24"/>
          <w:szCs w:val="24"/>
        </w:rPr>
        <w:t xml:space="preserve"> by different methods.</w:t>
      </w:r>
    </w:p>
    <w:sectPr w:rsidR="00026E7A" w:rsidRPr="00FD494A">
      <w:pgSz w:w="12240" w:h="15840"/>
      <w:pgMar w:top="1440" w:right="1440" w:bottom="1440" w:left="1440" w:header="0" w:footer="0"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A14C2"/>
    <w:multiLevelType w:val="hybridMultilevel"/>
    <w:tmpl w:val="2DC081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B1813BB"/>
    <w:multiLevelType w:val="hybridMultilevel"/>
    <w:tmpl w:val="A99EBF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1FD1981"/>
    <w:multiLevelType w:val="hybridMultilevel"/>
    <w:tmpl w:val="310270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E03710C"/>
    <w:multiLevelType w:val="hybridMultilevel"/>
    <w:tmpl w:val="D50CB52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E3B5AEC"/>
    <w:multiLevelType w:val="hybridMultilevel"/>
    <w:tmpl w:val="F7F2AE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AB76C4"/>
    <w:multiLevelType w:val="hybridMultilevel"/>
    <w:tmpl w:val="2D9AE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132A2D"/>
    <w:multiLevelType w:val="hybridMultilevel"/>
    <w:tmpl w:val="1A0C9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1D6172"/>
    <w:multiLevelType w:val="hybridMultilevel"/>
    <w:tmpl w:val="192888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E25464"/>
    <w:multiLevelType w:val="hybridMultilevel"/>
    <w:tmpl w:val="AA949A0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5879603D"/>
    <w:multiLevelType w:val="hybridMultilevel"/>
    <w:tmpl w:val="7BF60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74781A"/>
    <w:multiLevelType w:val="hybridMultilevel"/>
    <w:tmpl w:val="B4268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3332C6"/>
    <w:multiLevelType w:val="hybridMultilevel"/>
    <w:tmpl w:val="26D4E5E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759B0B28"/>
    <w:multiLevelType w:val="hybridMultilevel"/>
    <w:tmpl w:val="6C5C99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7F2330BB"/>
    <w:multiLevelType w:val="hybridMultilevel"/>
    <w:tmpl w:val="3668A612"/>
    <w:lvl w:ilvl="0" w:tplc="81A66524">
      <w:start w:val="1"/>
      <w:numFmt w:val="lowerLetter"/>
      <w:lvlText w:val="%1)"/>
      <w:lvlJc w:val="left"/>
      <w:pPr>
        <w:ind w:left="960" w:hanging="360"/>
      </w:pPr>
      <w:rPr>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13"/>
  </w:num>
  <w:num w:numId="2">
    <w:abstractNumId w:val="4"/>
  </w:num>
  <w:num w:numId="3">
    <w:abstractNumId w:val="5"/>
  </w:num>
  <w:num w:numId="4">
    <w:abstractNumId w:val="9"/>
  </w:num>
  <w:num w:numId="5">
    <w:abstractNumId w:val="10"/>
  </w:num>
  <w:num w:numId="6">
    <w:abstractNumId w:val="6"/>
  </w:num>
  <w:num w:numId="7">
    <w:abstractNumId w:val="7"/>
  </w:num>
  <w:num w:numId="8">
    <w:abstractNumId w:val="2"/>
  </w:num>
  <w:num w:numId="9">
    <w:abstractNumId w:val="12"/>
  </w:num>
  <w:num w:numId="10">
    <w:abstractNumId w:val="1"/>
  </w:num>
  <w:num w:numId="11">
    <w:abstractNumId w:val="0"/>
  </w:num>
  <w:num w:numId="12">
    <w:abstractNumId w:val="8"/>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550"/>
    <w:rsid w:val="000002A1"/>
    <w:rsid w:val="000125C1"/>
    <w:rsid w:val="00026E7A"/>
    <w:rsid w:val="00066424"/>
    <w:rsid w:val="000B2B91"/>
    <w:rsid w:val="001022CC"/>
    <w:rsid w:val="00142754"/>
    <w:rsid w:val="00161CFA"/>
    <w:rsid w:val="001B5BF4"/>
    <w:rsid w:val="0022615A"/>
    <w:rsid w:val="0024756E"/>
    <w:rsid w:val="002C380E"/>
    <w:rsid w:val="003167E3"/>
    <w:rsid w:val="00336D36"/>
    <w:rsid w:val="00350ABE"/>
    <w:rsid w:val="0038200B"/>
    <w:rsid w:val="003B173A"/>
    <w:rsid w:val="003B761F"/>
    <w:rsid w:val="003E57B2"/>
    <w:rsid w:val="00416955"/>
    <w:rsid w:val="0046083C"/>
    <w:rsid w:val="0047698E"/>
    <w:rsid w:val="00541D4D"/>
    <w:rsid w:val="005618F6"/>
    <w:rsid w:val="00577C29"/>
    <w:rsid w:val="0058680C"/>
    <w:rsid w:val="00590C8A"/>
    <w:rsid w:val="005B0A49"/>
    <w:rsid w:val="005C1E0A"/>
    <w:rsid w:val="005D2C09"/>
    <w:rsid w:val="005D2C48"/>
    <w:rsid w:val="00607814"/>
    <w:rsid w:val="00666FA3"/>
    <w:rsid w:val="00692B0D"/>
    <w:rsid w:val="006B1055"/>
    <w:rsid w:val="00711EB5"/>
    <w:rsid w:val="00747A1E"/>
    <w:rsid w:val="00771FF6"/>
    <w:rsid w:val="00780B71"/>
    <w:rsid w:val="007A277C"/>
    <w:rsid w:val="00812DAF"/>
    <w:rsid w:val="0084067B"/>
    <w:rsid w:val="00861652"/>
    <w:rsid w:val="008723D8"/>
    <w:rsid w:val="00887BF0"/>
    <w:rsid w:val="00893EB0"/>
    <w:rsid w:val="008C371C"/>
    <w:rsid w:val="008C7121"/>
    <w:rsid w:val="008E174C"/>
    <w:rsid w:val="008F4069"/>
    <w:rsid w:val="00914D0F"/>
    <w:rsid w:val="009168CC"/>
    <w:rsid w:val="0096545C"/>
    <w:rsid w:val="0096639A"/>
    <w:rsid w:val="00987075"/>
    <w:rsid w:val="009A5631"/>
    <w:rsid w:val="009B705E"/>
    <w:rsid w:val="00A570C5"/>
    <w:rsid w:val="00A63D0F"/>
    <w:rsid w:val="00A6484A"/>
    <w:rsid w:val="00A72346"/>
    <w:rsid w:val="00A84EBE"/>
    <w:rsid w:val="00A97283"/>
    <w:rsid w:val="00AE017B"/>
    <w:rsid w:val="00AF0C24"/>
    <w:rsid w:val="00B0297D"/>
    <w:rsid w:val="00B20F27"/>
    <w:rsid w:val="00B64E27"/>
    <w:rsid w:val="00B87BF8"/>
    <w:rsid w:val="00B97D2B"/>
    <w:rsid w:val="00C419DE"/>
    <w:rsid w:val="00C4491E"/>
    <w:rsid w:val="00C45C3B"/>
    <w:rsid w:val="00C95257"/>
    <w:rsid w:val="00CB2191"/>
    <w:rsid w:val="00CC4007"/>
    <w:rsid w:val="00CD3FB5"/>
    <w:rsid w:val="00D176BD"/>
    <w:rsid w:val="00D33084"/>
    <w:rsid w:val="00DA4555"/>
    <w:rsid w:val="00DB23BD"/>
    <w:rsid w:val="00DC5627"/>
    <w:rsid w:val="00DC7380"/>
    <w:rsid w:val="00DD2A25"/>
    <w:rsid w:val="00DE1D6B"/>
    <w:rsid w:val="00DE505D"/>
    <w:rsid w:val="00DE5F64"/>
    <w:rsid w:val="00E02103"/>
    <w:rsid w:val="00E82E64"/>
    <w:rsid w:val="00E94C68"/>
    <w:rsid w:val="00E9679A"/>
    <w:rsid w:val="00EA5D07"/>
    <w:rsid w:val="00EA73B7"/>
    <w:rsid w:val="00EB7A34"/>
    <w:rsid w:val="00F16D12"/>
    <w:rsid w:val="00F25C14"/>
    <w:rsid w:val="00F60521"/>
    <w:rsid w:val="00FC2550"/>
    <w:rsid w:val="00FD1DAB"/>
    <w:rsid w:val="00FD494A"/>
    <w:rsid w:val="00FE72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7B4C4B-1976-4047-9799-B9B11ED14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18F6"/>
    <w:pPr>
      <w:ind w:left="720"/>
    </w:pPr>
  </w:style>
  <w:style w:type="paragraph" w:styleId="NormalWeb">
    <w:name w:val="Normal (Web)"/>
    <w:basedOn w:val="Normal"/>
    <w:uiPriority w:val="99"/>
    <w:semiHidden/>
    <w:unhideWhenUsed/>
    <w:rsid w:val="00887BF0"/>
    <w:pPr>
      <w:spacing w:before="100" w:beforeAutospacing="1" w:after="100" w:afterAutospacing="1"/>
    </w:pPr>
    <w:rPr>
      <w:sz w:val="24"/>
      <w:szCs w:val="24"/>
    </w:rPr>
  </w:style>
  <w:style w:type="character" w:styleId="Hyperlink">
    <w:name w:val="Hyperlink"/>
    <w:uiPriority w:val="99"/>
    <w:unhideWhenUsed/>
    <w:rsid w:val="00C4491E"/>
    <w:rPr>
      <w:color w:val="0000FF"/>
      <w:u w:val="single"/>
    </w:rPr>
  </w:style>
  <w:style w:type="character" w:styleId="CommentReference">
    <w:name w:val="annotation reference"/>
    <w:uiPriority w:val="99"/>
    <w:semiHidden/>
    <w:unhideWhenUsed/>
    <w:rsid w:val="00E9679A"/>
    <w:rPr>
      <w:sz w:val="16"/>
      <w:szCs w:val="16"/>
    </w:rPr>
  </w:style>
  <w:style w:type="paragraph" w:styleId="CommentText">
    <w:name w:val="annotation text"/>
    <w:basedOn w:val="Normal"/>
    <w:link w:val="CommentTextChar"/>
    <w:uiPriority w:val="99"/>
    <w:semiHidden/>
    <w:unhideWhenUsed/>
    <w:rsid w:val="00E9679A"/>
    <w:rPr>
      <w:sz w:val="20"/>
      <w:szCs w:val="20"/>
    </w:rPr>
  </w:style>
  <w:style w:type="character" w:customStyle="1" w:styleId="CommentTextChar">
    <w:name w:val="Comment Text Char"/>
    <w:basedOn w:val="DefaultParagraphFont"/>
    <w:link w:val="CommentText"/>
    <w:uiPriority w:val="99"/>
    <w:semiHidden/>
    <w:rsid w:val="00E9679A"/>
  </w:style>
  <w:style w:type="paragraph" w:styleId="CommentSubject">
    <w:name w:val="annotation subject"/>
    <w:basedOn w:val="CommentText"/>
    <w:next w:val="CommentText"/>
    <w:link w:val="CommentSubjectChar"/>
    <w:uiPriority w:val="99"/>
    <w:semiHidden/>
    <w:unhideWhenUsed/>
    <w:rsid w:val="00E9679A"/>
    <w:rPr>
      <w:b/>
      <w:bCs/>
    </w:rPr>
  </w:style>
  <w:style w:type="character" w:customStyle="1" w:styleId="CommentSubjectChar">
    <w:name w:val="Comment Subject Char"/>
    <w:link w:val="CommentSubject"/>
    <w:uiPriority w:val="99"/>
    <w:semiHidden/>
    <w:rsid w:val="00E9679A"/>
    <w:rPr>
      <w:b/>
      <w:bCs/>
    </w:rPr>
  </w:style>
  <w:style w:type="paragraph" w:styleId="BalloonText">
    <w:name w:val="Balloon Text"/>
    <w:basedOn w:val="Normal"/>
    <w:link w:val="BalloonTextChar"/>
    <w:uiPriority w:val="99"/>
    <w:semiHidden/>
    <w:unhideWhenUsed/>
    <w:rsid w:val="00E9679A"/>
    <w:rPr>
      <w:rFonts w:ascii="Segoe UI" w:hAnsi="Segoe UI" w:cs="Segoe UI"/>
      <w:sz w:val="18"/>
      <w:szCs w:val="18"/>
    </w:rPr>
  </w:style>
  <w:style w:type="character" w:customStyle="1" w:styleId="BalloonTextChar">
    <w:name w:val="Balloon Text Char"/>
    <w:link w:val="BalloonText"/>
    <w:uiPriority w:val="99"/>
    <w:semiHidden/>
    <w:rsid w:val="00E9679A"/>
    <w:rPr>
      <w:rFonts w:ascii="Segoe UI" w:hAnsi="Segoe UI" w:cs="Segoe UI"/>
      <w:sz w:val="18"/>
      <w:szCs w:val="18"/>
    </w:rPr>
  </w:style>
  <w:style w:type="table" w:styleId="TableGrid">
    <w:name w:val="Table Grid"/>
    <w:basedOn w:val="TableNormal"/>
    <w:uiPriority w:val="39"/>
    <w:rsid w:val="00812DAF"/>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168CC"/>
    <w:rPr>
      <w:color w:val="808080"/>
    </w:rPr>
  </w:style>
  <w:style w:type="table" w:customStyle="1" w:styleId="PlainTable11">
    <w:name w:val="Plain Table 11"/>
    <w:basedOn w:val="TableNormal"/>
    <w:next w:val="PlainTable1"/>
    <w:uiPriority w:val="41"/>
    <w:rsid w:val="00D33084"/>
    <w:rPr>
      <w:rFonts w:ascii="Calibri" w:eastAsia="Calibri" w:hAnsi="Calibri"/>
      <w:sz w:val="22"/>
      <w:szCs w:val="22"/>
      <w:lang w:val="en-US"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D33084"/>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41684">
      <w:bodyDiv w:val="1"/>
      <w:marLeft w:val="0"/>
      <w:marRight w:val="0"/>
      <w:marTop w:val="0"/>
      <w:marBottom w:val="0"/>
      <w:divBdr>
        <w:top w:val="none" w:sz="0" w:space="0" w:color="auto"/>
        <w:left w:val="none" w:sz="0" w:space="0" w:color="auto"/>
        <w:bottom w:val="none" w:sz="0" w:space="0" w:color="auto"/>
        <w:right w:val="none" w:sz="0" w:space="0" w:color="auto"/>
      </w:divBdr>
    </w:div>
    <w:div w:id="92018358">
      <w:bodyDiv w:val="1"/>
      <w:marLeft w:val="0"/>
      <w:marRight w:val="0"/>
      <w:marTop w:val="0"/>
      <w:marBottom w:val="0"/>
      <w:divBdr>
        <w:top w:val="none" w:sz="0" w:space="0" w:color="auto"/>
        <w:left w:val="none" w:sz="0" w:space="0" w:color="auto"/>
        <w:bottom w:val="none" w:sz="0" w:space="0" w:color="auto"/>
        <w:right w:val="none" w:sz="0" w:space="0" w:color="auto"/>
      </w:divBdr>
    </w:div>
    <w:div w:id="211235012">
      <w:bodyDiv w:val="1"/>
      <w:marLeft w:val="0"/>
      <w:marRight w:val="0"/>
      <w:marTop w:val="0"/>
      <w:marBottom w:val="0"/>
      <w:divBdr>
        <w:top w:val="none" w:sz="0" w:space="0" w:color="auto"/>
        <w:left w:val="none" w:sz="0" w:space="0" w:color="auto"/>
        <w:bottom w:val="none" w:sz="0" w:space="0" w:color="auto"/>
        <w:right w:val="none" w:sz="0" w:space="0" w:color="auto"/>
      </w:divBdr>
    </w:div>
    <w:div w:id="341277525">
      <w:bodyDiv w:val="1"/>
      <w:marLeft w:val="0"/>
      <w:marRight w:val="0"/>
      <w:marTop w:val="0"/>
      <w:marBottom w:val="0"/>
      <w:divBdr>
        <w:top w:val="none" w:sz="0" w:space="0" w:color="auto"/>
        <w:left w:val="none" w:sz="0" w:space="0" w:color="auto"/>
        <w:bottom w:val="none" w:sz="0" w:space="0" w:color="auto"/>
        <w:right w:val="none" w:sz="0" w:space="0" w:color="auto"/>
      </w:divBdr>
    </w:div>
    <w:div w:id="1020548350">
      <w:bodyDiv w:val="1"/>
      <w:marLeft w:val="0"/>
      <w:marRight w:val="0"/>
      <w:marTop w:val="0"/>
      <w:marBottom w:val="0"/>
      <w:divBdr>
        <w:top w:val="none" w:sz="0" w:space="0" w:color="auto"/>
        <w:left w:val="none" w:sz="0" w:space="0" w:color="auto"/>
        <w:bottom w:val="none" w:sz="0" w:space="0" w:color="auto"/>
        <w:right w:val="none" w:sz="0" w:space="0" w:color="auto"/>
      </w:divBdr>
    </w:div>
    <w:div w:id="1110977947">
      <w:bodyDiv w:val="1"/>
      <w:marLeft w:val="0"/>
      <w:marRight w:val="0"/>
      <w:marTop w:val="0"/>
      <w:marBottom w:val="0"/>
      <w:divBdr>
        <w:top w:val="none" w:sz="0" w:space="0" w:color="auto"/>
        <w:left w:val="none" w:sz="0" w:space="0" w:color="auto"/>
        <w:bottom w:val="none" w:sz="0" w:space="0" w:color="auto"/>
        <w:right w:val="none" w:sz="0" w:space="0" w:color="auto"/>
      </w:divBdr>
    </w:div>
    <w:div w:id="1153253029">
      <w:bodyDiv w:val="1"/>
      <w:marLeft w:val="0"/>
      <w:marRight w:val="0"/>
      <w:marTop w:val="0"/>
      <w:marBottom w:val="0"/>
      <w:divBdr>
        <w:top w:val="none" w:sz="0" w:space="0" w:color="auto"/>
        <w:left w:val="none" w:sz="0" w:space="0" w:color="auto"/>
        <w:bottom w:val="none" w:sz="0" w:space="0" w:color="auto"/>
        <w:right w:val="none" w:sz="0" w:space="0" w:color="auto"/>
      </w:divBdr>
    </w:div>
    <w:div w:id="1525049124">
      <w:bodyDiv w:val="1"/>
      <w:marLeft w:val="0"/>
      <w:marRight w:val="0"/>
      <w:marTop w:val="0"/>
      <w:marBottom w:val="0"/>
      <w:divBdr>
        <w:top w:val="none" w:sz="0" w:space="0" w:color="auto"/>
        <w:left w:val="none" w:sz="0" w:space="0" w:color="auto"/>
        <w:bottom w:val="none" w:sz="0" w:space="0" w:color="auto"/>
        <w:right w:val="none" w:sz="0" w:space="0" w:color="auto"/>
      </w:divBdr>
    </w:div>
    <w:div w:id="1699815313">
      <w:bodyDiv w:val="1"/>
      <w:marLeft w:val="0"/>
      <w:marRight w:val="0"/>
      <w:marTop w:val="0"/>
      <w:marBottom w:val="0"/>
      <w:divBdr>
        <w:top w:val="none" w:sz="0" w:space="0" w:color="auto"/>
        <w:left w:val="none" w:sz="0" w:space="0" w:color="auto"/>
        <w:bottom w:val="none" w:sz="0" w:space="0" w:color="auto"/>
        <w:right w:val="none" w:sz="0" w:space="0" w:color="auto"/>
      </w:divBdr>
    </w:div>
    <w:div w:id="207573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ringer.com/life+sciences/biochemistry+%26+biophysics/book/978-1-58829-343-5"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sciencedirect.com/topics/biochemistry-genetics-and-molecular-biology/ramachandran-plot"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sciencedirect.com/topics/biochemistry-genetics-and-molecular-biology/dihedral-angle" TargetMode="External"/><Relationship Id="rId5" Type="http://schemas.openxmlformats.org/officeDocument/2006/relationships/image" Target="media/image1.tiff"/><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eb.expasy.org/compute_pi"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TotalTime>
  <Pages>16</Pages>
  <Words>2406</Words>
  <Characters>13719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16093</CharactersWithSpaces>
  <SharedDoc>false</SharedDoc>
  <HLinks>
    <vt:vector size="12" baseType="variant">
      <vt:variant>
        <vt:i4>262238</vt:i4>
      </vt:variant>
      <vt:variant>
        <vt:i4>3</vt:i4>
      </vt:variant>
      <vt:variant>
        <vt:i4>0</vt:i4>
      </vt:variant>
      <vt:variant>
        <vt:i4>5</vt:i4>
      </vt:variant>
      <vt:variant>
        <vt:lpwstr>http://www.sciencedirect.com/topics/biochemistry-genetics-and-molecular-biology/ramachandran-plot</vt:lpwstr>
      </vt:variant>
      <vt:variant>
        <vt:lpwstr/>
      </vt:variant>
      <vt:variant>
        <vt:i4>7340065</vt:i4>
      </vt:variant>
      <vt:variant>
        <vt:i4>0</vt:i4>
      </vt:variant>
      <vt:variant>
        <vt:i4>0</vt:i4>
      </vt:variant>
      <vt:variant>
        <vt:i4>5</vt:i4>
      </vt:variant>
      <vt:variant>
        <vt:lpwstr>http://www.sciencedirect.com/topics/biochemistry-genetics-and-molecular-biology/dihedral-angle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Rahul Kaushik</cp:lastModifiedBy>
  <cp:revision>14</cp:revision>
  <dcterms:created xsi:type="dcterms:W3CDTF">2018-01-09T21:15:00Z</dcterms:created>
  <dcterms:modified xsi:type="dcterms:W3CDTF">2018-01-11T10:08:00Z</dcterms:modified>
</cp:coreProperties>
</file>