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33BD0" w14:textId="144C0875" w:rsidR="00FA580E" w:rsidRPr="00FA580E" w:rsidRDefault="004F0053" w:rsidP="00CE32F9">
      <w:pPr>
        <w:jc w:val="left"/>
        <w:rPr>
          <w:b/>
        </w:rPr>
      </w:pPr>
      <w:r w:rsidRPr="00687316">
        <w:rPr>
          <w:b/>
        </w:rPr>
        <w:t>S</w:t>
      </w:r>
      <w:r>
        <w:rPr>
          <w:b/>
        </w:rPr>
        <w:t>1</w:t>
      </w:r>
      <w:r w:rsidRPr="00687316">
        <w:rPr>
          <w:b/>
        </w:rPr>
        <w:t xml:space="preserve">: Examples for fits rated by annotators as “Bad” (A), “Reasonable” (B) and “Good” (C). </w:t>
      </w:r>
    </w:p>
    <w:p w14:paraId="2B4E4061" w14:textId="29883CB5" w:rsidR="00FA580E" w:rsidRDefault="00FA580E" w:rsidP="00CE32F9">
      <w:pPr>
        <w:jc w:val="left"/>
      </w:pPr>
      <w:r>
        <w:t xml:space="preserve">The neighboring categories clearly show an overlap (e.g. supplement S1 Ai with </w:t>
      </w:r>
      <w:proofErr w:type="spellStart"/>
      <w:r>
        <w:t>Biii</w:t>
      </w:r>
      <w:proofErr w:type="spellEnd"/>
      <w:r>
        <w:t xml:space="preserve"> or </w:t>
      </w:r>
      <w:proofErr w:type="spellStart"/>
      <w:r>
        <w:t>Bii</w:t>
      </w:r>
      <w:proofErr w:type="spellEnd"/>
      <w:r>
        <w:t xml:space="preserve"> with Ci) while the categories “bad” and “good” are clearly distinct from each other. Individually, while some curves rating may fit into a neighboring category, overall the ratings appear to reflect the actual quality of the data. Thus, the rating provides an indication of the data’s quality. Overall the majority of publications do not directly include raw data or fits to their data, and when they do, their quality is more often bad rather than good. Similar conclusions have been made by Rich &amp; </w:t>
      </w:r>
      <w:proofErr w:type="spellStart"/>
      <w:r>
        <w:t>Myszka</w:t>
      </w:r>
      <w:proofErr w:type="spellEnd"/>
      <w:r>
        <w:t xml:space="preserve"> in their yearly surveys of biosensor literature</w:t>
      </w:r>
      <w:r>
        <w:fldChar w:fldCharType="begin" w:fldLock="1"/>
      </w:r>
      <w:r w:rsidR="00E34D43">
        <w:instrText>ADDIN CSL_CITATION {"citationItems":[{"id":"ITEM-1","itemData":{"DOI":"10.1002/jmr.928","ISSN":"09523499","author":[{"dropping-particle":"","family":"Rich","given":"Rebecca L.","non-dropping-particle":"","parse-names":false,"suffix":""},{"dropping-particle":"","family":"Myszka","given":"David G.","non-dropping-particle":"","parse-names":false,"suffix":""}],"container-title":"Journal of Molecular Recognition","id":"ITEM-1","issue":"6","issued":{"date-parts":[["2008","11"]]},"page":"355-400","publisher":"Wiley-Blackwell","title":"Survey of the year 2007 commercial optical biosensor literature","type":"article-journal","volume":"21"},"uris":["http://www.mendeley.com/documents/?uuid=1a731458-1cf8-3bd9-beff-4c5de7c84104","http://www.mendeley.com/documents/?uuid=1b2c015e-c9f1-4c26-be3e-b8a3b4fda1fb"]},{"id":"ITEM-2","itemData":{"DOI":"10.1002/jmr.862","ISSN":"09523499","author":[{"dropping-particle":"","family":"Rich","given":"Rebecca L.","non-dropping-particle":"","parse-names":false,"suffix":""},{"dropping-particle":"","family":"Myszka","given":"David G.","non-dropping-particle":"","parse-names":false,"suffix":""}],"container-title":"Journal of Molecular Recognition","id":"ITEM-2","issue":"5","issued":{"date-parts":[["2007","9"]]},"page":"300-366","publisher":"Wiley-Blackwell","title":"Survey of the year 2006 commercial optical biosensor literature","type":"article-journal","volume":"20"},"uris":["http://www.mendeley.com/documents/?uuid=56c40def-ac17-38dd-bea4-24f8f1873337","http://www.mendeley.com/documents/?uuid=4fe43097-f4e4-4e55-bc2b-6a46dab44fbf"]},{"id":"ITEM-3","itemData":{"DOI":"10.1002/jmr.808","ISSN":"09523499","PMID":"17125150","abstract":"We identified 1113 articles (103 reviews, 1010 primary research articles) published in 2005 that describe experiments performed using commercially available optical biosensors. While this number of publications is impressive, we find that the quality of the biosensor work in these articles is often pretty poor. It is a little disappointing that there appears to be only a small set of researchers who know how to properly perform, analyze, and present biosensor data. To help focus the field, we spotlight work published by 10 research groups that exemplify the quality of data one should expect to see from a biosensor experiment. Also, in an effort to raise awareness of the common problems in the biosensor field, we provide side-by-side examples of good and bad data sets from the 2005 literature.","author":[{"dropping-particle":"","family":"Rich","given":"Rebecca L.","non-dropping-particle":"","parse-names":false,"suffix":""},{"dropping-particle":"","family":"Myszka","given":"David G.","non-dropping-particle":"","parse-names":false,"suffix":""}],"container-title":"Journal of Molecular Recognition","id":"ITEM-3","issue":"6","issued":{"date-parts":[["2006","11"]]},"page":"478-534","title":"Survey of the year 2005 commercial optical biosensor literature","type":"article-journal","volume":"19"},"uris":["http://www.mendeley.com/documents/?uuid=4d0cad0e-a059-34fa-9052-b44cb17c2793","http://www.mendeley.com/documents/?uuid=6ee1c363-836b-4946-b674-64707be090a4"]},{"id":"ITEM-4","itemData":{"DOI":"10.1002/jmr.726","ISSN":"0952-3499","PMID":"15549676","abstract":"In the year 2003 there was a 17% increase in the number of publications citing work performed using optical biosensor technology compared with the previous year. We collated the 962 total papers for 2003, identified the geographical regions where the work was performed, highlighted the instrument types on which it was carried out, and segregated the papers by biological system. In this overview, we spotlight 13 papers that should be on everyone's 'must read' list for 2003 and provide examples of how to identify and interpret high-quality biosensor data. Although we still find that the literature is replete with poorly performed experiments, over-interpreted results and a general lack of understanding of data analysis, we are optimistic that these shortcomings will be addressed as biosensor technology continues to mature.","author":[{"dropping-particle":"","family":"Rich","given":"Rebecca L.","non-dropping-particle":"","parse-names":false,"suffix":""},{"dropping-particle":"","family":"Myszka","given":"David G.","non-dropping-particle":"","parse-names":false,"suffix":""}],"container-title":"Journal of Molecular Recognition","id":"ITEM-4","issue":"1","issued":{"date-parts":[["2005","1"]]},"page":"1-39","title":"Survey of the year 2003 commercial optical biosensor literature","type":"article-journal","volume":"18"},"uris":["http://www.mendeley.com/documents/?uuid=b61123f7-b1d8-3984-bc09-8b310084f402","http://www.mendeley.com/documents/?uuid=65de0160-5573-4fde-af2b-ac84d998ddc3"]},{"id":"ITEM-5","itemData":{"DOI":"10.1002/jmr.649","ISSN":"0952-3499","author":[{"dropping-particle":"","family":"Rich","given":"Rebecca L.","non-dropping-particle":"","parse-names":false,"suffix":""},{"dropping-particle":"","family":"Myszka","given":"David G.","non-dropping-particle":"","parse-names":false,"suffix":""}],"container-title":"Journal of Molecular Recognition","id":"ITEM-5","issue":"6","issued":{"date-parts":[["2003","11"]]},"page":"351-382","publisher":"Wiley-Blackwell","title":"A survey of the year 2002 commercial optical biosensor literature","type":"article-journal","volume":"16"},"uris":["http://www.mendeley.com/documents/?uuid=1c3d2304-0de9-363c-b3d5-49998614c75b","http://www.mendeley.com/documents/?uuid=c3472685-88c2-4006-8073-dea123b8e7d1"]},{"id":"ITEM-6","itemData":{"DOI":"10.1002/jmr.928","ISSN":"09523499","abstract":"In 2007, 1179 papers were published that involved the application of optical biosensors. Reported developments in instrument hardware, assay design, and immobilization chemistry continue to improve the technology's throughput, sensitivity, and utility. Compared to recent years, the widest range of platforms, both traditional format and array-based, were used. However, as in the past, we found a disappointingly low percentage of well-executed experiments and thoughtful data interpretation. We are alarmed by the high frequency of suboptimal data and over-interpreted results in the literature. Fortunately, learning to visually recognize good--and more importantly, bad--data is easy. Using examples from the literature, we outline several features of biosensor responses that indicate experimental artifacts versus actual binding events. Our goal is to have everyone, from benchtop scientists to project managers and manuscript reviewers, become astute judges of biosensor results using nothing more than their eyes.","author":[{"dropping-particle":"","family":"Rich","given":"Rebecca L.","non-dropping-particle":"","parse-names":false,"suffix":""},{"dropping-particle":"","family":"Myszka","given":"David G.","non-dropping-particle":"","parse-names":false,"suffix":""}],"container-title":"Journal of Molecular Recognition","id":"ITEM-6","issue":"6","issued":{"date-parts":[["2008","11"]]},"page":"355-400","publisher":"Wiley-Blackwell","title":"Survey of the year 2007 commercial optical biosensor literature","type":"article","volume":"21"},"uris":["http://www.mendeley.com/documents/?uuid=ceeed2b3-972a-3926-925a-b2a360c13730","http://www.mendeley.com/documents/?uuid=3ea97bbc-5c4e-44f9-8047-e6673af35f05"]},{"id":"ITEM-7","itemData":{"DOI":"10.1016/S0958-1669(99)00054-3","ISSN":"0958-1669","abstract":"The number and diversity of surface plasmon resonance (SPR) biosensor applications continue to increase. Evolutions in instrument and sensor chip technology, experimental methodology, and data analysis are making it possible to examine a wider variety of biomolecular interactions in greater mechanistic detail. SPR biosensors are poised to make a significant impact in basic research and pharmaceutical discovery.","author":[{"dropping-particle":"","family":"Rich","given":"Rebecca L","non-dropping-particle":"","parse-names":false,"suffix":""},{"dropping-particle":"","family":"Myszka","given":"David G","non-dropping-particle":"","parse-names":false,"suffix":""}],"container-title":"Current Opinion in Biotechnology","id":"ITEM-7","issue":"1","issued":{"date-parts":[["2000","2"]]},"page":"54-61","publisher":"Elsevier Current Trends","title":"Advances in surface plasmon resonance biosensor analysis","type":"article-journal","volume":"11"},"uris":["http://www.mendeley.com/documents/?uuid=fe978140-822d-3dcd-b45c-45b193528f6d","http://www.mendeley.com/documents/?uuid=768b5116-754a-44ff-9d06-6f857b5fd563"]},{"id":"ITEM-8","itemData":{"DOI":"10.1002/1099-1352(200011/12)13:6&lt;388::AID-JMR516&gt;3.0.CO;2-#","ISBN":"0952-3499","ISSN":"09523499","PMID":"11114072","abstract":"The application of surface plasmon resonance biosensors in life sciences and pharmaceutical research continues to increase. This review provides a comprehensive list of the commercial 1999 SPR biosensor literature and highlights emerging applications that are of general interest to users of the technology. Given the variability in the quality of published biosensor data, we present some general guidelines to help increase confidence in the results reported from biosensor analyses.","author":[{"dropping-particle":"","family":"Rich","given":"Rebecca L","non-dropping-particle":"","parse-names":false,"suffix":""},{"dropping-particle":"","family":"Myszka","given":"David G","non-dropping-particle":"","parse-names":false,"suffix":""}],"container-title":"Journal of Molecular Recognition","id":"ITEM-8","issue":"6","issued":{"date-parts":[["2000"]]},"page":"388-407","title":"Survey of the 1999 surface plasmon resonance biosensor literature","type":"article-journal","volume":"13"},"uris":["http://www.mendeley.com/documents/?uuid=cd4bd94f-62ac-3974-a9fc-76049f22110f","http://www.mendeley.com/documents/?uuid=bf4f044d-416c-4214-81e7-8dba7aefc66b"]},{"id":"ITEM-9","itemData":{"DOI":"10.1002/jmr.1004","ISBN":"1099-1352 (Electronic)\\r0952-3499 (Linking)","ISSN":"09523499","PMID":"20017116","abstract":"Optical biosensor technology continues to be the method of choice for label-free, real-time interaction analysis. But when it comes to improving the quality of the biosensor literature, education should be fundamental. Of the 1413 articles published in 2008, less than 30% would pass the requirements for high-school chemistry. To teach by example, we spotlight 10 papers that illustrate how to implement the technology properly. Then we grade every paper published in 2008 on a scale from A to F and outline what features make a biosensor article fabulous, middling or abysmal. To help improve the quality of published data, we focus on a few experimental, analysis and presentation mistakes that are alarmingly common. With the literature as a guide, we want to ensure that no user is left behind.","author":[{"dropping-particle":"","family":"Rich","given":"Rebecca L.","non-dropping-particle":"","parse-names":false,"suffix":""},{"dropping-particle":"","family":"Myszka","given":"David G.","non-dropping-particle":"","parse-names":false,"suffix":""}],"container-title":"Journal of Molecular Recognition","id":"ITEM-9","issue":"1","issued":{"date-parts":[["2010"]]},"page":"1-64","title":"Grading the commercial optical biosensor literature - Class of 2008: 'The Mighty Binders'","type":"article-journal","volume":"23"},"uris":["http://www.mendeley.com/documents/?uuid=4f1f0132-4286-479a-aafc-b6a8ed5690ca","http://www.mendeley.com/documents/?uuid=4189f177-c5a0-48b8-8ee8-4e032627001b"]}],"mendeley":{"formattedCitation":"&lt;span style=\"baseline\"&gt;(1–9)&lt;/span&gt;","plainTextFormattedCitation":"(1–9)","previouslyFormattedCitation":"(1–9)"},"properties":{"noteIndex":0},"schema":"https://github.com/citation-style-language/schema/raw/master/csl-citation.json"}</w:instrText>
      </w:r>
      <w:r>
        <w:fldChar w:fldCharType="separate"/>
      </w:r>
      <w:r w:rsidR="00E34D43" w:rsidRPr="00E34D43">
        <w:rPr>
          <w:noProof/>
        </w:rPr>
        <w:t>(1–9)</w:t>
      </w:r>
      <w:r>
        <w:fldChar w:fldCharType="end"/>
      </w:r>
      <w:r>
        <w:t>.</w:t>
      </w:r>
    </w:p>
    <w:p w14:paraId="5ABAC809" w14:textId="77777777" w:rsidR="004F0053" w:rsidRDefault="004F0053" w:rsidP="00CE32F9">
      <w:pPr>
        <w:jc w:val="left"/>
      </w:pPr>
    </w:p>
    <w:p w14:paraId="4A98ECB7" w14:textId="39A1490F" w:rsidR="004F0053" w:rsidRDefault="004F0053" w:rsidP="00CE32F9">
      <w:pPr>
        <w:jc w:val="left"/>
      </w:pPr>
    </w:p>
    <w:p w14:paraId="67BE1473" w14:textId="77777777" w:rsidR="004F0053" w:rsidRDefault="004F0053" w:rsidP="00CE32F9">
      <w:pPr>
        <w:jc w:val="left"/>
      </w:pPr>
    </w:p>
    <w:p w14:paraId="0223762B" w14:textId="77777777" w:rsidR="004F0053" w:rsidRDefault="004F0053" w:rsidP="00CE32F9">
      <w:pPr>
        <w:jc w:val="left"/>
        <w:rPr>
          <w:b/>
        </w:rPr>
      </w:pPr>
    </w:p>
    <w:p w14:paraId="257902CD" w14:textId="77777777" w:rsidR="004F0053" w:rsidRPr="004F0053" w:rsidRDefault="004F0053" w:rsidP="00CE32F9">
      <w:pPr>
        <w:jc w:val="left"/>
      </w:pPr>
    </w:p>
    <w:p w14:paraId="2E6D2846" w14:textId="77777777" w:rsidR="004F0053" w:rsidRPr="004F0053" w:rsidRDefault="004F0053" w:rsidP="00CE32F9">
      <w:pPr>
        <w:jc w:val="left"/>
      </w:pPr>
    </w:p>
    <w:p w14:paraId="2CAEDFF2" w14:textId="77777777" w:rsidR="004F0053" w:rsidRPr="004F0053" w:rsidRDefault="004F0053" w:rsidP="00CE32F9">
      <w:pPr>
        <w:jc w:val="left"/>
      </w:pPr>
    </w:p>
    <w:p w14:paraId="4BD20A93" w14:textId="77777777" w:rsidR="004F0053" w:rsidRPr="004F0053" w:rsidRDefault="004F0053" w:rsidP="00CE32F9">
      <w:pPr>
        <w:jc w:val="left"/>
      </w:pPr>
    </w:p>
    <w:p w14:paraId="53EC8411" w14:textId="77777777" w:rsidR="004F0053" w:rsidRPr="004F0053" w:rsidRDefault="004F0053" w:rsidP="00CE32F9">
      <w:pPr>
        <w:jc w:val="left"/>
      </w:pPr>
    </w:p>
    <w:p w14:paraId="339351C6" w14:textId="77777777" w:rsidR="004F0053" w:rsidRPr="004F0053" w:rsidRDefault="004F0053" w:rsidP="00CE32F9">
      <w:pPr>
        <w:jc w:val="left"/>
      </w:pPr>
    </w:p>
    <w:p w14:paraId="35B4EB5A" w14:textId="77777777" w:rsidR="004F0053" w:rsidRPr="004F0053" w:rsidRDefault="004F0053" w:rsidP="00CE32F9">
      <w:pPr>
        <w:jc w:val="left"/>
      </w:pPr>
    </w:p>
    <w:p w14:paraId="78B5AE0A" w14:textId="77777777" w:rsidR="004F0053" w:rsidRPr="004F0053" w:rsidRDefault="004F0053" w:rsidP="00CE32F9">
      <w:pPr>
        <w:jc w:val="left"/>
      </w:pPr>
    </w:p>
    <w:p w14:paraId="6CE2A75F" w14:textId="77777777" w:rsidR="004F0053" w:rsidRPr="004F0053" w:rsidRDefault="004F0053" w:rsidP="00CE32F9">
      <w:pPr>
        <w:jc w:val="left"/>
      </w:pPr>
    </w:p>
    <w:p w14:paraId="4E3BDD86" w14:textId="77777777" w:rsidR="004F0053" w:rsidRPr="004F0053" w:rsidRDefault="004F0053" w:rsidP="00CE32F9">
      <w:pPr>
        <w:jc w:val="left"/>
      </w:pPr>
    </w:p>
    <w:p w14:paraId="69AE3AD0" w14:textId="77777777" w:rsidR="004F0053" w:rsidRPr="004F0053" w:rsidRDefault="004F0053" w:rsidP="00CE32F9">
      <w:pPr>
        <w:jc w:val="left"/>
      </w:pPr>
    </w:p>
    <w:p w14:paraId="12C14DA7" w14:textId="23108865" w:rsidR="00FA580E" w:rsidRDefault="00FA580E" w:rsidP="00CE32F9">
      <w:pPr>
        <w:jc w:val="left"/>
      </w:pPr>
      <w:r w:rsidRPr="0014737B">
        <w:rPr>
          <w:b/>
        </w:rPr>
        <w:t>A</w:t>
      </w:r>
      <w:r w:rsidRPr="0014737B">
        <w:t xml:space="preserve"> </w:t>
      </w:r>
      <w:proofErr w:type="spellStart"/>
      <w:r w:rsidRPr="0014737B">
        <w:rPr>
          <w:b/>
        </w:rPr>
        <w:t>i</w:t>
      </w:r>
      <w:proofErr w:type="spellEnd"/>
      <w:r w:rsidRPr="0014737B">
        <w:rPr>
          <w:b/>
        </w:rPr>
        <w:t>)</w:t>
      </w:r>
      <w:r w:rsidRPr="0014737B">
        <w:t xml:space="preserve"> Interaction of </w:t>
      </w:r>
      <w:proofErr w:type="spellStart"/>
      <w:r w:rsidRPr="0014737B">
        <w:t>mAB</w:t>
      </w:r>
      <w:proofErr w:type="spellEnd"/>
      <w:r w:rsidRPr="0014737B">
        <w:t xml:space="preserve"> A20G2 and vaccinia virus protein A33.</w:t>
      </w:r>
      <w:r>
        <w:fldChar w:fldCharType="begin" w:fldLock="1"/>
      </w:r>
      <w:r w:rsidR="00E34D43">
        <w:instrText>ADDIN CSL_CITATION {"citationItems":[{"id":"ITEM-1","itemData":{"DOI":"10.1371/journal.ppat.1005148","ISSN":"1553-7374","author":[{"dropping-particle":"","family":"Matho","given":"Michael H.","non-dropping-particle":"","parse-names":false,"suffix":""},{"dropping-particle":"","family":"Schlossman","given":"Andrew","non-dropping-particle":"","parse-names":false,"suffix":""},{"dropping-particle":"","family":"Meng","given":"Xiangzhi","non-dropping-particle":"","parse-names":false,"suffix":""},{"dropping-particle":"","family":"Benhnia","given":"Mohammed Rafii-El-Idrissi","non-dropping-particle":"","parse-names":false,"suffix":""},{"dropping-particle":"","family":"Kaever","given":"Thomas","non-dropping-particle":"","parse-names":false,"suffix":""},{"dropping-particle":"","family":"Buller","given":"Mark","non-dropping-particle":"","parse-names":false,"suffix":""},{"dropping-particle":"","family":"Doronin","given":"Konstantin","non-dropping-particle":"","parse-names":false,"suffix":""},{"dropping-particle":"","family":"Parker","given":"Scott","non-dropping-particle":"","parse-names":false,"suffix":""},{"dropping-particle":"","family":"Peters","given":"Bjoern","non-dropping-particle":"","parse-names":false,"suffix":""},{"dropping-particle":"","family":"Crotty","given":"Shane","non-dropping-particle":"","parse-names":false,"suffix":""},{"dropping-particle":"","family":"Xiang","given":"Yan","non-dropping-particle":"","parse-names":false,"suffix":""},{"dropping-particle":"","family":"Zajonc","given":"Dirk M.","non-dropping-particle":"","parse-names":false,"suffix":""}],"container-title":"PLOS Pathogens","editor":[{"dropping-particle":"","family":"Evans","given":"David Hugh","non-dropping-particle":"","parse-names":false,"suffix":""}],"id":"ITEM-1","issue":"9","issued":{"date-parts":[["2015","9"]]},"page":"e1005148","title":"Structural and Functional Characterization of Anti-A33 Antibodies Reveal a Potent Cross-Species Orthopoxviruses Neutralizer","type":"article-journal","volume":"11"},"uris":["http://www.mendeley.com/documents/?uuid=7ad51d01-3471-35a3-98e6-e543c4e80fa5","http://www.mendeley.com/documents/?uuid=353bc35d-276e-4cc5-9cc4-aee20d411235"]}],"mendeley":{"formattedCitation":"&lt;span style=\"baseline\"&gt;(10)&lt;/span&gt;","plainTextFormattedCitation":"(10)","previouslyFormattedCitation":"(10)"},"properties":{"noteIndex":0},"schema":"https://github.com/citation-style-language/schema/raw/master/csl-citation.json"}</w:instrText>
      </w:r>
      <w:r>
        <w:fldChar w:fldCharType="separate"/>
      </w:r>
      <w:r w:rsidR="00E34D43" w:rsidRPr="00E34D43">
        <w:rPr>
          <w:noProof/>
        </w:rPr>
        <w:t>(10)</w:t>
      </w:r>
      <w:r>
        <w:fldChar w:fldCharType="end"/>
      </w:r>
      <w:r w:rsidRPr="0014737B">
        <w:t xml:space="preserve"> Method: BLI. </w:t>
      </w:r>
      <w:r w:rsidRPr="0014737B">
        <w:rPr>
          <w:b/>
        </w:rPr>
        <w:t>ii)</w:t>
      </w:r>
      <w:r w:rsidRPr="0014737B">
        <w:t xml:space="preserve"> Binding of the lectin HOL-18 to Porcine Stomach Mucin (PSM)</w:t>
      </w:r>
      <w:r>
        <w:t>.</w:t>
      </w:r>
      <w:r>
        <w:fldChar w:fldCharType="begin" w:fldLock="1"/>
      </w:r>
      <w:r w:rsidR="00E34D43">
        <w:instrText>ADDIN CSL_CITATION {"citationItems":[{"id":"ITEM-1","itemData":{"DOI":"10.3390/toxins4050323","ISSN":"2072-6651","author":[{"dropping-particle":"","family":"Matsumoto","given":"Ryo","non-dropping-particle":"","parse-names":false,"suffix":""},{"dropping-particle":"","family":"Fujii","given":"Yuki","non-dropping-particle":"","parse-names":false,"suffix":""},{"dropping-particle":"","family":"Kawsar","given":"Sarkar M. A.","non-dropping-particle":"","parse-names":false,"suffix":""},{"dropping-particle":"","family":"Kanaly","given":"Robert A.","non-dropping-particle":"","parse-names":false,"suffix":""},{"dropping-particle":"","family":"Yasumitsu","given":"Hidetaro","non-dropping-particle":"","parse-names":false,"suffix":""},{"dropping-particle":"","family":"Koide","given":"Yasuhiro","non-dropping-particle":"","parse-names":false,"suffix":""},{"dropping-particle":"","family":"Hasan","given":"Imtiaj","non-dropping-particle":"","parse-names":false,"suffix":""},{"dropping-particle":"","family":"Iwahara","given":"Chihiro","non-dropping-particle":"","parse-names":false,"suffix":""},{"dropping-particle":"","family":"Ogawa","given":"Yukiko","non-dropping-particle":"","parse-names":false,"suffix":""},{"dropping-particle":"","family":"Im","given":"Chang Hun","non-dropping-particle":"","parse-names":false,"suffix":""},{"dropping-particle":"","family":"Sugawara","given":"Shigeki","non-dropping-particle":"","parse-names":false,"suffix":""},{"dropping-particle":"","family":"Hosono","given":"Masahiro","non-dropping-particle":"","parse-names":false,"suffix":""},{"dropping-particle":"","family":"Nitta","given":"Kazuo","non-dropping-particle":"","parse-names":false,"suffix":""},{"dropping-particle":"","family":"Hamako","given":"Jiharu","non-dropping-particle":"","parse-names":false,"suffix":""},{"dropping-particle":"","family":"Matsui","given":"Taei","non-dropping-particle":"","parse-names":false,"suffix":""},{"dropping-particle":"","family":"Ozeki","given":"Yasuhiro","non-dropping-particle":"","parse-names":false,"suffix":""}],"container-title":"Toxins","id":"ITEM-1","issue":"5","issued":{"date-parts":[["2012","4"]]},"page":"323-338","title":"Cytotoxicity and Glycan-Binding Properties of an 18 kDa Lectin Isolated from the Marine Sponge Halichondria okadai","type":"article-journal","volume":"4"},"uris":["http://www.mendeley.com/documents/?uuid=de008741-0cb0-32b9-88b6-f2b1a6f0a87d","http://www.mendeley.com/documents/?uuid=881c3868-fc75-4c1f-a40b-d03dc174714f"]}],"mendeley":{"formattedCitation":"&lt;span style=\"baseline\"&gt;(11)&lt;/span&gt;","plainTextFormattedCitation":"(11)","previouslyFormattedCitation":"(11)"},"properties":{"noteIndex":0},"schema":"https://github.com/citation-style-language/schema/raw/master/csl-citation.json"}</w:instrText>
      </w:r>
      <w:r>
        <w:fldChar w:fldCharType="separate"/>
      </w:r>
      <w:r w:rsidR="00E34D43" w:rsidRPr="00E34D43">
        <w:rPr>
          <w:noProof/>
        </w:rPr>
        <w:t>(11)</w:t>
      </w:r>
      <w:r>
        <w:fldChar w:fldCharType="end"/>
      </w:r>
      <w:r w:rsidRPr="0014737B">
        <w:t xml:space="preserve"> Method: SPR. </w:t>
      </w:r>
      <w:r w:rsidRPr="0014737B">
        <w:rPr>
          <w:b/>
        </w:rPr>
        <w:t>iii)</w:t>
      </w:r>
      <w:r w:rsidRPr="0014737B">
        <w:t xml:space="preserve"> Binding of VEGF</w:t>
      </w:r>
      <w:r w:rsidRPr="0014737B">
        <w:rPr>
          <w:vertAlign w:val="subscript"/>
        </w:rPr>
        <w:t>165</w:t>
      </w:r>
      <w:r w:rsidRPr="0014737B">
        <w:t>-ATTO 647N to CD44s.</w:t>
      </w:r>
      <w:r>
        <w:fldChar w:fldCharType="begin" w:fldLock="1"/>
      </w:r>
      <w:r w:rsidR="00E34D43">
        <w:instrText>ADDIN CSL_CITATION {"citationItems":[{"id":"ITEM-1","itemData":{"DOI":"10.1042/BSR20150093","ISSN":"0144-8463","author":[{"dropping-particle":"","family":"Volz","given":"Y.","non-dropping-particle":"","parse-names":false,"suffix":""},{"dropping-particle":"","family":"Koschut","given":"D.","non-dropping-particle":"","parse-names":false,"suffix":""},{"dropping-particle":"","family":"Matzke-Ogi","given":"A.","non-dropping-particle":"","parse-names":false,"suffix":""},{"dropping-particle":"","family":"Dietz","given":"M. S.","non-dropping-particle":"","parse-names":false,"suffix":""},{"dropping-particle":"","family":"Karathanasis","given":"C.","non-dropping-particle":"","parse-names":false,"suffix":""},{"dropping-particle":"","family":"Richert","given":"L.","non-dropping-particle":"","parse-names":false,"suffix":""},{"dropping-particle":"","family":"Wagner","given":"M. G.","non-dropping-particle":"","parse-names":false,"suffix":""},{"dropping-particle":"","family":"Mely","given":"Y.","non-dropping-particle":"","parse-names":false,"suffix":""},{"dropping-particle":"","family":"Heilemann","given":"M.","non-dropping-particle":"","parse-names":false,"suffix":""},{"dropping-particle":"","family":"Niemann","given":"H. H.","non-dropping-particle":"","parse-names":false,"suffix":""},{"dropping-particle":"","family":"Orian-Rousseau","given":"V.","non-dropping-particle":"","parse-names":false,"suffix":""}],"container-title":"Bioscience Reports","id":"ITEM-1","issue":"4","issued":{"date-parts":[["2015","8"]]},"page":"e00236-e00236","title":"Direct binding of hepatocyte growth factor and vascular endothelial growth factor to CD44v6","type":"article-journal","volume":"35"},"uris":["http://www.mendeley.com/documents/?uuid=6d956d79-fb7e-3cf1-ba79-b9258bbe5626","http://www.mendeley.com/documents/?uuid=aa462149-6cb5-4cd2-bb40-864c5a282578"]}],"mendeley":{"formattedCitation":"&lt;span style=\"baseline\"&gt;(12)&lt;/span&gt;","plainTextFormattedCitation":"(12)","previouslyFormattedCitation":"(12)"},"properties":{"noteIndex":0},"schema":"https://github.com/citation-style-language/schema/raw/master/csl-citation.json"}</w:instrText>
      </w:r>
      <w:r>
        <w:fldChar w:fldCharType="separate"/>
      </w:r>
      <w:r w:rsidR="00E34D43" w:rsidRPr="00E34D43">
        <w:rPr>
          <w:noProof/>
        </w:rPr>
        <w:t>(12)</w:t>
      </w:r>
      <w:r>
        <w:fldChar w:fldCharType="end"/>
      </w:r>
      <w:r w:rsidRPr="0014737B">
        <w:t xml:space="preserve"> Method: Fluorescence Correlation Microscopy (FCS).</w:t>
      </w:r>
      <w:r w:rsidRPr="0014737B">
        <w:br/>
      </w:r>
      <w:r w:rsidRPr="0014737B">
        <w:rPr>
          <w:b/>
        </w:rPr>
        <w:t>B</w:t>
      </w:r>
      <w:r w:rsidRPr="0014737B">
        <w:t xml:space="preserve"> </w:t>
      </w:r>
      <w:proofErr w:type="spellStart"/>
      <w:r w:rsidRPr="0014737B">
        <w:rPr>
          <w:b/>
        </w:rPr>
        <w:t>i</w:t>
      </w:r>
      <w:proofErr w:type="spellEnd"/>
      <w:r w:rsidRPr="0014737B">
        <w:rPr>
          <w:b/>
        </w:rPr>
        <w:t>)</w:t>
      </w:r>
      <w:r w:rsidRPr="0014737B">
        <w:t xml:space="preserve"> Interaction of G</w:t>
      </w:r>
      <w:r>
        <w:t>r</w:t>
      </w:r>
      <w:r w:rsidRPr="0014737B">
        <w:t>x5 with Ssq1</w:t>
      </w:r>
      <w:r>
        <w:t>.</w:t>
      </w:r>
      <w:r>
        <w:fldChar w:fldCharType="begin" w:fldLock="1"/>
      </w:r>
      <w:r w:rsidR="00E34D43">
        <w:instrText>ADDIN CSL_CITATION {"citationItems":[{"id":"ITEM-1","itemData":{"DOI":"10.1091/mbc.e12-09-0644","ISSN":"1059-1524","author":[{"dropping-particle":"","family":"Uzarska","given":"Marta A.","non-dropping-particle":"","parse-names":false,"suffix":""},{"dropping-particle":"","family":"Dutkiewicz","given":"Rafal","non-dropping-particle":"","parse-names":false,"suffix":""},{"dropping-particle":"","family":"Freibert","given":"Sven-Andreas","non-dropping-particle":"","parse-names":false,"suffix":""},{"dropping-particle":"","family":"Lill","given":"Roland","non-dropping-particle":"","parse-names":false,"suffix":""},{"dropping-particle":"","family":"Mühlenhoff","given":"Ulrich","non-dropping-particle":"","parse-names":false,"suffix":""}],"container-title":"Molecular Biology of the Cell","editor":[{"dropping-particle":"","family":"Fox","given":"Thomas D.","non-dropping-particle":"","parse-names":false,"suffix":""}],"id":"ITEM-1","issue":"12","issued":{"date-parts":[["2013","6"]]},"page":"1830-1841","title":"The mitochondrial Hsp70 chaperone Ssq1 facilitates Fe/S cluster transfer from Isu1 to Grx5 by complex formation","type":"article-journal","volume":"24"},"uris":["http://www.mendeley.com/documents/?uuid=0bc3bae2-90bc-3fc2-b2e4-8d224ef8e3f8","http://www.mendeley.com/documents/?uuid=cc20eead-0095-4860-a8be-c13b5924c707"]}],"mendeley":{"formattedCitation":"&lt;span style=\"baseline\"&gt;(13)&lt;/span&gt;","plainTextFormattedCitation":"(13)","previouslyFormattedCitation":"(13)"},"properties":{"noteIndex":0},"schema":"https://github.com/citation-style-language/schema/raw/master/csl-citation.json"}</w:instrText>
      </w:r>
      <w:r>
        <w:fldChar w:fldCharType="separate"/>
      </w:r>
      <w:r w:rsidR="00E34D43" w:rsidRPr="00E34D43">
        <w:rPr>
          <w:noProof/>
        </w:rPr>
        <w:t>(13)</w:t>
      </w:r>
      <w:r>
        <w:fldChar w:fldCharType="end"/>
      </w:r>
      <w:r w:rsidRPr="0014737B">
        <w:t xml:space="preserve"> Method: MST. </w:t>
      </w:r>
      <w:r w:rsidRPr="0014737B">
        <w:rPr>
          <w:b/>
        </w:rPr>
        <w:t>ii)</w:t>
      </w:r>
      <w:r w:rsidRPr="0014737B">
        <w:t xml:space="preserve"> Binding of RNA-aptamer CLN64 to c-Met.</w:t>
      </w:r>
      <w:r>
        <w:fldChar w:fldCharType="begin" w:fldLock="1"/>
      </w:r>
      <w:r w:rsidR="00E34D43">
        <w:instrText>ADDIN CSL_CITATION {"citationItems":[{"id":"ITEM-1","itemData":{"DOI":"10.1371/journal.pone.0142412","ISSN":"19326203","PMID":"26658271","abstract":"The human receptor tyrosine kinase c-Met plays an important role in the control of critical cellular processes. Since c-Met is frequently over expressed or deregulated in human malignancies, blocking its activation is of special interest for therapy. In normal conditions, the c-Met receptor is activated by its bivalent ligand hepatocyte growth factor (HGF). Also bivalent antibodies can activate the receptor by cross linking, limiting therapeutic applications. We report the generation of the RNA aptamer CLN64 containing 2'-fluoro pyrimidine modifications by systematic evolution of ligands by exponential enrichment (SELEX). CLN64 and a previously described single-stranded DNA (ssDNA) aptamer CLN3 exhibited high specificities and affinities to recombinant and cellular expressed c-Met. Both aptamers effectively inhibited HGF-dependent c-Met activation, signaling and cell migration. We showed that these aptamers did not induce c-Met activation, revealing an advantage over bivalent therapeutic molecules. Both aptamers were shown to bind overlapping epitopes but only CLN3 competed with HGF binding to cMet. In addition to their therapeutic and diagnostic potential, CLN3 and CLN64 aptamers exhibit valuable tools to further understand the structural and functional basis for c-Met activation or inhibition by synthetic ligands and their interplay with HGF binding.","author":[{"dropping-particle":"","family":"Piater","given":"Birgit","non-dropping-particle":"","parse-names":false,"suffix":""},{"dropping-particle":"","family":"Doerner","given":"Achim","non-dropping-particle":"","parse-names":false,"suffix":""},{"dropping-particle":"","family":"Guenther","given":"Ralf","non-dropping-particle":"","parse-names":false,"suffix":""},{"dropping-particle":"","family":"Kolmar","given":"Harald","non-dropping-particle":"","parse-names":false,"suffix":""},{"dropping-particle":"","family":"Hock","given":"Bjoern","non-dropping-particle":"","parse-names":false,"suffix":""}],"container-title":"PLoS ONE","editor":[{"dropping-particle":"","family":"Franciscis","given":"Vittorio","non-dropping-particle":"de","parse-names":false,"suffix":""}],"id":"ITEM-1","issue":"12","issued":{"date-parts":[["2015","12"]]},"page":"e0142412","title":"Aptamers Binding to c-Met Inhibiting Tumor Cell Migration","type":"article-journal","volume":"10"},"uris":["http://www.mendeley.com/documents/?uuid=db6108d2-ae11-3365-a999-edb1b0327b87","http://www.mendeley.com/documents/?uuid=aa5381aa-0893-449c-8cb7-cb2bd3e595fb"]}],"mendeley":{"formattedCitation":"&lt;span style=\"baseline\"&gt;(14)&lt;/span&gt;","plainTextFormattedCitation":"(14)","previouslyFormattedCitation":"(14)"},"properties":{"noteIndex":0},"schema":"https://github.com/citation-style-language/schema/raw/master/csl-citation.json"}</w:instrText>
      </w:r>
      <w:r>
        <w:fldChar w:fldCharType="separate"/>
      </w:r>
      <w:r w:rsidR="00E34D43" w:rsidRPr="00E34D43">
        <w:rPr>
          <w:noProof/>
        </w:rPr>
        <w:t>(14)</w:t>
      </w:r>
      <w:r>
        <w:fldChar w:fldCharType="end"/>
      </w:r>
      <w:r w:rsidRPr="0014737B">
        <w:t xml:space="preserve"> Method: BLI. </w:t>
      </w:r>
      <w:r w:rsidRPr="0014737B">
        <w:rPr>
          <w:b/>
        </w:rPr>
        <w:t>iii)</w:t>
      </w:r>
      <w:r w:rsidRPr="0014737B">
        <w:t xml:space="preserve"> Binding of </w:t>
      </w:r>
      <w:proofErr w:type="spellStart"/>
      <w:r w:rsidRPr="0014737B">
        <w:t>SecB</w:t>
      </w:r>
      <w:proofErr w:type="spellEnd"/>
      <w:r w:rsidRPr="0014737B">
        <w:t xml:space="preserve"> to MBP.</w:t>
      </w:r>
      <w:r>
        <w:fldChar w:fldCharType="begin" w:fldLock="1"/>
      </w:r>
      <w:r w:rsidR="00E34D43">
        <w:instrText>ADDIN CSL_CITATION {"citationItems":[{"id":"ITEM-1","itemData":{"DOI":"10.1038/nature18965","ISSN":"0028-0836","author":[{"dropping-particle":"","family":"Huang","given":"Chengdong","non-dropping-particle":"","parse-names":false,"suffix":""},{"dropping-particle":"","family":"Rossi","given":"Paolo","non-dropping-particle":"","parse-names":false,"suffix":""},{"dropping-particle":"","family":"Saio","given":"Tomohide","non-dropping-particle":"","parse-names":false,"suffix":""},{"dropping-particle":"","family":"Kalodimos","given":"Charalampos G.","non-dropping-particle":"","parse-names":false,"suffix":""}],"container-title":"Nature","id":"ITEM-1","issue":"7619","issued":{"date-parts":[["2016","9"]]},"page":"202-206","title":"Structural basis for the antifolding activity of a molecular chaperone","type":"article-journal","volume":"537"},"uris":["http://www.mendeley.com/documents/?uuid=d5ee73a3-ffc8-3f46-b5b9-e4eb1db3d39c","http://www.mendeley.com/documents/?uuid=4ff6c831-5244-4ad5-8f00-26f7e65477f5"]}],"mendeley":{"formattedCitation":"&lt;span style=\"baseline\"&gt;(15)&lt;/span&gt;","plainTextFormattedCitation":"(15)","previouslyFormattedCitation":"(15)"},"properties":{"noteIndex":0},"schema":"https://github.com/citation-style-language/schema/raw/master/csl-citation.json"}</w:instrText>
      </w:r>
      <w:r>
        <w:fldChar w:fldCharType="separate"/>
      </w:r>
      <w:r w:rsidR="00E34D43" w:rsidRPr="00E34D43">
        <w:rPr>
          <w:noProof/>
        </w:rPr>
        <w:t>(15)</w:t>
      </w:r>
      <w:r>
        <w:fldChar w:fldCharType="end"/>
      </w:r>
      <w:r w:rsidRPr="0014737B">
        <w:t xml:space="preserve"> Method: BLI. </w:t>
      </w:r>
      <w:r w:rsidRPr="0014737B">
        <w:br/>
      </w:r>
      <w:r w:rsidRPr="0014737B">
        <w:rPr>
          <w:b/>
        </w:rPr>
        <w:t>C</w:t>
      </w:r>
      <w:r w:rsidRPr="0014737B">
        <w:t xml:space="preserve"> </w:t>
      </w:r>
      <w:proofErr w:type="spellStart"/>
      <w:r w:rsidRPr="0014737B">
        <w:rPr>
          <w:b/>
        </w:rPr>
        <w:t>i</w:t>
      </w:r>
      <w:proofErr w:type="spellEnd"/>
      <w:r w:rsidRPr="0014737B">
        <w:rPr>
          <w:b/>
        </w:rPr>
        <w:t>)</w:t>
      </w:r>
      <w:r w:rsidRPr="0014737B">
        <w:t xml:space="preserve"> Binding of gp42 C114S to EBV </w:t>
      </w:r>
      <w:proofErr w:type="spellStart"/>
      <w:r w:rsidRPr="0014737B">
        <w:t>gHgL</w:t>
      </w:r>
      <w:proofErr w:type="spellEnd"/>
      <w:r w:rsidRPr="0014737B">
        <w:t>.</w:t>
      </w:r>
      <w:r>
        <w:fldChar w:fldCharType="begin" w:fldLock="1"/>
      </w:r>
      <w:r w:rsidR="00E34D43">
        <w:instrText>ADDIN CSL_CITATION {"citationItems":[{"id":"ITEM-1","itemData":{"DOI":"10.1371/journal.ppat.1004309","ISSN":"1553-7374","author":[{"dropping-particle":"","family":"Sathiyamoorthy","given":"Karthik","non-dropping-particle":"","parse-names":false,"suffix":""},{"dropping-particle":"","family":"Jiang","given":"Jiansen","non-dropping-particle":"","parse-names":false,"suffix":""},{"dropping-particle":"","family":"Hu","given":"Yao Xiong","non-dropping-particle":"","parse-names":false,"suffix":""},{"dropping-particle":"","family":"Rowe","given":"Cynthia L.","non-dropping-particle":"","parse-names":false,"suffix":""},{"dropping-particle":"","family":"Möhl","given":"Britta S.","non-dropping-particle":"","parse-names":false,"suffix":""},{"dropping-particle":"","family":"Chen","given":"Jia","non-dropping-particle":"","parse-names":false,"suffix":""},{"dropping-particle":"","family":"Jiang","given":"Wei","non-dropping-particle":"","parse-names":false,"suffix":""},{"dropping-particle":"","family":"Mellins","given":"Elizabeth D.","non-dropping-particle":"","parse-names":false,"suffix":""},{"dropping-particle":"","family":"Longnecker","given":"Richard","non-dropping-particle":"","parse-names":false,"suffix":""},{"dropping-particle":"","family":"Zhou","given":"Z. Hong","non-dropping-particle":"","parse-names":false,"suffix":""},{"dropping-particle":"","family":"Jardetzky","given":"Theodore S.","non-dropping-particle":"","parse-names":false,"suffix":""}],"container-title":"PLoS Pathogens","editor":[{"dropping-particle":"","family":"Hutt-Fletcher","given":"Lindsey","non-dropping-particle":"","parse-names":false,"suffix":""}],"id":"ITEM-1","issue":"8","issued":{"date-parts":[["2014","8"]]},"page":"e1004309","title":"Assembly and Architecture of the EBV B Cell Entry Triggering Complex","type":"article-journal","volume":"10"},"uris":["http://www.mendeley.com/documents/?uuid=5f191727-b85f-35e7-bb51-71e4d83e2d71","http://www.mendeley.com/documents/?uuid=04052256-61cf-4bb8-a23e-13ef416c1835"]}],"mendeley":{"formattedCitation":"&lt;span style=\"baseline\"&gt;(16)&lt;/span&gt;","plainTextFormattedCitation":"(16)","previouslyFormattedCitation":"(16)"},"properties":{"noteIndex":0},"schema":"https://github.com/citation-style-language/schema/raw/master/csl-citation.json"}</w:instrText>
      </w:r>
      <w:r>
        <w:fldChar w:fldCharType="separate"/>
      </w:r>
      <w:r w:rsidR="00E34D43" w:rsidRPr="00E34D43">
        <w:rPr>
          <w:noProof/>
        </w:rPr>
        <w:t>(16)</w:t>
      </w:r>
      <w:r>
        <w:fldChar w:fldCharType="end"/>
      </w:r>
      <w:r w:rsidRPr="0014737B">
        <w:t xml:space="preserve"> Method: BLI. </w:t>
      </w:r>
      <w:r w:rsidRPr="0014737B">
        <w:rPr>
          <w:b/>
        </w:rPr>
        <w:t>ii)</w:t>
      </w:r>
      <w:r w:rsidRPr="0014737B">
        <w:t xml:space="preserve"> Binding of vWC2-3 to </w:t>
      </w:r>
      <w:proofErr w:type="spellStart"/>
      <w:r w:rsidRPr="0014737B">
        <w:t>Tsg</w:t>
      </w:r>
      <w:proofErr w:type="spellEnd"/>
      <w:r w:rsidRPr="0014737B">
        <w:t>.</w:t>
      </w:r>
      <w:r>
        <w:fldChar w:fldCharType="begin" w:fldLock="1"/>
      </w:r>
      <w:r w:rsidR="00E34D43">
        <w:instrText>ADDIN CSL_CITATION {"citationItems":[{"id":"ITEM-1","itemData":{"DOI":"10.1016/j.matbio.2016.01.019","ISSN":"0945053X","author":[{"dropping-particle":"","family":"Troilo","given":"Helen","non-dropping-particle":"","parse-names":false,"suffix":""},{"dropping-particle":"","family":"Barrett","given":"Anne L.","non-dropping-particle":"","parse-names":false,"suffix":""},{"dropping-particle":"V.","family":"Zuk","given":"Alexandra","non-dropping-particle":"","parse-names":false,"suffix":""},{"dropping-particle":"","family":"Lockhart-Cairns","given":"Michael P.","non-dropping-particle":"","parse-names":false,"suffix":""},{"dropping-particle":"","family":"Wohl","given":"Alexander P.","non-dropping-particle":"","parse-names":false,"suffix":""},{"dropping-particle":"","family":"Bayley","given":"Christopher P.","non-dropping-particle":"","parse-names":false,"suffix":""},{"dropping-particle":"","family":"Dajani","given":"Rana","non-dropping-particle":"","parse-names":false,"suffix":""},{"dropping-particle":"","family":"Tunnicliffe","given":"Richard B.","non-dropping-particle":"","parse-names":false,"suffix":""},{"dropping-particle":"","family":"Green","given":"Lewis","non-dropping-particle":"","parse-names":false,"suffix":""},{"dropping-particle":"","family":"Jowitt","given":"Thomas A.","non-dropping-particle":"","parse-names":false,"suffix":""},{"dropping-particle":"","family":"Sengle","given":"Gerhard","non-dropping-particle":"","parse-names":false,"suffix":""},{"dropping-particle":"","family":"Baldock","given":"Clair","non-dropping-particle":"","parse-names":false,"suffix":""}],"container-title":"Matrix Biology","id":"ITEM-1","issued":{"date-parts":[["2016","9"]]},"page":"49-62","title":"Structural characterization of twisted gastrulation provides insights into opposing functions on the BMP signalling pathway","type":"article-journal","volume":"55"},"uris":["http://www.mendeley.com/documents/?uuid=70541739-48db-3065-b93d-17d86d7bbbca","http://www.mendeley.com/documents/?uuid=ec795f59-fd6b-4b95-a076-264a428bee82"]}],"mendeley":{"formattedCitation":"&lt;span style=\"baseline\"&gt;(17)&lt;/span&gt;","plainTextFormattedCitation":"(17)","previouslyFormattedCitation":"(17)"},"properties":{"noteIndex":0},"schema":"https://github.com/citation-style-language/schema/raw/master/csl-citation.json"}</w:instrText>
      </w:r>
      <w:r>
        <w:fldChar w:fldCharType="separate"/>
      </w:r>
      <w:r w:rsidR="00E34D43" w:rsidRPr="00E34D43">
        <w:rPr>
          <w:noProof/>
        </w:rPr>
        <w:t>(17)</w:t>
      </w:r>
      <w:r>
        <w:fldChar w:fldCharType="end"/>
      </w:r>
      <w:r w:rsidRPr="0014737B">
        <w:t xml:space="preserve"> Method: SPR. </w:t>
      </w:r>
      <w:r w:rsidRPr="0014737B">
        <w:rPr>
          <w:b/>
        </w:rPr>
        <w:t>iii)</w:t>
      </w:r>
      <w:r w:rsidRPr="0014737B">
        <w:t xml:space="preserve"> Binding of the chemical </w:t>
      </w:r>
      <w:r w:rsidRPr="006805ED">
        <w:t>compound 991 to AMPK complex α1β1γ1.</w:t>
      </w:r>
      <w:r>
        <w:fldChar w:fldCharType="begin" w:fldLock="1"/>
      </w:r>
      <w:r w:rsidR="00E34D43">
        <w:instrText>ADDIN CSL_CITATION {"citationItems":[{"id":"ITEM-1","itemData":{"DOI":"10.1038/ncomms4017","ISSN":"2041-1723","PMID":"24352254","abstract":"AMP-activated protein kinase (AMPK) plays a major role in regulating cellular energy balance by sensing and responding to increases in AMP/ADP concentration relative to ATP. Binding of AMP causes allosteric activation of the enzyme and binding of either AMP or ADP promotes and maintains the phosphorylation of threonine 172 within the activation loop of the kinase. AMPK has attracted widespread interest as a potential therapeutic target for metabolic diseases including type 2 diabetes and, more recently, cancer. A number of direct AMPK activators have been reported as having beneficial effects in treating metabolic diseases, but there has been no structural basis for activator binding to AMPK. Here we present the crystal structure of human AMPK in complex with a small molecule activator that binds at a site between the kinase domain and the carbohydrate-binding module, stabilising the interaction between these two components. The nature of the activator-binding pocket suggests the involvement of an additional, as yet unidentified, metabolite in the physiological regulation of AMPK. Importantly, the structure offers new opportunities for the design of small molecule activators of AMPK for treatment of metabolic disorders.","author":[{"dropping-particle":"","family":"Xiao","given":"Bing","non-dropping-particle":"","parse-names":false,"suffix":""},{"dropping-particle":"","family":"Sanders","given":"Matthew J","non-dropping-particle":"","parse-names":false,"suffix":""},{"dropping-particle":"","family":"Carmena","given":"David","non-dropping-particle":"","parse-names":false,"suffix":""},{"dropping-particle":"","family":"Bright","given":"Nicola J","non-dropping-particle":"","parse-names":false,"suffix":""},{"dropping-particle":"","family":"Haire","given":"Lesley F","non-dropping-particle":"","parse-names":false,"suffix":""},{"dropping-particle":"","family":"Underwood","given":"Elizabeth","non-dropping-particle":"","parse-names":false,"suffix":""},{"dropping-particle":"","family":"Patel","given":"Bhakti R","non-dropping-particle":"","parse-names":false,"suffix":""},{"dropping-particle":"","family":"Heath","given":"Richard B","non-dropping-particle":"","parse-names":false,"suffix":""},{"dropping-particle":"","family":"Walker","given":"Philip A","non-dropping-particle":"","parse-names":false,"suffix":""},{"dropping-particle":"","family":"Hallen","given":"Stefan","non-dropping-particle":"","parse-names":false,"suffix":""},{"dropping-particle":"","family":"Giordanetto","given":"Fabrizio","non-dropping-particle":"","parse-names":false,"suffix":""},{"dropping-particle":"","family":"Martin","given":"Stephen R","non-dropping-particle":"","parse-names":false,"suffix":""},{"dropping-particle":"","family":"Carling","given":"David","non-dropping-particle":"","parse-names":false,"suffix":""},{"dropping-particle":"","family":"Gamblin","given":"Steven J","non-dropping-particle":"","parse-names":false,"suffix":""}],"container-title":"Nature communications","id":"ITEM-1","issued":{"date-parts":[["2013"]]},"page":"3017","publisher":"Nature Publishing Group","title":"Structural basis of AMPK regulation by small molecule activators.","type":"article-journal","volume":"4"},"uris":["http://www.mendeley.com/documents/?uuid=5d958b17-bcb3-35c9-b676-36f0bd02fbb3","http://www.mendeley.com/documents/?uuid=51a08319-4565-4d57-b6f8-0557cb648745"]}],"mendeley":{"formattedCitation":"&lt;span style=\"baseline\"&gt;(18)&lt;/span&gt;","plainTextFormattedCitation":"(18)","previouslyFormattedCitation":"(18)"},"properties":{"noteIndex":0},"schema":"https://github.com/citation-style-language/schema/raw/master/csl-citation.json"}</w:instrText>
      </w:r>
      <w:r>
        <w:fldChar w:fldCharType="separate"/>
      </w:r>
      <w:r w:rsidR="00E34D43" w:rsidRPr="00E34D43">
        <w:rPr>
          <w:noProof/>
        </w:rPr>
        <w:t>(18)</w:t>
      </w:r>
      <w:r>
        <w:fldChar w:fldCharType="end"/>
      </w:r>
      <w:r w:rsidRPr="006805ED">
        <w:t xml:space="preserve"> Method: BLI.</w:t>
      </w:r>
      <w:r w:rsidRPr="006805ED">
        <w:br/>
        <w:t xml:space="preserve">Adapted from </w:t>
      </w:r>
      <w:r w:rsidR="00CE32F9">
        <w:t xml:space="preserve">cited </w:t>
      </w:r>
      <w:r w:rsidRPr="006805ED">
        <w:t>references under the Creative Commons Attribution license.</w:t>
      </w:r>
    </w:p>
    <w:p w14:paraId="67F0887D" w14:textId="77777777" w:rsidR="004F0053" w:rsidRDefault="004F0053" w:rsidP="00CE32F9">
      <w:pPr>
        <w:tabs>
          <w:tab w:val="left" w:pos="2420"/>
        </w:tabs>
        <w:jc w:val="left"/>
      </w:pPr>
    </w:p>
    <w:p w14:paraId="11B1021F" w14:textId="77777777" w:rsidR="00B248D9" w:rsidRPr="00D92B19" w:rsidRDefault="004F0053" w:rsidP="00CE32F9">
      <w:pPr>
        <w:jc w:val="left"/>
        <w:rPr>
          <w:b/>
        </w:rPr>
      </w:pPr>
      <w:r w:rsidRPr="004F0053">
        <w:br w:type="column"/>
      </w:r>
      <w:r w:rsidR="00B248D9" w:rsidRPr="00D92B19">
        <w:rPr>
          <w:b/>
        </w:rPr>
        <w:lastRenderedPageBreak/>
        <w:t>S</w:t>
      </w:r>
      <w:r w:rsidR="00761003">
        <w:rPr>
          <w:b/>
        </w:rPr>
        <w:t>2</w:t>
      </w:r>
      <w:r w:rsidR="00D92B19" w:rsidRPr="00D92B19">
        <w:rPr>
          <w:b/>
        </w:rPr>
        <w:t xml:space="preserve">: </w:t>
      </w:r>
      <w:r w:rsidR="00B248D9" w:rsidRPr="00D92B19">
        <w:rPr>
          <w:b/>
        </w:rPr>
        <w:t>Important aspects of kinetic data submission</w:t>
      </w:r>
    </w:p>
    <w:p w14:paraId="4EAB2984" w14:textId="77777777" w:rsidR="00B248D9" w:rsidRDefault="00B248D9" w:rsidP="00CE32F9">
      <w:pPr>
        <w:jc w:val="left"/>
      </w:pPr>
      <w:r>
        <w:t>As previously stated, information on binding interactions is shared varyingly throughout publications. Guidelines for publishing data from different methods in biosciences do exist (such as the Minimal Information About a Microarray Experiment (MIAME) guideline), but to date none cover information on publishing data from binding interaction experiments. Below is a brief overview of current issues and their possible solutions:</w:t>
      </w:r>
    </w:p>
    <w:p w14:paraId="17648705" w14:textId="77777777" w:rsidR="00B248D9" w:rsidRDefault="00B248D9" w:rsidP="00CE32F9">
      <w:pPr>
        <w:jc w:val="left"/>
      </w:pPr>
      <w:r>
        <w:t>Key points for kinetics data submission:</w:t>
      </w:r>
    </w:p>
    <w:p w14:paraId="001B2475" w14:textId="77777777" w:rsidR="008A1584" w:rsidRDefault="00B248D9" w:rsidP="008A1584">
      <w:pPr>
        <w:pStyle w:val="Listenabsatz"/>
        <w:numPr>
          <w:ilvl w:val="0"/>
          <w:numId w:val="2"/>
        </w:numPr>
        <w:jc w:val="left"/>
      </w:pPr>
      <w:r w:rsidRPr="00DE3E34">
        <w:rPr>
          <w:b/>
        </w:rPr>
        <w:t>Interaction Partners with unique identifiers</w:t>
      </w:r>
      <w:r>
        <w:t>:</w:t>
      </w:r>
      <w:r>
        <w:br/>
        <w:t>While many publications present the interacting entities, not all do so in a comprehensible manner.</w:t>
      </w:r>
      <w:r>
        <w:br/>
      </w:r>
      <w:r w:rsidRPr="00804A2A">
        <w:rPr>
          <w:b/>
        </w:rPr>
        <w:t>Proposal:</w:t>
      </w:r>
      <w:r>
        <w:t xml:space="preserve"> Each entity should be displayed in a separate column and clearly labeled as interaction partner, i.e. interaction partner 1/2.</w:t>
      </w:r>
      <w:r>
        <w:br/>
      </w:r>
      <w:r w:rsidRPr="00804A2A">
        <w:rPr>
          <w:b/>
        </w:rPr>
        <w:t>Proposal:</w:t>
      </w:r>
      <w:r>
        <w:t xml:space="preserve"> Columns should not be subdivided. Additional classifications such as Igg vs. Fab must be derivable from the identifying column or get an entry in an additional column.</w:t>
      </w:r>
    </w:p>
    <w:p w14:paraId="3E8E7EEF" w14:textId="53EB2C9B" w:rsidR="00B248D9" w:rsidRDefault="00B248D9" w:rsidP="008A1584">
      <w:pPr>
        <w:pStyle w:val="Listenabsatz"/>
        <w:numPr>
          <w:ilvl w:val="0"/>
          <w:numId w:val="2"/>
        </w:numPr>
        <w:jc w:val="left"/>
      </w:pPr>
      <w:r w:rsidRPr="008A1584">
        <w:rPr>
          <w:b/>
        </w:rPr>
        <w:t>Binding parameters</w:t>
      </w:r>
      <w:r>
        <w:t>:</w:t>
      </w:r>
    </w:p>
    <w:p w14:paraId="6D1F1AF2" w14:textId="77777777" w:rsidR="008A1584" w:rsidRDefault="00B248D9" w:rsidP="008A1584">
      <w:pPr>
        <w:pStyle w:val="Listenabsatz"/>
        <w:jc w:val="left"/>
      </w:pPr>
      <w:r>
        <w:t>Currently, several formats are used to display rate constants, such as different SI-prefixes (e.g. mM), units within the table row or sub-multiples (e.g. 10</w:t>
      </w:r>
      <w:r>
        <w:rPr>
          <w:vertAlign w:val="superscript"/>
        </w:rPr>
        <w:t>4</w:t>
      </w:r>
      <w:r>
        <w:t>) displayed as a separate factor in the header.</w:t>
      </w:r>
      <w:r>
        <w:br/>
      </w:r>
      <w:r w:rsidRPr="00DE3E34">
        <w:rPr>
          <w:b/>
        </w:rPr>
        <w:t>Proposal:</w:t>
      </w:r>
      <w:r>
        <w:t xml:space="preserve"> Only use non-prefixed units (e.g. [M]) in the header and display sub-multiples in the corresponding cells in scientific notation (e.g. 1.9e-9)</w:t>
      </w:r>
      <w:r>
        <w:br/>
      </w:r>
      <w:r w:rsidRPr="00DE3E34">
        <w:rPr>
          <w:b/>
        </w:rPr>
        <w:t xml:space="preserve">Proposal: </w:t>
      </w:r>
      <w:r>
        <w:t>Display standard deviation in separate columns next to their corresponding value.</w:t>
      </w:r>
    </w:p>
    <w:p w14:paraId="06648D8A" w14:textId="7C769AD7" w:rsidR="00B248D9" w:rsidRPr="00AE48B6" w:rsidRDefault="00B248D9" w:rsidP="00ED24DC">
      <w:pPr>
        <w:pStyle w:val="Listenabsatz"/>
        <w:numPr>
          <w:ilvl w:val="0"/>
          <w:numId w:val="2"/>
        </w:numPr>
        <w:jc w:val="left"/>
      </w:pPr>
      <w:bookmarkStart w:id="0" w:name="_GoBack"/>
      <w:r w:rsidRPr="004F6BE9">
        <w:rPr>
          <w:b/>
        </w:rPr>
        <w:t>Method and Device used</w:t>
      </w:r>
      <w:r>
        <w:br/>
        <w:t>Currently methods and devices are only mentioned in the method-section of the corresponding article. But both influence the result in varying manner and should be directly visible alongside the data, especially in publications where multiple methods have been used.</w:t>
      </w:r>
      <w:r>
        <w:br/>
      </w:r>
      <w:r w:rsidRPr="004F6BE9">
        <w:rPr>
          <w:b/>
        </w:rPr>
        <w:t>Proposal:</w:t>
      </w:r>
      <w:r>
        <w:t xml:space="preserve"> Display both in separate columns.</w:t>
      </w:r>
    </w:p>
    <w:bookmarkEnd w:id="0"/>
    <w:p w14:paraId="0CBFD5EF" w14:textId="09B41334" w:rsidR="00687316" w:rsidRPr="00687316" w:rsidRDefault="00D92B19" w:rsidP="00CE32F9">
      <w:pPr>
        <w:jc w:val="left"/>
        <w:rPr>
          <w:b/>
        </w:rPr>
      </w:pPr>
      <w:r w:rsidRPr="00687316">
        <w:rPr>
          <w:b/>
        </w:rPr>
        <w:br w:type="column"/>
      </w:r>
      <w:r w:rsidRPr="00687316">
        <w:rPr>
          <w:b/>
        </w:rPr>
        <w:lastRenderedPageBreak/>
        <w:t>S</w:t>
      </w:r>
      <w:r w:rsidR="00CE32F9">
        <w:rPr>
          <w:b/>
        </w:rPr>
        <w:t>3</w:t>
      </w:r>
      <w:r w:rsidRPr="00687316">
        <w:rPr>
          <w:b/>
        </w:rPr>
        <w:t xml:space="preserve">: </w:t>
      </w:r>
      <w:r w:rsidR="0016192E" w:rsidRPr="00687316">
        <w:rPr>
          <w:b/>
        </w:rPr>
        <w:t xml:space="preserve">Form fields shown in the annotation view. </w:t>
      </w:r>
    </w:p>
    <w:p w14:paraId="182BE2EF" w14:textId="0EBE3742" w:rsidR="00A87106" w:rsidRDefault="0016192E" w:rsidP="00CE32F9">
      <w:pPr>
        <w:jc w:val="left"/>
      </w:pPr>
      <w:r w:rsidRPr="00DD4BA9">
        <w:t>Shown are fieldnames (black), additional descriptions/units (green) and examples for each field (blue). The rightmost column shows the rating section, comprised of four questions regarding the quality of raw data and corresponding fits.</w:t>
      </w:r>
    </w:p>
    <w:p w14:paraId="3CFBCEF9" w14:textId="5D6AA87D" w:rsidR="00687316" w:rsidRDefault="00687316" w:rsidP="00CE32F9">
      <w:pPr>
        <w:jc w:val="left"/>
      </w:pPr>
    </w:p>
    <w:p w14:paraId="233FFD4D" w14:textId="77777777" w:rsidR="00687316" w:rsidRPr="00687316" w:rsidRDefault="00687316" w:rsidP="00CE32F9">
      <w:pPr>
        <w:jc w:val="left"/>
      </w:pPr>
    </w:p>
    <w:p w14:paraId="2F81971C" w14:textId="77777777" w:rsidR="00687316" w:rsidRPr="00687316" w:rsidRDefault="00687316" w:rsidP="00CE32F9">
      <w:pPr>
        <w:jc w:val="left"/>
      </w:pPr>
    </w:p>
    <w:p w14:paraId="198EC9A4" w14:textId="77777777" w:rsidR="00687316" w:rsidRPr="00687316" w:rsidRDefault="00687316" w:rsidP="00CE32F9">
      <w:pPr>
        <w:jc w:val="left"/>
      </w:pPr>
    </w:p>
    <w:p w14:paraId="15DA6276" w14:textId="77777777" w:rsidR="00687316" w:rsidRPr="00687316" w:rsidRDefault="00687316" w:rsidP="00CE32F9">
      <w:pPr>
        <w:jc w:val="left"/>
      </w:pPr>
    </w:p>
    <w:p w14:paraId="76000016" w14:textId="77777777" w:rsidR="00687316" w:rsidRDefault="00687316" w:rsidP="00CE32F9">
      <w:pPr>
        <w:jc w:val="left"/>
      </w:pPr>
    </w:p>
    <w:p w14:paraId="7910472C" w14:textId="77777777" w:rsidR="00A60C34" w:rsidRPr="00A60C34" w:rsidRDefault="00A60C34" w:rsidP="00CE32F9">
      <w:pPr>
        <w:jc w:val="left"/>
        <w:rPr>
          <w:b/>
        </w:rPr>
      </w:pPr>
      <w:r>
        <w:rPr>
          <w:b/>
        </w:rPr>
        <w:br w:type="column"/>
      </w:r>
      <w:r w:rsidRPr="00A60C34">
        <w:rPr>
          <w:b/>
        </w:rPr>
        <w:lastRenderedPageBreak/>
        <w:t>References:</w:t>
      </w:r>
    </w:p>
    <w:p w14:paraId="502FF8F6" w14:textId="1C9B9B83" w:rsidR="00E34D43" w:rsidRPr="00E34D43" w:rsidRDefault="00687316" w:rsidP="00CE32F9">
      <w:pPr>
        <w:widowControl w:val="0"/>
        <w:autoSpaceDE w:val="0"/>
        <w:autoSpaceDN w:val="0"/>
        <w:adjustRightInd w:val="0"/>
        <w:spacing w:line="240" w:lineRule="auto"/>
        <w:ind w:left="640" w:hanging="640"/>
        <w:jc w:val="left"/>
        <w:rPr>
          <w:rFonts w:cs="Calibri"/>
          <w:noProof/>
        </w:rPr>
      </w:pPr>
      <w:r>
        <w:fldChar w:fldCharType="begin" w:fldLock="1"/>
      </w:r>
      <w:r>
        <w:instrText xml:space="preserve">ADDIN Mendeley Bibliography CSL_BIBLIOGRAPHY </w:instrText>
      </w:r>
      <w:r>
        <w:fldChar w:fldCharType="separate"/>
      </w:r>
      <w:r w:rsidR="00E34D43" w:rsidRPr="00E34D43">
        <w:rPr>
          <w:rFonts w:cs="Calibri"/>
          <w:noProof/>
        </w:rPr>
        <w:t>1.</w:t>
      </w:r>
      <w:r w:rsidR="00E34D43" w:rsidRPr="00E34D43">
        <w:rPr>
          <w:rFonts w:cs="Calibri"/>
          <w:noProof/>
        </w:rPr>
        <w:tab/>
        <w:t xml:space="preserve">Rich, R. L. and Myszka, D. G. (2008) Survey of the year 2007 commercial optical biosensor literature, </w:t>
      </w:r>
      <w:r w:rsidR="00E34D43" w:rsidRPr="00E34D43">
        <w:rPr>
          <w:rFonts w:cs="Calibri"/>
          <w:i/>
          <w:iCs/>
          <w:noProof/>
        </w:rPr>
        <w:t>J. Mol. Recognit.</w:t>
      </w:r>
      <w:r w:rsidR="00E34D43" w:rsidRPr="00E34D43">
        <w:rPr>
          <w:rFonts w:cs="Calibri"/>
          <w:noProof/>
        </w:rPr>
        <w:t xml:space="preserve">, </w:t>
      </w:r>
      <w:r w:rsidR="00E34D43" w:rsidRPr="00E34D43">
        <w:rPr>
          <w:rFonts w:cs="Calibri"/>
          <w:b/>
          <w:bCs/>
          <w:noProof/>
        </w:rPr>
        <w:t>21</w:t>
      </w:r>
      <w:r w:rsidR="00E34D43" w:rsidRPr="00E34D43">
        <w:rPr>
          <w:rFonts w:cs="Calibri"/>
          <w:noProof/>
        </w:rPr>
        <w:t>, 355–400.</w:t>
      </w:r>
    </w:p>
    <w:p w14:paraId="5B6EDA25"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2.</w:t>
      </w:r>
      <w:r w:rsidRPr="00E34D43">
        <w:rPr>
          <w:rFonts w:cs="Calibri"/>
          <w:noProof/>
        </w:rPr>
        <w:tab/>
        <w:t xml:space="preserve">Rich, R. L. and Myszka, D. G. (2007) Survey of the year 2006 commercial optical biosensor literature, </w:t>
      </w:r>
      <w:r w:rsidRPr="00E34D43">
        <w:rPr>
          <w:rFonts w:cs="Calibri"/>
          <w:i/>
          <w:iCs/>
          <w:noProof/>
        </w:rPr>
        <w:t>J. Mol. Recognit.</w:t>
      </w:r>
      <w:r w:rsidRPr="00E34D43">
        <w:rPr>
          <w:rFonts w:cs="Calibri"/>
          <w:noProof/>
        </w:rPr>
        <w:t xml:space="preserve">, </w:t>
      </w:r>
      <w:r w:rsidRPr="00E34D43">
        <w:rPr>
          <w:rFonts w:cs="Calibri"/>
          <w:b/>
          <w:bCs/>
          <w:noProof/>
        </w:rPr>
        <w:t>20</w:t>
      </w:r>
      <w:r w:rsidRPr="00E34D43">
        <w:rPr>
          <w:rFonts w:cs="Calibri"/>
          <w:noProof/>
        </w:rPr>
        <w:t>, 300–366.</w:t>
      </w:r>
    </w:p>
    <w:p w14:paraId="46B3A30B"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3.</w:t>
      </w:r>
      <w:r w:rsidRPr="00E34D43">
        <w:rPr>
          <w:rFonts w:cs="Calibri"/>
          <w:noProof/>
        </w:rPr>
        <w:tab/>
        <w:t xml:space="preserve">Rich, R. L. and Myszka, D. G. (2006) Survey of the year 2005 commercial optical biosensor literature, </w:t>
      </w:r>
      <w:r w:rsidRPr="00E34D43">
        <w:rPr>
          <w:rFonts w:cs="Calibri"/>
          <w:i/>
          <w:iCs/>
          <w:noProof/>
        </w:rPr>
        <w:t>J. Mol. Recognit.</w:t>
      </w:r>
      <w:r w:rsidRPr="00E34D43">
        <w:rPr>
          <w:rFonts w:cs="Calibri"/>
          <w:noProof/>
        </w:rPr>
        <w:t xml:space="preserve">, </w:t>
      </w:r>
      <w:r w:rsidRPr="00E34D43">
        <w:rPr>
          <w:rFonts w:cs="Calibri"/>
          <w:b/>
          <w:bCs/>
          <w:noProof/>
        </w:rPr>
        <w:t>19</w:t>
      </w:r>
      <w:r w:rsidRPr="00E34D43">
        <w:rPr>
          <w:rFonts w:cs="Calibri"/>
          <w:noProof/>
        </w:rPr>
        <w:t>, 478–534.</w:t>
      </w:r>
    </w:p>
    <w:p w14:paraId="7482C285"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4.</w:t>
      </w:r>
      <w:r w:rsidRPr="00E34D43">
        <w:rPr>
          <w:rFonts w:cs="Calibri"/>
          <w:noProof/>
        </w:rPr>
        <w:tab/>
        <w:t xml:space="preserve">Rich, R. L. and Myszka, D. G. (2005) Survey of the year 2003 commercial optical biosensor literature, </w:t>
      </w:r>
      <w:r w:rsidRPr="00E34D43">
        <w:rPr>
          <w:rFonts w:cs="Calibri"/>
          <w:i/>
          <w:iCs/>
          <w:noProof/>
        </w:rPr>
        <w:t>J. Mol. Recognit.</w:t>
      </w:r>
      <w:r w:rsidRPr="00E34D43">
        <w:rPr>
          <w:rFonts w:cs="Calibri"/>
          <w:noProof/>
        </w:rPr>
        <w:t xml:space="preserve">, </w:t>
      </w:r>
      <w:r w:rsidRPr="00E34D43">
        <w:rPr>
          <w:rFonts w:cs="Calibri"/>
          <w:b/>
          <w:bCs/>
          <w:noProof/>
        </w:rPr>
        <w:t>18</w:t>
      </w:r>
      <w:r w:rsidRPr="00E34D43">
        <w:rPr>
          <w:rFonts w:cs="Calibri"/>
          <w:noProof/>
        </w:rPr>
        <w:t>, 1–39.</w:t>
      </w:r>
    </w:p>
    <w:p w14:paraId="576D6D3D"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5.</w:t>
      </w:r>
      <w:r w:rsidRPr="00E34D43">
        <w:rPr>
          <w:rFonts w:cs="Calibri"/>
          <w:noProof/>
        </w:rPr>
        <w:tab/>
        <w:t xml:space="preserve">Rich, R. L. and Myszka, D. G. (2003) A survey of the year 2002 commercial optical biosensor literature, </w:t>
      </w:r>
      <w:r w:rsidRPr="00E34D43">
        <w:rPr>
          <w:rFonts w:cs="Calibri"/>
          <w:i/>
          <w:iCs/>
          <w:noProof/>
        </w:rPr>
        <w:t>J. Mol. Recognit.</w:t>
      </w:r>
      <w:r w:rsidRPr="00E34D43">
        <w:rPr>
          <w:rFonts w:cs="Calibri"/>
          <w:noProof/>
        </w:rPr>
        <w:t xml:space="preserve">, </w:t>
      </w:r>
      <w:r w:rsidRPr="00E34D43">
        <w:rPr>
          <w:rFonts w:cs="Calibri"/>
          <w:b/>
          <w:bCs/>
          <w:noProof/>
        </w:rPr>
        <w:t>16</w:t>
      </w:r>
      <w:r w:rsidRPr="00E34D43">
        <w:rPr>
          <w:rFonts w:cs="Calibri"/>
          <w:noProof/>
        </w:rPr>
        <w:t>, 351–382.</w:t>
      </w:r>
    </w:p>
    <w:p w14:paraId="1C049FFE"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6.</w:t>
      </w:r>
      <w:r w:rsidRPr="00E34D43">
        <w:rPr>
          <w:rFonts w:cs="Calibri"/>
          <w:noProof/>
        </w:rPr>
        <w:tab/>
        <w:t xml:space="preserve">Rich, R. L. and Myszka, D. G. Survey of the year 2007 commercial optical biosensor literature. </w:t>
      </w:r>
      <w:r w:rsidRPr="00E34D43">
        <w:rPr>
          <w:rFonts w:cs="Calibri"/>
          <w:i/>
          <w:iCs/>
          <w:noProof/>
        </w:rPr>
        <w:t>J. Mol. Recognit.</w:t>
      </w:r>
      <w:r w:rsidRPr="00E34D43">
        <w:rPr>
          <w:rFonts w:cs="Calibri"/>
          <w:noProof/>
        </w:rPr>
        <w:t xml:space="preserve"> </w:t>
      </w:r>
      <w:r w:rsidRPr="00E34D43">
        <w:rPr>
          <w:rFonts w:cs="Calibri"/>
          <w:b/>
          <w:bCs/>
          <w:noProof/>
        </w:rPr>
        <w:t>2008</w:t>
      </w:r>
      <w:r w:rsidRPr="00E34D43">
        <w:rPr>
          <w:rFonts w:cs="Calibri"/>
          <w:noProof/>
        </w:rPr>
        <w:t xml:space="preserve">, </w:t>
      </w:r>
      <w:r w:rsidRPr="00E34D43">
        <w:rPr>
          <w:rFonts w:cs="Calibri"/>
          <w:i/>
          <w:iCs/>
          <w:noProof/>
        </w:rPr>
        <w:t>21</w:t>
      </w:r>
      <w:r w:rsidRPr="00E34D43">
        <w:rPr>
          <w:rFonts w:cs="Calibri"/>
          <w:noProof/>
        </w:rPr>
        <w:t>, 355–400.</w:t>
      </w:r>
    </w:p>
    <w:p w14:paraId="787A9D26"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7.</w:t>
      </w:r>
      <w:r w:rsidRPr="00E34D43">
        <w:rPr>
          <w:rFonts w:cs="Calibri"/>
          <w:noProof/>
        </w:rPr>
        <w:tab/>
        <w:t xml:space="preserve">Rich, R. L. and Myszka, D. G. (2000) Advances in surface plasmon resonance biosensor analysis, </w:t>
      </w:r>
      <w:r w:rsidRPr="00E34D43">
        <w:rPr>
          <w:rFonts w:cs="Calibri"/>
          <w:i/>
          <w:iCs/>
          <w:noProof/>
        </w:rPr>
        <w:t>Curr. Opin. Biotechnol.</w:t>
      </w:r>
      <w:r w:rsidRPr="00E34D43">
        <w:rPr>
          <w:rFonts w:cs="Calibri"/>
          <w:noProof/>
        </w:rPr>
        <w:t xml:space="preserve">, </w:t>
      </w:r>
      <w:r w:rsidRPr="00E34D43">
        <w:rPr>
          <w:rFonts w:cs="Calibri"/>
          <w:b/>
          <w:bCs/>
          <w:noProof/>
        </w:rPr>
        <w:t>11</w:t>
      </w:r>
      <w:r w:rsidRPr="00E34D43">
        <w:rPr>
          <w:rFonts w:cs="Calibri"/>
          <w:noProof/>
        </w:rPr>
        <w:t>, 54–61.</w:t>
      </w:r>
    </w:p>
    <w:p w14:paraId="12EBBEC2"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8.</w:t>
      </w:r>
      <w:r w:rsidRPr="00E34D43">
        <w:rPr>
          <w:rFonts w:cs="Calibri"/>
          <w:noProof/>
        </w:rPr>
        <w:tab/>
        <w:t xml:space="preserve">Rich, R. L. and Myszka, D. G. (2000) Survey of the 1999 surface plasmon resonance biosensor literature, </w:t>
      </w:r>
      <w:r w:rsidRPr="00E34D43">
        <w:rPr>
          <w:rFonts w:cs="Calibri"/>
          <w:i/>
          <w:iCs/>
          <w:noProof/>
        </w:rPr>
        <w:t>J. Mol. Recognit.</w:t>
      </w:r>
      <w:r w:rsidRPr="00E34D43">
        <w:rPr>
          <w:rFonts w:cs="Calibri"/>
          <w:noProof/>
        </w:rPr>
        <w:t xml:space="preserve">, </w:t>
      </w:r>
      <w:r w:rsidRPr="00E34D43">
        <w:rPr>
          <w:rFonts w:cs="Calibri"/>
          <w:b/>
          <w:bCs/>
          <w:noProof/>
        </w:rPr>
        <w:t>13</w:t>
      </w:r>
      <w:r w:rsidRPr="00E34D43">
        <w:rPr>
          <w:rFonts w:cs="Calibri"/>
          <w:noProof/>
        </w:rPr>
        <w:t>, 388–407.</w:t>
      </w:r>
    </w:p>
    <w:p w14:paraId="7901C701"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9.</w:t>
      </w:r>
      <w:r w:rsidRPr="00E34D43">
        <w:rPr>
          <w:rFonts w:cs="Calibri"/>
          <w:noProof/>
        </w:rPr>
        <w:tab/>
        <w:t xml:space="preserve">Rich, R. L. and Myszka, D. G. (2010) Grading the commercial optical biosensor literature - Class of 2008: “The Mighty Binders,” </w:t>
      </w:r>
      <w:r w:rsidRPr="00E34D43">
        <w:rPr>
          <w:rFonts w:cs="Calibri"/>
          <w:i/>
          <w:iCs/>
          <w:noProof/>
        </w:rPr>
        <w:t>J. Mol. Recognit.</w:t>
      </w:r>
      <w:r w:rsidRPr="00E34D43">
        <w:rPr>
          <w:rFonts w:cs="Calibri"/>
          <w:noProof/>
        </w:rPr>
        <w:t xml:space="preserve">, </w:t>
      </w:r>
      <w:r w:rsidRPr="00E34D43">
        <w:rPr>
          <w:rFonts w:cs="Calibri"/>
          <w:b/>
          <w:bCs/>
          <w:noProof/>
        </w:rPr>
        <w:t>23</w:t>
      </w:r>
      <w:r w:rsidRPr="00E34D43">
        <w:rPr>
          <w:rFonts w:cs="Calibri"/>
          <w:noProof/>
        </w:rPr>
        <w:t>, 1–64.</w:t>
      </w:r>
    </w:p>
    <w:p w14:paraId="543C69D9"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10.</w:t>
      </w:r>
      <w:r w:rsidRPr="00E34D43">
        <w:rPr>
          <w:rFonts w:cs="Calibri"/>
          <w:noProof/>
        </w:rPr>
        <w:tab/>
        <w:t xml:space="preserve">Matho, M. H., Schlossman, A., Meng, X., et al. (2015) Structural and Functional Characterization of Anti-A33 Antibodies Reveal a Potent Cross-Species Orthopoxviruses Neutralizer, </w:t>
      </w:r>
      <w:r w:rsidRPr="00E34D43">
        <w:rPr>
          <w:rFonts w:cs="Calibri"/>
          <w:i/>
          <w:iCs/>
          <w:noProof/>
        </w:rPr>
        <w:t>PLOS Pathog.</w:t>
      </w:r>
      <w:r w:rsidRPr="00E34D43">
        <w:rPr>
          <w:rFonts w:cs="Calibri"/>
          <w:noProof/>
        </w:rPr>
        <w:t xml:space="preserve">, </w:t>
      </w:r>
      <w:r w:rsidRPr="00E34D43">
        <w:rPr>
          <w:rFonts w:cs="Calibri"/>
          <w:b/>
          <w:bCs/>
          <w:noProof/>
        </w:rPr>
        <w:t>11</w:t>
      </w:r>
      <w:r w:rsidRPr="00E34D43">
        <w:rPr>
          <w:rFonts w:cs="Calibri"/>
          <w:noProof/>
        </w:rPr>
        <w:t>, e1005148.</w:t>
      </w:r>
    </w:p>
    <w:p w14:paraId="2CB586AB"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11.</w:t>
      </w:r>
      <w:r w:rsidRPr="00E34D43">
        <w:rPr>
          <w:rFonts w:cs="Calibri"/>
          <w:noProof/>
        </w:rPr>
        <w:tab/>
        <w:t xml:space="preserve">Matsumoto, R., Fujii, Y., Kawsar, S. M. A., et al. (2012) Cytotoxicity and Glycan-Binding Properties of an 18 kDa Lectin Isolated from the Marine Sponge Halichondria okadai, </w:t>
      </w:r>
      <w:r w:rsidRPr="00E34D43">
        <w:rPr>
          <w:rFonts w:cs="Calibri"/>
          <w:i/>
          <w:iCs/>
          <w:noProof/>
        </w:rPr>
        <w:t>Toxins (Basel).</w:t>
      </w:r>
      <w:r w:rsidRPr="00E34D43">
        <w:rPr>
          <w:rFonts w:cs="Calibri"/>
          <w:noProof/>
        </w:rPr>
        <w:t xml:space="preserve">, </w:t>
      </w:r>
      <w:r w:rsidRPr="00E34D43">
        <w:rPr>
          <w:rFonts w:cs="Calibri"/>
          <w:b/>
          <w:bCs/>
          <w:noProof/>
        </w:rPr>
        <w:t>4</w:t>
      </w:r>
      <w:r w:rsidRPr="00E34D43">
        <w:rPr>
          <w:rFonts w:cs="Calibri"/>
          <w:noProof/>
        </w:rPr>
        <w:t>, 323–338.</w:t>
      </w:r>
    </w:p>
    <w:p w14:paraId="4AFC29FC" w14:textId="77777777" w:rsidR="00E34D43" w:rsidRPr="00321B40" w:rsidRDefault="00E34D43" w:rsidP="00CE32F9">
      <w:pPr>
        <w:widowControl w:val="0"/>
        <w:autoSpaceDE w:val="0"/>
        <w:autoSpaceDN w:val="0"/>
        <w:adjustRightInd w:val="0"/>
        <w:spacing w:line="240" w:lineRule="auto"/>
        <w:ind w:left="640" w:hanging="640"/>
        <w:jc w:val="left"/>
        <w:rPr>
          <w:rFonts w:cs="Calibri"/>
          <w:noProof/>
          <w:lang w:val="de-DE"/>
        </w:rPr>
      </w:pPr>
      <w:r w:rsidRPr="00321B40">
        <w:rPr>
          <w:rFonts w:cs="Calibri"/>
          <w:noProof/>
          <w:lang w:val="de-DE"/>
        </w:rPr>
        <w:t>12.</w:t>
      </w:r>
      <w:r w:rsidRPr="00321B40">
        <w:rPr>
          <w:rFonts w:cs="Calibri"/>
          <w:noProof/>
          <w:lang w:val="de-DE"/>
        </w:rPr>
        <w:tab/>
        <w:t xml:space="preserve">Volz, Y., Koschut, D., Matzke-Ogi, A., et al. </w:t>
      </w:r>
      <w:r w:rsidRPr="00E34D43">
        <w:rPr>
          <w:rFonts w:cs="Calibri"/>
          <w:noProof/>
        </w:rPr>
        <w:t xml:space="preserve">(2015) Direct binding of hepatocyte growth factor and vascular endothelial growth factor to CD44v6, </w:t>
      </w:r>
      <w:r w:rsidRPr="00E34D43">
        <w:rPr>
          <w:rFonts w:cs="Calibri"/>
          <w:i/>
          <w:iCs/>
          <w:noProof/>
        </w:rPr>
        <w:t xml:space="preserve">Biosci. </w:t>
      </w:r>
      <w:r w:rsidRPr="00321B40">
        <w:rPr>
          <w:rFonts w:cs="Calibri"/>
          <w:i/>
          <w:iCs/>
          <w:noProof/>
          <w:lang w:val="de-DE"/>
        </w:rPr>
        <w:t>Rep.</w:t>
      </w:r>
      <w:r w:rsidRPr="00321B40">
        <w:rPr>
          <w:rFonts w:cs="Calibri"/>
          <w:noProof/>
          <w:lang w:val="de-DE"/>
        </w:rPr>
        <w:t xml:space="preserve">, </w:t>
      </w:r>
      <w:r w:rsidRPr="00321B40">
        <w:rPr>
          <w:rFonts w:cs="Calibri"/>
          <w:b/>
          <w:bCs/>
          <w:noProof/>
          <w:lang w:val="de-DE"/>
        </w:rPr>
        <w:t>35</w:t>
      </w:r>
      <w:r w:rsidRPr="00321B40">
        <w:rPr>
          <w:rFonts w:cs="Calibri"/>
          <w:noProof/>
          <w:lang w:val="de-DE"/>
        </w:rPr>
        <w:t>, e00236–e00236.</w:t>
      </w:r>
    </w:p>
    <w:p w14:paraId="46E3768C"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321B40">
        <w:rPr>
          <w:rFonts w:cs="Calibri"/>
          <w:noProof/>
          <w:lang w:val="de-DE"/>
        </w:rPr>
        <w:t>13.</w:t>
      </w:r>
      <w:r w:rsidRPr="00321B40">
        <w:rPr>
          <w:rFonts w:cs="Calibri"/>
          <w:noProof/>
          <w:lang w:val="de-DE"/>
        </w:rPr>
        <w:tab/>
        <w:t xml:space="preserve">Uzarska, M. A., Dutkiewicz, R., Freibert, S.-A., et al. </w:t>
      </w:r>
      <w:r w:rsidRPr="00E34D43">
        <w:rPr>
          <w:rFonts w:cs="Calibri"/>
          <w:noProof/>
        </w:rPr>
        <w:t xml:space="preserve">(2013) The mitochondrial Hsp70 chaperone Ssq1 facilitates Fe/S cluster transfer from Isu1 to Grx5 by complex formation, </w:t>
      </w:r>
      <w:r w:rsidRPr="00E34D43">
        <w:rPr>
          <w:rFonts w:cs="Calibri"/>
          <w:i/>
          <w:iCs/>
          <w:noProof/>
        </w:rPr>
        <w:t>Mol. Biol. Cell</w:t>
      </w:r>
      <w:r w:rsidRPr="00E34D43">
        <w:rPr>
          <w:rFonts w:cs="Calibri"/>
          <w:noProof/>
        </w:rPr>
        <w:t xml:space="preserve">, </w:t>
      </w:r>
      <w:r w:rsidRPr="00E34D43">
        <w:rPr>
          <w:rFonts w:cs="Calibri"/>
          <w:b/>
          <w:bCs/>
          <w:noProof/>
        </w:rPr>
        <w:t>24</w:t>
      </w:r>
      <w:r w:rsidRPr="00E34D43">
        <w:rPr>
          <w:rFonts w:cs="Calibri"/>
          <w:noProof/>
        </w:rPr>
        <w:t>, 1830–1841.</w:t>
      </w:r>
    </w:p>
    <w:p w14:paraId="1F47B613"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14.</w:t>
      </w:r>
      <w:r w:rsidRPr="00E34D43">
        <w:rPr>
          <w:rFonts w:cs="Calibri"/>
          <w:noProof/>
        </w:rPr>
        <w:tab/>
        <w:t xml:space="preserve">Piater, B., Doerner, A., Guenther, R., et al. (2015) Aptamers Binding to c-Met Inhibiting Tumor Cell Migration, </w:t>
      </w:r>
      <w:r w:rsidRPr="00E34D43">
        <w:rPr>
          <w:rFonts w:cs="Calibri"/>
          <w:i/>
          <w:iCs/>
          <w:noProof/>
        </w:rPr>
        <w:t>PLoS One</w:t>
      </w:r>
      <w:r w:rsidRPr="00E34D43">
        <w:rPr>
          <w:rFonts w:cs="Calibri"/>
          <w:noProof/>
        </w:rPr>
        <w:t xml:space="preserve">, </w:t>
      </w:r>
      <w:r w:rsidRPr="00E34D43">
        <w:rPr>
          <w:rFonts w:cs="Calibri"/>
          <w:b/>
          <w:bCs/>
          <w:noProof/>
        </w:rPr>
        <w:t>10</w:t>
      </w:r>
      <w:r w:rsidRPr="00E34D43">
        <w:rPr>
          <w:rFonts w:cs="Calibri"/>
          <w:noProof/>
        </w:rPr>
        <w:t>, e0142412.</w:t>
      </w:r>
    </w:p>
    <w:p w14:paraId="1D20A8E2"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15.</w:t>
      </w:r>
      <w:r w:rsidRPr="00E34D43">
        <w:rPr>
          <w:rFonts w:cs="Calibri"/>
          <w:noProof/>
        </w:rPr>
        <w:tab/>
        <w:t xml:space="preserve">Huang, C., Rossi, P., Saio, T., et al. (2016) Structural basis for the antifolding activity of a molecular chaperone, </w:t>
      </w:r>
      <w:r w:rsidRPr="00E34D43">
        <w:rPr>
          <w:rFonts w:cs="Calibri"/>
          <w:i/>
          <w:iCs/>
          <w:noProof/>
        </w:rPr>
        <w:t>Nature</w:t>
      </w:r>
      <w:r w:rsidRPr="00E34D43">
        <w:rPr>
          <w:rFonts w:cs="Calibri"/>
          <w:noProof/>
        </w:rPr>
        <w:t xml:space="preserve">, </w:t>
      </w:r>
      <w:r w:rsidRPr="00E34D43">
        <w:rPr>
          <w:rFonts w:cs="Calibri"/>
          <w:b/>
          <w:bCs/>
          <w:noProof/>
        </w:rPr>
        <w:t>537</w:t>
      </w:r>
      <w:r w:rsidRPr="00E34D43">
        <w:rPr>
          <w:rFonts w:cs="Calibri"/>
          <w:noProof/>
        </w:rPr>
        <w:t>, 202–206.</w:t>
      </w:r>
    </w:p>
    <w:p w14:paraId="08FB9F80"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16.</w:t>
      </w:r>
      <w:r w:rsidRPr="00E34D43">
        <w:rPr>
          <w:rFonts w:cs="Calibri"/>
          <w:noProof/>
        </w:rPr>
        <w:tab/>
        <w:t xml:space="preserve">Sathiyamoorthy, K., Jiang, J., Hu, Y. X., et al. (2014) Assembly and Architecture of the EBV B Cell Entry Triggering Complex, </w:t>
      </w:r>
      <w:r w:rsidRPr="00E34D43">
        <w:rPr>
          <w:rFonts w:cs="Calibri"/>
          <w:i/>
          <w:iCs/>
          <w:noProof/>
        </w:rPr>
        <w:t>PLoS Pathog.</w:t>
      </w:r>
      <w:r w:rsidRPr="00E34D43">
        <w:rPr>
          <w:rFonts w:cs="Calibri"/>
          <w:noProof/>
        </w:rPr>
        <w:t xml:space="preserve">, </w:t>
      </w:r>
      <w:r w:rsidRPr="00E34D43">
        <w:rPr>
          <w:rFonts w:cs="Calibri"/>
          <w:b/>
          <w:bCs/>
          <w:noProof/>
        </w:rPr>
        <w:t>10</w:t>
      </w:r>
      <w:r w:rsidRPr="00E34D43">
        <w:rPr>
          <w:rFonts w:cs="Calibri"/>
          <w:noProof/>
        </w:rPr>
        <w:t>, e1004309.</w:t>
      </w:r>
    </w:p>
    <w:p w14:paraId="3822AA39"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lastRenderedPageBreak/>
        <w:t>17.</w:t>
      </w:r>
      <w:r w:rsidRPr="00E34D43">
        <w:rPr>
          <w:rFonts w:cs="Calibri"/>
          <w:noProof/>
        </w:rPr>
        <w:tab/>
        <w:t xml:space="preserve">Troilo, H., Barrett, A. L., Zuk, A. V., et al. (2016) Structural characterization of twisted gastrulation provides insights into opposing functions on the BMP signalling pathway, </w:t>
      </w:r>
      <w:r w:rsidRPr="00E34D43">
        <w:rPr>
          <w:rFonts w:cs="Calibri"/>
          <w:i/>
          <w:iCs/>
          <w:noProof/>
        </w:rPr>
        <w:t>Matrix Biol.</w:t>
      </w:r>
      <w:r w:rsidRPr="00E34D43">
        <w:rPr>
          <w:rFonts w:cs="Calibri"/>
          <w:noProof/>
        </w:rPr>
        <w:t xml:space="preserve">, </w:t>
      </w:r>
      <w:r w:rsidRPr="00E34D43">
        <w:rPr>
          <w:rFonts w:cs="Calibri"/>
          <w:b/>
          <w:bCs/>
          <w:noProof/>
        </w:rPr>
        <w:t>55</w:t>
      </w:r>
      <w:r w:rsidRPr="00E34D43">
        <w:rPr>
          <w:rFonts w:cs="Calibri"/>
          <w:noProof/>
        </w:rPr>
        <w:t>, 49–62.</w:t>
      </w:r>
    </w:p>
    <w:p w14:paraId="24E91371" w14:textId="77777777" w:rsidR="00E34D43" w:rsidRPr="00E34D43" w:rsidRDefault="00E34D43" w:rsidP="00CE32F9">
      <w:pPr>
        <w:widowControl w:val="0"/>
        <w:autoSpaceDE w:val="0"/>
        <w:autoSpaceDN w:val="0"/>
        <w:adjustRightInd w:val="0"/>
        <w:spacing w:line="240" w:lineRule="auto"/>
        <w:ind w:left="640" w:hanging="640"/>
        <w:jc w:val="left"/>
        <w:rPr>
          <w:rFonts w:cs="Calibri"/>
          <w:noProof/>
        </w:rPr>
      </w:pPr>
      <w:r w:rsidRPr="00E34D43">
        <w:rPr>
          <w:rFonts w:cs="Calibri"/>
          <w:noProof/>
        </w:rPr>
        <w:t>18.</w:t>
      </w:r>
      <w:r w:rsidRPr="00E34D43">
        <w:rPr>
          <w:rFonts w:cs="Calibri"/>
          <w:noProof/>
        </w:rPr>
        <w:tab/>
        <w:t xml:space="preserve">Xiao, B., Sanders, M. J., Carmena, D., et al. (2013) Structural basis of AMPK regulation by small molecule activators., </w:t>
      </w:r>
      <w:r w:rsidRPr="00E34D43">
        <w:rPr>
          <w:rFonts w:cs="Calibri"/>
          <w:i/>
          <w:iCs/>
          <w:noProof/>
        </w:rPr>
        <w:t>Nat. Commun.</w:t>
      </w:r>
      <w:r w:rsidRPr="00E34D43">
        <w:rPr>
          <w:rFonts w:cs="Calibri"/>
          <w:noProof/>
        </w:rPr>
        <w:t xml:space="preserve">, </w:t>
      </w:r>
      <w:r w:rsidRPr="00E34D43">
        <w:rPr>
          <w:rFonts w:cs="Calibri"/>
          <w:b/>
          <w:bCs/>
          <w:noProof/>
        </w:rPr>
        <w:t>4</w:t>
      </w:r>
      <w:r w:rsidRPr="00E34D43">
        <w:rPr>
          <w:rFonts w:cs="Calibri"/>
          <w:noProof/>
        </w:rPr>
        <w:t>, 3017.</w:t>
      </w:r>
    </w:p>
    <w:p w14:paraId="5DA97370" w14:textId="35DB6ED0" w:rsidR="00D17B64" w:rsidRPr="00687316" w:rsidRDefault="00687316" w:rsidP="00CE32F9">
      <w:pPr>
        <w:widowControl w:val="0"/>
        <w:autoSpaceDE w:val="0"/>
        <w:autoSpaceDN w:val="0"/>
        <w:adjustRightInd w:val="0"/>
        <w:spacing w:line="240" w:lineRule="auto"/>
        <w:ind w:left="640" w:hanging="640"/>
        <w:jc w:val="left"/>
      </w:pPr>
      <w:r>
        <w:fldChar w:fldCharType="end"/>
      </w:r>
    </w:p>
    <w:sectPr w:rsidR="00D17B64" w:rsidRPr="00687316" w:rsidSect="00B94168">
      <w:pgSz w:w="11907" w:h="16840" w:code="9"/>
      <w:pgMar w:top="1531" w:right="1304" w:bottom="1531" w:left="1588" w:header="709" w:footer="709" w:gutter="0"/>
      <w:cols w:space="5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568B"/>
    <w:multiLevelType w:val="hybridMultilevel"/>
    <w:tmpl w:val="C98A48FA"/>
    <w:lvl w:ilvl="0" w:tplc="F97466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482775B"/>
    <w:multiLevelType w:val="multilevel"/>
    <w:tmpl w:val="720CB5C6"/>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2" w15:restartNumberingAfterBreak="0">
    <w:nsid w:val="2E7624DC"/>
    <w:multiLevelType w:val="hybridMultilevel"/>
    <w:tmpl w:val="BAA2899C"/>
    <w:lvl w:ilvl="0" w:tplc="F974663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D9"/>
    <w:rsid w:val="001429E7"/>
    <w:rsid w:val="0016192E"/>
    <w:rsid w:val="0018095E"/>
    <w:rsid w:val="001A68FF"/>
    <w:rsid w:val="002A0BCE"/>
    <w:rsid w:val="00321B40"/>
    <w:rsid w:val="00334D36"/>
    <w:rsid w:val="00406767"/>
    <w:rsid w:val="004A1CC9"/>
    <w:rsid w:val="004F0053"/>
    <w:rsid w:val="004F6BE9"/>
    <w:rsid w:val="005731C4"/>
    <w:rsid w:val="00594E36"/>
    <w:rsid w:val="00687316"/>
    <w:rsid w:val="00761003"/>
    <w:rsid w:val="007D2D7D"/>
    <w:rsid w:val="00810B56"/>
    <w:rsid w:val="008A1584"/>
    <w:rsid w:val="009B3130"/>
    <w:rsid w:val="00A60C34"/>
    <w:rsid w:val="00A87106"/>
    <w:rsid w:val="00AF253E"/>
    <w:rsid w:val="00B07974"/>
    <w:rsid w:val="00B248D9"/>
    <w:rsid w:val="00C7249E"/>
    <w:rsid w:val="00CB2ADC"/>
    <w:rsid w:val="00CE32F9"/>
    <w:rsid w:val="00D17B64"/>
    <w:rsid w:val="00D72585"/>
    <w:rsid w:val="00D92B19"/>
    <w:rsid w:val="00E34D43"/>
    <w:rsid w:val="00E37F39"/>
    <w:rsid w:val="00ED24DC"/>
    <w:rsid w:val="00F3371D"/>
    <w:rsid w:val="00FA580E"/>
    <w:rsid w:val="00FF1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DF3E"/>
  <w15:chartTrackingRefBased/>
  <w15:docId w15:val="{5350A731-1A43-F14A-AAC4-41A86D40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248D9"/>
    <w:pPr>
      <w:spacing w:after="160" w:line="259" w:lineRule="auto"/>
      <w:jc w:val="both"/>
    </w:pPr>
    <w:rPr>
      <w:rFonts w:ascii="Calibri" w:eastAsia="Times New Roman" w:hAnsi="Calibri" w:cs="Times New Roman"/>
      <w:szCs w:val="22"/>
      <w:lang w:val="en-US"/>
    </w:rPr>
  </w:style>
  <w:style w:type="paragraph" w:styleId="berschrift1">
    <w:name w:val="heading 1"/>
    <w:basedOn w:val="Standard"/>
    <w:next w:val="Standard"/>
    <w:link w:val="berschrift1Zchn"/>
    <w:uiPriority w:val="99"/>
    <w:qFormat/>
    <w:rsid w:val="00B248D9"/>
    <w:pPr>
      <w:keepNext/>
      <w:keepLines/>
      <w:numPr>
        <w:numId w:val="1"/>
      </w:numPr>
      <w:pBdr>
        <w:bottom w:val="single" w:sz="4" w:space="1" w:color="595959"/>
      </w:pBdr>
      <w:spacing w:after="360"/>
      <w:outlineLvl w:val="0"/>
    </w:pPr>
    <w:rPr>
      <w:rFonts w:ascii="Calibri Light" w:hAnsi="Calibri Light"/>
      <w:b/>
      <w:bCs/>
      <w:smallCaps/>
      <w:color w:val="000000"/>
      <w:sz w:val="36"/>
      <w:szCs w:val="36"/>
    </w:rPr>
  </w:style>
  <w:style w:type="paragraph" w:styleId="berschrift2">
    <w:name w:val="heading 2"/>
    <w:basedOn w:val="Standard"/>
    <w:next w:val="Standard"/>
    <w:link w:val="berschrift2Zchn"/>
    <w:uiPriority w:val="99"/>
    <w:qFormat/>
    <w:rsid w:val="00B248D9"/>
    <w:pPr>
      <w:keepNext/>
      <w:keepLines/>
      <w:numPr>
        <w:ilvl w:val="1"/>
        <w:numId w:val="1"/>
      </w:numPr>
      <w:spacing w:after="120"/>
      <w:outlineLvl w:val="1"/>
    </w:pPr>
    <w:rPr>
      <w:rFonts w:ascii="Calibri Light" w:hAnsi="Calibri Light"/>
      <w:b/>
      <w:bCs/>
      <w:smallCaps/>
      <w:color w:val="000000"/>
      <w:sz w:val="28"/>
      <w:szCs w:val="28"/>
    </w:rPr>
  </w:style>
  <w:style w:type="paragraph" w:styleId="berschrift3">
    <w:name w:val="heading 3"/>
    <w:basedOn w:val="Standard"/>
    <w:next w:val="Standard"/>
    <w:link w:val="berschrift3Zchn"/>
    <w:uiPriority w:val="99"/>
    <w:qFormat/>
    <w:rsid w:val="00B248D9"/>
    <w:pPr>
      <w:keepNext/>
      <w:keepLines/>
      <w:numPr>
        <w:ilvl w:val="2"/>
        <w:numId w:val="1"/>
      </w:numPr>
      <w:spacing w:before="200" w:after="0"/>
      <w:outlineLvl w:val="2"/>
    </w:pPr>
    <w:rPr>
      <w:rFonts w:ascii="Calibri Light" w:hAnsi="Calibri Light"/>
      <w:b/>
      <w:bCs/>
      <w:color w:val="000000"/>
    </w:rPr>
  </w:style>
  <w:style w:type="paragraph" w:styleId="berschrift4">
    <w:name w:val="heading 4"/>
    <w:basedOn w:val="Standard"/>
    <w:next w:val="Standard"/>
    <w:link w:val="berschrift4Zchn"/>
    <w:uiPriority w:val="99"/>
    <w:qFormat/>
    <w:rsid w:val="00B248D9"/>
    <w:pPr>
      <w:keepNext/>
      <w:keepLines/>
      <w:numPr>
        <w:ilvl w:val="3"/>
        <w:numId w:val="1"/>
      </w:numPr>
      <w:spacing w:before="200" w:after="0"/>
      <w:outlineLvl w:val="3"/>
    </w:pPr>
    <w:rPr>
      <w:rFonts w:ascii="Calibri Light" w:hAnsi="Calibri Light"/>
      <w:b/>
      <w:bCs/>
      <w:i/>
      <w:iCs/>
      <w:color w:val="000000"/>
    </w:rPr>
  </w:style>
  <w:style w:type="paragraph" w:styleId="berschrift5">
    <w:name w:val="heading 5"/>
    <w:basedOn w:val="Standard"/>
    <w:next w:val="Standard"/>
    <w:link w:val="berschrift5Zchn"/>
    <w:uiPriority w:val="99"/>
    <w:qFormat/>
    <w:rsid w:val="00B248D9"/>
    <w:pPr>
      <w:keepNext/>
      <w:keepLines/>
      <w:numPr>
        <w:ilvl w:val="4"/>
        <w:numId w:val="1"/>
      </w:numPr>
      <w:spacing w:before="200" w:after="0"/>
      <w:outlineLvl w:val="4"/>
    </w:pPr>
    <w:rPr>
      <w:rFonts w:ascii="Calibri Light" w:hAnsi="Calibri Light"/>
      <w:color w:val="323E4F"/>
    </w:rPr>
  </w:style>
  <w:style w:type="paragraph" w:styleId="berschrift6">
    <w:name w:val="heading 6"/>
    <w:basedOn w:val="Standard"/>
    <w:next w:val="Standard"/>
    <w:link w:val="berschrift6Zchn"/>
    <w:uiPriority w:val="99"/>
    <w:qFormat/>
    <w:rsid w:val="00B248D9"/>
    <w:pPr>
      <w:keepNext/>
      <w:keepLines/>
      <w:numPr>
        <w:ilvl w:val="5"/>
        <w:numId w:val="1"/>
      </w:numPr>
      <w:spacing w:before="200" w:after="0"/>
      <w:outlineLvl w:val="5"/>
    </w:pPr>
    <w:rPr>
      <w:rFonts w:ascii="Calibri Light" w:hAnsi="Calibri Light"/>
      <w:i/>
      <w:iCs/>
      <w:color w:val="323E4F"/>
    </w:rPr>
  </w:style>
  <w:style w:type="paragraph" w:styleId="berschrift7">
    <w:name w:val="heading 7"/>
    <w:basedOn w:val="Standard"/>
    <w:next w:val="Standard"/>
    <w:link w:val="berschrift7Zchn"/>
    <w:uiPriority w:val="99"/>
    <w:qFormat/>
    <w:rsid w:val="00B248D9"/>
    <w:pPr>
      <w:keepNext/>
      <w:keepLines/>
      <w:numPr>
        <w:ilvl w:val="6"/>
        <w:numId w:val="1"/>
      </w:numPr>
      <w:spacing w:before="200" w:after="0"/>
      <w:outlineLvl w:val="6"/>
    </w:pPr>
    <w:rPr>
      <w:rFonts w:ascii="Calibri Light" w:hAnsi="Calibri Light"/>
      <w:i/>
      <w:iCs/>
      <w:color w:val="404040"/>
    </w:rPr>
  </w:style>
  <w:style w:type="paragraph" w:styleId="berschrift8">
    <w:name w:val="heading 8"/>
    <w:basedOn w:val="Standard"/>
    <w:next w:val="Standard"/>
    <w:link w:val="berschrift8Zchn"/>
    <w:uiPriority w:val="99"/>
    <w:qFormat/>
    <w:rsid w:val="00B248D9"/>
    <w:pPr>
      <w:keepNext/>
      <w:keepLines/>
      <w:numPr>
        <w:ilvl w:val="7"/>
        <w:numId w:val="1"/>
      </w:numPr>
      <w:spacing w:before="200" w:after="0"/>
      <w:outlineLvl w:val="7"/>
    </w:pPr>
    <w:rPr>
      <w:rFonts w:ascii="Calibri Light" w:hAnsi="Calibri Light"/>
      <w:color w:val="404040"/>
      <w:sz w:val="20"/>
      <w:szCs w:val="20"/>
    </w:rPr>
  </w:style>
  <w:style w:type="paragraph" w:styleId="berschrift9">
    <w:name w:val="heading 9"/>
    <w:basedOn w:val="Standard"/>
    <w:next w:val="Standard"/>
    <w:link w:val="berschrift9Zchn"/>
    <w:uiPriority w:val="99"/>
    <w:qFormat/>
    <w:rsid w:val="00B248D9"/>
    <w:pPr>
      <w:keepNext/>
      <w:keepLines/>
      <w:numPr>
        <w:ilvl w:val="8"/>
        <w:numId w:val="1"/>
      </w:numPr>
      <w:spacing w:before="200" w:after="0"/>
      <w:outlineLvl w:val="8"/>
    </w:pPr>
    <w:rPr>
      <w:rFonts w:ascii="Calibri Light"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B248D9"/>
    <w:rPr>
      <w:rFonts w:ascii="Calibri Light" w:eastAsia="Times New Roman" w:hAnsi="Calibri Light" w:cs="Times New Roman"/>
      <w:b/>
      <w:bCs/>
      <w:smallCaps/>
      <w:color w:val="000000"/>
      <w:sz w:val="36"/>
      <w:szCs w:val="36"/>
      <w:lang w:val="en-US"/>
    </w:rPr>
  </w:style>
  <w:style w:type="character" w:customStyle="1" w:styleId="berschrift2Zchn">
    <w:name w:val="Überschrift 2 Zchn"/>
    <w:basedOn w:val="Absatz-Standardschriftart"/>
    <w:link w:val="berschrift2"/>
    <w:uiPriority w:val="99"/>
    <w:rsid w:val="00B248D9"/>
    <w:rPr>
      <w:rFonts w:ascii="Calibri Light" w:eastAsia="Times New Roman" w:hAnsi="Calibri Light" w:cs="Times New Roman"/>
      <w:b/>
      <w:bCs/>
      <w:smallCaps/>
      <w:color w:val="000000"/>
      <w:sz w:val="28"/>
      <w:szCs w:val="28"/>
      <w:lang w:val="en-US"/>
    </w:rPr>
  </w:style>
  <w:style w:type="character" w:customStyle="1" w:styleId="berschrift3Zchn">
    <w:name w:val="Überschrift 3 Zchn"/>
    <w:basedOn w:val="Absatz-Standardschriftart"/>
    <w:link w:val="berschrift3"/>
    <w:uiPriority w:val="99"/>
    <w:rsid w:val="00B248D9"/>
    <w:rPr>
      <w:rFonts w:ascii="Calibri Light" w:eastAsia="Times New Roman" w:hAnsi="Calibri Light" w:cs="Times New Roman"/>
      <w:b/>
      <w:bCs/>
      <w:color w:val="000000"/>
      <w:szCs w:val="22"/>
      <w:lang w:val="en-US"/>
    </w:rPr>
  </w:style>
  <w:style w:type="character" w:customStyle="1" w:styleId="berschrift4Zchn">
    <w:name w:val="Überschrift 4 Zchn"/>
    <w:basedOn w:val="Absatz-Standardschriftart"/>
    <w:link w:val="berschrift4"/>
    <w:uiPriority w:val="99"/>
    <w:rsid w:val="00B248D9"/>
    <w:rPr>
      <w:rFonts w:ascii="Calibri Light" w:eastAsia="Times New Roman" w:hAnsi="Calibri Light" w:cs="Times New Roman"/>
      <w:b/>
      <w:bCs/>
      <w:i/>
      <w:iCs/>
      <w:color w:val="000000"/>
      <w:szCs w:val="22"/>
      <w:lang w:val="en-US"/>
    </w:rPr>
  </w:style>
  <w:style w:type="character" w:customStyle="1" w:styleId="berschrift5Zchn">
    <w:name w:val="Überschrift 5 Zchn"/>
    <w:basedOn w:val="Absatz-Standardschriftart"/>
    <w:link w:val="berschrift5"/>
    <w:uiPriority w:val="99"/>
    <w:rsid w:val="00B248D9"/>
    <w:rPr>
      <w:rFonts w:ascii="Calibri Light" w:eastAsia="Times New Roman" w:hAnsi="Calibri Light" w:cs="Times New Roman"/>
      <w:color w:val="323E4F"/>
      <w:szCs w:val="22"/>
      <w:lang w:val="en-US"/>
    </w:rPr>
  </w:style>
  <w:style w:type="character" w:customStyle="1" w:styleId="berschrift6Zchn">
    <w:name w:val="Überschrift 6 Zchn"/>
    <w:basedOn w:val="Absatz-Standardschriftart"/>
    <w:link w:val="berschrift6"/>
    <w:uiPriority w:val="99"/>
    <w:rsid w:val="00B248D9"/>
    <w:rPr>
      <w:rFonts w:ascii="Calibri Light" w:eastAsia="Times New Roman" w:hAnsi="Calibri Light" w:cs="Times New Roman"/>
      <w:i/>
      <w:iCs/>
      <w:color w:val="323E4F"/>
      <w:szCs w:val="22"/>
      <w:lang w:val="en-US"/>
    </w:rPr>
  </w:style>
  <w:style w:type="character" w:customStyle="1" w:styleId="berschrift7Zchn">
    <w:name w:val="Überschrift 7 Zchn"/>
    <w:basedOn w:val="Absatz-Standardschriftart"/>
    <w:link w:val="berschrift7"/>
    <w:uiPriority w:val="99"/>
    <w:rsid w:val="00B248D9"/>
    <w:rPr>
      <w:rFonts w:ascii="Calibri Light" w:eastAsia="Times New Roman" w:hAnsi="Calibri Light" w:cs="Times New Roman"/>
      <w:i/>
      <w:iCs/>
      <w:color w:val="404040"/>
      <w:szCs w:val="22"/>
      <w:lang w:val="en-US"/>
    </w:rPr>
  </w:style>
  <w:style w:type="character" w:customStyle="1" w:styleId="berschrift8Zchn">
    <w:name w:val="Überschrift 8 Zchn"/>
    <w:basedOn w:val="Absatz-Standardschriftart"/>
    <w:link w:val="berschrift8"/>
    <w:uiPriority w:val="99"/>
    <w:rsid w:val="00B248D9"/>
    <w:rPr>
      <w:rFonts w:ascii="Calibri Light" w:eastAsia="Times New Roman" w:hAnsi="Calibri Light" w:cs="Times New Roman"/>
      <w:color w:val="404040"/>
      <w:sz w:val="20"/>
      <w:szCs w:val="20"/>
      <w:lang w:val="en-US"/>
    </w:rPr>
  </w:style>
  <w:style w:type="character" w:customStyle="1" w:styleId="berschrift9Zchn">
    <w:name w:val="Überschrift 9 Zchn"/>
    <w:basedOn w:val="Absatz-Standardschriftart"/>
    <w:link w:val="berschrift9"/>
    <w:uiPriority w:val="99"/>
    <w:rsid w:val="00B248D9"/>
    <w:rPr>
      <w:rFonts w:ascii="Calibri Light" w:eastAsia="Times New Roman" w:hAnsi="Calibri Light" w:cs="Times New Roman"/>
      <w:i/>
      <w:iCs/>
      <w:color w:val="404040"/>
      <w:sz w:val="20"/>
      <w:szCs w:val="20"/>
      <w:lang w:val="en-US"/>
    </w:rPr>
  </w:style>
  <w:style w:type="paragraph" w:styleId="Listenabsatz">
    <w:name w:val="List Paragraph"/>
    <w:basedOn w:val="Standard"/>
    <w:uiPriority w:val="99"/>
    <w:qFormat/>
    <w:rsid w:val="00B248D9"/>
    <w:pPr>
      <w:ind w:left="720"/>
      <w:contextualSpacing/>
    </w:pPr>
  </w:style>
  <w:style w:type="paragraph" w:styleId="berarbeitung">
    <w:name w:val="Revision"/>
    <w:hidden/>
    <w:uiPriority w:val="99"/>
    <w:semiHidden/>
    <w:rsid w:val="004F0053"/>
    <w:rPr>
      <w:rFonts w:ascii="Calibri" w:eastAsia="Times New Roman" w:hAnsi="Calibri" w:cs="Times New Roman"/>
      <w:szCs w:val="22"/>
      <w:lang w:val="en-US"/>
    </w:rPr>
  </w:style>
  <w:style w:type="character" w:styleId="Kommentarzeichen">
    <w:name w:val="annotation reference"/>
    <w:basedOn w:val="Absatz-Standardschriftart"/>
    <w:uiPriority w:val="99"/>
    <w:semiHidden/>
    <w:unhideWhenUsed/>
    <w:rsid w:val="00D72585"/>
    <w:rPr>
      <w:sz w:val="16"/>
      <w:szCs w:val="16"/>
    </w:rPr>
  </w:style>
  <w:style w:type="paragraph" w:styleId="Kommentartext">
    <w:name w:val="annotation text"/>
    <w:basedOn w:val="Standard"/>
    <w:link w:val="KommentartextZchn"/>
    <w:uiPriority w:val="99"/>
    <w:semiHidden/>
    <w:unhideWhenUsed/>
    <w:rsid w:val="00D725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2585"/>
    <w:rPr>
      <w:rFonts w:ascii="Calibri" w:eastAsia="Times New Roman"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D72585"/>
    <w:rPr>
      <w:b/>
      <w:bCs/>
    </w:rPr>
  </w:style>
  <w:style w:type="character" w:customStyle="1" w:styleId="KommentarthemaZchn">
    <w:name w:val="Kommentarthema Zchn"/>
    <w:basedOn w:val="KommentartextZchn"/>
    <w:link w:val="Kommentarthema"/>
    <w:uiPriority w:val="99"/>
    <w:semiHidden/>
    <w:rsid w:val="00D72585"/>
    <w:rPr>
      <w:rFonts w:ascii="Calibri" w:eastAsia="Times New Roman" w:hAnsi="Calibri" w:cs="Times New Roman"/>
      <w:b/>
      <w:bCs/>
      <w:sz w:val="20"/>
      <w:szCs w:val="20"/>
      <w:lang w:val="en-US"/>
    </w:rPr>
  </w:style>
  <w:style w:type="paragraph" w:styleId="Sprechblasentext">
    <w:name w:val="Balloon Text"/>
    <w:basedOn w:val="Standard"/>
    <w:link w:val="SprechblasentextZchn"/>
    <w:uiPriority w:val="99"/>
    <w:semiHidden/>
    <w:unhideWhenUsed/>
    <w:rsid w:val="00D7258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258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1CB6-2C9F-4C40-8EF9-10AB6979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5435</Words>
  <Characters>34247</Characters>
  <Application>Microsoft Office Word</Application>
  <DocSecurity>0</DocSecurity>
  <Lines>285</Lines>
  <Paragraphs>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Daniel Kraemer</dc:creator>
  <cp:keywords/>
  <dc:description/>
  <cp:lastModifiedBy>Stefan Daniel Kraemer</cp:lastModifiedBy>
  <cp:revision>3</cp:revision>
  <dcterms:created xsi:type="dcterms:W3CDTF">2019-07-10T19:38:00Z</dcterms:created>
  <dcterms:modified xsi:type="dcterms:W3CDTF">2019-07-10T19:38:00Z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http://www.zotero.org/styles/database</vt:lpwstr>
  </property>
  <property fmtid="{D5CDD505-2E9C-101B-9397-08002B2CF9AE}" pid="11" name="Mendeley Recent Style Name 4_1">
    <vt:lpwstr>Database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http://www.zotero.org/styles/science</vt:lpwstr>
  </property>
  <property fmtid="{D5CDD505-2E9C-101B-9397-08002B2CF9AE}" pid="17" name="Mendeley Recent Style Name 7_1">
    <vt:lpwstr>Science</vt:lpwstr>
  </property>
  <property fmtid="{D5CDD505-2E9C-101B-9397-08002B2CF9AE}" pid="18" name="Mendeley Recent Style Id 8_1">
    <vt:lpwstr>http://www.zotero.org/styles/science-advances</vt:lpwstr>
  </property>
  <property fmtid="{D5CDD505-2E9C-101B-9397-08002B2CF9AE}" pid="19" name="Mendeley Recent Style Name 8_1">
    <vt:lpwstr>Science Advances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76d6a883-dda8-3ba4-bab8-7b7df662de93</vt:lpwstr>
  </property>
  <property fmtid="{D5CDD505-2E9C-101B-9397-08002B2CF9AE}" pid="24" name="Mendeley Citation Style_1">
    <vt:lpwstr>http://www.zotero.org/styles/database</vt:lpwstr>
  </property>
</Properties>
</file>