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C5" w:rsidRPr="009355D7" w:rsidRDefault="000703C5" w:rsidP="000703C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355D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</w:t>
      </w:r>
      <w:r w:rsidR="00233974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Tables</w:t>
      </w:r>
      <w:bookmarkStart w:id="0" w:name="_GoBack"/>
      <w:bookmarkEnd w:id="0"/>
    </w:p>
    <w:p w:rsidR="0074371F" w:rsidRDefault="000703C5" w:rsidP="000703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3C5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S1.</w:t>
      </w:r>
      <w:r w:rsidRPr="000703C5">
        <w:rPr>
          <w:rFonts w:ascii="Times New Roman" w:hAnsi="Times New Roman" w:cs="Times New Roman"/>
          <w:sz w:val="24"/>
          <w:szCs w:val="24"/>
          <w:lang w:val="en-US"/>
        </w:rPr>
        <w:t xml:space="preserve"> Known </w:t>
      </w:r>
      <w:proofErr w:type="spellStart"/>
      <w:r w:rsidRPr="000703C5">
        <w:rPr>
          <w:rFonts w:ascii="Times New Roman" w:hAnsi="Times New Roman" w:cs="Times New Roman"/>
          <w:sz w:val="24"/>
          <w:szCs w:val="24"/>
          <w:lang w:val="en-US"/>
        </w:rPr>
        <w:t>acetogens</w:t>
      </w:r>
      <w:proofErr w:type="spellEnd"/>
      <w:r w:rsidRPr="000703C5">
        <w:rPr>
          <w:rFonts w:ascii="Times New Roman" w:hAnsi="Times New Roman" w:cs="Times New Roman"/>
          <w:sz w:val="24"/>
          <w:szCs w:val="24"/>
          <w:lang w:val="en-US"/>
        </w:rPr>
        <w:t xml:space="preserve"> according to Drake, </w:t>
      </w:r>
      <w:proofErr w:type="spellStart"/>
      <w:r w:rsidRPr="000703C5">
        <w:rPr>
          <w:rFonts w:ascii="Times New Roman" w:hAnsi="Times New Roman" w:cs="Times New Roman"/>
          <w:sz w:val="24"/>
          <w:szCs w:val="24"/>
          <w:lang w:val="en-US"/>
        </w:rPr>
        <w:t>Gößner</w:t>
      </w:r>
      <w:proofErr w:type="spellEnd"/>
      <w:r w:rsidRPr="000703C5">
        <w:rPr>
          <w:rFonts w:ascii="Times New Roman" w:hAnsi="Times New Roman" w:cs="Times New Roman"/>
          <w:sz w:val="24"/>
          <w:szCs w:val="24"/>
          <w:lang w:val="en-US"/>
        </w:rPr>
        <w:t xml:space="preserve"> and Daniel (2008); used for multiple sequence alignment to deduce amino acid sequence residue sequence conservation and for profile HMM analysis</w:t>
      </w:r>
    </w:p>
    <w:tbl>
      <w:tblPr>
        <w:tblStyle w:val="TableGrid"/>
        <w:tblW w:w="4720" w:type="dxa"/>
        <w:tblLook w:val="04A0" w:firstRow="1" w:lastRow="0" w:firstColumn="1" w:lastColumn="0" w:noHBand="0" w:noVBand="1"/>
      </w:tblPr>
      <w:tblGrid>
        <w:gridCol w:w="960"/>
        <w:gridCol w:w="3760"/>
      </w:tblGrid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77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37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355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Acetogen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Acetitomaculum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ruminis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Acetoanaerobium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noterae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Acetobacterium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bakii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Acetobacterium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dehalogenans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Acetobacterium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wieringae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Acetobacterium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woodii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Acetohalobium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arabaticum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Acetonema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longum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Blautia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hydrogenotrophica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Blautia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producta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Butyribacterium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methylotrophicum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Caloramator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fervidus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Clostridioides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difficile</w:t>
            </w:r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Clostridium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aceticum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Clostridium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autoethanogenum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Clostridium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carboxidivorans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Clostridium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drakei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Clostridium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formicaceticum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Clostridium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ljungdahlii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Clostridium magnum</w:t>
            </w:r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Clostridium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scatologenes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Clostridium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ultunense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Eubacterium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aggregans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Eubacterium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limosum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Holophaga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foetida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Marvinbryantia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formatexigens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Moorella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glycerini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Moorella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mulderi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Moorella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thermoacetica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Oxobacter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pfennigii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Sporomusa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acidovorans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Sporomusa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malonica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Sporomusa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silvacetica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Sporomusa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sphaeroides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Terrisporobacter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glycolicus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Thermacetogenium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phaeum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Thermoanaerobacter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kivui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Tindallia</w:t>
            </w:r>
            <w:proofErr w:type="spellEnd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californiensis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Treponema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azotonutricium</w:t>
            </w:r>
            <w:proofErr w:type="spellEnd"/>
          </w:p>
        </w:tc>
      </w:tr>
      <w:tr w:rsidR="000703C5" w:rsidRPr="00A70708" w:rsidTr="006E04B8">
        <w:trPr>
          <w:trHeight w:val="283"/>
        </w:trPr>
        <w:tc>
          <w:tcPr>
            <w:tcW w:w="960" w:type="dxa"/>
            <w:noWrap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760" w:type="dxa"/>
            <w:noWrap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Treponema </w:t>
            </w:r>
            <w:proofErr w:type="spellStart"/>
            <w:r w:rsidRPr="006C566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primitia</w:t>
            </w:r>
            <w:proofErr w:type="spellEnd"/>
          </w:p>
        </w:tc>
      </w:tr>
    </w:tbl>
    <w:p w:rsidR="000703C5" w:rsidRDefault="000703C5" w:rsidP="000703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3C5" w:rsidRPr="000703C5" w:rsidRDefault="000703C5" w:rsidP="000703C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03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S2. </w:t>
      </w:r>
      <w:r w:rsidRPr="000703C5">
        <w:rPr>
          <w:rFonts w:ascii="Times New Roman" w:hAnsi="Times New Roman" w:cs="Times New Roman"/>
          <w:sz w:val="24"/>
          <w:szCs w:val="24"/>
          <w:lang w:val="en-US"/>
        </w:rPr>
        <w:t>KEGG pathway module and list of enzymes involved in the Wood-Ljungdahl pathway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5358"/>
        <w:gridCol w:w="1448"/>
        <w:gridCol w:w="849"/>
      </w:tblGrid>
      <w:tr w:rsidR="006F5682" w:rsidRPr="00A70708" w:rsidTr="006276E3">
        <w:trPr>
          <w:trHeight w:val="113"/>
        </w:trPr>
        <w:tc>
          <w:tcPr>
            <w:tcW w:w="1838" w:type="dxa"/>
            <w:hideMark/>
          </w:tcPr>
          <w:p w:rsidR="006F5682" w:rsidRPr="009355D7" w:rsidRDefault="006F5682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KEGG Module</w:t>
            </w:r>
          </w:p>
        </w:tc>
        <w:tc>
          <w:tcPr>
            <w:tcW w:w="7655" w:type="dxa"/>
            <w:gridSpan w:val="3"/>
            <w:hideMark/>
          </w:tcPr>
          <w:p w:rsidR="006F5682" w:rsidRPr="009355D7" w:rsidRDefault="006F5682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M00377</w:t>
            </w:r>
          </w:p>
        </w:tc>
      </w:tr>
      <w:tr w:rsidR="006F5682" w:rsidRPr="006F5682" w:rsidTr="00EF440A">
        <w:trPr>
          <w:trHeight w:val="113"/>
        </w:trPr>
        <w:tc>
          <w:tcPr>
            <w:tcW w:w="1838" w:type="dxa"/>
            <w:hideMark/>
          </w:tcPr>
          <w:p w:rsidR="006F5682" w:rsidRPr="009355D7" w:rsidRDefault="006F5682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655" w:type="dxa"/>
            <w:gridSpan w:val="3"/>
            <w:hideMark/>
          </w:tcPr>
          <w:p w:rsidR="006F5682" w:rsidRPr="009355D7" w:rsidRDefault="006F5682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Reductive acetyl-CoA pathway (Wood-Ljungdahl pathway)</w:t>
            </w:r>
          </w:p>
        </w:tc>
      </w:tr>
      <w:tr w:rsidR="000703C5" w:rsidRPr="00A70708" w:rsidTr="006E04B8">
        <w:trPr>
          <w:trHeight w:val="113"/>
        </w:trPr>
        <w:tc>
          <w:tcPr>
            <w:tcW w:w="1838" w:type="dxa"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KEGG </w:t>
            </w:r>
            <w:proofErr w:type="spellStart"/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Orthology</w:t>
            </w:r>
            <w:proofErr w:type="spellEnd"/>
          </w:p>
        </w:tc>
        <w:tc>
          <w:tcPr>
            <w:tcW w:w="5358" w:type="dxa"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Enzyme:</w:t>
            </w:r>
          </w:p>
        </w:tc>
        <w:tc>
          <w:tcPr>
            <w:tcW w:w="1448" w:type="dxa"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 number</w:t>
            </w:r>
          </w:p>
        </w:tc>
        <w:tc>
          <w:tcPr>
            <w:tcW w:w="849" w:type="dxa"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</w:t>
            </w:r>
          </w:p>
        </w:tc>
      </w:tr>
      <w:tr w:rsidR="000703C5" w:rsidRPr="00A70708" w:rsidTr="006E04B8">
        <w:trPr>
          <w:trHeight w:val="113"/>
        </w:trPr>
        <w:tc>
          <w:tcPr>
            <w:tcW w:w="1838" w:type="dxa"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K01491</w:t>
            </w:r>
          </w:p>
        </w:tc>
        <w:tc>
          <w:tcPr>
            <w:tcW w:w="5358" w:type="dxa"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methylenetetrahydrofolate dehydrogenase (NADP+)</w:t>
            </w:r>
          </w:p>
        </w:tc>
        <w:tc>
          <w:tcPr>
            <w:tcW w:w="1448" w:type="dxa"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EC:1.5.1.5</w:t>
            </w:r>
          </w:p>
        </w:tc>
        <w:tc>
          <w:tcPr>
            <w:tcW w:w="849" w:type="dxa"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folD</w:t>
            </w:r>
            <w:proofErr w:type="spellEnd"/>
          </w:p>
        </w:tc>
      </w:tr>
      <w:tr w:rsidR="000703C5" w:rsidRPr="009355D7" w:rsidTr="006E04B8">
        <w:trPr>
          <w:trHeight w:val="113"/>
        </w:trPr>
        <w:tc>
          <w:tcPr>
            <w:tcW w:w="183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K01491</w:t>
            </w:r>
          </w:p>
        </w:tc>
        <w:tc>
          <w:tcPr>
            <w:tcW w:w="535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methenyltetrahydrofolate</w:t>
            </w:r>
            <w:proofErr w:type="spellEnd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cyclohydrolase</w:t>
            </w:r>
            <w:proofErr w:type="spellEnd"/>
          </w:p>
        </w:tc>
        <w:tc>
          <w:tcPr>
            <w:tcW w:w="144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EC:1.5.1.5</w:t>
            </w:r>
          </w:p>
        </w:tc>
        <w:tc>
          <w:tcPr>
            <w:tcW w:w="849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folD</w:t>
            </w:r>
            <w:proofErr w:type="spellEnd"/>
          </w:p>
        </w:tc>
      </w:tr>
      <w:tr w:rsidR="000703C5" w:rsidRPr="009355D7" w:rsidTr="006E04B8">
        <w:trPr>
          <w:trHeight w:val="113"/>
        </w:trPr>
        <w:tc>
          <w:tcPr>
            <w:tcW w:w="183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K00197/K00194</w:t>
            </w:r>
          </w:p>
        </w:tc>
        <w:tc>
          <w:tcPr>
            <w:tcW w:w="535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acetyl-CoA </w:t>
            </w: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decarbonylase</w:t>
            </w:r>
            <w:proofErr w:type="spellEnd"/>
          </w:p>
        </w:tc>
        <w:tc>
          <w:tcPr>
            <w:tcW w:w="144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EC:2.1.1.245</w:t>
            </w:r>
          </w:p>
        </w:tc>
        <w:tc>
          <w:tcPr>
            <w:tcW w:w="849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cdh</w:t>
            </w:r>
            <w:proofErr w:type="spellEnd"/>
          </w:p>
        </w:tc>
      </w:tr>
      <w:tr w:rsidR="000703C5" w:rsidRPr="009355D7" w:rsidTr="006E04B8">
        <w:trPr>
          <w:trHeight w:val="113"/>
        </w:trPr>
        <w:tc>
          <w:tcPr>
            <w:tcW w:w="183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K15023</w:t>
            </w:r>
          </w:p>
        </w:tc>
        <w:tc>
          <w:tcPr>
            <w:tcW w:w="5358" w:type="dxa"/>
            <w:hideMark/>
          </w:tcPr>
          <w:p w:rsidR="000703C5" w:rsidRPr="009355D7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5-methyltetrahydrofolate </w:t>
            </w:r>
            <w:proofErr w:type="spellStart"/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corrinoid</w:t>
            </w:r>
            <w:proofErr w:type="spellEnd"/>
            <w:r w:rsidRPr="009355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/iron sulfur protein methyltransferase</w:t>
            </w:r>
          </w:p>
        </w:tc>
        <w:tc>
          <w:tcPr>
            <w:tcW w:w="144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EC:2.1.1.258</w:t>
            </w:r>
          </w:p>
        </w:tc>
        <w:tc>
          <w:tcPr>
            <w:tcW w:w="849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acsE</w:t>
            </w:r>
            <w:proofErr w:type="spellEnd"/>
          </w:p>
        </w:tc>
      </w:tr>
      <w:tr w:rsidR="000703C5" w:rsidRPr="009355D7" w:rsidTr="006E04B8">
        <w:trPr>
          <w:trHeight w:val="113"/>
        </w:trPr>
        <w:tc>
          <w:tcPr>
            <w:tcW w:w="183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K14138</w:t>
            </w:r>
          </w:p>
        </w:tc>
        <w:tc>
          <w:tcPr>
            <w:tcW w:w="535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acetyl-CoA synthase</w:t>
            </w:r>
          </w:p>
        </w:tc>
        <w:tc>
          <w:tcPr>
            <w:tcW w:w="144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EC:2.3.1.169</w:t>
            </w:r>
          </w:p>
        </w:tc>
        <w:tc>
          <w:tcPr>
            <w:tcW w:w="849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acsB</w:t>
            </w:r>
            <w:proofErr w:type="spellEnd"/>
          </w:p>
        </w:tc>
      </w:tr>
      <w:tr w:rsidR="000703C5" w:rsidRPr="009355D7" w:rsidTr="006E04B8">
        <w:trPr>
          <w:trHeight w:val="113"/>
        </w:trPr>
        <w:tc>
          <w:tcPr>
            <w:tcW w:w="183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K00297</w:t>
            </w:r>
          </w:p>
        </w:tc>
        <w:tc>
          <w:tcPr>
            <w:tcW w:w="535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methylenetetrahydrofolate reductase (NADPH)</w:t>
            </w:r>
          </w:p>
        </w:tc>
        <w:tc>
          <w:tcPr>
            <w:tcW w:w="144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EC:1.5.1.20</w:t>
            </w:r>
          </w:p>
        </w:tc>
        <w:tc>
          <w:tcPr>
            <w:tcW w:w="849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metF</w:t>
            </w:r>
            <w:proofErr w:type="spellEnd"/>
          </w:p>
        </w:tc>
      </w:tr>
      <w:tr w:rsidR="000703C5" w:rsidRPr="009355D7" w:rsidTr="006E04B8">
        <w:trPr>
          <w:trHeight w:val="113"/>
        </w:trPr>
        <w:tc>
          <w:tcPr>
            <w:tcW w:w="183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K00198</w:t>
            </w:r>
          </w:p>
        </w:tc>
        <w:tc>
          <w:tcPr>
            <w:tcW w:w="535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anaerobic carbon-monoxide dehydrogenase</w:t>
            </w:r>
          </w:p>
        </w:tc>
        <w:tc>
          <w:tcPr>
            <w:tcW w:w="144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EC:1.2.7.4</w:t>
            </w:r>
          </w:p>
        </w:tc>
        <w:tc>
          <w:tcPr>
            <w:tcW w:w="849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acsA</w:t>
            </w:r>
            <w:proofErr w:type="spellEnd"/>
          </w:p>
        </w:tc>
      </w:tr>
      <w:tr w:rsidR="000703C5" w:rsidRPr="009355D7" w:rsidTr="006E04B8">
        <w:trPr>
          <w:trHeight w:val="113"/>
        </w:trPr>
        <w:tc>
          <w:tcPr>
            <w:tcW w:w="183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K01938</w:t>
            </w:r>
          </w:p>
        </w:tc>
        <w:tc>
          <w:tcPr>
            <w:tcW w:w="535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formate</w:t>
            </w:r>
            <w:proofErr w:type="spellEnd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tetrahydrofolate ligase/</w:t>
            </w: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formyltetrahydrofolate</w:t>
            </w:r>
            <w:proofErr w:type="spellEnd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synthetase</w:t>
            </w:r>
          </w:p>
        </w:tc>
        <w:tc>
          <w:tcPr>
            <w:tcW w:w="144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EC:6.3.4.3</w:t>
            </w:r>
          </w:p>
        </w:tc>
        <w:tc>
          <w:tcPr>
            <w:tcW w:w="849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fhs</w:t>
            </w:r>
            <w:proofErr w:type="spellEnd"/>
          </w:p>
        </w:tc>
      </w:tr>
      <w:tr w:rsidR="000703C5" w:rsidRPr="009355D7" w:rsidTr="006E04B8">
        <w:trPr>
          <w:trHeight w:val="113"/>
        </w:trPr>
        <w:tc>
          <w:tcPr>
            <w:tcW w:w="183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K00925</w:t>
            </w:r>
          </w:p>
        </w:tc>
        <w:tc>
          <w:tcPr>
            <w:tcW w:w="535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acetate kinase</w:t>
            </w:r>
          </w:p>
        </w:tc>
        <w:tc>
          <w:tcPr>
            <w:tcW w:w="1448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EC:2.7.2.1</w:t>
            </w:r>
          </w:p>
        </w:tc>
        <w:tc>
          <w:tcPr>
            <w:tcW w:w="849" w:type="dxa"/>
            <w:hideMark/>
          </w:tcPr>
          <w:p w:rsidR="000703C5" w:rsidRPr="006C5661" w:rsidRDefault="000703C5" w:rsidP="006E04B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C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ack</w:t>
            </w:r>
            <w:proofErr w:type="spellEnd"/>
          </w:p>
        </w:tc>
      </w:tr>
    </w:tbl>
    <w:p w:rsidR="000703C5" w:rsidRPr="000703C5" w:rsidRDefault="000703C5" w:rsidP="000703C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03C5" w:rsidRPr="000703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45D3"/>
    <w:multiLevelType w:val="multilevel"/>
    <w:tmpl w:val="5772444A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F2"/>
    <w:rsid w:val="000703C5"/>
    <w:rsid w:val="001B4EC1"/>
    <w:rsid w:val="002020F2"/>
    <w:rsid w:val="00204C4F"/>
    <w:rsid w:val="00233974"/>
    <w:rsid w:val="004D0F0E"/>
    <w:rsid w:val="005B231B"/>
    <w:rsid w:val="006F5682"/>
    <w:rsid w:val="009C020C"/>
    <w:rsid w:val="009D3BC0"/>
    <w:rsid w:val="00A14A53"/>
    <w:rsid w:val="00A40548"/>
    <w:rsid w:val="00AC6E61"/>
    <w:rsid w:val="00AD0077"/>
    <w:rsid w:val="00AF1970"/>
    <w:rsid w:val="00B60AB3"/>
    <w:rsid w:val="00C32C5C"/>
    <w:rsid w:val="00C922DD"/>
    <w:rsid w:val="00CC7965"/>
    <w:rsid w:val="00D67F26"/>
    <w:rsid w:val="00DC6E9A"/>
    <w:rsid w:val="00DF5182"/>
    <w:rsid w:val="00E4751C"/>
    <w:rsid w:val="00F24538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09F8-48ED-4232-9B58-56244F6B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C5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548"/>
    <w:pPr>
      <w:numPr>
        <w:numId w:val="9"/>
      </w:numPr>
      <w:spacing w:before="480" w:after="0" w:line="480" w:lineRule="auto"/>
      <w:contextualSpacing/>
      <w:outlineLvl w:val="0"/>
    </w:pPr>
    <w:rPr>
      <w:rFonts w:ascii="Times New Roman" w:eastAsia="MS Gothic" w:hAnsi="Times New Roman" w:cs="Times New Roman"/>
      <w:noProof/>
      <w:spacing w:val="5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548"/>
    <w:pPr>
      <w:numPr>
        <w:ilvl w:val="1"/>
        <w:numId w:val="9"/>
      </w:numPr>
      <w:spacing w:before="200" w:after="0" w:line="271" w:lineRule="auto"/>
      <w:outlineLvl w:val="1"/>
    </w:pPr>
    <w:rPr>
      <w:rFonts w:ascii="Times New Roman" w:eastAsia="MS Gothic" w:hAnsi="Times New Roman" w:cs="Times New Roman"/>
      <w:noProof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548"/>
    <w:pPr>
      <w:numPr>
        <w:ilvl w:val="2"/>
        <w:numId w:val="9"/>
      </w:numPr>
      <w:spacing w:before="200" w:after="0" w:line="271" w:lineRule="auto"/>
      <w:outlineLvl w:val="2"/>
    </w:pPr>
    <w:rPr>
      <w:rFonts w:ascii="Times New Roman" w:eastAsia="MS Gothic" w:hAnsi="Times New Roman" w:cs="Times New Roman"/>
      <w:i/>
      <w:iCs/>
      <w:noProof/>
      <w:spacing w:val="5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548"/>
    <w:pPr>
      <w:numPr>
        <w:ilvl w:val="3"/>
        <w:numId w:val="9"/>
      </w:numPr>
      <w:spacing w:after="0" w:line="271" w:lineRule="auto"/>
      <w:outlineLvl w:val="3"/>
    </w:pPr>
    <w:rPr>
      <w:rFonts w:ascii="Times New Roman" w:eastAsia="MS Gothic" w:hAnsi="Times New Roman" w:cs="Times New Roman"/>
      <w:b/>
      <w:bCs/>
      <w:noProof/>
      <w:spacing w:val="5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548"/>
    <w:pPr>
      <w:numPr>
        <w:ilvl w:val="4"/>
        <w:numId w:val="9"/>
      </w:numPr>
      <w:spacing w:after="0" w:line="271" w:lineRule="auto"/>
      <w:outlineLvl w:val="4"/>
    </w:pPr>
    <w:rPr>
      <w:rFonts w:ascii="Times New Roman" w:eastAsia="MS Gothic" w:hAnsi="Times New Roman" w:cs="Times New Roman"/>
      <w:i/>
      <w:iCs/>
      <w:noProof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548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rFonts w:ascii="Times New Roman" w:eastAsia="MS Gothic" w:hAnsi="Times New Roman" w:cs="Times New Roman"/>
      <w:b/>
      <w:bCs/>
      <w:noProof/>
      <w:color w:val="595959" w:themeColor="text1" w:themeTint="A6"/>
      <w:spacing w:val="5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548"/>
    <w:pPr>
      <w:numPr>
        <w:ilvl w:val="6"/>
        <w:numId w:val="9"/>
      </w:numPr>
      <w:spacing w:after="0" w:line="480" w:lineRule="auto"/>
      <w:outlineLvl w:val="6"/>
    </w:pPr>
    <w:rPr>
      <w:rFonts w:ascii="Times New Roman" w:eastAsia="MS Gothic" w:hAnsi="Times New Roman" w:cs="Times New Roman"/>
      <w:b/>
      <w:bCs/>
      <w:i/>
      <w:iCs/>
      <w:noProof/>
      <w:color w:val="5A5A5A" w:themeColor="text1" w:themeTint="A5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548"/>
    <w:pPr>
      <w:numPr>
        <w:ilvl w:val="7"/>
        <w:numId w:val="9"/>
      </w:numPr>
      <w:spacing w:after="0" w:line="480" w:lineRule="auto"/>
      <w:outlineLvl w:val="7"/>
    </w:pPr>
    <w:rPr>
      <w:rFonts w:ascii="Times New Roman" w:eastAsia="MS Gothic" w:hAnsi="Times New Roman" w:cs="Times New Roman"/>
      <w:b/>
      <w:bCs/>
      <w:noProof/>
      <w:color w:val="7F7F7F" w:themeColor="text1" w:themeTint="8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548"/>
    <w:pPr>
      <w:numPr>
        <w:ilvl w:val="8"/>
        <w:numId w:val="9"/>
      </w:numPr>
      <w:spacing w:after="0" w:line="271" w:lineRule="auto"/>
      <w:outlineLvl w:val="8"/>
    </w:pPr>
    <w:rPr>
      <w:rFonts w:ascii="Times New Roman" w:eastAsia="MS Gothic" w:hAnsi="Times New Roman" w:cs="Times New Roman"/>
      <w:b/>
      <w:bCs/>
      <w:i/>
      <w:iCs/>
      <w:noProof/>
      <w:color w:val="7F7F7F" w:themeColor="text1" w:themeTint="80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65"/>
    <w:pPr>
      <w:spacing w:after="0" w:line="240" w:lineRule="auto"/>
    </w:pPr>
    <w:rPr>
      <w:rFonts w:ascii="Verdana" w:eastAsia="MS Gothic" w:hAnsi="Verdana" w:cs="Tahoma"/>
      <w:noProof/>
      <w:color w:val="00B05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65"/>
    <w:rPr>
      <w:rFonts w:ascii="Verdana" w:eastAsia="MS Gothic" w:hAnsi="Verdana" w:cs="Tahoma"/>
      <w:noProof/>
      <w:color w:val="00B050"/>
      <w:sz w:val="16"/>
      <w:szCs w:val="1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A40548"/>
    <w:pPr>
      <w:spacing w:after="0" w:line="480" w:lineRule="auto"/>
      <w:jc w:val="center"/>
    </w:pPr>
    <w:rPr>
      <w:rFonts w:ascii="Cambria" w:eastAsia="MS Gothic" w:hAnsi="Cambria" w:cs="Times New Roman"/>
      <w:noProof/>
      <w:lang w:val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A40548"/>
    <w:rPr>
      <w:rFonts w:ascii="Cambria" w:eastAsia="MS Gothic" w:hAnsi="Cambria" w:cs="Times New Roman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A40548"/>
    <w:pPr>
      <w:spacing w:after="0" w:line="240" w:lineRule="auto"/>
    </w:pPr>
    <w:rPr>
      <w:rFonts w:ascii="Cambria" w:eastAsia="MS Gothic" w:hAnsi="Cambria" w:cs="Times New Roman"/>
      <w:noProof/>
      <w:lang w:val="en-GB"/>
    </w:rPr>
  </w:style>
  <w:style w:type="character" w:customStyle="1" w:styleId="EndNoteBibliographyChar">
    <w:name w:val="EndNote Bibliography Char"/>
    <w:basedOn w:val="NoSpacingChar"/>
    <w:link w:val="EndNoteBibliography"/>
    <w:rsid w:val="00A40548"/>
    <w:rPr>
      <w:rFonts w:ascii="Cambria" w:eastAsia="MS Gothic" w:hAnsi="Cambria" w:cs="Times New Roman"/>
      <w:noProof/>
      <w:lang w:val="en-GB"/>
    </w:rPr>
  </w:style>
  <w:style w:type="paragraph" w:customStyle="1" w:styleId="Karinrapport">
    <w:name w:val="Karin rapport"/>
    <w:basedOn w:val="Normal"/>
    <w:link w:val="KarinrapportChar"/>
    <w:qFormat/>
    <w:rsid w:val="00A40548"/>
    <w:pPr>
      <w:spacing w:after="0" w:line="480" w:lineRule="auto"/>
    </w:pPr>
    <w:rPr>
      <w:rFonts w:ascii="Times New Roman" w:eastAsia="MS Gothic" w:hAnsi="Times New Roman" w:cs="Times New Roman"/>
      <w:noProof/>
      <w:lang w:val="en-US"/>
    </w:rPr>
  </w:style>
  <w:style w:type="character" w:customStyle="1" w:styleId="KarinrapportChar">
    <w:name w:val="Karin rapport Char"/>
    <w:basedOn w:val="DefaultParagraphFont"/>
    <w:link w:val="Karinrapport"/>
    <w:rsid w:val="00A40548"/>
    <w:rPr>
      <w:rFonts w:ascii="Times New Roman" w:eastAsia="MS Gothic" w:hAnsi="Times New Roman" w:cs="Times New Roman"/>
      <w:noProof/>
    </w:rPr>
  </w:style>
  <w:style w:type="table" w:customStyle="1" w:styleId="Rutntstabell21">
    <w:name w:val="Rutnätstabell 21"/>
    <w:basedOn w:val="TableNormal"/>
    <w:uiPriority w:val="47"/>
    <w:rsid w:val="00A40548"/>
    <w:pPr>
      <w:spacing w:after="0" w:line="240" w:lineRule="auto"/>
    </w:pPr>
    <w:rPr>
      <w:rFonts w:asciiTheme="majorHAnsi" w:eastAsiaTheme="majorEastAsia" w:hAnsiTheme="majorHAnsi" w:cstheme="majorBidi"/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1">
    <w:name w:val="Rutnätstabell 6 färgstark1"/>
    <w:basedOn w:val="TableNormal"/>
    <w:uiPriority w:val="51"/>
    <w:rsid w:val="00A405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2">
    <w:name w:val="Rutnätstabell 22"/>
    <w:basedOn w:val="TableNormal"/>
    <w:uiPriority w:val="47"/>
    <w:rsid w:val="00A40548"/>
    <w:pPr>
      <w:spacing w:after="0" w:line="240" w:lineRule="auto"/>
    </w:pPr>
    <w:rPr>
      <w:rFonts w:asciiTheme="majorHAnsi" w:eastAsiaTheme="majorEastAsia" w:hAnsiTheme="majorHAnsi" w:cstheme="majorBidi"/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formateradtabell51">
    <w:name w:val="Oformaterad tabell 51"/>
    <w:basedOn w:val="TableNormal"/>
    <w:uiPriority w:val="45"/>
    <w:rsid w:val="00A40548"/>
    <w:pPr>
      <w:spacing w:after="0" w:line="240" w:lineRule="auto"/>
    </w:pPr>
    <w:rPr>
      <w:rFonts w:asciiTheme="majorHAnsi" w:eastAsiaTheme="majorEastAsia" w:hAnsiTheme="majorHAnsi" w:cstheme="majorBidi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ReportTnr11">
    <w:name w:val="Report Tnr 11"/>
    <w:basedOn w:val="Title"/>
    <w:link w:val="ReportTnr11Char"/>
    <w:qFormat/>
    <w:rsid w:val="00A40548"/>
    <w:rPr>
      <w:rFonts w:cs="Times New Roman"/>
    </w:rPr>
  </w:style>
  <w:style w:type="character" w:customStyle="1" w:styleId="ReportTnr11Char">
    <w:name w:val="Report Tnr 11 Char"/>
    <w:basedOn w:val="TitleChar"/>
    <w:link w:val="ReportTnr11"/>
    <w:rsid w:val="00A40548"/>
    <w:rPr>
      <w:rFonts w:ascii="Times New Roman" w:eastAsia="MS Gothic" w:hAnsi="Times New Roman" w:cs="Times New Roman"/>
      <w:noProof/>
      <w:sz w:val="52"/>
      <w:szCs w:val="5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40548"/>
    <w:pPr>
      <w:spacing w:after="300" w:line="480" w:lineRule="auto"/>
      <w:contextualSpacing/>
    </w:pPr>
    <w:rPr>
      <w:rFonts w:ascii="Times New Roman" w:eastAsia="MS Gothic" w:hAnsi="Times New Roman" w:cstheme="majorBidi"/>
      <w:noProof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40548"/>
    <w:rPr>
      <w:rFonts w:ascii="Times New Roman" w:eastAsia="MS Gothic" w:hAnsi="Times New Roman" w:cstheme="majorBidi"/>
      <w:noProof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40548"/>
    <w:rPr>
      <w:rFonts w:ascii="Times New Roman" w:eastAsia="MS Gothic" w:hAnsi="Times New Roman" w:cs="Times New Roman"/>
      <w:noProof/>
      <w:spacing w:val="5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40548"/>
    <w:rPr>
      <w:rFonts w:ascii="Times New Roman" w:eastAsia="MS Gothic" w:hAnsi="Times New Roman" w:cs="Times New Roman"/>
      <w:noProof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40548"/>
    <w:rPr>
      <w:rFonts w:ascii="Times New Roman" w:eastAsia="MS Gothic" w:hAnsi="Times New Roman" w:cs="Times New Roman"/>
      <w:i/>
      <w:iCs/>
      <w:noProof/>
      <w:spacing w:val="5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40548"/>
    <w:rPr>
      <w:rFonts w:ascii="Times New Roman" w:eastAsia="MS Gothic" w:hAnsi="Times New Roman" w:cs="Times New Roman"/>
      <w:b/>
      <w:bCs/>
      <w:noProof/>
      <w:spacing w:val="5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548"/>
    <w:rPr>
      <w:rFonts w:ascii="Times New Roman" w:eastAsia="MS Gothic" w:hAnsi="Times New Roman" w:cs="Times New Roman"/>
      <w:i/>
      <w:iCs/>
      <w:noProof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548"/>
    <w:rPr>
      <w:rFonts w:ascii="Times New Roman" w:eastAsia="MS Gothic" w:hAnsi="Times New Roman" w:cs="Times New Roman"/>
      <w:b/>
      <w:bCs/>
      <w:noProof/>
      <w:color w:val="595959" w:themeColor="text1" w:themeTint="A6"/>
      <w:spacing w:val="5"/>
      <w:shd w:val="clear" w:color="auto" w:fill="FFFFFF" w:themeFill="background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548"/>
    <w:rPr>
      <w:rFonts w:ascii="Times New Roman" w:eastAsia="MS Gothic" w:hAnsi="Times New Roman" w:cs="Times New Roman"/>
      <w:b/>
      <w:bCs/>
      <w:i/>
      <w:iCs/>
      <w:noProof/>
      <w:color w:val="5A5A5A" w:themeColor="text1" w:themeTint="A5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548"/>
    <w:rPr>
      <w:rFonts w:ascii="Times New Roman" w:eastAsia="MS Gothic" w:hAnsi="Times New Roman" w:cs="Times New Roman"/>
      <w:b/>
      <w:bCs/>
      <w:noProof/>
      <w:color w:val="7F7F7F" w:themeColor="text1" w:themeTint="8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548"/>
    <w:rPr>
      <w:rFonts w:ascii="Times New Roman" w:eastAsia="MS Gothic" w:hAnsi="Times New Roman" w:cs="Times New Roman"/>
      <w:b/>
      <w:bCs/>
      <w:i/>
      <w:iCs/>
      <w:noProof/>
      <w:color w:val="7F7F7F" w:themeColor="text1" w:themeTint="80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40548"/>
    <w:pPr>
      <w:spacing w:after="0" w:line="480" w:lineRule="auto"/>
    </w:pPr>
    <w:rPr>
      <w:rFonts w:ascii="Times New Roman" w:eastAsia="MS Gothic" w:hAnsi="Times New Roman" w:cs="Times New Roman"/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0548"/>
    <w:rPr>
      <w:rFonts w:ascii="Times New Roman" w:eastAsia="MS Gothic" w:hAnsi="Times New Roman" w:cs="Times New Roman"/>
      <w:noProof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40548"/>
    <w:pPr>
      <w:spacing w:after="0" w:line="480" w:lineRule="auto"/>
    </w:pPr>
    <w:rPr>
      <w:rFonts w:ascii="Times New Roman" w:eastAsia="MS Gothic" w:hAnsi="Times New Roman" w:cs="Times New Roman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548"/>
    <w:rPr>
      <w:rFonts w:ascii="Times New Roman" w:eastAsia="MS Gothic" w:hAnsi="Times New Roman" w:cs="Times New Roman"/>
      <w:noProof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0548"/>
    <w:pPr>
      <w:tabs>
        <w:tab w:val="center" w:pos="4536"/>
        <w:tab w:val="right" w:pos="9072"/>
      </w:tabs>
      <w:spacing w:after="0" w:line="480" w:lineRule="auto"/>
    </w:pPr>
    <w:rPr>
      <w:rFonts w:ascii="Times New Roman" w:eastAsia="MS Gothic" w:hAnsi="Times New Roman" w:cs="Times New Roman"/>
      <w:noProof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548"/>
    <w:rPr>
      <w:rFonts w:ascii="Times New Roman" w:eastAsia="MS Gothic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0548"/>
    <w:pPr>
      <w:tabs>
        <w:tab w:val="center" w:pos="4536"/>
        <w:tab w:val="right" w:pos="9072"/>
      </w:tabs>
      <w:spacing w:after="0" w:line="480" w:lineRule="auto"/>
    </w:pPr>
    <w:rPr>
      <w:rFonts w:ascii="Times New Roman" w:eastAsia="MS Gothic" w:hAnsi="Times New Roman" w:cs="Times New Roman"/>
      <w:noProof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40548"/>
    <w:rPr>
      <w:rFonts w:ascii="Times New Roman" w:eastAsia="MS Gothic" w:hAnsi="Times New Roman" w:cs="Times New Roman"/>
      <w:noProof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40548"/>
    <w:pPr>
      <w:spacing w:after="0" w:line="240" w:lineRule="auto"/>
    </w:pPr>
    <w:rPr>
      <w:rFonts w:ascii="Times New Roman" w:eastAsia="MS Gothic" w:hAnsi="Times New Roman" w:cs="Times New Roman"/>
      <w:b/>
      <w:bCs/>
      <w:noProof/>
      <w:color w:val="5B9BD5" w:themeColor="accent1"/>
      <w:sz w:val="18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05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0548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A405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0548"/>
    <w:pPr>
      <w:spacing w:after="0" w:line="480" w:lineRule="auto"/>
    </w:pPr>
    <w:rPr>
      <w:rFonts w:ascii="Times New Roman" w:eastAsia="MS Gothic" w:hAnsi="Times New Roman" w:cs="Times New Roman"/>
      <w:noProof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548"/>
    <w:rPr>
      <w:rFonts w:ascii="Times New Roman" w:eastAsia="MS Gothic" w:hAnsi="Times New Roman" w:cs="Times New Roman"/>
      <w:noProof/>
      <w:sz w:val="20"/>
      <w:szCs w:val="20"/>
      <w:lang w:val="en-GB"/>
    </w:rPr>
  </w:style>
  <w:style w:type="paragraph" w:styleId="BodyText">
    <w:name w:val="Body Text"/>
    <w:link w:val="BodyTextChar"/>
    <w:semiHidden/>
    <w:rsid w:val="00A40548"/>
    <w:pPr>
      <w:spacing w:after="18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BodyTextChar">
    <w:name w:val="Body Text Char"/>
    <w:basedOn w:val="DefaultParagraphFont"/>
    <w:link w:val="BodyText"/>
    <w:semiHidden/>
    <w:rsid w:val="00A40548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548"/>
    <w:pPr>
      <w:spacing w:after="0" w:line="480" w:lineRule="auto"/>
    </w:pPr>
    <w:rPr>
      <w:rFonts w:ascii="Times New Roman" w:eastAsia="MS Gothic" w:hAnsi="Times New Roman" w:cs="Times New Roman"/>
      <w:i/>
      <w:iCs/>
      <w:smallCaps/>
      <w:noProof/>
      <w:spacing w:val="10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40548"/>
    <w:rPr>
      <w:rFonts w:ascii="Times New Roman" w:eastAsia="MS Gothic" w:hAnsi="Times New Roman" w:cs="Times New Roman"/>
      <w:i/>
      <w:iCs/>
      <w:smallCaps/>
      <w:noProof/>
      <w:spacing w:val="10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A405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548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A40548"/>
    <w:rPr>
      <w:rFonts w:ascii="Times New Roman" w:hAnsi="Times New Roman" w:cs="Times New Roman"/>
      <w:b/>
      <w:bCs/>
    </w:rPr>
  </w:style>
  <w:style w:type="character" w:styleId="Emphasis">
    <w:name w:val="Emphasis"/>
    <w:uiPriority w:val="20"/>
    <w:qFormat/>
    <w:rsid w:val="00A40548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A40548"/>
    <w:pPr>
      <w:spacing w:before="100" w:beforeAutospacing="1" w:after="100" w:afterAutospacing="1" w:line="480" w:lineRule="auto"/>
    </w:pPr>
    <w:rPr>
      <w:rFonts w:ascii="Times New Roman" w:eastAsiaTheme="minorEastAsia" w:hAnsi="Times New Roman" w:cs="Times New Roman"/>
      <w:noProof/>
      <w:sz w:val="24"/>
      <w:szCs w:val="24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548"/>
    <w:rPr>
      <w:rFonts w:ascii="Times New Roman" w:eastAsia="MS Gothic" w:hAnsi="Times New Roman" w:cs="Times New Roman"/>
      <w:b/>
      <w:bCs/>
      <w:noProof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A40548"/>
    <w:pPr>
      <w:spacing w:after="0" w:line="240" w:lineRule="auto"/>
    </w:pPr>
    <w:rPr>
      <w:rFonts w:asciiTheme="majorHAnsi" w:eastAsiaTheme="majorEastAsia" w:hAnsiTheme="majorHAnsi" w:cstheme="maj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0548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A40548"/>
    <w:pPr>
      <w:spacing w:after="0" w:line="480" w:lineRule="auto"/>
    </w:pPr>
    <w:rPr>
      <w:rFonts w:ascii="Times New Roman" w:eastAsia="MS Gothic" w:hAnsi="Times New Roman" w:cs="Times New Roman"/>
      <w:noProof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40548"/>
    <w:rPr>
      <w:rFonts w:ascii="Times New Roman" w:eastAsia="MS Gothic" w:hAnsi="Times New Roman" w:cs="Times New Roman"/>
      <w:noProof/>
      <w:lang w:val="en-GB"/>
    </w:rPr>
  </w:style>
  <w:style w:type="table" w:styleId="LightShading">
    <w:name w:val="Light Shading"/>
    <w:basedOn w:val="TableNormal"/>
    <w:uiPriority w:val="60"/>
    <w:rsid w:val="00A40548"/>
    <w:pPr>
      <w:spacing w:after="0" w:line="240" w:lineRule="auto"/>
    </w:pPr>
    <w:rPr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40548"/>
    <w:pPr>
      <w:spacing w:after="0" w:line="480" w:lineRule="auto"/>
      <w:ind w:left="720"/>
      <w:contextualSpacing/>
    </w:pPr>
    <w:rPr>
      <w:rFonts w:ascii="Times New Roman" w:eastAsia="MS Gothic" w:hAnsi="Times New Roman" w:cs="Times New Roman"/>
      <w:noProof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40548"/>
    <w:pPr>
      <w:spacing w:after="0" w:line="480" w:lineRule="auto"/>
    </w:pPr>
    <w:rPr>
      <w:rFonts w:ascii="Times New Roman" w:eastAsia="MS Gothic" w:hAnsi="Times New Roman" w:cs="Times New Roman"/>
      <w:i/>
      <w:iCs/>
      <w:noProof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40548"/>
    <w:rPr>
      <w:rFonts w:ascii="Times New Roman" w:eastAsia="MS Gothic" w:hAnsi="Times New Roman" w:cs="Times New Roman"/>
      <w:i/>
      <w:iCs/>
      <w:noProof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5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MS Gothic" w:hAnsi="Times New Roman" w:cs="Times New Roman"/>
      <w:i/>
      <w:iCs/>
      <w:noProof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548"/>
    <w:rPr>
      <w:rFonts w:ascii="Times New Roman" w:eastAsia="MS Gothic" w:hAnsi="Times New Roman" w:cs="Times New Roman"/>
      <w:i/>
      <w:iCs/>
      <w:noProof/>
      <w:lang w:val="en-GB"/>
    </w:rPr>
  </w:style>
  <w:style w:type="character" w:styleId="SubtleEmphasis">
    <w:name w:val="Subtle Emphasis"/>
    <w:uiPriority w:val="19"/>
    <w:qFormat/>
    <w:rsid w:val="00A40548"/>
    <w:rPr>
      <w:i/>
      <w:iCs/>
    </w:rPr>
  </w:style>
  <w:style w:type="character" w:styleId="IntenseEmphasis">
    <w:name w:val="Intense Emphasis"/>
    <w:uiPriority w:val="21"/>
    <w:qFormat/>
    <w:rsid w:val="00A405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0548"/>
    <w:rPr>
      <w:smallCaps/>
    </w:rPr>
  </w:style>
  <w:style w:type="character" w:styleId="IntenseReference">
    <w:name w:val="Intense Reference"/>
    <w:uiPriority w:val="32"/>
    <w:qFormat/>
    <w:rsid w:val="00A4054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40548"/>
    <w:rPr>
      <w:i/>
      <w:iCs/>
      <w:smallCaps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A40548"/>
    <w:pPr>
      <w:spacing w:after="0" w:line="480" w:lineRule="auto"/>
    </w:pPr>
    <w:rPr>
      <w:rFonts w:ascii="Times New Roman" w:eastAsia="MS Gothic" w:hAnsi="Times New Roman" w:cs="Times New Roman"/>
      <w:noProof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548"/>
    <w:pPr>
      <w:numPr>
        <w:numId w:val="0"/>
      </w:numPr>
      <w:outlineLvl w:val="9"/>
    </w:pPr>
    <w:rPr>
      <w:lang w:bidi="en-US"/>
    </w:rPr>
  </w:style>
  <w:style w:type="table" w:styleId="ListTable5Dark-Accent6">
    <w:name w:val="List Table 5 Dark Accent 6"/>
    <w:basedOn w:val="TableNormal"/>
    <w:uiPriority w:val="50"/>
    <w:rsid w:val="00A40548"/>
    <w:pPr>
      <w:spacing w:after="0" w:line="240" w:lineRule="auto"/>
    </w:pPr>
    <w:rPr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Singh</dc:creator>
  <cp:keywords/>
  <dc:description/>
  <cp:lastModifiedBy>Abhijeet Singh</cp:lastModifiedBy>
  <cp:revision>7</cp:revision>
  <dcterms:created xsi:type="dcterms:W3CDTF">2019-09-24T09:23:00Z</dcterms:created>
  <dcterms:modified xsi:type="dcterms:W3CDTF">2019-09-26T15:24:00Z</dcterms:modified>
</cp:coreProperties>
</file>