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5A" w:rsidRDefault="00032325" w:rsidP="00032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Supporting Information</w:t>
      </w:r>
    </w:p>
    <w:p w:rsidR="00032325" w:rsidRDefault="00032325" w:rsidP="00032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325" w:rsidRPr="00032325" w:rsidRDefault="00032325" w:rsidP="000323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proofErr w:type="gramStart"/>
      <w:r w:rsidRPr="00032325">
        <w:rPr>
          <w:rFonts w:ascii="Times New Roman" w:eastAsia="Calibri" w:hAnsi="Times New Roman" w:cs="Times New Roman"/>
          <w:b/>
          <w:sz w:val="28"/>
          <w:szCs w:val="28"/>
        </w:rPr>
        <w:t>dbAQP</w:t>
      </w:r>
      <w:proofErr w:type="spellEnd"/>
      <w:r w:rsidRPr="00032325">
        <w:rPr>
          <w:rFonts w:ascii="Times New Roman" w:eastAsia="Calibri" w:hAnsi="Times New Roman" w:cs="Times New Roman"/>
          <w:b/>
          <w:sz w:val="28"/>
          <w:szCs w:val="28"/>
        </w:rPr>
        <w:t>-SNP</w:t>
      </w:r>
      <w:proofErr w:type="gramEnd"/>
      <w:r w:rsidRPr="00032325">
        <w:rPr>
          <w:rFonts w:ascii="Times New Roman" w:eastAsia="Calibri" w:hAnsi="Times New Roman" w:cs="Times New Roman"/>
          <w:b/>
          <w:sz w:val="28"/>
          <w:szCs w:val="28"/>
        </w:rPr>
        <w:t xml:space="preserve">: A database of </w:t>
      </w:r>
      <w:proofErr w:type="spellStart"/>
      <w:r w:rsidRPr="00032325">
        <w:rPr>
          <w:rFonts w:ascii="Times New Roman" w:eastAsia="Calibri" w:hAnsi="Times New Roman" w:cs="Times New Roman"/>
          <w:b/>
          <w:sz w:val="28"/>
          <w:szCs w:val="28"/>
        </w:rPr>
        <w:t>missense</w:t>
      </w:r>
      <w:proofErr w:type="spellEnd"/>
      <w:r w:rsidRPr="00032325">
        <w:rPr>
          <w:rFonts w:ascii="Times New Roman" w:eastAsia="Calibri" w:hAnsi="Times New Roman" w:cs="Times New Roman"/>
          <w:b/>
          <w:sz w:val="28"/>
          <w:szCs w:val="28"/>
        </w:rPr>
        <w:t xml:space="preserve"> single nucleotide polymorphisms in human </w:t>
      </w:r>
      <w:proofErr w:type="spellStart"/>
      <w:r w:rsidRPr="00032325">
        <w:rPr>
          <w:rFonts w:ascii="Times New Roman" w:eastAsia="Calibri" w:hAnsi="Times New Roman" w:cs="Times New Roman"/>
          <w:b/>
          <w:sz w:val="28"/>
          <w:szCs w:val="28"/>
        </w:rPr>
        <w:t>aquaporins</w:t>
      </w:r>
      <w:proofErr w:type="spellEnd"/>
    </w:p>
    <w:p w:rsidR="00032325" w:rsidRPr="00032325" w:rsidRDefault="00032325" w:rsidP="000323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2325" w:rsidRPr="00032325" w:rsidRDefault="00032325" w:rsidP="000323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2325" w:rsidRPr="00032325" w:rsidRDefault="00032325" w:rsidP="000323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32325">
        <w:rPr>
          <w:rFonts w:ascii="Times New Roman" w:eastAsia="Calibri" w:hAnsi="Times New Roman" w:cs="Times New Roman"/>
          <w:b/>
          <w:sz w:val="24"/>
          <w:szCs w:val="24"/>
        </w:rPr>
        <w:t>Rachana</w:t>
      </w:r>
      <w:proofErr w:type="spellEnd"/>
      <w:r w:rsidRPr="00032325">
        <w:rPr>
          <w:rFonts w:ascii="Times New Roman" w:eastAsia="Calibri" w:hAnsi="Times New Roman" w:cs="Times New Roman"/>
          <w:b/>
          <w:sz w:val="24"/>
          <w:szCs w:val="24"/>
        </w:rPr>
        <w:t xml:space="preserve"> Dande</w:t>
      </w:r>
      <w:r w:rsidRPr="00032325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1</w:t>
      </w:r>
      <w:r w:rsidRPr="00032325">
        <w:rPr>
          <w:rFonts w:ascii="Times New Roman" w:eastAsia="Calibri" w:hAnsi="Times New Roman" w:cs="Times New Roman"/>
          <w:b/>
          <w:sz w:val="24"/>
          <w:szCs w:val="24"/>
        </w:rPr>
        <w:t xml:space="preserve"> and </w:t>
      </w:r>
      <w:proofErr w:type="spellStart"/>
      <w:r w:rsidRPr="00032325">
        <w:rPr>
          <w:rFonts w:ascii="Times New Roman" w:eastAsia="Calibri" w:hAnsi="Times New Roman" w:cs="Times New Roman"/>
          <w:b/>
          <w:sz w:val="24"/>
          <w:szCs w:val="24"/>
        </w:rPr>
        <w:t>Ramasubbu</w:t>
      </w:r>
      <w:proofErr w:type="spellEnd"/>
      <w:r w:rsidRPr="00032325">
        <w:rPr>
          <w:rFonts w:ascii="Times New Roman" w:eastAsia="Calibri" w:hAnsi="Times New Roman" w:cs="Times New Roman"/>
          <w:b/>
          <w:sz w:val="24"/>
          <w:szCs w:val="24"/>
        </w:rPr>
        <w:t xml:space="preserve"> Sankararamakrishnan</w:t>
      </w:r>
      <w:r w:rsidRPr="00032325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1</w:t>
      </w:r>
      <w:proofErr w:type="gramStart"/>
      <w:r w:rsidRPr="00032325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,2</w:t>
      </w:r>
      <w:proofErr w:type="gramEnd"/>
      <w:r w:rsidRPr="00032325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,*</w:t>
      </w:r>
    </w:p>
    <w:p w:rsidR="00032325" w:rsidRPr="00032325" w:rsidRDefault="00032325" w:rsidP="00032325">
      <w:pPr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2325" w:rsidRPr="00032325" w:rsidRDefault="00032325" w:rsidP="0003232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3232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1</w:t>
      </w:r>
      <w:r w:rsidRPr="00032325">
        <w:rPr>
          <w:rFonts w:ascii="Times New Roman" w:eastAsia="Calibri" w:hAnsi="Times New Roman" w:cs="Times New Roman"/>
          <w:i/>
          <w:sz w:val="24"/>
          <w:szCs w:val="24"/>
        </w:rPr>
        <w:t>Department of Biological Sciences and Bioengineering, Indian Institute of Technology Kanpur, Kanpur 208016, Uttar Pradesh, India</w:t>
      </w:r>
    </w:p>
    <w:p w:rsidR="00032325" w:rsidRPr="00032325" w:rsidRDefault="00032325" w:rsidP="0003232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32325" w:rsidRDefault="00032325" w:rsidP="0003232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3232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2</w:t>
      </w:r>
      <w:r w:rsidRPr="00032325">
        <w:rPr>
          <w:rFonts w:ascii="Times New Roman" w:eastAsia="Calibri" w:hAnsi="Times New Roman" w:cs="Times New Roman"/>
          <w:i/>
          <w:sz w:val="24"/>
          <w:szCs w:val="24"/>
        </w:rPr>
        <w:t>Mehta Family Centre for Engineering in Medicine, Indian Institute of Technology Kanpur, Kanpur 208026, Uttar Pradesh, India</w:t>
      </w:r>
    </w:p>
    <w:p w:rsidR="00032325" w:rsidRDefault="00032325" w:rsidP="0003232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32325" w:rsidRDefault="00032325" w:rsidP="000323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2325" w:rsidRDefault="00032325" w:rsidP="000323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2325" w:rsidRDefault="00032325" w:rsidP="000323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2325" w:rsidRPr="00032325" w:rsidRDefault="00032325" w:rsidP="000323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Table S1: </w:t>
      </w:r>
      <w:r w:rsidRPr="00032325">
        <w:rPr>
          <w:rFonts w:ascii="Times New Roman" w:eastAsia="Calibri" w:hAnsi="Times New Roman" w:cs="Times New Roman"/>
          <w:sz w:val="24"/>
          <w:szCs w:val="24"/>
        </w:rPr>
        <w:t xml:space="preserve">Accession IDs of reference sequences of human </w:t>
      </w:r>
      <w:proofErr w:type="spellStart"/>
      <w:r w:rsidRPr="00032325">
        <w:rPr>
          <w:rFonts w:ascii="Times New Roman" w:eastAsia="Calibri" w:hAnsi="Times New Roman" w:cs="Times New Roman"/>
          <w:sz w:val="24"/>
          <w:szCs w:val="24"/>
        </w:rPr>
        <w:t>aquaporin</w:t>
      </w:r>
      <w:proofErr w:type="spellEnd"/>
      <w:r w:rsidRPr="000323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32325">
        <w:rPr>
          <w:rFonts w:ascii="Times New Roman" w:eastAsia="Calibri" w:hAnsi="Times New Roman" w:cs="Times New Roman"/>
          <w:sz w:val="24"/>
          <w:szCs w:val="24"/>
        </w:rPr>
        <w:t>homologs</w:t>
      </w:r>
      <w:proofErr w:type="spellEnd"/>
    </w:p>
    <w:p w:rsidR="00032325" w:rsidRDefault="00032325" w:rsidP="00032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638"/>
        <w:gridCol w:w="2430"/>
        <w:gridCol w:w="2250"/>
      </w:tblGrid>
      <w:tr w:rsidR="00032325" w:rsidTr="00032325">
        <w:trPr>
          <w:jc w:val="center"/>
        </w:trPr>
        <w:tc>
          <w:tcPr>
            <w:tcW w:w="1638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Human AQP homolog</w:t>
            </w:r>
          </w:p>
        </w:tc>
        <w:tc>
          <w:tcPr>
            <w:tcW w:w="243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RefSeq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ID of mRNA</w:t>
            </w:r>
          </w:p>
        </w:tc>
        <w:tc>
          <w:tcPr>
            <w:tcW w:w="225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RefSeq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ID of protein</w:t>
            </w:r>
          </w:p>
        </w:tc>
      </w:tr>
      <w:tr w:rsidR="00032325" w:rsidTr="00032325">
        <w:trPr>
          <w:jc w:val="center"/>
        </w:trPr>
        <w:tc>
          <w:tcPr>
            <w:tcW w:w="1638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AQP0</w:t>
            </w:r>
          </w:p>
        </w:tc>
        <w:tc>
          <w:tcPr>
            <w:tcW w:w="243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NM 012064.3</w:t>
            </w:r>
          </w:p>
        </w:tc>
        <w:tc>
          <w:tcPr>
            <w:tcW w:w="225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NP 036196.1</w:t>
            </w:r>
          </w:p>
        </w:tc>
      </w:tr>
      <w:tr w:rsidR="00032325" w:rsidTr="00032325">
        <w:trPr>
          <w:jc w:val="center"/>
        </w:trPr>
        <w:tc>
          <w:tcPr>
            <w:tcW w:w="1638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AQP1</w:t>
            </w:r>
          </w:p>
        </w:tc>
        <w:tc>
          <w:tcPr>
            <w:tcW w:w="243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NM 198098.3</w:t>
            </w:r>
          </w:p>
        </w:tc>
        <w:tc>
          <w:tcPr>
            <w:tcW w:w="225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NP 932766.1</w:t>
            </w:r>
          </w:p>
        </w:tc>
      </w:tr>
      <w:tr w:rsidR="00032325" w:rsidTr="00032325">
        <w:trPr>
          <w:jc w:val="center"/>
        </w:trPr>
        <w:tc>
          <w:tcPr>
            <w:tcW w:w="1638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AQP2</w:t>
            </w:r>
          </w:p>
        </w:tc>
        <w:tc>
          <w:tcPr>
            <w:tcW w:w="243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NM 000486.5</w:t>
            </w:r>
          </w:p>
        </w:tc>
        <w:tc>
          <w:tcPr>
            <w:tcW w:w="225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NP 000477.1</w:t>
            </w:r>
          </w:p>
        </w:tc>
      </w:tr>
      <w:tr w:rsidR="00032325" w:rsidTr="00032325">
        <w:trPr>
          <w:jc w:val="center"/>
        </w:trPr>
        <w:tc>
          <w:tcPr>
            <w:tcW w:w="1638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AQP3</w:t>
            </w:r>
          </w:p>
        </w:tc>
        <w:tc>
          <w:tcPr>
            <w:tcW w:w="243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NM 004925.4</w:t>
            </w:r>
          </w:p>
        </w:tc>
        <w:tc>
          <w:tcPr>
            <w:tcW w:w="225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NP 004916.1</w:t>
            </w:r>
          </w:p>
        </w:tc>
      </w:tr>
      <w:tr w:rsidR="00032325" w:rsidTr="00032325">
        <w:trPr>
          <w:jc w:val="center"/>
        </w:trPr>
        <w:tc>
          <w:tcPr>
            <w:tcW w:w="1638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AQP4</w:t>
            </w:r>
          </w:p>
        </w:tc>
        <w:tc>
          <w:tcPr>
            <w:tcW w:w="243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NM 001650.6</w:t>
            </w:r>
          </w:p>
        </w:tc>
        <w:tc>
          <w:tcPr>
            <w:tcW w:w="225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NP 001641.1</w:t>
            </w:r>
          </w:p>
        </w:tc>
      </w:tr>
      <w:tr w:rsidR="00032325" w:rsidTr="00032325">
        <w:trPr>
          <w:jc w:val="center"/>
        </w:trPr>
        <w:tc>
          <w:tcPr>
            <w:tcW w:w="1638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AQP5</w:t>
            </w:r>
          </w:p>
        </w:tc>
        <w:tc>
          <w:tcPr>
            <w:tcW w:w="243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NM 001651.3</w:t>
            </w:r>
          </w:p>
        </w:tc>
        <w:tc>
          <w:tcPr>
            <w:tcW w:w="225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NP 001642.1</w:t>
            </w:r>
          </w:p>
        </w:tc>
      </w:tr>
      <w:tr w:rsidR="00032325" w:rsidTr="00032325">
        <w:trPr>
          <w:jc w:val="center"/>
        </w:trPr>
        <w:tc>
          <w:tcPr>
            <w:tcW w:w="1638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AQP6</w:t>
            </w:r>
          </w:p>
        </w:tc>
        <w:tc>
          <w:tcPr>
            <w:tcW w:w="243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NM 001652.3</w:t>
            </w:r>
          </w:p>
        </w:tc>
        <w:tc>
          <w:tcPr>
            <w:tcW w:w="225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NP 001643.2</w:t>
            </w:r>
          </w:p>
        </w:tc>
      </w:tr>
      <w:tr w:rsidR="00032325" w:rsidTr="00032325">
        <w:trPr>
          <w:jc w:val="center"/>
        </w:trPr>
        <w:tc>
          <w:tcPr>
            <w:tcW w:w="1638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AQP7</w:t>
            </w:r>
          </w:p>
        </w:tc>
        <w:tc>
          <w:tcPr>
            <w:tcW w:w="243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NM 001170.2</w:t>
            </w:r>
          </w:p>
        </w:tc>
        <w:tc>
          <w:tcPr>
            <w:tcW w:w="225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NP 001161.1</w:t>
            </w:r>
          </w:p>
        </w:tc>
      </w:tr>
      <w:tr w:rsidR="00032325" w:rsidTr="00032325">
        <w:trPr>
          <w:jc w:val="center"/>
        </w:trPr>
        <w:tc>
          <w:tcPr>
            <w:tcW w:w="1638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AQP8</w:t>
            </w:r>
          </w:p>
        </w:tc>
        <w:tc>
          <w:tcPr>
            <w:tcW w:w="243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NM 001169.2</w:t>
            </w:r>
          </w:p>
        </w:tc>
        <w:tc>
          <w:tcPr>
            <w:tcW w:w="225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NP 001160.2</w:t>
            </w:r>
          </w:p>
        </w:tc>
      </w:tr>
      <w:tr w:rsidR="00032325" w:rsidTr="00032325">
        <w:trPr>
          <w:jc w:val="center"/>
        </w:trPr>
        <w:tc>
          <w:tcPr>
            <w:tcW w:w="1638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AQP9</w:t>
            </w:r>
          </w:p>
        </w:tc>
        <w:tc>
          <w:tcPr>
            <w:tcW w:w="243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NM 020980.4</w:t>
            </w:r>
          </w:p>
        </w:tc>
        <w:tc>
          <w:tcPr>
            <w:tcW w:w="225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NP 066190.2</w:t>
            </w:r>
          </w:p>
        </w:tc>
      </w:tr>
      <w:tr w:rsidR="00032325" w:rsidTr="00032325">
        <w:trPr>
          <w:jc w:val="center"/>
        </w:trPr>
        <w:tc>
          <w:tcPr>
            <w:tcW w:w="1638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AQP10</w:t>
            </w:r>
          </w:p>
        </w:tc>
        <w:tc>
          <w:tcPr>
            <w:tcW w:w="243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NM 080429.2</w:t>
            </w:r>
          </w:p>
        </w:tc>
        <w:tc>
          <w:tcPr>
            <w:tcW w:w="225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NP 536354.2</w:t>
            </w:r>
          </w:p>
        </w:tc>
      </w:tr>
      <w:tr w:rsidR="00032325" w:rsidTr="00032325">
        <w:trPr>
          <w:jc w:val="center"/>
        </w:trPr>
        <w:tc>
          <w:tcPr>
            <w:tcW w:w="1638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AQP11</w:t>
            </w:r>
          </w:p>
        </w:tc>
        <w:tc>
          <w:tcPr>
            <w:tcW w:w="243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NM 173039.2</w:t>
            </w:r>
          </w:p>
        </w:tc>
        <w:tc>
          <w:tcPr>
            <w:tcW w:w="225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NP 766627.1</w:t>
            </w:r>
          </w:p>
        </w:tc>
      </w:tr>
      <w:tr w:rsidR="00032325" w:rsidTr="00032325">
        <w:trPr>
          <w:jc w:val="center"/>
        </w:trPr>
        <w:tc>
          <w:tcPr>
            <w:tcW w:w="1638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AQP12</w:t>
            </w:r>
          </w:p>
        </w:tc>
        <w:tc>
          <w:tcPr>
            <w:tcW w:w="243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NM 198998.2</w:t>
            </w:r>
          </w:p>
        </w:tc>
        <w:tc>
          <w:tcPr>
            <w:tcW w:w="2250" w:type="dxa"/>
          </w:tcPr>
          <w:p w:rsidR="00032325" w:rsidRDefault="00032325" w:rsidP="00032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25">
              <w:rPr>
                <w:rFonts w:ascii="Times New Roman" w:hAnsi="Times New Roman" w:cs="Times New Roman"/>
                <w:sz w:val="24"/>
                <w:szCs w:val="24"/>
              </w:rPr>
              <w:t>NP 945349.1</w:t>
            </w:r>
          </w:p>
        </w:tc>
      </w:tr>
    </w:tbl>
    <w:p w:rsidR="00032325" w:rsidRDefault="00032325" w:rsidP="00032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BFE" w:rsidRDefault="00822BFE" w:rsidP="00032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BFE" w:rsidRDefault="00822BFE" w:rsidP="00032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BFE" w:rsidRDefault="00822BFE" w:rsidP="00032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BFE" w:rsidRDefault="00822BFE" w:rsidP="00032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BFE" w:rsidRDefault="00822BFE" w:rsidP="00032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BFE" w:rsidRDefault="00822BFE" w:rsidP="00032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BFE" w:rsidRDefault="00822BFE" w:rsidP="00032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BFE" w:rsidRDefault="00822BFE" w:rsidP="00032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BFE" w:rsidRDefault="00822BFE" w:rsidP="00032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BFE" w:rsidRDefault="00822BFE" w:rsidP="00032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BFE" w:rsidRPr="00822BFE" w:rsidRDefault="00822BFE" w:rsidP="000323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2BFE">
        <w:rPr>
          <w:rFonts w:ascii="Times New Roman" w:hAnsi="Times New Roman" w:cs="Times New Roman"/>
          <w:b/>
          <w:sz w:val="28"/>
          <w:szCs w:val="28"/>
        </w:rPr>
        <w:t>Figure S1</w:t>
      </w:r>
    </w:p>
    <w:p w:rsidR="00822BFE" w:rsidRPr="00822BFE" w:rsidRDefault="00822BFE" w:rsidP="00822B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2969895" cy="3620770"/>
            <wp:effectExtent l="19050" t="0" r="1905" b="0"/>
            <wp:docPr id="17" name="Picture 17" descr="AQP11-superpose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QP11-superposed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7116" t="5765" r="7024" b="109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362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2B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2867660" cy="3518535"/>
            <wp:effectExtent l="19050" t="0" r="8890" b="0"/>
            <wp:docPr id="18" name="Picture 18" descr="AQP12-superpose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AQP12-superposed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141" t="2992" r="16132" b="12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660" cy="3518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BFE" w:rsidRDefault="00822BFE" w:rsidP="00822B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BFE">
        <w:rPr>
          <w:rFonts w:ascii="Times New Roman" w:eastAsia="Calibri" w:hAnsi="Times New Roman" w:cs="Times New Roman"/>
          <w:b/>
          <w:sz w:val="24"/>
          <w:szCs w:val="24"/>
        </w:rPr>
        <w:t>Figure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S</w:t>
      </w:r>
      <w:r w:rsidRPr="00822BF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822BFE">
        <w:rPr>
          <w:rFonts w:ascii="Times New Roman" w:eastAsia="Calibri" w:hAnsi="Times New Roman" w:cs="Times New Roman"/>
          <w:sz w:val="24"/>
          <w:szCs w:val="24"/>
        </w:rPr>
        <w:t>: Superpositi</w:t>
      </w:r>
      <w:r w:rsidR="00335B52">
        <w:rPr>
          <w:rFonts w:ascii="Times New Roman" w:eastAsia="Calibri" w:hAnsi="Times New Roman" w:cs="Times New Roman"/>
          <w:sz w:val="24"/>
          <w:szCs w:val="24"/>
        </w:rPr>
        <w:t xml:space="preserve">on of models derived from </w:t>
      </w:r>
      <w:proofErr w:type="spellStart"/>
      <w:r w:rsidR="00335B52">
        <w:rPr>
          <w:rFonts w:ascii="Times New Roman" w:eastAsia="Calibri" w:hAnsi="Times New Roman" w:cs="Times New Roman"/>
          <w:sz w:val="24"/>
          <w:szCs w:val="24"/>
        </w:rPr>
        <w:t>AlphaF</w:t>
      </w:r>
      <w:r w:rsidRPr="00822BFE">
        <w:rPr>
          <w:rFonts w:ascii="Times New Roman" w:eastAsia="Calibri" w:hAnsi="Times New Roman" w:cs="Times New Roman"/>
          <w:sz w:val="24"/>
          <w:szCs w:val="24"/>
        </w:rPr>
        <w:t>old</w:t>
      </w:r>
      <w:proofErr w:type="spellEnd"/>
      <w:r w:rsidRPr="00822B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5B52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="00335B52" w:rsidRPr="00A701D5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https://alphafold.ebi.ac.uk</w:t>
        </w:r>
      </w:hyperlink>
      <w:r w:rsidR="00335B5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FC523C">
        <w:rPr>
          <w:rFonts w:ascii="Times New Roman" w:eastAsia="Calibri" w:hAnsi="Times New Roman" w:cs="Times New Roman"/>
          <w:sz w:val="24"/>
          <w:szCs w:val="24"/>
        </w:rPr>
        <w:t>[1</w:t>
      </w:r>
      <w:proofErr w:type="gramStart"/>
      <w:r w:rsidR="00FC523C">
        <w:rPr>
          <w:rFonts w:ascii="Times New Roman" w:eastAsia="Calibri" w:hAnsi="Times New Roman" w:cs="Times New Roman"/>
          <w:sz w:val="24"/>
          <w:szCs w:val="24"/>
        </w:rPr>
        <w:t>,2</w:t>
      </w:r>
      <w:proofErr w:type="gramEnd"/>
      <w:r w:rsidR="00FC523C">
        <w:rPr>
          <w:rFonts w:ascii="Times New Roman" w:eastAsia="Calibri" w:hAnsi="Times New Roman" w:cs="Times New Roman"/>
          <w:sz w:val="24"/>
          <w:szCs w:val="24"/>
        </w:rPr>
        <w:t xml:space="preserve">] </w:t>
      </w:r>
      <w:r w:rsidRPr="00822BFE">
        <w:rPr>
          <w:rFonts w:ascii="Times New Roman" w:eastAsia="Calibri" w:hAnsi="Times New Roman" w:cs="Times New Roman"/>
          <w:sz w:val="24"/>
          <w:szCs w:val="24"/>
        </w:rPr>
        <w:t xml:space="preserve">and downloaded </w:t>
      </w:r>
      <w:r w:rsidR="00335B52">
        <w:rPr>
          <w:rFonts w:ascii="Times New Roman" w:eastAsia="Calibri" w:hAnsi="Times New Roman" w:cs="Times New Roman"/>
          <w:sz w:val="24"/>
          <w:szCs w:val="24"/>
        </w:rPr>
        <w:t xml:space="preserve">from </w:t>
      </w:r>
      <w:proofErr w:type="spellStart"/>
      <w:r w:rsidRPr="00822BFE">
        <w:rPr>
          <w:rFonts w:ascii="Times New Roman" w:eastAsia="Calibri" w:hAnsi="Times New Roman" w:cs="Times New Roman"/>
          <w:sz w:val="24"/>
          <w:szCs w:val="24"/>
        </w:rPr>
        <w:t>MIPModDB</w:t>
      </w:r>
      <w:proofErr w:type="spellEnd"/>
      <w:r w:rsidRPr="00822BFE">
        <w:rPr>
          <w:rFonts w:ascii="Times New Roman" w:eastAsia="Calibri" w:hAnsi="Times New Roman" w:cs="Times New Roman"/>
          <w:sz w:val="24"/>
          <w:szCs w:val="24"/>
        </w:rPr>
        <w:t xml:space="preserve"> database </w:t>
      </w:r>
      <w:r w:rsidR="00335B52">
        <w:rPr>
          <w:rFonts w:ascii="Times New Roman" w:eastAsia="Calibri" w:hAnsi="Times New Roman" w:cs="Times New Roman"/>
          <w:sz w:val="24"/>
          <w:szCs w:val="24"/>
        </w:rPr>
        <w:t>(</w:t>
      </w:r>
      <w:hyperlink r:id="rId7" w:history="1">
        <w:r w:rsidR="00335B52" w:rsidRPr="00A701D5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http://bioinfo.iitk.ac.in/MIPModDB</w:t>
        </w:r>
      </w:hyperlink>
      <w:r w:rsidR="00335B5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FC523C">
        <w:rPr>
          <w:rFonts w:ascii="Times New Roman" w:eastAsia="Calibri" w:hAnsi="Times New Roman" w:cs="Times New Roman"/>
          <w:sz w:val="24"/>
          <w:szCs w:val="24"/>
        </w:rPr>
        <w:t xml:space="preserve">[3] </w:t>
      </w:r>
      <w:r w:rsidRPr="00822BFE">
        <w:rPr>
          <w:rFonts w:ascii="Times New Roman" w:eastAsia="Calibri" w:hAnsi="Times New Roman" w:cs="Times New Roman"/>
          <w:sz w:val="24"/>
          <w:szCs w:val="24"/>
        </w:rPr>
        <w:t xml:space="preserve">shown for (left) AQP11 (right) AQP12 proteins. The </w:t>
      </w:r>
      <w:r w:rsidR="00335B52">
        <w:rPr>
          <w:rFonts w:ascii="Times New Roman" w:eastAsia="Calibri" w:hAnsi="Times New Roman" w:cs="Times New Roman"/>
          <w:sz w:val="24"/>
          <w:szCs w:val="24"/>
        </w:rPr>
        <w:t xml:space="preserve">structures predicted from </w:t>
      </w:r>
      <w:proofErr w:type="spellStart"/>
      <w:proofErr w:type="gramStart"/>
      <w:r w:rsidR="00335B52">
        <w:rPr>
          <w:rFonts w:ascii="Times New Roman" w:eastAsia="Calibri" w:hAnsi="Times New Roman" w:cs="Times New Roman"/>
          <w:sz w:val="24"/>
          <w:szCs w:val="24"/>
        </w:rPr>
        <w:t>AlphaF</w:t>
      </w:r>
      <w:r w:rsidRPr="00822BFE">
        <w:rPr>
          <w:rFonts w:ascii="Times New Roman" w:eastAsia="Calibri" w:hAnsi="Times New Roman" w:cs="Times New Roman"/>
          <w:sz w:val="24"/>
          <w:szCs w:val="24"/>
        </w:rPr>
        <w:t>old</w:t>
      </w:r>
      <w:proofErr w:type="spellEnd"/>
      <w:proofErr w:type="gramEnd"/>
      <w:r w:rsidRPr="00822BFE">
        <w:rPr>
          <w:rFonts w:ascii="Times New Roman" w:eastAsia="Calibri" w:hAnsi="Times New Roman" w:cs="Times New Roman"/>
          <w:sz w:val="24"/>
          <w:szCs w:val="24"/>
        </w:rPr>
        <w:t xml:space="preserve"> are shown in blue for both AQP11 and AQP12. The structures downloaded from </w:t>
      </w:r>
      <w:proofErr w:type="spellStart"/>
      <w:r w:rsidRPr="00822BFE">
        <w:rPr>
          <w:rFonts w:ascii="Times New Roman" w:eastAsia="Calibri" w:hAnsi="Times New Roman" w:cs="Times New Roman"/>
          <w:sz w:val="24"/>
          <w:szCs w:val="24"/>
        </w:rPr>
        <w:t>MIPModDB</w:t>
      </w:r>
      <w:proofErr w:type="spellEnd"/>
      <w:r w:rsidRPr="00822BFE">
        <w:rPr>
          <w:rFonts w:ascii="Times New Roman" w:eastAsia="Calibri" w:hAnsi="Times New Roman" w:cs="Times New Roman"/>
          <w:sz w:val="24"/>
          <w:szCs w:val="24"/>
        </w:rPr>
        <w:t xml:space="preserve"> are</w:t>
      </w:r>
      <w:r w:rsidR="00FC523C">
        <w:rPr>
          <w:rFonts w:ascii="Times New Roman" w:eastAsia="Calibri" w:hAnsi="Times New Roman" w:cs="Times New Roman"/>
          <w:sz w:val="24"/>
          <w:szCs w:val="24"/>
        </w:rPr>
        <w:t xml:space="preserve"> shown in green</w:t>
      </w:r>
      <w:r w:rsidRPr="00822BFE">
        <w:rPr>
          <w:rFonts w:ascii="Times New Roman" w:eastAsia="Calibri" w:hAnsi="Times New Roman" w:cs="Times New Roman"/>
          <w:sz w:val="24"/>
          <w:szCs w:val="24"/>
        </w:rPr>
        <w:t xml:space="preserve"> and pink colors for AQP11 and AQP12 respectively.</w:t>
      </w:r>
      <w:r w:rsidR="00335B52">
        <w:rPr>
          <w:rFonts w:ascii="Times New Roman" w:eastAsia="Calibri" w:hAnsi="Times New Roman" w:cs="Times New Roman"/>
          <w:sz w:val="24"/>
          <w:szCs w:val="24"/>
        </w:rPr>
        <w:t xml:space="preserve"> The molecular plots were rendered using </w:t>
      </w:r>
      <w:proofErr w:type="spellStart"/>
      <w:r w:rsidR="00335B52">
        <w:rPr>
          <w:rFonts w:ascii="Times New Roman" w:eastAsia="Calibri" w:hAnsi="Times New Roman" w:cs="Times New Roman"/>
          <w:sz w:val="24"/>
          <w:szCs w:val="24"/>
        </w:rPr>
        <w:t>ChimeraX</w:t>
      </w:r>
      <w:proofErr w:type="spellEnd"/>
      <w:r w:rsidR="00335B5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8" w:history="1">
        <w:r w:rsidR="00335B52" w:rsidRPr="00A701D5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https://www.cgl.ucsf.edu/chimerax/</w:t>
        </w:r>
      </w:hyperlink>
      <w:r w:rsidR="00FC523C">
        <w:rPr>
          <w:rFonts w:ascii="Times New Roman" w:eastAsia="Calibri" w:hAnsi="Times New Roman" w:cs="Times New Roman"/>
          <w:sz w:val="24"/>
          <w:szCs w:val="24"/>
        </w:rPr>
        <w:t>) [4].</w:t>
      </w:r>
    </w:p>
    <w:p w:rsidR="00FC523C" w:rsidRDefault="00FC523C" w:rsidP="00822B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523C" w:rsidRDefault="00FC523C" w:rsidP="00822B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[1] Jumper et al., </w:t>
      </w:r>
      <w:r w:rsidRPr="00FC523C">
        <w:rPr>
          <w:rFonts w:ascii="Times New Roman" w:eastAsia="Calibri" w:hAnsi="Times New Roman" w:cs="Times New Roman"/>
          <w:i/>
          <w:sz w:val="24"/>
          <w:szCs w:val="24"/>
        </w:rPr>
        <w:t>Nature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523C">
        <w:rPr>
          <w:rFonts w:ascii="Times New Roman" w:eastAsia="Calibri" w:hAnsi="Times New Roman" w:cs="Times New Roman"/>
          <w:b/>
          <w:sz w:val="24"/>
          <w:szCs w:val="24"/>
        </w:rPr>
        <w:t>596</w:t>
      </w:r>
      <w:r>
        <w:rPr>
          <w:rFonts w:ascii="Times New Roman" w:eastAsia="Calibri" w:hAnsi="Times New Roman" w:cs="Times New Roman"/>
          <w:sz w:val="24"/>
          <w:szCs w:val="24"/>
        </w:rPr>
        <w:t>, 583-589 (2021)</w:t>
      </w:r>
    </w:p>
    <w:p w:rsidR="00FC523C" w:rsidRDefault="00FC523C" w:rsidP="00822B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[2]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Varadi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et al., </w:t>
      </w:r>
      <w:r w:rsidRPr="00FC523C">
        <w:rPr>
          <w:rFonts w:ascii="Times New Roman" w:eastAsia="Calibri" w:hAnsi="Times New Roman" w:cs="Times New Roman"/>
          <w:i/>
          <w:sz w:val="24"/>
          <w:szCs w:val="24"/>
        </w:rPr>
        <w:t>Nucleic Acids Res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C523C">
        <w:rPr>
          <w:rFonts w:ascii="Times New Roman" w:eastAsia="Calibri" w:hAnsi="Times New Roman" w:cs="Times New Roman"/>
          <w:b/>
          <w:sz w:val="24"/>
          <w:szCs w:val="24"/>
        </w:rPr>
        <w:t>50</w:t>
      </w:r>
      <w:r>
        <w:rPr>
          <w:rFonts w:ascii="Times New Roman" w:eastAsia="Calibri" w:hAnsi="Times New Roman" w:cs="Times New Roman"/>
          <w:sz w:val="24"/>
          <w:szCs w:val="24"/>
        </w:rPr>
        <w:t>, D439-D444 (2022)</w:t>
      </w:r>
    </w:p>
    <w:p w:rsidR="00FC523C" w:rsidRDefault="00FC523C" w:rsidP="00822B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[3] Gupta et al., </w:t>
      </w:r>
      <w:r w:rsidRPr="00FC523C">
        <w:rPr>
          <w:rFonts w:ascii="Times New Roman" w:eastAsia="Calibri" w:hAnsi="Times New Roman" w:cs="Times New Roman"/>
          <w:i/>
          <w:sz w:val="24"/>
          <w:szCs w:val="24"/>
        </w:rPr>
        <w:t>Nucleic Acids Res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C523C">
        <w:rPr>
          <w:rFonts w:ascii="Times New Roman" w:eastAsia="Calibri" w:hAnsi="Times New Roman" w:cs="Times New Roman"/>
          <w:b/>
          <w:sz w:val="24"/>
          <w:szCs w:val="24"/>
        </w:rPr>
        <w:t>40</w:t>
      </w:r>
      <w:r>
        <w:rPr>
          <w:rFonts w:ascii="Times New Roman" w:eastAsia="Calibri" w:hAnsi="Times New Roman" w:cs="Times New Roman"/>
          <w:sz w:val="24"/>
          <w:szCs w:val="24"/>
        </w:rPr>
        <w:t>, D362-D369 (2012)</w:t>
      </w:r>
    </w:p>
    <w:p w:rsidR="00FC523C" w:rsidRPr="00822BFE" w:rsidRDefault="00FC523C" w:rsidP="00822B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[4]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Pettersen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et al., </w:t>
      </w:r>
      <w:r w:rsidRPr="00FC523C">
        <w:rPr>
          <w:rFonts w:ascii="Times New Roman" w:eastAsia="Calibri" w:hAnsi="Times New Roman" w:cs="Times New Roman"/>
          <w:i/>
          <w:sz w:val="24"/>
          <w:szCs w:val="24"/>
        </w:rPr>
        <w:t>Protein Sci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C523C">
        <w:rPr>
          <w:rFonts w:ascii="Times New Roman" w:eastAsia="Calibri" w:hAnsi="Times New Roman" w:cs="Times New Roman"/>
          <w:b/>
          <w:sz w:val="24"/>
          <w:szCs w:val="24"/>
        </w:rPr>
        <w:t>30</w:t>
      </w:r>
      <w:r>
        <w:rPr>
          <w:rFonts w:ascii="Times New Roman" w:eastAsia="Calibri" w:hAnsi="Times New Roman" w:cs="Times New Roman"/>
          <w:sz w:val="24"/>
          <w:szCs w:val="24"/>
        </w:rPr>
        <w:t>, 70-82 (2021)</w:t>
      </w:r>
    </w:p>
    <w:p w:rsidR="00822BFE" w:rsidRPr="00822BFE" w:rsidRDefault="00822BFE" w:rsidP="00822BF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22BFE" w:rsidRPr="00032325" w:rsidRDefault="00822BFE" w:rsidP="000323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22BFE" w:rsidRPr="00032325" w:rsidSect="000D49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32325"/>
    <w:rsid w:val="00032325"/>
    <w:rsid w:val="000D495A"/>
    <w:rsid w:val="00335B52"/>
    <w:rsid w:val="00507254"/>
    <w:rsid w:val="00822BFE"/>
    <w:rsid w:val="00E865B8"/>
    <w:rsid w:val="00FC5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9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3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B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5B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gl.ucsf.edu/chimerax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ioinfo.iitk.ac.in/MIPModD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lphafold.ebi.ac.uk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Sankar</dc:creator>
  <cp:lastModifiedBy>R Sankar</cp:lastModifiedBy>
  <cp:revision>5</cp:revision>
  <dcterms:created xsi:type="dcterms:W3CDTF">2022-06-17T15:45:00Z</dcterms:created>
  <dcterms:modified xsi:type="dcterms:W3CDTF">2022-10-27T07:57:00Z</dcterms:modified>
</cp:coreProperties>
</file>