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4A" w:rsidRPr="00D64CFB" w:rsidRDefault="003C394A" w:rsidP="003C39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3262"/>
        <w:gridCol w:w="920"/>
        <w:gridCol w:w="1026"/>
        <w:gridCol w:w="920"/>
        <w:gridCol w:w="1663"/>
      </w:tblGrid>
      <w:tr w:rsidR="003C394A" w:rsidRPr="00D64CFB" w:rsidTr="003C394A">
        <w:tc>
          <w:tcPr>
            <w:tcW w:w="0" w:type="auto"/>
            <w:gridSpan w:val="6"/>
            <w:vAlign w:val="bottom"/>
          </w:tcPr>
          <w:p w:rsidR="003C394A" w:rsidRPr="00D64CFB" w:rsidRDefault="003C394A" w:rsidP="003C394A">
            <w:pPr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Supplemental Table 1. Pair-Wise P-Value Comparisons of Pepsin Concentration by Sub-Group</w:t>
            </w:r>
          </w:p>
        </w:tc>
      </w:tr>
      <w:tr w:rsidR="003C394A" w:rsidRPr="00D64CFB" w:rsidTr="003C394A">
        <w:tc>
          <w:tcPr>
            <w:tcW w:w="0" w:type="auto"/>
            <w:vAlign w:val="bottom"/>
          </w:tcPr>
          <w:p w:rsidR="003C394A" w:rsidRPr="00D64CFB" w:rsidRDefault="003C394A" w:rsidP="008F53A3">
            <w:pPr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Subgroup</w:t>
            </w:r>
          </w:p>
        </w:tc>
        <w:tc>
          <w:tcPr>
            <w:tcW w:w="0" w:type="auto"/>
            <w:vAlign w:val="bottom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Mean (SD) Pepsin Concentration</w:t>
            </w:r>
          </w:p>
        </w:tc>
        <w:tc>
          <w:tcPr>
            <w:tcW w:w="0" w:type="auto"/>
            <w:vAlign w:val="bottom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0" w:type="auto"/>
            <w:vAlign w:val="bottom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Control</w:t>
            </w:r>
          </w:p>
        </w:tc>
        <w:tc>
          <w:tcPr>
            <w:tcW w:w="0" w:type="auto"/>
            <w:vAlign w:val="bottom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ERD</w:t>
            </w:r>
          </w:p>
        </w:tc>
        <w:tc>
          <w:tcPr>
            <w:tcW w:w="0" w:type="auto"/>
            <w:vAlign w:val="bottom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CFB">
              <w:rPr>
                <w:rFonts w:ascii="Arial" w:hAnsi="Arial" w:cs="Arial"/>
                <w:b/>
                <w:bCs/>
              </w:rPr>
              <w:t>Functional HB</w:t>
            </w:r>
          </w:p>
        </w:tc>
      </w:tr>
      <w:tr w:rsidR="003C394A" w:rsidRPr="00D64CFB" w:rsidTr="003C394A">
        <w:tc>
          <w:tcPr>
            <w:tcW w:w="0" w:type="auto"/>
          </w:tcPr>
          <w:p w:rsidR="003C394A" w:rsidRPr="00D64CFB" w:rsidRDefault="003C394A" w:rsidP="008F53A3">
            <w:pPr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BE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72.7 (70.2)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</w:tr>
      <w:tr w:rsidR="003C394A" w:rsidRPr="00D64CFB" w:rsidTr="003C394A">
        <w:tc>
          <w:tcPr>
            <w:tcW w:w="0" w:type="auto"/>
          </w:tcPr>
          <w:p w:rsidR="003C394A" w:rsidRPr="00D64CFB" w:rsidRDefault="003C394A" w:rsidP="008F53A3">
            <w:pPr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Control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17.9 (31.4)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</w:tr>
      <w:tr w:rsidR="003C394A" w:rsidRPr="00D64CFB" w:rsidTr="003C394A">
        <w:tc>
          <w:tcPr>
            <w:tcW w:w="0" w:type="auto"/>
          </w:tcPr>
          <w:p w:rsidR="003C394A" w:rsidRPr="00D64CFB" w:rsidRDefault="003C394A" w:rsidP="008F53A3">
            <w:pPr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ERD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101.1 (80.6)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</w:t>
            </w:r>
            <w:r w:rsidRPr="00D64CFB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0.002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</w:tr>
      <w:tr w:rsidR="003C394A" w:rsidRPr="00D64CFB" w:rsidTr="003C394A">
        <w:tc>
          <w:tcPr>
            <w:tcW w:w="0" w:type="auto"/>
          </w:tcPr>
          <w:p w:rsidR="003C394A" w:rsidRPr="00D64CFB" w:rsidRDefault="003C394A" w:rsidP="008F53A3">
            <w:pPr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Functional HB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22.9 (31.7)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0.68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-</w:t>
            </w:r>
          </w:p>
        </w:tc>
      </w:tr>
      <w:tr w:rsidR="003C394A" w:rsidRPr="00D64CFB" w:rsidTr="003C394A">
        <w:tc>
          <w:tcPr>
            <w:tcW w:w="0" w:type="auto"/>
          </w:tcPr>
          <w:p w:rsidR="003C394A" w:rsidRPr="00D64CFB" w:rsidRDefault="003C394A" w:rsidP="008F53A3">
            <w:pPr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NERD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53.7 (51.3)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0.2</w:t>
            </w:r>
            <w:r w:rsidRPr="00D64CF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</w:t>
            </w:r>
            <w:r w:rsidRPr="00D64CFB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</w:tcPr>
          <w:p w:rsidR="003C394A" w:rsidRPr="00D64CFB" w:rsidRDefault="003C394A" w:rsidP="008F53A3">
            <w:pPr>
              <w:jc w:val="center"/>
              <w:rPr>
                <w:rFonts w:ascii="Arial" w:hAnsi="Arial" w:cs="Arial"/>
              </w:rPr>
            </w:pPr>
            <w:r w:rsidRPr="00D64CFB">
              <w:rPr>
                <w:rFonts w:ascii="Arial" w:hAnsi="Arial" w:cs="Arial"/>
              </w:rPr>
              <w:t>0.05</w:t>
            </w:r>
          </w:p>
        </w:tc>
      </w:tr>
    </w:tbl>
    <w:p w:rsidR="000E2A81" w:rsidRPr="00D64CFB" w:rsidRDefault="000E2A81" w:rsidP="000E2A81">
      <w:pPr>
        <w:rPr>
          <w:rFonts w:ascii="Arial" w:hAnsi="Arial" w:cs="Arial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2325"/>
        <w:gridCol w:w="2037"/>
      </w:tblGrid>
      <w:tr w:rsidR="000E2A81" w:rsidRPr="00D64CFB" w:rsidTr="00E218AF">
        <w:trPr>
          <w:trHeight w:val="288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Pr="00D64CFB" w:rsidRDefault="00D64CFB" w:rsidP="00E218A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Supplemental</w:t>
            </w:r>
            <w:bookmarkStart w:id="0" w:name="_GoBack"/>
            <w:bookmarkEnd w:id="0"/>
            <w:r w:rsidR="000E2A81" w:rsidRPr="00D64CFB">
              <w:rPr>
                <w:rFonts w:ascii="Arial" w:eastAsia="Times New Roman" w:hAnsi="Arial" w:cs="Arial"/>
                <w:b/>
              </w:rPr>
              <w:t xml:space="preserve"> Table</w:t>
            </w:r>
            <w:r w:rsidR="003C394A" w:rsidRPr="00D64CFB">
              <w:rPr>
                <w:rFonts w:ascii="Arial" w:eastAsia="Times New Roman" w:hAnsi="Arial" w:cs="Arial"/>
                <w:b/>
              </w:rPr>
              <w:t xml:space="preserve"> 2</w:t>
            </w:r>
            <w:r w:rsidR="000E2A81" w:rsidRPr="00D64CFB">
              <w:rPr>
                <w:rFonts w:ascii="Arial" w:eastAsia="Times New Roman" w:hAnsi="Arial" w:cs="Arial"/>
                <w:b/>
              </w:rPr>
              <w:t>. Performance Characteristics in Phase 1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64CFB">
              <w:rPr>
                <w:rFonts w:ascii="Arial" w:hAnsi="Arial" w:cs="Arial"/>
                <w:b/>
              </w:rPr>
              <w:t>Salivary Pepsin Threshold (ng/mL)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CFB">
              <w:rPr>
                <w:rFonts w:ascii="Arial" w:eastAsia="Times New Roman" w:hAnsi="Arial" w:cs="Arial"/>
                <w:b/>
              </w:rPr>
              <w:t>Sensitivity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CFB">
              <w:rPr>
                <w:rFonts w:ascii="Arial" w:eastAsia="Times New Roman" w:hAnsi="Arial" w:cs="Arial"/>
                <w:b/>
              </w:rPr>
              <w:t>Specificity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&gt;15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75.0%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56.7%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&gt;24.95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71.4%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66.7%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&gt;25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63.1%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73.3%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51.2%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80.0%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&gt;70.2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47.6%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93.3%</w:t>
            </w:r>
          </w:p>
        </w:tc>
      </w:tr>
      <w:tr w:rsidR="000E2A81" w:rsidRPr="00D64CFB" w:rsidTr="00E218AF">
        <w:trPr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&gt;100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33.3%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Pr="00D64CFB" w:rsidRDefault="000E2A81" w:rsidP="00E218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CFB">
              <w:rPr>
                <w:rFonts w:ascii="Arial" w:eastAsia="Times New Roman" w:hAnsi="Arial" w:cs="Arial"/>
              </w:rPr>
              <w:t>93.3%</w:t>
            </w:r>
          </w:p>
        </w:tc>
      </w:tr>
    </w:tbl>
    <w:p w:rsidR="000E2A81" w:rsidRPr="00D64CFB" w:rsidRDefault="000E2A81" w:rsidP="000E2A81">
      <w:pPr>
        <w:rPr>
          <w:rFonts w:ascii="Arial" w:hAnsi="Arial" w:cs="Arial"/>
        </w:rPr>
      </w:pPr>
    </w:p>
    <w:p w:rsidR="00792142" w:rsidRPr="00D64CFB" w:rsidRDefault="00792142">
      <w:pPr>
        <w:rPr>
          <w:rFonts w:ascii="Arial" w:hAnsi="Arial" w:cs="Arial"/>
        </w:rPr>
      </w:pPr>
    </w:p>
    <w:sectPr w:rsidR="00792142" w:rsidRPr="00D6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1"/>
    <w:rsid w:val="000E2A81"/>
    <w:rsid w:val="003C394A"/>
    <w:rsid w:val="00792142"/>
    <w:rsid w:val="00D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4240"/>
  <w15:chartTrackingRefBased/>
  <w15:docId w15:val="{BAABF10F-2F9D-4677-A167-06BC23E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Yadlapati, Rena</dc:creator>
  <cp:keywords/>
  <dc:description/>
  <cp:lastModifiedBy>Yadlapati, Rena</cp:lastModifiedBy>
  <cp:revision>2</cp:revision>
  <dcterms:created xsi:type="dcterms:W3CDTF">2020-07-31T22:58:00Z</dcterms:created>
  <dcterms:modified xsi:type="dcterms:W3CDTF">2020-10-05T17:08:00Z</dcterms:modified>
</cp:coreProperties>
</file>