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81"/>
        <w:tblW w:w="10008" w:type="dxa"/>
        <w:tblLayout w:type="fixed"/>
        <w:tblLook w:val="04A0" w:firstRow="1" w:lastRow="0" w:firstColumn="1" w:lastColumn="0" w:noHBand="0" w:noVBand="1"/>
      </w:tblPr>
      <w:tblGrid>
        <w:gridCol w:w="836"/>
        <w:gridCol w:w="622"/>
        <w:gridCol w:w="564"/>
        <w:gridCol w:w="593"/>
        <w:gridCol w:w="593"/>
        <w:gridCol w:w="594"/>
        <w:gridCol w:w="593"/>
        <w:gridCol w:w="593"/>
        <w:gridCol w:w="593"/>
        <w:gridCol w:w="593"/>
        <w:gridCol w:w="594"/>
        <w:gridCol w:w="1170"/>
        <w:gridCol w:w="900"/>
        <w:gridCol w:w="1170"/>
      </w:tblGrid>
      <w:tr w:rsidR="00607CAB" w:rsidTr="00E475CB">
        <w:trPr>
          <w:trHeight w:val="898"/>
        </w:trPr>
        <w:tc>
          <w:tcPr>
            <w:tcW w:w="836" w:type="dxa"/>
            <w:vMerge w:val="restart"/>
            <w:vAlign w:val="center"/>
          </w:tcPr>
          <w:p w:rsidR="008257FE" w:rsidRPr="006F5511" w:rsidRDefault="008257FE" w:rsidP="00E47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511">
              <w:rPr>
                <w:rFonts w:ascii="Times New Roman" w:hAnsi="Times New Roman" w:cs="Times New Roman"/>
                <w:b/>
                <w:sz w:val="20"/>
                <w:szCs w:val="20"/>
              </w:rPr>
              <w:t>Gene symbol</w:t>
            </w:r>
          </w:p>
        </w:tc>
        <w:tc>
          <w:tcPr>
            <w:tcW w:w="5932" w:type="dxa"/>
            <w:gridSpan w:val="10"/>
            <w:vAlign w:val="center"/>
          </w:tcPr>
          <w:p w:rsidR="008257FE" w:rsidRPr="008456B9" w:rsidRDefault="008257FE" w:rsidP="000A234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8456B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CC-Patchy</w:t>
            </w:r>
            <w:r w:rsidR="000A234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Pr="008456B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n=5</w:t>
            </w:r>
          </w:p>
        </w:tc>
        <w:tc>
          <w:tcPr>
            <w:tcW w:w="1170" w:type="dxa"/>
            <w:vMerge w:val="restart"/>
            <w:vAlign w:val="center"/>
          </w:tcPr>
          <w:p w:rsidR="008257FE" w:rsidRPr="008456B9" w:rsidRDefault="008257FE" w:rsidP="00E475C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8456B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CC-diffuse,</w:t>
            </w:r>
          </w:p>
          <w:p w:rsidR="008257FE" w:rsidRPr="008456B9" w:rsidRDefault="008257FE" w:rsidP="00E47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6B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Pooled CC/pooled N, n=8</w:t>
            </w:r>
          </w:p>
        </w:tc>
        <w:tc>
          <w:tcPr>
            <w:tcW w:w="900" w:type="dxa"/>
            <w:vMerge w:val="restart"/>
            <w:vAlign w:val="center"/>
          </w:tcPr>
          <w:p w:rsidR="008257FE" w:rsidRPr="008456B9" w:rsidRDefault="00607CAB" w:rsidP="00E47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q-</w:t>
            </w:r>
            <w:r w:rsidR="008257FE" w:rsidRPr="00845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PCR, </w:t>
            </w:r>
            <w:r w:rsidR="008257FE" w:rsidRPr="008456B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 w:rsidR="008257FE" w:rsidRPr="00845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values</w:t>
            </w:r>
          </w:p>
          <w:p w:rsidR="008257FE" w:rsidRPr="008456B9" w:rsidRDefault="008257FE" w:rsidP="00E47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8257FE" w:rsidRPr="008456B9" w:rsidRDefault="008257FE" w:rsidP="00E47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Function</w:t>
            </w:r>
          </w:p>
          <w:p w:rsidR="008257FE" w:rsidRPr="008456B9" w:rsidRDefault="008257FE" w:rsidP="00E47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CAB" w:rsidTr="000D3B59">
        <w:trPr>
          <w:trHeight w:val="898"/>
        </w:trPr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8257FE" w:rsidRDefault="008257FE" w:rsidP="00E475CB"/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:rsidR="008257FE" w:rsidRPr="008456B9" w:rsidRDefault="008257FE" w:rsidP="00E47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6B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Patient</w:t>
            </w:r>
          </w:p>
          <w:p w:rsidR="008257FE" w:rsidRPr="008456B9" w:rsidRDefault="008257FE" w:rsidP="00E475C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8456B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:rsidR="008257FE" w:rsidRPr="008456B9" w:rsidRDefault="008257FE" w:rsidP="00E47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6B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Patient</w:t>
            </w:r>
          </w:p>
          <w:p w:rsidR="008257FE" w:rsidRPr="008456B9" w:rsidRDefault="008257FE" w:rsidP="00E475C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8456B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8257FE" w:rsidRPr="008456B9" w:rsidRDefault="008257FE" w:rsidP="00E47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6B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Patient</w:t>
            </w:r>
          </w:p>
          <w:p w:rsidR="008257FE" w:rsidRPr="008456B9" w:rsidRDefault="008257FE" w:rsidP="00E475C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8456B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:rsidR="008257FE" w:rsidRPr="008456B9" w:rsidRDefault="008257FE" w:rsidP="00E47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6B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Patient</w:t>
            </w:r>
          </w:p>
          <w:p w:rsidR="008257FE" w:rsidRPr="008456B9" w:rsidRDefault="008257FE" w:rsidP="00E475C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8456B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8257FE" w:rsidRPr="008456B9" w:rsidRDefault="008257FE" w:rsidP="00E47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6B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Patient</w:t>
            </w:r>
          </w:p>
          <w:p w:rsidR="008257FE" w:rsidRPr="008456B9" w:rsidRDefault="008257FE" w:rsidP="00E475CB">
            <w:pPr>
              <w:jc w:val="center"/>
              <w:rPr>
                <w:rFonts w:ascii="Times New Roman" w:hAnsi="Times New Roman" w:cs="Times New Roman"/>
              </w:rPr>
            </w:pPr>
            <w:r w:rsidRPr="008456B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8257FE" w:rsidRPr="008456B9" w:rsidRDefault="008257FE" w:rsidP="00E4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8257FE" w:rsidRPr="008456B9" w:rsidRDefault="008257FE" w:rsidP="00E4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8257FE" w:rsidRPr="008456B9" w:rsidRDefault="008257FE" w:rsidP="00E475CB">
            <w:pPr>
              <w:rPr>
                <w:rFonts w:ascii="Times New Roman" w:hAnsi="Times New Roman" w:cs="Times New Roman"/>
              </w:rPr>
            </w:pPr>
          </w:p>
        </w:tc>
      </w:tr>
      <w:tr w:rsidR="000A234E" w:rsidTr="000A234E">
        <w:trPr>
          <w:trHeight w:val="8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234E" w:rsidRPr="000E5B05" w:rsidRDefault="000A234E" w:rsidP="000A23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234E" w:rsidRPr="008456B9" w:rsidRDefault="000A234E" w:rsidP="000A234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>
              <w:rPr>
                <w:rFonts w:eastAsia="Calibri"/>
                <w:color w:val="000000"/>
                <w:kern w:val="24"/>
                <w:sz w:val="16"/>
                <w:szCs w:val="16"/>
              </w:rPr>
              <w:t>I/U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234E" w:rsidRPr="00990C92" w:rsidRDefault="000A234E" w:rsidP="000A234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eastAsia="Calibri"/>
                <w:color w:val="000000"/>
                <w:kern w:val="24"/>
                <w:sz w:val="16"/>
                <w:szCs w:val="16"/>
              </w:rPr>
              <w:t>I/P</w:t>
            </w:r>
          </w:p>
        </w:tc>
        <w:tc>
          <w:tcPr>
            <w:tcW w:w="59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234E" w:rsidRPr="008456B9" w:rsidRDefault="000A234E" w:rsidP="000A234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>
              <w:rPr>
                <w:rFonts w:eastAsia="Calibri"/>
                <w:color w:val="000000"/>
                <w:kern w:val="24"/>
                <w:sz w:val="16"/>
                <w:szCs w:val="16"/>
              </w:rPr>
              <w:t>I/U</w:t>
            </w:r>
          </w:p>
        </w:tc>
        <w:tc>
          <w:tcPr>
            <w:tcW w:w="59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234E" w:rsidRPr="000A234E" w:rsidRDefault="000A234E" w:rsidP="000A234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I/P</w:t>
            </w: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234E" w:rsidRPr="000A234E" w:rsidRDefault="000A234E" w:rsidP="000A234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color w:val="000000"/>
                <w:kern w:val="24"/>
                <w:sz w:val="16"/>
                <w:szCs w:val="16"/>
              </w:rPr>
              <w:t>I/U</w:t>
            </w:r>
          </w:p>
        </w:tc>
        <w:tc>
          <w:tcPr>
            <w:tcW w:w="59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234E" w:rsidRPr="000A234E" w:rsidRDefault="000A234E" w:rsidP="000A234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kern w:val="24"/>
                <w:sz w:val="16"/>
                <w:szCs w:val="16"/>
              </w:rPr>
              <w:t>I/P</w:t>
            </w:r>
          </w:p>
        </w:tc>
        <w:tc>
          <w:tcPr>
            <w:tcW w:w="59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234E" w:rsidRPr="000A234E" w:rsidRDefault="000A234E" w:rsidP="000A234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color w:val="000000"/>
                <w:kern w:val="24"/>
                <w:sz w:val="16"/>
                <w:szCs w:val="16"/>
              </w:rPr>
              <w:t>I/U</w:t>
            </w:r>
          </w:p>
        </w:tc>
        <w:tc>
          <w:tcPr>
            <w:tcW w:w="59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234E" w:rsidRPr="000A234E" w:rsidRDefault="000A234E" w:rsidP="000A234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kern w:val="24"/>
                <w:sz w:val="16"/>
                <w:szCs w:val="16"/>
              </w:rPr>
              <w:t>I/P</w:t>
            </w:r>
          </w:p>
        </w:tc>
        <w:tc>
          <w:tcPr>
            <w:tcW w:w="59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234E" w:rsidRPr="000A234E" w:rsidRDefault="000A234E" w:rsidP="000A234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color w:val="000000"/>
                <w:kern w:val="24"/>
                <w:sz w:val="16"/>
                <w:szCs w:val="16"/>
              </w:rPr>
              <w:t>I/U</w:t>
            </w: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234E" w:rsidRPr="000A234E" w:rsidRDefault="000A234E" w:rsidP="000A234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kern w:val="24"/>
                <w:sz w:val="16"/>
                <w:szCs w:val="16"/>
              </w:rPr>
              <w:t>I/P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234E" w:rsidRPr="00990C92" w:rsidRDefault="000A234E" w:rsidP="000A234E">
            <w:pPr>
              <w:pStyle w:val="NormalWeb"/>
              <w:spacing w:before="0" w:beforeAutospacing="0" w:after="0" w:afterAutospacing="0" w:line="326" w:lineRule="exact"/>
              <w:jc w:val="center"/>
              <w:rPr>
                <w:rFonts w:eastAsia="Calibri"/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234E" w:rsidRPr="008456B9" w:rsidRDefault="000A234E" w:rsidP="000A234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34E" w:rsidRPr="008456B9" w:rsidRDefault="000A234E" w:rsidP="000A234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</w:p>
        </w:tc>
      </w:tr>
      <w:tr w:rsidR="003B0845" w:rsidTr="000A234E">
        <w:trPr>
          <w:trHeight w:val="8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B0845" w:rsidRPr="000E5B05" w:rsidRDefault="003B0845" w:rsidP="003B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B05">
              <w:rPr>
                <w:rFonts w:ascii="Times New Roman" w:hAnsi="Times New Roman" w:cs="Times New Roman"/>
                <w:b/>
                <w:sz w:val="16"/>
                <w:szCs w:val="16"/>
              </w:rPr>
              <w:t>MMP3</w:t>
            </w:r>
          </w:p>
        </w:tc>
        <w:tc>
          <w:tcPr>
            <w:tcW w:w="62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B0845" w:rsidRPr="00765627" w:rsidRDefault="003B0845" w:rsidP="003B0845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3.49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B0845" w:rsidRPr="00765627" w:rsidRDefault="003B0845" w:rsidP="003B084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3.44</w:t>
            </w:r>
          </w:p>
        </w:tc>
        <w:tc>
          <w:tcPr>
            <w:tcW w:w="59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B0845" w:rsidRPr="00765627" w:rsidRDefault="003B0845" w:rsidP="003B0845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-1.01</w:t>
            </w:r>
          </w:p>
        </w:tc>
        <w:tc>
          <w:tcPr>
            <w:tcW w:w="59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B0845" w:rsidRPr="00765627" w:rsidRDefault="003B0845" w:rsidP="003B084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1.45</w:t>
            </w: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B0845" w:rsidRPr="00765627" w:rsidRDefault="003B0845" w:rsidP="003B0845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-1.44</w:t>
            </w:r>
          </w:p>
        </w:tc>
        <w:tc>
          <w:tcPr>
            <w:tcW w:w="59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B0845" w:rsidRPr="00765627" w:rsidRDefault="003B0845" w:rsidP="003B0845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-1.1</w:t>
            </w:r>
          </w:p>
        </w:tc>
        <w:tc>
          <w:tcPr>
            <w:tcW w:w="59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B0845" w:rsidRPr="00765627" w:rsidRDefault="003B0845" w:rsidP="003B0845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57.19</w:t>
            </w:r>
          </w:p>
        </w:tc>
        <w:tc>
          <w:tcPr>
            <w:tcW w:w="59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B0845" w:rsidRPr="00765627" w:rsidRDefault="003B0845" w:rsidP="003B0845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2.46</w:t>
            </w:r>
          </w:p>
        </w:tc>
        <w:tc>
          <w:tcPr>
            <w:tcW w:w="59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B0845" w:rsidRPr="00765627" w:rsidRDefault="003B0845" w:rsidP="003B0845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-2.35</w:t>
            </w: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B0845" w:rsidRPr="00765627" w:rsidRDefault="003B0845" w:rsidP="003B0845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1.85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B0845" w:rsidRPr="00765627" w:rsidRDefault="003B0845" w:rsidP="003B0845">
            <w:pPr>
              <w:pStyle w:val="NormalWeb"/>
              <w:spacing w:before="0" w:beforeAutospacing="0" w:after="0" w:afterAutospacing="0" w:line="326" w:lineRule="exact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bCs/>
                <w:kern w:val="24"/>
                <w:sz w:val="16"/>
                <w:szCs w:val="16"/>
              </w:rPr>
              <w:t>7.84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B0845" w:rsidRPr="00765627" w:rsidRDefault="003B0845" w:rsidP="003B0845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0.008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845" w:rsidRPr="008456B9" w:rsidRDefault="003B0845" w:rsidP="003B0845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456B9">
              <w:rPr>
                <w:rFonts w:eastAsia="Calibri"/>
                <w:color w:val="000000"/>
                <w:kern w:val="24"/>
                <w:sz w:val="16"/>
                <w:szCs w:val="16"/>
              </w:rPr>
              <w:t>Fibrolysis</w:t>
            </w:r>
            <w:proofErr w:type="spellEnd"/>
          </w:p>
        </w:tc>
      </w:tr>
      <w:tr w:rsidR="000E5B05" w:rsidTr="000A234E">
        <w:trPr>
          <w:trHeight w:val="898"/>
        </w:trPr>
        <w:tc>
          <w:tcPr>
            <w:tcW w:w="8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71028" w:rsidRPr="000E5B05" w:rsidRDefault="00471028" w:rsidP="00E475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B05">
              <w:rPr>
                <w:rFonts w:ascii="Times New Roman" w:hAnsi="Times New Roman" w:cs="Times New Roman"/>
                <w:b/>
                <w:sz w:val="16"/>
                <w:szCs w:val="16"/>
              </w:rPr>
              <w:t>MMP9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71028" w:rsidRPr="00765627" w:rsidRDefault="00471028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1.06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71028" w:rsidRPr="00765627" w:rsidRDefault="00471028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2.29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71028" w:rsidRPr="00765627" w:rsidRDefault="00471028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-2.04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71028" w:rsidRPr="00765627" w:rsidRDefault="00471028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2.42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71028" w:rsidRPr="00765627" w:rsidRDefault="00471028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71028" w:rsidRPr="00765627" w:rsidRDefault="00471028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2.61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71028" w:rsidRPr="00765627" w:rsidRDefault="00471028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2.65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71028" w:rsidRPr="00765627" w:rsidRDefault="00471028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7.37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71028" w:rsidRPr="00765627" w:rsidRDefault="00471028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1.15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71028" w:rsidRPr="00765627" w:rsidRDefault="00471028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3.65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71028" w:rsidRPr="00765627" w:rsidRDefault="00471028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bCs/>
                <w:kern w:val="24"/>
                <w:sz w:val="16"/>
                <w:szCs w:val="16"/>
              </w:rPr>
              <w:t>3.50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71028" w:rsidRPr="00765627" w:rsidRDefault="00471028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0.029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71028" w:rsidRPr="008456B9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456B9">
              <w:rPr>
                <w:rFonts w:eastAsia="Calibri"/>
                <w:color w:val="000000"/>
                <w:kern w:val="24"/>
                <w:sz w:val="16"/>
                <w:szCs w:val="16"/>
              </w:rPr>
              <w:t>Fibrolysis</w:t>
            </w:r>
            <w:proofErr w:type="spellEnd"/>
          </w:p>
        </w:tc>
      </w:tr>
      <w:tr w:rsidR="000E5B05" w:rsidTr="000A234E">
        <w:trPr>
          <w:trHeight w:val="898"/>
        </w:trPr>
        <w:tc>
          <w:tcPr>
            <w:tcW w:w="8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0E5B05" w:rsidRDefault="000E5B05" w:rsidP="00E475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B05">
              <w:rPr>
                <w:rFonts w:ascii="Times New Roman" w:hAnsi="Times New Roman" w:cs="Times New Roman"/>
                <w:b/>
                <w:sz w:val="16"/>
                <w:szCs w:val="16"/>
              </w:rPr>
              <w:t>TIMP1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NT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NT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NT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NT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NT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NT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NT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NT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NT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NT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NT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0.027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8456B9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456B9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Fibrogenesis</w:t>
            </w:r>
            <w:proofErr w:type="spellEnd"/>
          </w:p>
        </w:tc>
      </w:tr>
      <w:tr w:rsidR="000E5B05" w:rsidTr="000A234E">
        <w:trPr>
          <w:trHeight w:val="898"/>
        </w:trPr>
        <w:tc>
          <w:tcPr>
            <w:tcW w:w="8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0E5B05" w:rsidRDefault="000E5B05" w:rsidP="00E475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B05">
              <w:rPr>
                <w:rFonts w:ascii="Times New Roman" w:hAnsi="Times New Roman" w:cs="Times New Roman"/>
                <w:b/>
                <w:sz w:val="16"/>
                <w:szCs w:val="16"/>
              </w:rPr>
              <w:t>TGFβ1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-1.09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1.11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1.18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1.39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1.42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3.61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1.51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1.07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1.36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bCs/>
                <w:kern w:val="24"/>
                <w:sz w:val="16"/>
                <w:szCs w:val="16"/>
              </w:rPr>
              <w:t>1.33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0.664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8456B9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456B9">
              <w:rPr>
                <w:rFonts w:eastAsia="Calibri"/>
                <w:color w:val="000000"/>
                <w:kern w:val="24"/>
                <w:sz w:val="16"/>
                <w:szCs w:val="16"/>
              </w:rPr>
              <w:t>Fibrogenesis</w:t>
            </w:r>
            <w:proofErr w:type="spellEnd"/>
          </w:p>
        </w:tc>
      </w:tr>
      <w:tr w:rsidR="006B3B0E" w:rsidTr="000A234E">
        <w:trPr>
          <w:trHeight w:val="898"/>
        </w:trPr>
        <w:tc>
          <w:tcPr>
            <w:tcW w:w="8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A5436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A54367"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IL22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1.03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1.03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1.49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1.56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1.21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1.21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1.00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1.00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bCs/>
                <w:kern w:val="24"/>
                <w:sz w:val="16"/>
                <w:szCs w:val="16"/>
              </w:rPr>
              <w:t>3.19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0.377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8456B9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8456B9">
              <w:rPr>
                <w:rFonts w:eastAsia="Calibri"/>
                <w:color w:val="000000"/>
                <w:kern w:val="24"/>
                <w:sz w:val="16"/>
                <w:szCs w:val="16"/>
              </w:rPr>
              <w:t>Inflammatory and immunologic regulation</w:t>
            </w:r>
          </w:p>
        </w:tc>
      </w:tr>
      <w:tr w:rsidR="006B3B0E" w:rsidTr="000A234E">
        <w:trPr>
          <w:trHeight w:val="898"/>
        </w:trPr>
        <w:tc>
          <w:tcPr>
            <w:tcW w:w="8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A5436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A54367"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IL22RA2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-2.31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-11.</w:t>
            </w:r>
            <w:r w:rsidR="006B3B0E"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-57.5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-7.47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-1.41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1.22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4.88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2.66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6.64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2.66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bCs/>
                <w:kern w:val="24"/>
                <w:sz w:val="16"/>
                <w:szCs w:val="16"/>
              </w:rPr>
              <w:t>5.66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0.194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54367" w:rsidRPr="008456B9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8456B9">
              <w:rPr>
                <w:rFonts w:eastAsia="Calibri"/>
                <w:color w:val="000000"/>
                <w:kern w:val="24"/>
                <w:sz w:val="16"/>
                <w:szCs w:val="16"/>
              </w:rPr>
              <w:t>Inflammatory and immunologic regulation</w:t>
            </w:r>
          </w:p>
        </w:tc>
      </w:tr>
      <w:tr w:rsidR="006B3B0E" w:rsidTr="000A234E">
        <w:trPr>
          <w:trHeight w:val="898"/>
        </w:trPr>
        <w:tc>
          <w:tcPr>
            <w:tcW w:w="8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54367" w:rsidRPr="00A5436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A54367"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TNF</w:t>
            </w:r>
            <w:r w:rsidRPr="00A54367"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sym w:font="Symbol" w:char="F061"/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1.10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1.45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-2.69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-1.43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-1.04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1.74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2.67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1.19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1.46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bCs/>
                <w:kern w:val="24"/>
                <w:sz w:val="16"/>
                <w:szCs w:val="16"/>
              </w:rPr>
              <w:t>1.28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54367" w:rsidRPr="00765627" w:rsidRDefault="00A5436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0.377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54367" w:rsidRPr="008456B9" w:rsidRDefault="00D15B8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8456B9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TNF family </w:t>
            </w:r>
            <w:r w:rsidRPr="008456B9">
              <w:rPr>
                <w:rFonts w:eastAsia="Calibri"/>
                <w:color w:val="000000"/>
                <w:kern w:val="24"/>
                <w:sz w:val="16"/>
                <w:szCs w:val="16"/>
                <w:vertAlign w:val="superscript"/>
              </w:rPr>
              <w:t>*</w:t>
            </w:r>
          </w:p>
        </w:tc>
      </w:tr>
      <w:tr w:rsidR="00D15B87" w:rsidTr="000A234E">
        <w:trPr>
          <w:trHeight w:val="898"/>
        </w:trPr>
        <w:tc>
          <w:tcPr>
            <w:tcW w:w="8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5B87" w:rsidRPr="00A54367" w:rsidRDefault="00D15B8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MAPK1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5B87" w:rsidRPr="00765627" w:rsidRDefault="00456FE1" w:rsidP="00C25A6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</w:t>
            </w:r>
            <w:r w:rsidR="00C25A60"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5B87" w:rsidRPr="00765627" w:rsidRDefault="00456FE1" w:rsidP="00C25A6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-1.</w:t>
            </w:r>
            <w:r w:rsidR="00C25A60"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35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5B87" w:rsidRPr="00765627" w:rsidRDefault="00456FE1" w:rsidP="00C25A6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</w:t>
            </w:r>
            <w:r w:rsidR="00C25A60"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5B87" w:rsidRPr="00765627" w:rsidRDefault="00456FE1" w:rsidP="00C25A6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-1.</w:t>
            </w:r>
            <w:r w:rsidR="00C25A60"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</w:t>
            </w: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5B87" w:rsidRPr="00765627" w:rsidRDefault="00456FE1" w:rsidP="00C25A6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-1.0</w:t>
            </w:r>
            <w:r w:rsidR="00C25A60"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5B87" w:rsidRPr="00765627" w:rsidRDefault="00456FE1" w:rsidP="00C25A6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-1.</w:t>
            </w:r>
            <w:r w:rsidR="00C25A60" w:rsidRPr="00765627">
              <w:rPr>
                <w:rFonts w:eastAsia="Calibri"/>
                <w:kern w:val="24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5B87" w:rsidRPr="00765627" w:rsidRDefault="00456FE1" w:rsidP="00C25A6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</w:t>
            </w:r>
            <w:r w:rsidR="00C25A60"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33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5B87" w:rsidRPr="00765627" w:rsidRDefault="00456FE1" w:rsidP="00C25A6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-1.1</w:t>
            </w:r>
            <w:r w:rsidR="00C25A60" w:rsidRPr="00765627">
              <w:rPr>
                <w:rFonts w:eastAsia="Calibri"/>
                <w:kern w:val="24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5B87" w:rsidRPr="00765627" w:rsidRDefault="00C25A60" w:rsidP="00C25A6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-1.00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5B87" w:rsidRPr="00765627" w:rsidRDefault="00456FE1" w:rsidP="00C25A6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-1.</w:t>
            </w:r>
            <w:r w:rsidR="00C25A60" w:rsidRPr="00765627">
              <w:rPr>
                <w:rFonts w:eastAsia="Calibri"/>
                <w:kern w:val="24"/>
                <w:sz w:val="16"/>
                <w:szCs w:val="16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5B87" w:rsidRPr="00765627" w:rsidRDefault="00D15B8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bCs/>
                <w:kern w:val="24"/>
                <w:sz w:val="16"/>
                <w:szCs w:val="16"/>
              </w:rPr>
              <w:t>-1.27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5B87" w:rsidRPr="00765627" w:rsidRDefault="00D15B8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0.657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15B87" w:rsidRPr="008456B9" w:rsidRDefault="00D15B87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8456B9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MAPK </w:t>
            </w:r>
            <w:r w:rsidRPr="008456B9">
              <w:rPr>
                <w:rFonts w:eastAsia="Calibri"/>
                <w:color w:val="000000"/>
                <w:kern w:val="24"/>
                <w:sz w:val="16"/>
                <w:szCs w:val="16"/>
                <w:vertAlign w:val="superscript"/>
              </w:rPr>
              <w:t>*</w:t>
            </w:r>
            <w:r w:rsidRPr="008456B9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signaling</w:t>
            </w:r>
          </w:p>
        </w:tc>
      </w:tr>
      <w:tr w:rsidR="00154EF2" w:rsidTr="000A234E">
        <w:trPr>
          <w:trHeight w:val="898"/>
        </w:trPr>
        <w:tc>
          <w:tcPr>
            <w:tcW w:w="8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54EF2" w:rsidRDefault="00154EF2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NOD2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54EF2" w:rsidRPr="00765627" w:rsidRDefault="00154EF2" w:rsidP="00C25A6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1.02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54EF2" w:rsidRPr="00765627" w:rsidRDefault="00154EF2" w:rsidP="00C25A6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1.78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54EF2" w:rsidRPr="00765627" w:rsidRDefault="00154EF2" w:rsidP="00C25A6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-1.28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54EF2" w:rsidRPr="00765627" w:rsidRDefault="00154EF2" w:rsidP="00C25A6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1.34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54EF2" w:rsidRPr="00765627" w:rsidRDefault="00154EF2" w:rsidP="00C25A6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1.23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54EF2" w:rsidRPr="00765627" w:rsidRDefault="00154EF2" w:rsidP="00C25A6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1.42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54EF2" w:rsidRPr="00765627" w:rsidRDefault="00154EF2" w:rsidP="00C25A6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2.00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54EF2" w:rsidRPr="00765627" w:rsidRDefault="00154EF2" w:rsidP="00C25A6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1.73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54EF2" w:rsidRPr="00765627" w:rsidRDefault="00154EF2" w:rsidP="00C25A6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-1.35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54EF2" w:rsidRPr="00765627" w:rsidRDefault="00154EF2" w:rsidP="00C25A6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1.40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54EF2" w:rsidRPr="00765627" w:rsidRDefault="00154EF2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bCs/>
                <w:kern w:val="24"/>
                <w:sz w:val="16"/>
                <w:szCs w:val="16"/>
              </w:rPr>
              <w:t>1.51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54EF2" w:rsidRPr="00765627" w:rsidRDefault="00154EF2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0.499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54EF2" w:rsidRPr="008456B9" w:rsidRDefault="004A327B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>
              <w:rPr>
                <w:rFonts w:eastAsia="Calibri"/>
                <w:color w:val="000000"/>
                <w:kern w:val="24"/>
                <w:sz w:val="16"/>
                <w:szCs w:val="16"/>
              </w:rPr>
              <w:t>NOD2</w:t>
            </w:r>
            <w:r w:rsidRPr="008456B9">
              <w:rPr>
                <w:rFonts w:eastAsia="Calibri"/>
                <w:color w:val="000000"/>
                <w:kern w:val="24"/>
                <w:sz w:val="16"/>
                <w:szCs w:val="16"/>
                <w:vertAlign w:val="superscript"/>
              </w:rPr>
              <w:t>*</w:t>
            </w:r>
            <w:r w:rsidRPr="008456B9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</w:t>
            </w:r>
            <w:r w:rsidR="00154EF2">
              <w:rPr>
                <w:rFonts w:eastAsia="Calibri"/>
                <w:color w:val="000000"/>
                <w:kern w:val="24"/>
                <w:sz w:val="16"/>
                <w:szCs w:val="16"/>
              </w:rPr>
              <w:t>signaling</w:t>
            </w:r>
          </w:p>
        </w:tc>
      </w:tr>
      <w:tr w:rsidR="00E475CB" w:rsidTr="000A234E">
        <w:trPr>
          <w:trHeight w:val="898"/>
        </w:trPr>
        <w:tc>
          <w:tcPr>
            <w:tcW w:w="8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6B3B0E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6B3B0E"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CCL11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1.58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2.77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1.58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5.79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1.29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2.65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2.06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6.68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-3.66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1.81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bCs/>
                <w:kern w:val="24"/>
                <w:sz w:val="16"/>
                <w:szCs w:val="16"/>
              </w:rPr>
              <w:t>3.38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0.031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8456B9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8456B9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E475CB" w:rsidTr="000A234E">
        <w:trPr>
          <w:trHeight w:val="898"/>
        </w:trPr>
        <w:tc>
          <w:tcPr>
            <w:tcW w:w="8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6B3B0E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6B3B0E"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CCL20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1.26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2.64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-1.12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8.06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1.49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4.60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4.07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4.79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2.05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14.59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bCs/>
                <w:kern w:val="24"/>
                <w:sz w:val="16"/>
                <w:szCs w:val="16"/>
              </w:rPr>
              <w:t>3.65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0.061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8456B9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8456B9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6B3B0E" w:rsidTr="000A234E">
        <w:trPr>
          <w:trHeight w:val="898"/>
        </w:trPr>
        <w:tc>
          <w:tcPr>
            <w:tcW w:w="8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6B3B0E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6B3B0E"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lastRenderedPageBreak/>
              <w:t>CXCL5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12.77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479.8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2.04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14.48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15.06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4.59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1252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bCs/>
                <w:kern w:val="24"/>
                <w:sz w:val="16"/>
                <w:szCs w:val="16"/>
              </w:rPr>
              <w:t>43.39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0.042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8456B9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8456B9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6B3B0E" w:rsidTr="000A234E">
        <w:trPr>
          <w:trHeight w:val="898"/>
        </w:trPr>
        <w:tc>
          <w:tcPr>
            <w:tcW w:w="8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6B3B0E"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CXCL8</w:t>
            </w:r>
          </w:p>
          <w:p w:rsidR="00E424B3" w:rsidRPr="006B3B0E" w:rsidRDefault="00E424B3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(IL8)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1.5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24.11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1.43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4.68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8.43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5.28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18.52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-1.31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25.46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bCs/>
                <w:kern w:val="24"/>
                <w:sz w:val="16"/>
                <w:szCs w:val="16"/>
              </w:rPr>
              <w:t>30.52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0.049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8456B9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8456B9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6B3B0E" w:rsidTr="000A234E">
        <w:trPr>
          <w:trHeight w:val="898"/>
        </w:trPr>
        <w:tc>
          <w:tcPr>
            <w:tcW w:w="8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6B3B0E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6B3B0E"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CXCL9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-1.06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9.40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1.18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6.63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12.77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13.96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13.28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-1.83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8.20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bCs/>
                <w:kern w:val="24"/>
                <w:sz w:val="16"/>
                <w:szCs w:val="16"/>
              </w:rPr>
              <w:t>10.97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0.011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8456B9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8456B9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6B3B0E" w:rsidTr="000A234E">
        <w:trPr>
          <w:trHeight w:val="898"/>
        </w:trPr>
        <w:tc>
          <w:tcPr>
            <w:tcW w:w="8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0E5B05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0E5B05"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LILRA3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-2.14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15.2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1.11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17.23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1.39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38.04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3.95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17.69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-4.11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11.35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bCs/>
                <w:kern w:val="24"/>
                <w:sz w:val="16"/>
                <w:szCs w:val="16"/>
              </w:rPr>
              <w:t>26.99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0.031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8456B9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8456B9">
              <w:rPr>
                <w:rFonts w:eastAsia="Calibri"/>
                <w:color w:val="000000"/>
                <w:kern w:val="24"/>
                <w:sz w:val="16"/>
                <w:szCs w:val="16"/>
              </w:rPr>
              <w:t>Inflammatory and immunologic regulation</w:t>
            </w:r>
          </w:p>
        </w:tc>
      </w:tr>
      <w:tr w:rsidR="006B3B0E" w:rsidTr="000A234E">
        <w:trPr>
          <w:trHeight w:val="898"/>
        </w:trPr>
        <w:tc>
          <w:tcPr>
            <w:tcW w:w="8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0E5B05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0E5B05"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LILRB2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-1.09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1.6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1.28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1.54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1.82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1.82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-1.29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1.46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bCs/>
                <w:kern w:val="24"/>
                <w:sz w:val="16"/>
                <w:szCs w:val="16"/>
              </w:rPr>
              <w:t>2.06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0.032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8456B9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8456B9">
              <w:rPr>
                <w:rFonts w:eastAsia="Calibri"/>
                <w:color w:val="000000"/>
                <w:kern w:val="24"/>
                <w:sz w:val="16"/>
                <w:szCs w:val="16"/>
              </w:rPr>
              <w:t>Inflammatory and immunologic regulation</w:t>
            </w:r>
          </w:p>
        </w:tc>
      </w:tr>
      <w:tr w:rsidR="006B3B0E" w:rsidTr="000A234E">
        <w:trPr>
          <w:trHeight w:val="898"/>
        </w:trPr>
        <w:tc>
          <w:tcPr>
            <w:tcW w:w="8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0E5B05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0E5B05"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LILRB3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-1.04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2.16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-4.57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-12.77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1.22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-1.65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1.29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1.67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-1.24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bCs/>
                <w:kern w:val="24"/>
                <w:sz w:val="16"/>
                <w:szCs w:val="16"/>
              </w:rPr>
              <w:t>2.02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765627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0.031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B05" w:rsidRPr="008456B9" w:rsidRDefault="000E5B05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8456B9">
              <w:rPr>
                <w:rFonts w:eastAsia="Calibri"/>
                <w:color w:val="000000"/>
                <w:kern w:val="24"/>
                <w:sz w:val="16"/>
                <w:szCs w:val="16"/>
              </w:rPr>
              <w:t>Inflammatory and immunologic regulation</w:t>
            </w:r>
          </w:p>
        </w:tc>
      </w:tr>
      <w:tr w:rsidR="00E475CB" w:rsidTr="000A234E">
        <w:trPr>
          <w:trHeight w:val="898"/>
        </w:trPr>
        <w:tc>
          <w:tcPr>
            <w:tcW w:w="8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6B3B0E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6B3B0E"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IFNG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1.19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37.13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-1.63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6.98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1.25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42.58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50.28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20.38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1.04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25.08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bCs/>
                <w:kern w:val="24"/>
                <w:sz w:val="16"/>
                <w:szCs w:val="16"/>
              </w:rPr>
              <w:t>31.00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0.007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8456B9" w:rsidRDefault="00371B26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color w:val="000000"/>
                <w:kern w:val="24"/>
                <w:sz w:val="16"/>
                <w:szCs w:val="16"/>
              </w:rPr>
              <w:t>Th1 pathway</w:t>
            </w:r>
          </w:p>
        </w:tc>
      </w:tr>
      <w:tr w:rsidR="00E475CB" w:rsidTr="000A234E">
        <w:trPr>
          <w:trHeight w:val="898"/>
        </w:trPr>
        <w:tc>
          <w:tcPr>
            <w:tcW w:w="8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6B3B0E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6B3B0E"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STAT1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-1.09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3.71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1.18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2.8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4.27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3.61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3.99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1.07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3.98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bCs/>
                <w:kern w:val="24"/>
                <w:sz w:val="16"/>
                <w:szCs w:val="16"/>
              </w:rPr>
              <w:t>3.98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0.012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8456B9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8456B9">
              <w:rPr>
                <w:rFonts w:eastAsia="Calibri"/>
                <w:color w:val="000000"/>
                <w:kern w:val="24"/>
                <w:sz w:val="16"/>
                <w:szCs w:val="16"/>
              </w:rPr>
              <w:t>IFNG regulated transcription factor</w:t>
            </w:r>
          </w:p>
        </w:tc>
      </w:tr>
      <w:tr w:rsidR="00584572" w:rsidTr="000A234E">
        <w:trPr>
          <w:trHeight w:val="898"/>
        </w:trPr>
        <w:tc>
          <w:tcPr>
            <w:tcW w:w="8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6B3B0E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6B3B0E"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IFIT3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-1.12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3.33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1.29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2.98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2.1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5.78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3.66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-1.21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2.46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bCs/>
                <w:kern w:val="24"/>
                <w:sz w:val="16"/>
                <w:szCs w:val="16"/>
              </w:rPr>
              <w:t>3.84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765627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0.001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3B0E" w:rsidRPr="008456B9" w:rsidRDefault="006B3B0E" w:rsidP="00E475C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8456B9">
              <w:rPr>
                <w:rFonts w:eastAsia="Calibri"/>
                <w:color w:val="000000"/>
                <w:kern w:val="24"/>
                <w:sz w:val="16"/>
                <w:szCs w:val="16"/>
              </w:rPr>
              <w:t>IFNG-induced antiviral protein</w:t>
            </w:r>
          </w:p>
        </w:tc>
      </w:tr>
      <w:tr w:rsidR="001524DD" w:rsidTr="000A234E">
        <w:trPr>
          <w:trHeight w:val="898"/>
        </w:trPr>
        <w:tc>
          <w:tcPr>
            <w:tcW w:w="8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4DD" w:rsidRPr="000E5B05" w:rsidRDefault="001524DD" w:rsidP="001524DD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0E5B05"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NOS2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4DD" w:rsidRPr="00765627" w:rsidRDefault="001524DD" w:rsidP="001524D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1.8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4DD" w:rsidRPr="00765627" w:rsidRDefault="001524DD" w:rsidP="001524DD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20.94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4DD" w:rsidRPr="00765627" w:rsidRDefault="001524DD" w:rsidP="001524D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1.67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4DD" w:rsidRPr="00765627" w:rsidRDefault="001524DD" w:rsidP="001524DD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5.77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4DD" w:rsidRPr="00765627" w:rsidRDefault="001524DD" w:rsidP="001524D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-1.1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4DD" w:rsidRPr="00765627" w:rsidRDefault="001524DD" w:rsidP="001524D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3.00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4DD" w:rsidRPr="00765627" w:rsidRDefault="001524DD" w:rsidP="001524D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10.46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4DD" w:rsidRPr="00765627" w:rsidRDefault="001524DD" w:rsidP="001524D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9.37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4DD" w:rsidRPr="00765627" w:rsidRDefault="001524DD" w:rsidP="001524D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/>
                <w:kern w:val="24"/>
                <w:sz w:val="16"/>
                <w:szCs w:val="16"/>
              </w:rPr>
              <w:t>-1.26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4DD" w:rsidRPr="00765627" w:rsidRDefault="001524DD" w:rsidP="001524D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kern w:val="24"/>
                <w:sz w:val="16"/>
                <w:szCs w:val="16"/>
              </w:rPr>
              <w:t>14.94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4DD" w:rsidRPr="00765627" w:rsidRDefault="001524DD" w:rsidP="001524D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bCs/>
                <w:kern w:val="24"/>
                <w:sz w:val="16"/>
                <w:szCs w:val="16"/>
              </w:rPr>
              <w:t>7.48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4DD" w:rsidRPr="00765627" w:rsidRDefault="001524DD" w:rsidP="001524D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765627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0.049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4DD" w:rsidRPr="008456B9" w:rsidRDefault="001524DD" w:rsidP="001524D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8456B9">
              <w:rPr>
                <w:rFonts w:eastAsia="Calibri"/>
                <w:color w:val="000000"/>
                <w:kern w:val="24"/>
                <w:sz w:val="16"/>
                <w:szCs w:val="16"/>
              </w:rPr>
              <w:t>Nitric oxide synthesis</w:t>
            </w:r>
          </w:p>
        </w:tc>
      </w:tr>
    </w:tbl>
    <w:p w:rsidR="003C07BA" w:rsidRPr="00E475CB" w:rsidRDefault="00EC1047">
      <w:pPr>
        <w:rPr>
          <w:rFonts w:ascii="Times New Roman" w:hAnsi="Times New Roman" w:cs="Times New Roman"/>
          <w:sz w:val="24"/>
          <w:szCs w:val="24"/>
        </w:rPr>
      </w:pPr>
    </w:p>
    <w:p w:rsidR="00E475CB" w:rsidRPr="00E475CB" w:rsidRDefault="00EC1047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</w:rPr>
      </w:pPr>
      <w:proofErr w:type="gramStart"/>
      <w:r>
        <w:rPr>
          <w:b/>
          <w:color w:val="000000" w:themeColor="text1"/>
        </w:rPr>
        <w:t xml:space="preserve">Supplemental </w:t>
      </w:r>
      <w:r w:rsidR="00E475CB" w:rsidRPr="00E475CB">
        <w:rPr>
          <w:b/>
          <w:color w:val="000000" w:themeColor="text1"/>
        </w:rPr>
        <w:t xml:space="preserve">Table </w:t>
      </w:r>
      <w:r>
        <w:rPr>
          <w:b/>
          <w:color w:val="000000" w:themeColor="text1"/>
        </w:rPr>
        <w:t>3</w:t>
      </w:r>
      <w:bookmarkStart w:id="0" w:name="_GoBack"/>
      <w:bookmarkEnd w:id="0"/>
      <w:r w:rsidR="00E475CB" w:rsidRPr="00E475CB">
        <w:rPr>
          <w:b/>
          <w:color w:val="000000" w:themeColor="text1"/>
        </w:rPr>
        <w:t>.</w:t>
      </w:r>
      <w:proofErr w:type="gramEnd"/>
      <w:r w:rsidR="00E475CB" w:rsidRPr="00E475CB">
        <w:rPr>
          <w:color w:val="000000" w:themeColor="text1"/>
        </w:rPr>
        <w:t xml:space="preserve"> </w:t>
      </w:r>
      <w:r w:rsidR="00E475CB" w:rsidRPr="00E475CB">
        <w:rPr>
          <w:b/>
          <w:color w:val="000000" w:themeColor="text1"/>
        </w:rPr>
        <w:t xml:space="preserve">Representative genes differentially expressed in collagenous colitis, confirmed by quantitative </w:t>
      </w:r>
      <w:r w:rsidR="0037201C">
        <w:rPr>
          <w:b/>
          <w:color w:val="000000" w:themeColor="text1"/>
        </w:rPr>
        <w:t>RT-</w:t>
      </w:r>
      <w:r w:rsidR="00E475CB" w:rsidRPr="00E475CB">
        <w:rPr>
          <w:b/>
          <w:color w:val="000000" w:themeColor="text1"/>
        </w:rPr>
        <w:t>PCR (</w:t>
      </w:r>
      <w:proofErr w:type="spellStart"/>
      <w:r w:rsidR="00E475CB" w:rsidRPr="00E475CB">
        <w:rPr>
          <w:b/>
          <w:color w:val="000000" w:themeColor="text1"/>
        </w:rPr>
        <w:t>q</w:t>
      </w:r>
      <w:r w:rsidR="0037201C">
        <w:rPr>
          <w:b/>
          <w:color w:val="000000" w:themeColor="text1"/>
        </w:rPr>
        <w:t>RT</w:t>
      </w:r>
      <w:proofErr w:type="spellEnd"/>
      <w:r w:rsidR="00E475CB" w:rsidRPr="00E475CB">
        <w:rPr>
          <w:b/>
          <w:color w:val="000000" w:themeColor="text1"/>
        </w:rPr>
        <w:t>-PCR).</w:t>
      </w:r>
      <w:r w:rsidR="00E475CB" w:rsidRPr="00E475CB">
        <w:rPr>
          <w:color w:val="000000" w:themeColor="text1"/>
        </w:rPr>
        <w:t xml:space="preserve"> </w:t>
      </w:r>
      <w:r w:rsidR="00E475CB" w:rsidRPr="00E475CB">
        <w:rPr>
          <w:rFonts w:eastAsiaTheme="minorEastAsia"/>
          <w:color w:val="000000" w:themeColor="text1"/>
          <w:kern w:val="24"/>
        </w:rPr>
        <w:t>Data represent the fold change</w:t>
      </w:r>
      <w:r w:rsidR="0037201C">
        <w:rPr>
          <w:rFonts w:eastAsiaTheme="minorEastAsia"/>
          <w:color w:val="000000" w:themeColor="text1"/>
          <w:kern w:val="24"/>
        </w:rPr>
        <w:t>s</w:t>
      </w:r>
      <w:r w:rsidR="00E475CB" w:rsidRPr="00E475CB">
        <w:rPr>
          <w:rFonts w:eastAsiaTheme="minorEastAsia"/>
          <w:color w:val="000000" w:themeColor="text1"/>
          <w:kern w:val="24"/>
        </w:rPr>
        <w:t xml:space="preserve"> (FC) of gene expression in involved mucosa or pooled CC samples compared with pooled normal colonic controls. The corresponding FC between histologically involved and uninvolved mucosa from 5 CC patients are listed for comparison. </w:t>
      </w:r>
      <w:r w:rsidR="00765627">
        <w:rPr>
          <w:rFonts w:eastAsiaTheme="minorEastAsia"/>
          <w:color w:val="000000" w:themeColor="text1"/>
          <w:kern w:val="24"/>
        </w:rPr>
        <w:t xml:space="preserve">I/U, involved mucosa vs. </w:t>
      </w:r>
      <w:r w:rsidR="009E636F">
        <w:rPr>
          <w:rFonts w:eastAsiaTheme="minorEastAsia"/>
          <w:color w:val="000000" w:themeColor="text1"/>
          <w:kern w:val="24"/>
        </w:rPr>
        <w:t>u</w:t>
      </w:r>
      <w:r w:rsidR="00765627">
        <w:rPr>
          <w:rFonts w:eastAsiaTheme="minorEastAsia"/>
          <w:color w:val="000000" w:themeColor="text1"/>
          <w:kern w:val="24"/>
        </w:rPr>
        <w:t xml:space="preserve">ninvolved mucosa; I/P, involved mucosa vs. pooled normal colonic controls. </w:t>
      </w:r>
      <w:r w:rsidR="00E475CB" w:rsidRPr="00E475CB">
        <w:rPr>
          <w:rFonts w:eastAsiaTheme="minorEastAsia"/>
          <w:color w:val="000000" w:themeColor="text1"/>
          <w:kern w:val="24"/>
        </w:rPr>
        <w:t xml:space="preserve">Positive FC indicates upregulation and </w:t>
      </w:r>
      <w:r w:rsidR="00E475CB" w:rsidRPr="00E475CB">
        <w:rPr>
          <w:rFonts w:eastAsiaTheme="minorEastAsia"/>
          <w:color w:val="000000" w:themeColor="text1"/>
          <w:kern w:val="24"/>
        </w:rPr>
        <w:lastRenderedPageBreak/>
        <w:t>negative FC indicates downregulation. The expression levels of these genes in pooled CC and pooled normal colonic controls are further confirmed by quantitative PCR and the p values (</w:t>
      </w:r>
      <w:r w:rsidR="00780B11" w:rsidRPr="00E475CB">
        <w:rPr>
          <w:rFonts w:eastAsiaTheme="minorEastAsia"/>
          <w:color w:val="000000" w:themeColor="text1"/>
          <w:kern w:val="24"/>
        </w:rPr>
        <w:t>unpaired</w:t>
      </w:r>
      <w:r w:rsidR="00E475CB" w:rsidRPr="00E475CB">
        <w:rPr>
          <w:rFonts w:eastAsiaTheme="minorEastAsia"/>
          <w:color w:val="000000" w:themeColor="text1"/>
          <w:kern w:val="24"/>
        </w:rPr>
        <w:t xml:space="preserve"> t tests) are shown.</w:t>
      </w:r>
    </w:p>
    <w:p w:rsidR="00E475CB" w:rsidRPr="00E475CB" w:rsidRDefault="00D15B87">
      <w:pPr>
        <w:rPr>
          <w:rFonts w:ascii="Times New Roman" w:hAnsi="Times New Roman" w:cs="Times New Roman"/>
          <w:sz w:val="24"/>
          <w:szCs w:val="24"/>
        </w:rPr>
      </w:pPr>
      <w:r w:rsidRPr="003537B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A3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 of other members of TNF family</w:t>
      </w:r>
      <w:r w:rsidR="004A327B">
        <w:rPr>
          <w:rFonts w:ascii="Times New Roman" w:hAnsi="Times New Roman" w:cs="Times New Roman"/>
          <w:sz w:val="24"/>
          <w:szCs w:val="24"/>
        </w:rPr>
        <w:t xml:space="preserve">, MAPK and NOD1/2 </w:t>
      </w:r>
      <w:r w:rsidR="006A0326">
        <w:rPr>
          <w:rFonts w:ascii="Times New Roman" w:hAnsi="Times New Roman" w:cs="Times New Roman"/>
          <w:sz w:val="24"/>
          <w:szCs w:val="24"/>
        </w:rPr>
        <w:t>signaling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32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summarized in Table 3.</w:t>
      </w:r>
    </w:p>
    <w:sectPr w:rsidR="00E475CB" w:rsidRPr="00E47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11"/>
    <w:rsid w:val="000A234E"/>
    <w:rsid w:val="000D3B59"/>
    <w:rsid w:val="000E5B05"/>
    <w:rsid w:val="00140BB6"/>
    <w:rsid w:val="001524DD"/>
    <w:rsid w:val="00154EF2"/>
    <w:rsid w:val="001668C2"/>
    <w:rsid w:val="001E26F9"/>
    <w:rsid w:val="001E6BB6"/>
    <w:rsid w:val="00257720"/>
    <w:rsid w:val="003153B3"/>
    <w:rsid w:val="003537BB"/>
    <w:rsid w:val="00371B26"/>
    <w:rsid w:val="0037201C"/>
    <w:rsid w:val="0037439C"/>
    <w:rsid w:val="003B0845"/>
    <w:rsid w:val="003C6981"/>
    <w:rsid w:val="00410623"/>
    <w:rsid w:val="00456FE1"/>
    <w:rsid w:val="00471028"/>
    <w:rsid w:val="004A327B"/>
    <w:rsid w:val="00584572"/>
    <w:rsid w:val="005F03FF"/>
    <w:rsid w:val="00607CAB"/>
    <w:rsid w:val="006128FF"/>
    <w:rsid w:val="006A0326"/>
    <w:rsid w:val="006B3B0E"/>
    <w:rsid w:val="006F5511"/>
    <w:rsid w:val="00736C33"/>
    <w:rsid w:val="00765627"/>
    <w:rsid w:val="00770299"/>
    <w:rsid w:val="00780B11"/>
    <w:rsid w:val="00807D29"/>
    <w:rsid w:val="008257FE"/>
    <w:rsid w:val="008456B9"/>
    <w:rsid w:val="00965298"/>
    <w:rsid w:val="00990C92"/>
    <w:rsid w:val="009E636F"/>
    <w:rsid w:val="00A54367"/>
    <w:rsid w:val="00B44806"/>
    <w:rsid w:val="00C25A60"/>
    <w:rsid w:val="00CC0221"/>
    <w:rsid w:val="00CD5320"/>
    <w:rsid w:val="00D15B87"/>
    <w:rsid w:val="00D462D8"/>
    <w:rsid w:val="00DD50B3"/>
    <w:rsid w:val="00DF4B5C"/>
    <w:rsid w:val="00DF7B6D"/>
    <w:rsid w:val="00E238E7"/>
    <w:rsid w:val="00E424B3"/>
    <w:rsid w:val="00E475CB"/>
    <w:rsid w:val="00E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5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43BE-6498-4B9F-8E90-84AAEB88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Qingqing</dc:creator>
  <cp:lastModifiedBy>Liu, Qingqing</cp:lastModifiedBy>
  <cp:revision>2</cp:revision>
  <dcterms:created xsi:type="dcterms:W3CDTF">2018-09-20T21:18:00Z</dcterms:created>
  <dcterms:modified xsi:type="dcterms:W3CDTF">2018-09-20T21:18:00Z</dcterms:modified>
</cp:coreProperties>
</file>