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18" w:rsidRDefault="00786C18" w:rsidP="00C25659">
      <w:pPr>
        <w:spacing w:after="200" w:line="276" w:lineRule="auto"/>
        <w:rPr>
          <w:rFonts w:ascii="Calibri" w:eastAsia="Calibri" w:hAnsi="Calibri" w:cs="Calibri"/>
          <w:b/>
          <w:sz w:val="24"/>
          <w:szCs w:val="24"/>
        </w:rPr>
      </w:pPr>
      <w:r>
        <w:rPr>
          <w:rFonts w:ascii="Calibri" w:eastAsia="Calibri" w:hAnsi="Calibri" w:cs="Calibri"/>
          <w:b/>
          <w:sz w:val="24"/>
          <w:szCs w:val="24"/>
        </w:rPr>
        <w:t>On-line supplement</w:t>
      </w:r>
    </w:p>
    <w:p w:rsidR="00C25659" w:rsidRPr="00C25659" w:rsidRDefault="00C25659" w:rsidP="00C25659">
      <w:pPr>
        <w:spacing w:after="200" w:line="276" w:lineRule="auto"/>
        <w:rPr>
          <w:rFonts w:ascii="Calibri" w:eastAsia="Calibri" w:hAnsi="Calibri" w:cs="Calibri"/>
          <w:b/>
          <w:sz w:val="24"/>
          <w:szCs w:val="24"/>
        </w:rPr>
      </w:pPr>
      <w:bookmarkStart w:id="0" w:name="_GoBack"/>
      <w:bookmarkEnd w:id="0"/>
      <w:r w:rsidRPr="00C25659">
        <w:rPr>
          <w:rFonts w:ascii="Calibri" w:eastAsia="Calibri" w:hAnsi="Calibri" w:cs="Calibri"/>
          <w:b/>
          <w:sz w:val="24"/>
          <w:szCs w:val="24"/>
        </w:rPr>
        <w:t>Table: A comparison of the helical heart and myocardial mesh models.</w:t>
      </w:r>
    </w:p>
    <w:tbl>
      <w:tblPr>
        <w:tblStyle w:val="TableGrid"/>
        <w:tblW w:w="0" w:type="auto"/>
        <w:tblLook w:val="04A0" w:firstRow="1" w:lastRow="0" w:firstColumn="1" w:lastColumn="0" w:noHBand="0" w:noVBand="1"/>
      </w:tblPr>
      <w:tblGrid>
        <w:gridCol w:w="3040"/>
        <w:gridCol w:w="3001"/>
        <w:gridCol w:w="2975"/>
      </w:tblGrid>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sz w:val="20"/>
              </w:rPr>
            </w:pPr>
          </w:p>
        </w:tc>
        <w:tc>
          <w:tcPr>
            <w:tcW w:w="4725" w:type="dxa"/>
          </w:tcPr>
          <w:p w:rsidR="00C25659" w:rsidRPr="00C25659" w:rsidRDefault="00C25659" w:rsidP="00C25659">
            <w:pPr>
              <w:spacing w:before="100" w:beforeAutospacing="1" w:after="100" w:afterAutospacing="1"/>
              <w:rPr>
                <w:rFonts w:ascii="Calibri" w:hAnsi="Calibri" w:cs="Calibri"/>
                <w:b/>
                <w:sz w:val="20"/>
              </w:rPr>
            </w:pPr>
            <w:r w:rsidRPr="00C25659">
              <w:rPr>
                <w:rFonts w:ascii="Calibri" w:hAnsi="Calibri" w:cs="Calibri"/>
                <w:b/>
                <w:sz w:val="20"/>
              </w:rPr>
              <w:t>The Helical Heart</w:t>
            </w:r>
          </w:p>
        </w:tc>
        <w:tc>
          <w:tcPr>
            <w:tcW w:w="4726" w:type="dxa"/>
          </w:tcPr>
          <w:p w:rsidR="00C25659" w:rsidRPr="00C25659" w:rsidRDefault="00C25659" w:rsidP="00C25659">
            <w:pPr>
              <w:spacing w:before="100" w:beforeAutospacing="1" w:after="100" w:afterAutospacing="1"/>
              <w:rPr>
                <w:rFonts w:ascii="Calibri" w:hAnsi="Calibri" w:cs="Calibri"/>
                <w:b/>
                <w:sz w:val="20"/>
              </w:rPr>
            </w:pPr>
            <w:r w:rsidRPr="00C25659">
              <w:rPr>
                <w:rFonts w:ascii="Calibri" w:hAnsi="Calibri" w:cs="Calibri"/>
                <w:b/>
                <w:sz w:val="20"/>
              </w:rPr>
              <w:t>The Three-Dimensional Mesh</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b/>
                <w:sz w:val="20"/>
              </w:rPr>
              <w:t>How are the cardiomyocytes arranged?</w:t>
            </w:r>
          </w:p>
        </w:tc>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Based on</w:t>
            </w:r>
            <w:r w:rsidRPr="00C25659">
              <w:rPr>
                <w:rFonts w:ascii="Calibri" w:hAnsi="Calibri" w:cs="Calibri"/>
                <w:sz w:val="20"/>
              </w:rPr>
              <w:t xml:space="preserve"> skeletal muscle</w:t>
            </w:r>
            <w:r>
              <w:rPr>
                <w:rFonts w:ascii="Calibri" w:hAnsi="Calibri" w:cs="Calibri"/>
                <w:sz w:val="20"/>
              </w:rPr>
              <w:t xml:space="preserve"> anatomy</w:t>
            </w:r>
            <w:r w:rsidRPr="00C25659">
              <w:rPr>
                <w:rFonts w:ascii="Calibri" w:hAnsi="Calibri" w:cs="Calibri"/>
                <w:sz w:val="20"/>
              </w:rPr>
              <w:t>, taking origin from pulmonary trunk, and inserting to aortic root.</w:t>
            </w:r>
          </w:p>
        </w:tc>
        <w:tc>
          <w:tcPr>
            <w:tcW w:w="4726"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Based on modified blood vessel, with cardiomyocytes attached to each other, supported in fibrous matrix.</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b/>
                <w:sz w:val="20"/>
              </w:rPr>
              <w:t>How does histological evidence relate to proposed arrangements?</w:t>
            </w:r>
          </w:p>
        </w:tc>
        <w:tc>
          <w:tcPr>
            <w:tcW w:w="4725" w:type="dxa"/>
          </w:tcPr>
          <w:p w:rsidR="00C25659" w:rsidRPr="00C25659" w:rsidRDefault="00C25659" w:rsidP="00C25659">
            <w:pPr>
              <w:spacing w:before="100" w:beforeAutospacing="1" w:after="100" w:afterAutospacing="1"/>
              <w:rPr>
                <w:rFonts w:ascii="Calibri" w:hAnsi="Calibri" w:cs="Calibri"/>
                <w:sz w:val="20"/>
                <w:lang w:val="da-DK"/>
              </w:rPr>
            </w:pPr>
            <w:r w:rsidRPr="00C25659">
              <w:rPr>
                <w:rFonts w:ascii="Calibri" w:hAnsi="Calibri" w:cs="Calibri"/>
                <w:sz w:val="20"/>
                <w:lang w:val="da-DK"/>
              </w:rPr>
              <w:t xml:space="preserve">Proponents have </w:t>
            </w:r>
            <w:proofErr w:type="spellStart"/>
            <w:r w:rsidRPr="00C25659">
              <w:rPr>
                <w:rFonts w:ascii="Calibri" w:hAnsi="Calibri" w:cs="Calibri"/>
                <w:sz w:val="20"/>
                <w:lang w:val="da-DK"/>
              </w:rPr>
              <w:t>failed</w:t>
            </w:r>
            <w:proofErr w:type="spellEnd"/>
            <w:r w:rsidRPr="00C25659">
              <w:rPr>
                <w:rFonts w:ascii="Calibri" w:hAnsi="Calibri" w:cs="Calibri"/>
                <w:sz w:val="20"/>
                <w:lang w:val="da-DK"/>
              </w:rPr>
              <w:t xml:space="preserve"> to provide </w:t>
            </w:r>
            <w:proofErr w:type="spellStart"/>
            <w:r w:rsidRPr="00C25659">
              <w:rPr>
                <w:rFonts w:ascii="Calibri" w:hAnsi="Calibri" w:cs="Calibri"/>
                <w:sz w:val="20"/>
                <w:lang w:val="da-DK"/>
              </w:rPr>
              <w:t>evidence</w:t>
            </w:r>
            <w:proofErr w:type="spellEnd"/>
            <w:r w:rsidRPr="00C25659">
              <w:rPr>
                <w:rFonts w:ascii="Calibri" w:hAnsi="Calibri" w:cs="Calibri"/>
                <w:sz w:val="20"/>
                <w:lang w:val="da-DK"/>
              </w:rPr>
              <w:t xml:space="preserve"> to show </w:t>
            </w:r>
            <w:proofErr w:type="spellStart"/>
            <w:r w:rsidRPr="00C25659">
              <w:rPr>
                <w:rFonts w:ascii="Calibri" w:hAnsi="Calibri" w:cs="Calibri"/>
                <w:sz w:val="20"/>
                <w:lang w:val="da-DK"/>
              </w:rPr>
              <w:t>any</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boundaries</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that</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would</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need</w:t>
            </w:r>
            <w:proofErr w:type="spellEnd"/>
            <w:r w:rsidRPr="00C25659">
              <w:rPr>
                <w:rFonts w:ascii="Calibri" w:hAnsi="Calibri" w:cs="Calibri"/>
                <w:sz w:val="20"/>
                <w:lang w:val="da-DK"/>
              </w:rPr>
              <w:t xml:space="preserve"> to </w:t>
            </w:r>
            <w:proofErr w:type="spellStart"/>
            <w:r w:rsidRPr="00C25659">
              <w:rPr>
                <w:rFonts w:ascii="Calibri" w:hAnsi="Calibri" w:cs="Calibri"/>
                <w:sz w:val="20"/>
                <w:lang w:val="da-DK"/>
              </w:rPr>
              <w:t>enclose</w:t>
            </w:r>
            <w:proofErr w:type="spellEnd"/>
            <w:r w:rsidRPr="00C25659">
              <w:rPr>
                <w:rFonts w:ascii="Calibri" w:hAnsi="Calibri" w:cs="Calibri"/>
                <w:sz w:val="20"/>
                <w:lang w:val="da-DK"/>
              </w:rPr>
              <w:t xml:space="preserve"> the </w:t>
            </w:r>
            <w:proofErr w:type="spellStart"/>
            <w:r w:rsidRPr="00C25659">
              <w:rPr>
                <w:rFonts w:ascii="Calibri" w:hAnsi="Calibri" w:cs="Calibri"/>
                <w:sz w:val="20"/>
                <w:lang w:val="da-DK"/>
              </w:rPr>
              <w:t>purported</w:t>
            </w:r>
            <w:proofErr w:type="spellEnd"/>
            <w:r w:rsidRPr="00C25659">
              <w:rPr>
                <w:rFonts w:ascii="Calibri" w:hAnsi="Calibri" w:cs="Calibri"/>
                <w:sz w:val="20"/>
                <w:lang w:val="da-DK"/>
              </w:rPr>
              <w:t xml:space="preserve"> components of the </w:t>
            </w:r>
            <w:proofErr w:type="spellStart"/>
            <w:r w:rsidRPr="00C25659">
              <w:rPr>
                <w:rFonts w:ascii="Calibri" w:hAnsi="Calibri" w:cs="Calibri"/>
                <w:sz w:val="20"/>
                <w:lang w:val="da-DK"/>
              </w:rPr>
              <w:t>solitary</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myocardial</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entity</w:t>
            </w:r>
            <w:proofErr w:type="spellEnd"/>
            <w:r w:rsidRPr="00C25659">
              <w:rPr>
                <w:rFonts w:ascii="Calibri" w:hAnsi="Calibri" w:cs="Calibri"/>
                <w:sz w:val="20"/>
                <w:lang w:val="da-DK"/>
              </w:rPr>
              <w:t xml:space="preserve"> so as to </w:t>
            </w:r>
            <w:proofErr w:type="spellStart"/>
            <w:r w:rsidRPr="00C25659">
              <w:rPr>
                <w:rFonts w:ascii="Calibri" w:hAnsi="Calibri" w:cs="Calibri"/>
                <w:sz w:val="20"/>
                <w:lang w:val="da-DK"/>
              </w:rPr>
              <w:t>permit</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its</w:t>
            </w:r>
            <w:proofErr w:type="spellEnd"/>
            <w:r w:rsidRPr="00C25659">
              <w:rPr>
                <w:rFonts w:ascii="Calibri" w:hAnsi="Calibri" w:cs="Calibri"/>
                <w:sz w:val="20"/>
                <w:lang w:val="da-DK"/>
              </w:rPr>
              <w:t xml:space="preserve"> uniform </w:t>
            </w:r>
            <w:proofErr w:type="spellStart"/>
            <w:r w:rsidRPr="00C25659">
              <w:rPr>
                <w:rFonts w:ascii="Calibri" w:hAnsi="Calibri" w:cs="Calibri"/>
                <w:sz w:val="20"/>
                <w:lang w:val="da-DK"/>
              </w:rPr>
              <w:t>dissection</w:t>
            </w:r>
            <w:proofErr w:type="spellEnd"/>
            <w:r w:rsidRPr="00C25659">
              <w:rPr>
                <w:rFonts w:ascii="Calibri" w:hAnsi="Calibri" w:cs="Calibri"/>
                <w:sz w:val="20"/>
                <w:lang w:val="da-DK"/>
              </w:rPr>
              <w:t xml:space="preserve">. In reality, </w:t>
            </w:r>
            <w:proofErr w:type="spellStart"/>
            <w:r w:rsidRPr="00C25659">
              <w:rPr>
                <w:rFonts w:ascii="Calibri" w:hAnsi="Calibri" w:cs="Calibri"/>
                <w:sz w:val="20"/>
                <w:lang w:val="da-DK"/>
              </w:rPr>
              <w:t>such</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boundaries</w:t>
            </w:r>
            <w:proofErr w:type="spellEnd"/>
            <w:r w:rsidRPr="00C25659">
              <w:rPr>
                <w:rFonts w:ascii="Calibri" w:hAnsi="Calibri" w:cs="Calibri"/>
                <w:sz w:val="20"/>
                <w:lang w:val="da-DK"/>
              </w:rPr>
              <w:t xml:space="preserve"> do not </w:t>
            </w:r>
            <w:proofErr w:type="spellStart"/>
            <w:r w:rsidRPr="00C25659">
              <w:rPr>
                <w:rFonts w:ascii="Calibri" w:hAnsi="Calibri" w:cs="Calibri"/>
                <w:sz w:val="20"/>
                <w:lang w:val="da-DK"/>
              </w:rPr>
              <w:t>exist</w:t>
            </w:r>
            <w:proofErr w:type="spellEnd"/>
            <w:r w:rsidRPr="00C25659">
              <w:rPr>
                <w:rFonts w:ascii="Calibri" w:hAnsi="Calibri" w:cs="Calibri"/>
                <w:sz w:val="20"/>
                <w:lang w:val="da-DK"/>
              </w:rPr>
              <w:t>.</w:t>
            </w:r>
          </w:p>
        </w:tc>
        <w:tc>
          <w:tcPr>
            <w:tcW w:w="4726"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Histology reveals presence of cardiomyocytes bound together within an endomysial framework, with perimysial spaces separating aggregated units.</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b/>
                <w:sz w:val="20"/>
              </w:rPr>
              <w:t>What is the alignment of the aggregated chains of cardiomyocytes?</w:t>
            </w:r>
          </w:p>
        </w:tc>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 xml:space="preserve">Proponents deny the existence of circumferential chains of cardiomyocytes. </w:t>
            </w:r>
          </w:p>
        </w:tc>
        <w:tc>
          <w:tcPr>
            <w:tcW w:w="4726"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Multiple dissections and histological studies show changing helical angle of aggregated cardiomyocytes at increased depth of ventricular wall, with middle component made up of circumferential aggregates. These findings now confirmed by diffusion tensor magnetic resonance imaging.</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b/>
                <w:sz w:val="20"/>
              </w:rPr>
            </w:pPr>
            <w:r w:rsidRPr="00C25659">
              <w:rPr>
                <w:rFonts w:ascii="Calibri" w:hAnsi="Calibri" w:cs="Calibri"/>
                <w:b/>
                <w:sz w:val="20"/>
              </w:rPr>
              <w:t xml:space="preserve">How do the findings impact on </w:t>
            </w:r>
            <w:proofErr w:type="spellStart"/>
            <w:r w:rsidRPr="00C25659">
              <w:rPr>
                <w:rFonts w:ascii="Calibri" w:hAnsi="Calibri" w:cs="Calibri"/>
                <w:b/>
                <w:sz w:val="20"/>
              </w:rPr>
              <w:t>cardiodynamics</w:t>
            </w:r>
            <w:proofErr w:type="spellEnd"/>
            <w:r w:rsidRPr="00C25659">
              <w:rPr>
                <w:rFonts w:ascii="Calibri" w:hAnsi="Calibri" w:cs="Calibri"/>
                <w:b/>
                <w:sz w:val="20"/>
              </w:rPr>
              <w:t>?</w:t>
            </w:r>
          </w:p>
          <w:p w:rsidR="00C25659" w:rsidRPr="00C25659" w:rsidRDefault="00C25659" w:rsidP="00C25659">
            <w:pPr>
              <w:spacing w:before="100" w:beforeAutospacing="1" w:after="100" w:afterAutospacing="1"/>
              <w:rPr>
                <w:rFonts w:ascii="Calibri" w:hAnsi="Calibri" w:cs="Calibri"/>
                <w:sz w:val="20"/>
              </w:rPr>
            </w:pPr>
          </w:p>
        </w:tc>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Proponents suggest independent action of purported limbs of unique band, which would be impossible in the absence of fibrous sheaths enclosing the alleged components.</w:t>
            </w:r>
          </w:p>
        </w:tc>
        <w:tc>
          <w:tcPr>
            <w:tcW w:w="4726"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Investigations using force probes reveal presence of unloading and auxotonic forces. Tangential and intruding populations of cardiomyocytes shown to respond differently to therapeutic agents.</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b/>
                <w:sz w:val="20"/>
              </w:rPr>
              <w:t>What evidence is provided in terms of cardiac development?</w:t>
            </w:r>
          </w:p>
        </w:tc>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Proponents are unable to propose a rational explanation as to why cardiomyocytes should take origin from pulmonary trunk, and insert to aortic root.</w:t>
            </w:r>
          </w:p>
        </w:tc>
        <w:tc>
          <w:tcPr>
            <w:tcW w:w="4726"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Aggregations of cardiomyocytes within ventricular walls, and formation of fibrous matrix, are relatively late events in development. Mural architecture will follow formation of chambers, and not vice-versa.</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b/>
                <w:sz w:val="20"/>
                <w:lang w:val="da-DK"/>
              </w:rPr>
            </w:pPr>
            <w:proofErr w:type="spellStart"/>
            <w:r w:rsidRPr="00C25659">
              <w:rPr>
                <w:rFonts w:ascii="Calibri" w:hAnsi="Calibri" w:cs="Calibri"/>
                <w:b/>
                <w:sz w:val="20"/>
                <w:lang w:val="da-DK"/>
              </w:rPr>
              <w:t>Evidence</w:t>
            </w:r>
            <w:proofErr w:type="spellEnd"/>
            <w:r w:rsidRPr="00C25659">
              <w:rPr>
                <w:rFonts w:ascii="Calibri" w:hAnsi="Calibri" w:cs="Calibri"/>
                <w:b/>
                <w:sz w:val="20"/>
                <w:lang w:val="da-DK"/>
              </w:rPr>
              <w:t xml:space="preserve"> </w:t>
            </w:r>
            <w:proofErr w:type="spellStart"/>
            <w:r w:rsidRPr="00C25659">
              <w:rPr>
                <w:rFonts w:ascii="Calibri" w:hAnsi="Calibri" w:cs="Calibri"/>
                <w:b/>
                <w:sz w:val="20"/>
                <w:lang w:val="da-DK"/>
              </w:rPr>
              <w:t>regarding</w:t>
            </w:r>
            <w:proofErr w:type="spellEnd"/>
            <w:r w:rsidRPr="00C25659">
              <w:rPr>
                <w:rFonts w:ascii="Calibri" w:hAnsi="Calibri" w:cs="Calibri"/>
                <w:b/>
                <w:sz w:val="20"/>
                <w:lang w:val="da-DK"/>
              </w:rPr>
              <w:t xml:space="preserve"> </w:t>
            </w:r>
            <w:proofErr w:type="spellStart"/>
            <w:r w:rsidRPr="00C25659">
              <w:rPr>
                <w:rFonts w:ascii="Calibri" w:hAnsi="Calibri" w:cs="Calibri"/>
                <w:b/>
                <w:sz w:val="20"/>
                <w:lang w:val="da-DK"/>
              </w:rPr>
              <w:t>ventricular</w:t>
            </w:r>
            <w:proofErr w:type="spellEnd"/>
            <w:r w:rsidRPr="00C25659">
              <w:rPr>
                <w:rFonts w:ascii="Calibri" w:hAnsi="Calibri" w:cs="Calibri"/>
                <w:b/>
                <w:sz w:val="20"/>
                <w:lang w:val="da-DK"/>
              </w:rPr>
              <w:t xml:space="preserve"> </w:t>
            </w:r>
            <w:proofErr w:type="spellStart"/>
            <w:r w:rsidRPr="00C25659">
              <w:rPr>
                <w:rFonts w:ascii="Calibri" w:hAnsi="Calibri" w:cs="Calibri"/>
                <w:b/>
                <w:sz w:val="20"/>
                <w:lang w:val="da-DK"/>
              </w:rPr>
              <w:t>conduction</w:t>
            </w:r>
            <w:proofErr w:type="spellEnd"/>
            <w:r w:rsidRPr="00C25659">
              <w:rPr>
                <w:rFonts w:ascii="Calibri" w:hAnsi="Calibri" w:cs="Calibri"/>
                <w:b/>
                <w:sz w:val="20"/>
                <w:lang w:val="da-DK"/>
              </w:rPr>
              <w:t>.</w:t>
            </w:r>
          </w:p>
        </w:tc>
        <w:tc>
          <w:tcPr>
            <w:tcW w:w="4725" w:type="dxa"/>
          </w:tcPr>
          <w:p w:rsidR="00C25659" w:rsidRPr="00C25659" w:rsidRDefault="00C25659" w:rsidP="00C25659">
            <w:pPr>
              <w:spacing w:before="100" w:beforeAutospacing="1" w:after="100" w:afterAutospacing="1"/>
              <w:rPr>
                <w:rFonts w:ascii="Calibri" w:hAnsi="Calibri" w:cs="Calibri"/>
                <w:sz w:val="20"/>
                <w:lang w:val="da-DK"/>
              </w:rPr>
            </w:pPr>
            <w:r w:rsidRPr="00C25659">
              <w:rPr>
                <w:rFonts w:ascii="Calibri" w:hAnsi="Calibri" w:cs="Calibri"/>
                <w:sz w:val="20"/>
                <w:lang w:val="da-DK"/>
              </w:rPr>
              <w:t xml:space="preserve">No </w:t>
            </w:r>
            <w:proofErr w:type="spellStart"/>
            <w:r w:rsidRPr="00C25659">
              <w:rPr>
                <w:rFonts w:ascii="Calibri" w:hAnsi="Calibri" w:cs="Calibri"/>
                <w:sz w:val="20"/>
                <w:lang w:val="da-DK"/>
              </w:rPr>
              <w:t>evidence</w:t>
            </w:r>
            <w:proofErr w:type="spellEnd"/>
            <w:r w:rsidRPr="00C25659">
              <w:rPr>
                <w:rFonts w:ascii="Calibri" w:hAnsi="Calibri" w:cs="Calibri"/>
                <w:sz w:val="20"/>
                <w:lang w:val="da-DK"/>
              </w:rPr>
              <w:t xml:space="preserve"> to show </w:t>
            </w:r>
            <w:proofErr w:type="spellStart"/>
            <w:r w:rsidRPr="00C25659">
              <w:rPr>
                <w:rFonts w:ascii="Calibri" w:hAnsi="Calibri" w:cs="Calibri"/>
                <w:sz w:val="20"/>
                <w:lang w:val="da-DK"/>
              </w:rPr>
              <w:t>that</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activation</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follows</w:t>
            </w:r>
            <w:proofErr w:type="spellEnd"/>
            <w:r w:rsidRPr="00C25659">
              <w:rPr>
                <w:rFonts w:ascii="Calibri" w:hAnsi="Calibri" w:cs="Calibri"/>
                <w:sz w:val="20"/>
                <w:lang w:val="da-DK"/>
              </w:rPr>
              <w:t xml:space="preserve"> the </w:t>
            </w:r>
            <w:proofErr w:type="spellStart"/>
            <w:r w:rsidRPr="00C25659">
              <w:rPr>
                <w:rFonts w:ascii="Calibri" w:hAnsi="Calibri" w:cs="Calibri"/>
                <w:sz w:val="20"/>
                <w:lang w:val="da-DK"/>
              </w:rPr>
              <w:t>direction</w:t>
            </w:r>
            <w:proofErr w:type="spellEnd"/>
            <w:r w:rsidRPr="00C25659">
              <w:rPr>
                <w:rFonts w:ascii="Calibri" w:hAnsi="Calibri" w:cs="Calibri"/>
                <w:sz w:val="20"/>
                <w:lang w:val="da-DK"/>
              </w:rPr>
              <w:t xml:space="preserve"> of the </w:t>
            </w:r>
            <w:proofErr w:type="spellStart"/>
            <w:r w:rsidRPr="00C25659">
              <w:rPr>
                <w:rFonts w:ascii="Calibri" w:hAnsi="Calibri" w:cs="Calibri"/>
                <w:sz w:val="20"/>
                <w:lang w:val="da-DK"/>
              </w:rPr>
              <w:t>purported</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solitary</w:t>
            </w:r>
            <w:proofErr w:type="spellEnd"/>
            <w:r w:rsidRPr="00C25659">
              <w:rPr>
                <w:rFonts w:ascii="Calibri" w:hAnsi="Calibri" w:cs="Calibri"/>
                <w:sz w:val="20"/>
                <w:lang w:val="da-DK"/>
              </w:rPr>
              <w:t xml:space="preserve"> band.</w:t>
            </w:r>
          </w:p>
        </w:tc>
        <w:tc>
          <w:tcPr>
            <w:tcW w:w="4726" w:type="dxa"/>
          </w:tcPr>
          <w:p w:rsidR="00C25659" w:rsidRPr="00C25659" w:rsidRDefault="00C25659" w:rsidP="00C25659">
            <w:pPr>
              <w:spacing w:before="100" w:beforeAutospacing="1" w:after="100" w:afterAutospacing="1"/>
              <w:rPr>
                <w:rFonts w:ascii="Calibri" w:hAnsi="Calibri" w:cs="Calibri"/>
                <w:sz w:val="20"/>
                <w:lang w:val="da-DK"/>
              </w:rPr>
            </w:pPr>
            <w:r w:rsidRPr="00C25659">
              <w:rPr>
                <w:rFonts w:ascii="Calibri" w:hAnsi="Calibri" w:cs="Calibri"/>
                <w:sz w:val="20"/>
                <w:lang w:val="da-DK"/>
              </w:rPr>
              <w:t xml:space="preserve">The model </w:t>
            </w:r>
            <w:proofErr w:type="spellStart"/>
            <w:r w:rsidRPr="00C25659">
              <w:rPr>
                <w:rFonts w:ascii="Calibri" w:hAnsi="Calibri" w:cs="Calibri"/>
                <w:sz w:val="20"/>
                <w:lang w:val="da-DK"/>
              </w:rPr>
              <w:t>recognises</w:t>
            </w:r>
            <w:proofErr w:type="spellEnd"/>
            <w:r w:rsidRPr="00C25659">
              <w:rPr>
                <w:rFonts w:ascii="Calibri" w:hAnsi="Calibri" w:cs="Calibri"/>
                <w:sz w:val="20"/>
                <w:lang w:val="da-DK"/>
              </w:rPr>
              <w:t xml:space="preserve"> the </w:t>
            </w:r>
            <w:proofErr w:type="spellStart"/>
            <w:r w:rsidRPr="00C25659">
              <w:rPr>
                <w:rFonts w:ascii="Calibri" w:hAnsi="Calibri" w:cs="Calibri"/>
                <w:sz w:val="20"/>
                <w:lang w:val="da-DK"/>
              </w:rPr>
              <w:t>presence</w:t>
            </w:r>
            <w:proofErr w:type="spellEnd"/>
            <w:r w:rsidRPr="00C25659">
              <w:rPr>
                <w:rFonts w:ascii="Calibri" w:hAnsi="Calibri" w:cs="Calibri"/>
                <w:sz w:val="20"/>
                <w:lang w:val="da-DK"/>
              </w:rPr>
              <w:t xml:space="preserve"> on </w:t>
            </w:r>
            <w:proofErr w:type="spellStart"/>
            <w:r w:rsidRPr="00C25659">
              <w:rPr>
                <w:rFonts w:ascii="Calibri" w:hAnsi="Calibri" w:cs="Calibri"/>
                <w:sz w:val="20"/>
                <w:lang w:val="da-DK"/>
              </w:rPr>
              <w:t>insulated</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ventricular</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pathways</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that</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then</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activate</w:t>
            </w:r>
            <w:proofErr w:type="spellEnd"/>
            <w:r w:rsidRPr="00C25659">
              <w:rPr>
                <w:rFonts w:ascii="Calibri" w:hAnsi="Calibri" w:cs="Calibri"/>
                <w:sz w:val="20"/>
                <w:lang w:val="da-DK"/>
              </w:rPr>
              <w:t xml:space="preserve"> the </w:t>
            </w:r>
            <w:proofErr w:type="spellStart"/>
            <w:r w:rsidRPr="00C25659">
              <w:rPr>
                <w:rFonts w:ascii="Calibri" w:hAnsi="Calibri" w:cs="Calibri"/>
                <w:sz w:val="20"/>
                <w:lang w:val="da-DK"/>
              </w:rPr>
              <w:t>aggregated</w:t>
            </w:r>
            <w:proofErr w:type="spellEnd"/>
            <w:r w:rsidRPr="00C25659">
              <w:rPr>
                <w:rFonts w:ascii="Calibri" w:hAnsi="Calibri" w:cs="Calibri"/>
                <w:sz w:val="20"/>
                <w:lang w:val="da-DK"/>
              </w:rPr>
              <w:t xml:space="preserve"> cardiomyocytes in </w:t>
            </w:r>
            <w:proofErr w:type="spellStart"/>
            <w:r w:rsidRPr="00C25659">
              <w:rPr>
                <w:rFonts w:ascii="Calibri" w:hAnsi="Calibri" w:cs="Calibri"/>
                <w:sz w:val="20"/>
                <w:lang w:val="da-DK"/>
              </w:rPr>
              <w:t>ordered</w:t>
            </w:r>
            <w:proofErr w:type="spellEnd"/>
            <w:r w:rsidRPr="00C25659">
              <w:rPr>
                <w:rFonts w:ascii="Calibri" w:hAnsi="Calibri" w:cs="Calibri"/>
                <w:sz w:val="20"/>
                <w:lang w:val="da-DK"/>
              </w:rPr>
              <w:t xml:space="preserve"> </w:t>
            </w:r>
            <w:proofErr w:type="spellStart"/>
            <w:r w:rsidRPr="00C25659">
              <w:rPr>
                <w:rFonts w:ascii="Calibri" w:hAnsi="Calibri" w:cs="Calibri"/>
                <w:sz w:val="20"/>
                <w:lang w:val="da-DK"/>
              </w:rPr>
              <w:t>fashion</w:t>
            </w:r>
            <w:proofErr w:type="spellEnd"/>
            <w:r w:rsidRPr="00C25659">
              <w:rPr>
                <w:rFonts w:ascii="Calibri" w:hAnsi="Calibri" w:cs="Calibri"/>
                <w:sz w:val="20"/>
                <w:lang w:val="da-DK"/>
              </w:rPr>
              <w:t>.</w:t>
            </w:r>
          </w:p>
        </w:tc>
      </w:tr>
      <w:tr w:rsidR="00C25659" w:rsidRPr="00C25659" w:rsidTr="003F4279">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b/>
                <w:sz w:val="20"/>
              </w:rPr>
              <w:t>Does the concept stand up in the context of the congenitally malformed heart?</w:t>
            </w:r>
          </w:p>
        </w:tc>
        <w:tc>
          <w:tcPr>
            <w:tcW w:w="4725"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 xml:space="preserve">Difficult to account for a unique band encircling both ventricular cavities in setting of lesions such as </w:t>
            </w:r>
            <w:proofErr w:type="spellStart"/>
            <w:r w:rsidRPr="00C25659">
              <w:rPr>
                <w:rFonts w:ascii="Calibri" w:hAnsi="Calibri" w:cs="Calibri"/>
                <w:sz w:val="20"/>
              </w:rPr>
              <w:t>Ebstein’s</w:t>
            </w:r>
            <w:proofErr w:type="spellEnd"/>
            <w:r w:rsidRPr="00C25659">
              <w:rPr>
                <w:rFonts w:ascii="Calibri" w:hAnsi="Calibri" w:cs="Calibri"/>
                <w:sz w:val="20"/>
              </w:rPr>
              <w:t xml:space="preserve"> malformation, or hypoplasia of the right or left ventricle.</w:t>
            </w:r>
          </w:p>
        </w:tc>
        <w:tc>
          <w:tcPr>
            <w:tcW w:w="4726" w:type="dxa"/>
          </w:tcPr>
          <w:p w:rsidR="00C25659" w:rsidRPr="00C25659" w:rsidRDefault="00C25659" w:rsidP="00C25659">
            <w:pPr>
              <w:spacing w:before="100" w:beforeAutospacing="1" w:after="100" w:afterAutospacing="1"/>
              <w:rPr>
                <w:rFonts w:ascii="Calibri" w:hAnsi="Calibri" w:cs="Calibri"/>
                <w:sz w:val="20"/>
              </w:rPr>
            </w:pPr>
            <w:r w:rsidRPr="00C25659">
              <w:rPr>
                <w:rFonts w:ascii="Calibri" w:hAnsi="Calibri" w:cs="Calibri"/>
                <w:sz w:val="20"/>
              </w:rPr>
              <w:t>Formation of mural architecture is late developmental event, and can respond to abnormal cardiac development.</w:t>
            </w:r>
          </w:p>
        </w:tc>
      </w:tr>
    </w:tbl>
    <w:p w:rsidR="00C25659" w:rsidRPr="00C25659" w:rsidRDefault="00C25659" w:rsidP="00C25659">
      <w:pPr>
        <w:spacing w:after="0" w:line="240" w:lineRule="auto"/>
        <w:rPr>
          <w:rFonts w:ascii="Calibri" w:eastAsia="Calibri" w:hAnsi="Calibri" w:cs="Calibri"/>
          <w:b/>
          <w:sz w:val="20"/>
          <w:szCs w:val="20"/>
          <w:u w:val="single"/>
        </w:rPr>
      </w:pPr>
    </w:p>
    <w:p w:rsidR="00451D24" w:rsidRDefault="00451D24"/>
    <w:sectPr w:rsidR="00451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797DD8-B961-4477-AC15-F7414B73FC79}"/>
    <w:docVar w:name="dgnword-eventsink" w:val="540278320"/>
  </w:docVars>
  <w:rsids>
    <w:rsidRoot w:val="00C25659"/>
    <w:rsid w:val="00451D24"/>
    <w:rsid w:val="00786C18"/>
    <w:rsid w:val="00A1473D"/>
    <w:rsid w:val="00C25659"/>
    <w:rsid w:val="00CE1452"/>
    <w:rsid w:val="00DC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C01"/>
  <w15:chartTrackingRefBased/>
  <w15:docId w15:val="{7B33C563-53F9-4160-BEE2-14D9569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659"/>
    <w:pPr>
      <w:spacing w:after="0" w:line="240" w:lineRule="auto"/>
    </w:pPr>
    <w:rPr>
      <w:rFonts w:ascii="Times New Roman" w:eastAsia="Calibri" w:hAnsi="Times New Roman" w:cs="Times New Roman"/>
      <w:sz w:val="2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MacIver</dc:creator>
  <cp:keywords/>
  <dc:description/>
  <cp:lastModifiedBy>David MacIver</cp:lastModifiedBy>
  <cp:revision>3</cp:revision>
  <dcterms:created xsi:type="dcterms:W3CDTF">2017-06-09T09:41:00Z</dcterms:created>
  <dcterms:modified xsi:type="dcterms:W3CDTF">2017-06-09T10:06:00Z</dcterms:modified>
</cp:coreProperties>
</file>