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65F5" w14:textId="77777777" w:rsidR="001E2145" w:rsidRPr="001E2145" w:rsidRDefault="001E2145" w:rsidP="001E2145"/>
    <w:p w14:paraId="3D9F37A1" w14:textId="7825D3DC" w:rsidR="0005583F" w:rsidRDefault="00EC4ADD" w:rsidP="00EC4ADD">
      <w:pPr>
        <w:jc w:val="center"/>
        <w:rPr>
          <w:rFonts w:ascii="Times New Roman" w:hAnsi="Times New Roman" w:cs="Times New Roman"/>
          <w:b/>
          <w:bCs/>
          <w:sz w:val="32"/>
          <w:szCs w:val="32"/>
        </w:rPr>
      </w:pPr>
      <w:r w:rsidRPr="00EC4ADD">
        <w:rPr>
          <w:rFonts w:ascii="Times New Roman" w:hAnsi="Times New Roman" w:cs="Times New Roman"/>
          <w:b/>
          <w:bCs/>
          <w:sz w:val="32"/>
          <w:szCs w:val="32"/>
        </w:rPr>
        <w:t>Supplementary Appendix</w:t>
      </w:r>
    </w:p>
    <w:p w14:paraId="4394F5A4" w14:textId="44A05E62" w:rsidR="00EC4ADD" w:rsidRDefault="00EC4ADD" w:rsidP="00EC4ADD">
      <w:pPr>
        <w:jc w:val="center"/>
        <w:rPr>
          <w:rFonts w:ascii="Times New Roman" w:hAnsi="Times New Roman" w:cs="Times New Roman"/>
          <w:b/>
          <w:bCs/>
          <w:sz w:val="32"/>
          <w:szCs w:val="32"/>
        </w:rPr>
      </w:pPr>
    </w:p>
    <w:p w14:paraId="25C0607E" w14:textId="77777777" w:rsidR="00D33566" w:rsidRPr="00D33566" w:rsidRDefault="00D33566" w:rsidP="00D33566">
      <w:pPr>
        <w:jc w:val="center"/>
        <w:rPr>
          <w:rFonts w:ascii="Times New Roman" w:hAnsi="Times New Roman" w:cs="Times New Roman"/>
          <w:b/>
          <w:sz w:val="24"/>
          <w:szCs w:val="24"/>
        </w:rPr>
      </w:pPr>
      <w:r w:rsidRPr="00D33566">
        <w:rPr>
          <w:rFonts w:ascii="Times New Roman" w:hAnsi="Times New Roman" w:cs="Times New Roman"/>
          <w:b/>
          <w:sz w:val="24"/>
          <w:szCs w:val="24"/>
        </w:rPr>
        <w:t xml:space="preserve">ApoC-III reduction in subjects with moderate hypertriglyceridemia </w:t>
      </w:r>
    </w:p>
    <w:p w14:paraId="6042800A" w14:textId="77777777" w:rsidR="00D33566" w:rsidRPr="00D33566" w:rsidRDefault="00D33566" w:rsidP="00D33566">
      <w:pPr>
        <w:jc w:val="center"/>
        <w:rPr>
          <w:rFonts w:ascii="Times New Roman" w:hAnsi="Times New Roman" w:cs="Times New Roman"/>
          <w:b/>
          <w:sz w:val="24"/>
          <w:szCs w:val="24"/>
        </w:rPr>
      </w:pPr>
      <w:r w:rsidRPr="00D33566">
        <w:rPr>
          <w:rFonts w:ascii="Times New Roman" w:hAnsi="Times New Roman" w:cs="Times New Roman"/>
          <w:b/>
          <w:sz w:val="24"/>
          <w:szCs w:val="24"/>
        </w:rPr>
        <w:t>and at high cardiovascular risk</w:t>
      </w:r>
    </w:p>
    <w:p w14:paraId="4E4CA74D" w14:textId="77777777" w:rsidR="00B76934" w:rsidRPr="005A0EF8" w:rsidRDefault="00B76934" w:rsidP="00B76934">
      <w:pPr>
        <w:jc w:val="center"/>
        <w:rPr>
          <w:rFonts w:ascii="Times New Roman" w:hAnsi="Times New Roman" w:cs="Times New Roman"/>
          <w:b/>
          <w:sz w:val="24"/>
          <w:szCs w:val="24"/>
        </w:rPr>
      </w:pPr>
    </w:p>
    <w:p w14:paraId="6DBB02AC" w14:textId="0E2BC63D" w:rsidR="00B76934" w:rsidRDefault="00B76934" w:rsidP="00B76934">
      <w:pPr>
        <w:jc w:val="center"/>
        <w:rPr>
          <w:rFonts w:ascii="Times New Roman" w:hAnsi="Times New Roman" w:cs="Times New Roman"/>
          <w:sz w:val="24"/>
          <w:szCs w:val="24"/>
        </w:rPr>
      </w:pPr>
      <w:r w:rsidRPr="005A0EF8">
        <w:rPr>
          <w:rFonts w:ascii="Times New Roman" w:hAnsi="Times New Roman" w:cs="Times New Roman"/>
          <w:sz w:val="24"/>
          <w:szCs w:val="24"/>
        </w:rPr>
        <w:t>Jean-Claude Tardif, MD, Ewa Karwatowska-Prokopczuk, MD, PhD, Eric St. Amour, MD, Christie M. Ballantyne, MD, Michael D. Shapiro, DO</w:t>
      </w:r>
      <w:r w:rsidR="00477994">
        <w:rPr>
          <w:rFonts w:ascii="Times New Roman" w:hAnsi="Times New Roman" w:cs="Times New Roman"/>
          <w:sz w:val="24"/>
          <w:szCs w:val="24"/>
        </w:rPr>
        <w:t xml:space="preserve"> MCR</w:t>
      </w:r>
      <w:r w:rsidRPr="005A0EF8">
        <w:rPr>
          <w:rFonts w:ascii="Times New Roman" w:hAnsi="Times New Roman" w:cs="Times New Roman"/>
          <w:sz w:val="24"/>
          <w:szCs w:val="24"/>
        </w:rPr>
        <w:t xml:space="preserve">, Patrick M. Moriarty, MD, Seth J. Baum, MD, Eunju Hurh, PhD, Victoria J. Bartlett, PhD, </w:t>
      </w:r>
      <w:r>
        <w:rPr>
          <w:rFonts w:ascii="Times New Roman" w:hAnsi="Times New Roman" w:cs="Times New Roman"/>
          <w:sz w:val="24"/>
          <w:szCs w:val="24"/>
        </w:rPr>
        <w:t xml:space="preserve">Joyce Kingsbury, </w:t>
      </w:r>
      <w:r w:rsidR="00330FDA">
        <w:rPr>
          <w:rFonts w:ascii="Times New Roman" w:hAnsi="Times New Roman" w:cs="Times New Roman"/>
          <w:sz w:val="24"/>
          <w:szCs w:val="24"/>
        </w:rPr>
        <w:t>MS</w:t>
      </w:r>
      <w:r>
        <w:rPr>
          <w:rFonts w:ascii="Times New Roman" w:hAnsi="Times New Roman" w:cs="Times New Roman"/>
          <w:sz w:val="24"/>
          <w:szCs w:val="24"/>
        </w:rPr>
        <w:t xml:space="preserve">, </w:t>
      </w:r>
      <w:r w:rsidRPr="005A0EF8">
        <w:rPr>
          <w:rFonts w:ascii="Times New Roman" w:hAnsi="Times New Roman" w:cs="Times New Roman"/>
          <w:sz w:val="24"/>
          <w:szCs w:val="24"/>
        </w:rPr>
        <w:t xml:space="preserve">Amparo L. Figueroa, MD, Veronica J. Alexander, PhD, </w:t>
      </w:r>
      <w:r w:rsidR="00B72F7C">
        <w:rPr>
          <w:rFonts w:ascii="Times New Roman" w:hAnsi="Times New Roman" w:cs="Times New Roman"/>
          <w:sz w:val="24"/>
          <w:szCs w:val="24"/>
        </w:rPr>
        <w:t>Joseph Tami, Ph</w:t>
      </w:r>
      <w:r w:rsidR="002D0005">
        <w:rPr>
          <w:rFonts w:ascii="Times New Roman" w:hAnsi="Times New Roman" w:cs="Times New Roman"/>
          <w:sz w:val="24"/>
          <w:szCs w:val="24"/>
        </w:rPr>
        <w:t>arm</w:t>
      </w:r>
      <w:r w:rsidR="00B72F7C">
        <w:rPr>
          <w:rFonts w:ascii="Times New Roman" w:hAnsi="Times New Roman" w:cs="Times New Roman"/>
          <w:sz w:val="24"/>
          <w:szCs w:val="24"/>
        </w:rPr>
        <w:t xml:space="preserve">D, </w:t>
      </w:r>
      <w:r w:rsidRPr="005A0EF8">
        <w:rPr>
          <w:rFonts w:ascii="Times New Roman" w:hAnsi="Times New Roman" w:cs="Times New Roman"/>
          <w:sz w:val="24"/>
          <w:szCs w:val="24"/>
        </w:rPr>
        <w:t xml:space="preserve">Joseph L. Witztum, MD, Richard S. Geary, PhD, Louis </w:t>
      </w:r>
      <w:proofErr w:type="spellStart"/>
      <w:r w:rsidRPr="005A0EF8">
        <w:rPr>
          <w:rFonts w:ascii="Times New Roman" w:hAnsi="Times New Roman" w:cs="Times New Roman"/>
          <w:sz w:val="24"/>
          <w:szCs w:val="24"/>
        </w:rPr>
        <w:t>St.L</w:t>
      </w:r>
      <w:proofErr w:type="spellEnd"/>
      <w:r w:rsidRPr="005A0EF8">
        <w:rPr>
          <w:rFonts w:ascii="Times New Roman" w:hAnsi="Times New Roman" w:cs="Times New Roman"/>
          <w:sz w:val="24"/>
          <w:szCs w:val="24"/>
        </w:rPr>
        <w:t xml:space="preserve">. O'Dea, MB, </w:t>
      </w:r>
      <w:proofErr w:type="spellStart"/>
      <w:r w:rsidRPr="005A0EF8">
        <w:rPr>
          <w:rFonts w:ascii="Times New Roman" w:hAnsi="Times New Roman" w:cs="Times New Roman"/>
          <w:sz w:val="24"/>
          <w:szCs w:val="24"/>
        </w:rPr>
        <w:t>BCh</w:t>
      </w:r>
      <w:proofErr w:type="spellEnd"/>
      <w:r w:rsidRPr="005A0EF8">
        <w:rPr>
          <w:rFonts w:ascii="Times New Roman" w:hAnsi="Times New Roman" w:cs="Times New Roman"/>
          <w:sz w:val="24"/>
          <w:szCs w:val="24"/>
        </w:rPr>
        <w:t>, BAO,</w:t>
      </w:r>
      <w:r>
        <w:rPr>
          <w:rFonts w:ascii="Times New Roman" w:hAnsi="Times New Roman" w:cs="Times New Roman"/>
          <w:sz w:val="24"/>
          <w:szCs w:val="24"/>
        </w:rPr>
        <w:t xml:space="preserve"> </w:t>
      </w:r>
      <w:r w:rsidRPr="005A0EF8">
        <w:rPr>
          <w:rFonts w:ascii="Times New Roman" w:hAnsi="Times New Roman" w:cs="Times New Roman"/>
          <w:sz w:val="24"/>
          <w:szCs w:val="24"/>
        </w:rPr>
        <w:t>Sotirios Tsimikas, MD, and Daniel Gaudet MD, PhD,</w:t>
      </w:r>
    </w:p>
    <w:p w14:paraId="3A626830" w14:textId="061B5235" w:rsidR="00B76934" w:rsidRPr="005A0EF8" w:rsidRDefault="00B76934" w:rsidP="00B76934">
      <w:pPr>
        <w:jc w:val="center"/>
        <w:rPr>
          <w:rFonts w:ascii="Times New Roman" w:hAnsi="Times New Roman" w:cs="Times New Roman"/>
          <w:sz w:val="24"/>
          <w:szCs w:val="24"/>
        </w:rPr>
      </w:pPr>
      <w:r w:rsidRPr="005A0EF8">
        <w:rPr>
          <w:rFonts w:ascii="Times New Roman" w:hAnsi="Times New Roman" w:cs="Times New Roman"/>
          <w:sz w:val="24"/>
          <w:szCs w:val="24"/>
        </w:rPr>
        <w:t xml:space="preserve">for the </w:t>
      </w:r>
      <w:r w:rsidR="00CE1B13">
        <w:rPr>
          <w:rFonts w:ascii="Times New Roman" w:hAnsi="Times New Roman" w:cs="Times New Roman"/>
          <w:sz w:val="24"/>
          <w:szCs w:val="24"/>
        </w:rPr>
        <w:t>Olezarsen</w:t>
      </w:r>
      <w:r w:rsidRPr="005A0EF8">
        <w:rPr>
          <w:rFonts w:ascii="Times New Roman" w:hAnsi="Times New Roman" w:cs="Times New Roman"/>
          <w:sz w:val="24"/>
          <w:szCs w:val="24"/>
        </w:rPr>
        <w:t xml:space="preserve"> Study Investigators</w:t>
      </w:r>
    </w:p>
    <w:p w14:paraId="5751AC38" w14:textId="014F7989" w:rsidR="00EC4ADD" w:rsidRDefault="00EC4ADD" w:rsidP="00EC4ADD">
      <w:pPr>
        <w:jc w:val="center"/>
        <w:rPr>
          <w:rFonts w:ascii="Times New Roman" w:hAnsi="Times New Roman" w:cs="Times New Roman"/>
          <w:sz w:val="24"/>
          <w:szCs w:val="24"/>
        </w:rPr>
      </w:pPr>
    </w:p>
    <w:p w14:paraId="3742F060" w14:textId="1E0C6047" w:rsidR="001E2145" w:rsidRDefault="001E2145" w:rsidP="00EC4ADD">
      <w:pPr>
        <w:rPr>
          <w:rFonts w:ascii="Times New Roman" w:hAnsi="Times New Roman" w:cs="Times New Roman"/>
          <w:sz w:val="24"/>
          <w:szCs w:val="24"/>
        </w:rPr>
      </w:pPr>
    </w:p>
    <w:p w14:paraId="5BD64F9E" w14:textId="47B959B5" w:rsidR="001E2145" w:rsidRDefault="001E2145" w:rsidP="00EC4ADD">
      <w:pPr>
        <w:rPr>
          <w:rFonts w:ascii="Times New Roman" w:hAnsi="Times New Roman" w:cs="Times New Roman"/>
          <w:sz w:val="24"/>
          <w:szCs w:val="24"/>
        </w:rPr>
      </w:pPr>
    </w:p>
    <w:p w14:paraId="2CB35184" w14:textId="764B09D8" w:rsidR="001E2145" w:rsidRDefault="001E2145" w:rsidP="00EC4ADD">
      <w:pPr>
        <w:rPr>
          <w:rFonts w:ascii="Times New Roman" w:hAnsi="Times New Roman" w:cs="Times New Roman"/>
          <w:sz w:val="24"/>
          <w:szCs w:val="24"/>
        </w:rPr>
      </w:pPr>
    </w:p>
    <w:p w14:paraId="37C59BF4" w14:textId="32FCBC7A" w:rsidR="001E2145" w:rsidRDefault="001E2145" w:rsidP="00EC4ADD">
      <w:pPr>
        <w:rPr>
          <w:rFonts w:ascii="Times New Roman" w:hAnsi="Times New Roman" w:cs="Times New Roman"/>
          <w:sz w:val="24"/>
          <w:szCs w:val="24"/>
        </w:rPr>
      </w:pPr>
    </w:p>
    <w:p w14:paraId="24D7702F" w14:textId="77F78912" w:rsidR="001E2145" w:rsidRDefault="001E2145" w:rsidP="00EC4ADD">
      <w:pPr>
        <w:rPr>
          <w:rFonts w:ascii="Times New Roman" w:hAnsi="Times New Roman" w:cs="Times New Roman"/>
          <w:sz w:val="24"/>
          <w:szCs w:val="24"/>
        </w:rPr>
      </w:pPr>
    </w:p>
    <w:p w14:paraId="6E527B1C" w14:textId="6D49DFE0" w:rsidR="001E2145" w:rsidRDefault="001E2145" w:rsidP="00EC4ADD">
      <w:pPr>
        <w:rPr>
          <w:rFonts w:ascii="Times New Roman" w:hAnsi="Times New Roman" w:cs="Times New Roman"/>
          <w:sz w:val="24"/>
          <w:szCs w:val="24"/>
        </w:rPr>
      </w:pPr>
    </w:p>
    <w:p w14:paraId="461E7435" w14:textId="195CFB62" w:rsidR="001E2145" w:rsidRDefault="001E2145" w:rsidP="00EC4ADD">
      <w:pPr>
        <w:rPr>
          <w:rFonts w:ascii="Times New Roman" w:hAnsi="Times New Roman" w:cs="Times New Roman"/>
          <w:sz w:val="24"/>
          <w:szCs w:val="24"/>
        </w:rPr>
      </w:pPr>
    </w:p>
    <w:p w14:paraId="1F24A82F" w14:textId="5C54D4C9" w:rsidR="001E2145" w:rsidRDefault="001E2145" w:rsidP="00EC4ADD">
      <w:pPr>
        <w:rPr>
          <w:rFonts w:ascii="Times New Roman" w:hAnsi="Times New Roman" w:cs="Times New Roman"/>
          <w:sz w:val="24"/>
          <w:szCs w:val="24"/>
        </w:rPr>
      </w:pPr>
    </w:p>
    <w:p w14:paraId="3D740853" w14:textId="277021CF" w:rsidR="001E2145" w:rsidRDefault="001E2145" w:rsidP="00EC4ADD">
      <w:pPr>
        <w:rPr>
          <w:rFonts w:ascii="Times New Roman" w:hAnsi="Times New Roman" w:cs="Times New Roman"/>
          <w:sz w:val="24"/>
          <w:szCs w:val="24"/>
        </w:rPr>
      </w:pPr>
    </w:p>
    <w:p w14:paraId="13CDCAE2" w14:textId="58ECFAEB" w:rsidR="001E2145" w:rsidRDefault="001E2145" w:rsidP="00EC4ADD">
      <w:pPr>
        <w:rPr>
          <w:rFonts w:ascii="Times New Roman" w:hAnsi="Times New Roman" w:cs="Times New Roman"/>
          <w:sz w:val="24"/>
          <w:szCs w:val="24"/>
        </w:rPr>
      </w:pPr>
    </w:p>
    <w:p w14:paraId="1662F9C4" w14:textId="6E14995C" w:rsidR="001E2145" w:rsidRDefault="001E2145" w:rsidP="00EC4ADD">
      <w:pPr>
        <w:rPr>
          <w:rFonts w:ascii="Times New Roman" w:hAnsi="Times New Roman" w:cs="Times New Roman"/>
          <w:sz w:val="24"/>
          <w:szCs w:val="24"/>
        </w:rPr>
      </w:pPr>
    </w:p>
    <w:p w14:paraId="274C515D" w14:textId="35DA28D7" w:rsidR="001E2145" w:rsidRDefault="001E2145" w:rsidP="00EC4ADD">
      <w:pPr>
        <w:rPr>
          <w:rFonts w:ascii="Times New Roman" w:hAnsi="Times New Roman" w:cs="Times New Roman"/>
          <w:sz w:val="24"/>
          <w:szCs w:val="24"/>
        </w:rPr>
      </w:pPr>
    </w:p>
    <w:p w14:paraId="0D5D8199" w14:textId="5741749E" w:rsidR="001E2145" w:rsidRDefault="001E2145" w:rsidP="00EC4ADD">
      <w:pPr>
        <w:rPr>
          <w:rFonts w:ascii="Times New Roman" w:hAnsi="Times New Roman" w:cs="Times New Roman"/>
          <w:sz w:val="24"/>
          <w:szCs w:val="24"/>
        </w:rPr>
      </w:pPr>
    </w:p>
    <w:p w14:paraId="0523A76C" w14:textId="43DA7B6D" w:rsidR="001E2145" w:rsidRDefault="001E2145" w:rsidP="00EC4ADD">
      <w:pPr>
        <w:rPr>
          <w:rFonts w:ascii="Times New Roman" w:hAnsi="Times New Roman" w:cs="Times New Roman"/>
          <w:sz w:val="24"/>
          <w:szCs w:val="24"/>
        </w:rPr>
      </w:pPr>
    </w:p>
    <w:p w14:paraId="2FBDF059" w14:textId="24BA4174" w:rsidR="001E2145" w:rsidRDefault="001E2145" w:rsidP="00EC4ADD">
      <w:pPr>
        <w:rPr>
          <w:rFonts w:ascii="Times New Roman" w:hAnsi="Times New Roman" w:cs="Times New Roman"/>
          <w:sz w:val="24"/>
          <w:szCs w:val="24"/>
        </w:rPr>
      </w:pPr>
    </w:p>
    <w:p w14:paraId="34FF0954" w14:textId="37159955" w:rsidR="001E2145" w:rsidRDefault="001E2145" w:rsidP="00EC4ADD">
      <w:pPr>
        <w:rPr>
          <w:rFonts w:ascii="Times New Roman" w:hAnsi="Times New Roman" w:cs="Times New Roman"/>
          <w:sz w:val="24"/>
          <w:szCs w:val="24"/>
        </w:rPr>
      </w:pPr>
    </w:p>
    <w:p w14:paraId="6B89705B" w14:textId="53C8072C" w:rsidR="001E2145" w:rsidRDefault="001E2145" w:rsidP="00EC4ADD">
      <w:pPr>
        <w:rPr>
          <w:rFonts w:ascii="Times New Roman" w:hAnsi="Times New Roman" w:cs="Times New Roman"/>
          <w:sz w:val="24"/>
          <w:szCs w:val="24"/>
        </w:rPr>
      </w:pPr>
    </w:p>
    <w:p w14:paraId="6717EF3D" w14:textId="58A1433A" w:rsidR="001E2145" w:rsidRDefault="00DF7B12" w:rsidP="001E2145">
      <w:pPr>
        <w:pStyle w:val="Heading1"/>
      </w:pPr>
      <w:bookmarkStart w:id="0" w:name="_Toc56097559"/>
      <w:r>
        <w:rPr>
          <w:caps w:val="0"/>
        </w:rPr>
        <w:t>TABLE OF CONTENTS</w:t>
      </w:r>
      <w:bookmarkEnd w:id="0"/>
    </w:p>
    <w:p w14:paraId="11DCA500" w14:textId="58B29C02" w:rsidR="001E2145" w:rsidRDefault="001E2145" w:rsidP="001E2145"/>
    <w:p w14:paraId="64043CF5" w14:textId="6E12B07C" w:rsidR="00716737" w:rsidRDefault="008172E9" w:rsidP="005B1B31">
      <w:pPr>
        <w:pStyle w:val="TOC1"/>
        <w:rPr>
          <w:rFonts w:asciiTheme="minorHAnsi" w:eastAsiaTheme="minorEastAsia" w:hAnsiTheme="minorHAnsi"/>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56097559" w:history="1">
        <w:r w:rsidR="00716737" w:rsidRPr="00640F5F">
          <w:rPr>
            <w:rStyle w:val="Hyperlink"/>
          </w:rPr>
          <w:t>TABLE OF CONTENTS</w:t>
        </w:r>
        <w:r w:rsidR="00716737">
          <w:rPr>
            <w:webHidden/>
          </w:rPr>
          <w:tab/>
        </w:r>
        <w:r w:rsidR="00716737">
          <w:rPr>
            <w:webHidden/>
          </w:rPr>
          <w:fldChar w:fldCharType="begin"/>
        </w:r>
        <w:r w:rsidR="00716737">
          <w:rPr>
            <w:webHidden/>
          </w:rPr>
          <w:instrText xml:space="preserve"> PAGEREF _Toc56097559 \h </w:instrText>
        </w:r>
        <w:r w:rsidR="00716737">
          <w:rPr>
            <w:webHidden/>
          </w:rPr>
        </w:r>
        <w:r w:rsidR="00716737">
          <w:rPr>
            <w:webHidden/>
          </w:rPr>
          <w:fldChar w:fldCharType="separate"/>
        </w:r>
        <w:r w:rsidR="00716737">
          <w:rPr>
            <w:webHidden/>
          </w:rPr>
          <w:t>2</w:t>
        </w:r>
        <w:r w:rsidR="00716737">
          <w:rPr>
            <w:webHidden/>
          </w:rPr>
          <w:fldChar w:fldCharType="end"/>
        </w:r>
      </w:hyperlink>
    </w:p>
    <w:p w14:paraId="11A36636" w14:textId="1AA3500B" w:rsidR="00716737" w:rsidRDefault="00D23780" w:rsidP="005B1B31">
      <w:pPr>
        <w:pStyle w:val="TOC1"/>
        <w:rPr>
          <w:rFonts w:asciiTheme="minorHAnsi" w:eastAsiaTheme="minorEastAsia" w:hAnsiTheme="minorHAnsi"/>
        </w:rPr>
      </w:pPr>
      <w:hyperlink w:anchor="_Toc56097560" w:history="1">
        <w:r w:rsidR="00716737" w:rsidRPr="00640F5F">
          <w:rPr>
            <w:rStyle w:val="Hyperlink"/>
          </w:rPr>
          <w:t>SITES AND INVESTIGATORS</w:t>
        </w:r>
        <w:r w:rsidR="00716737">
          <w:rPr>
            <w:webHidden/>
          </w:rPr>
          <w:tab/>
        </w:r>
        <w:r w:rsidR="00716737">
          <w:rPr>
            <w:webHidden/>
          </w:rPr>
          <w:fldChar w:fldCharType="begin"/>
        </w:r>
        <w:r w:rsidR="00716737">
          <w:rPr>
            <w:webHidden/>
          </w:rPr>
          <w:instrText xml:space="preserve"> PAGEREF _Toc56097560 \h </w:instrText>
        </w:r>
        <w:r w:rsidR="00716737">
          <w:rPr>
            <w:webHidden/>
          </w:rPr>
        </w:r>
        <w:r w:rsidR="00716737">
          <w:rPr>
            <w:webHidden/>
          </w:rPr>
          <w:fldChar w:fldCharType="separate"/>
        </w:r>
        <w:r w:rsidR="00716737">
          <w:rPr>
            <w:webHidden/>
          </w:rPr>
          <w:t>3</w:t>
        </w:r>
        <w:r w:rsidR="00716737">
          <w:rPr>
            <w:webHidden/>
          </w:rPr>
          <w:fldChar w:fldCharType="end"/>
        </w:r>
      </w:hyperlink>
    </w:p>
    <w:p w14:paraId="4494EBFA" w14:textId="321F3723" w:rsidR="00716737" w:rsidRDefault="00D23780" w:rsidP="005B1B31">
      <w:pPr>
        <w:pStyle w:val="TOC1"/>
        <w:rPr>
          <w:rFonts w:asciiTheme="minorHAnsi" w:eastAsiaTheme="minorEastAsia" w:hAnsiTheme="minorHAnsi"/>
        </w:rPr>
      </w:pPr>
      <w:hyperlink w:anchor="_Toc56097561" w:history="1">
        <w:r w:rsidR="00716737" w:rsidRPr="00640F5F">
          <w:rPr>
            <w:rStyle w:val="Hyperlink"/>
          </w:rPr>
          <w:t>METHODS</w:t>
        </w:r>
        <w:r w:rsidR="00716737">
          <w:rPr>
            <w:webHidden/>
          </w:rPr>
          <w:tab/>
        </w:r>
        <w:r w:rsidR="00716737">
          <w:rPr>
            <w:webHidden/>
          </w:rPr>
          <w:fldChar w:fldCharType="begin"/>
        </w:r>
        <w:r w:rsidR="00716737">
          <w:rPr>
            <w:webHidden/>
          </w:rPr>
          <w:instrText xml:space="preserve"> PAGEREF _Toc56097561 \h </w:instrText>
        </w:r>
        <w:r w:rsidR="00716737">
          <w:rPr>
            <w:webHidden/>
          </w:rPr>
        </w:r>
        <w:r w:rsidR="00716737">
          <w:rPr>
            <w:webHidden/>
          </w:rPr>
          <w:fldChar w:fldCharType="separate"/>
        </w:r>
        <w:r w:rsidR="00716737">
          <w:rPr>
            <w:webHidden/>
          </w:rPr>
          <w:t>4</w:t>
        </w:r>
        <w:r w:rsidR="00716737">
          <w:rPr>
            <w:webHidden/>
          </w:rPr>
          <w:fldChar w:fldCharType="end"/>
        </w:r>
      </w:hyperlink>
    </w:p>
    <w:p w14:paraId="202D9ECE" w14:textId="5672F577" w:rsidR="00716737" w:rsidRPr="00716737" w:rsidRDefault="00D23780">
      <w:pPr>
        <w:pStyle w:val="TOC2"/>
        <w:tabs>
          <w:tab w:val="right" w:leader="dot" w:pos="9350"/>
        </w:tabs>
        <w:rPr>
          <w:rFonts w:ascii="Times New Roman" w:eastAsiaTheme="minorEastAsia" w:hAnsi="Times New Roman" w:cs="Times New Roman"/>
          <w:noProof/>
        </w:rPr>
      </w:pPr>
      <w:hyperlink w:anchor="_Toc56097562" w:history="1">
        <w:r w:rsidR="00716737" w:rsidRPr="00716737">
          <w:rPr>
            <w:rStyle w:val="Hyperlink"/>
            <w:rFonts w:ascii="Times New Roman" w:hAnsi="Times New Roman" w:cs="Times New Roman"/>
            <w:noProof/>
          </w:rPr>
          <w:t>Independent Data Safety Monitoring Board</w:t>
        </w:r>
        <w:r w:rsidR="00716737" w:rsidRPr="00716737">
          <w:rPr>
            <w:rFonts w:ascii="Times New Roman" w:hAnsi="Times New Roman" w:cs="Times New Roman"/>
            <w:noProof/>
            <w:webHidden/>
          </w:rPr>
          <w:tab/>
        </w:r>
        <w:r w:rsidR="00716737" w:rsidRPr="00716737">
          <w:rPr>
            <w:rFonts w:ascii="Times New Roman" w:hAnsi="Times New Roman" w:cs="Times New Roman"/>
            <w:noProof/>
            <w:webHidden/>
          </w:rPr>
          <w:fldChar w:fldCharType="begin"/>
        </w:r>
        <w:r w:rsidR="00716737" w:rsidRPr="00716737">
          <w:rPr>
            <w:rFonts w:ascii="Times New Roman" w:hAnsi="Times New Roman" w:cs="Times New Roman"/>
            <w:noProof/>
            <w:webHidden/>
          </w:rPr>
          <w:instrText xml:space="preserve"> PAGEREF _Toc56097562 \h </w:instrText>
        </w:r>
        <w:r w:rsidR="00716737" w:rsidRPr="00716737">
          <w:rPr>
            <w:rFonts w:ascii="Times New Roman" w:hAnsi="Times New Roman" w:cs="Times New Roman"/>
            <w:noProof/>
            <w:webHidden/>
          </w:rPr>
        </w:r>
        <w:r w:rsidR="00716737" w:rsidRPr="00716737">
          <w:rPr>
            <w:rFonts w:ascii="Times New Roman" w:hAnsi="Times New Roman" w:cs="Times New Roman"/>
            <w:noProof/>
            <w:webHidden/>
          </w:rPr>
          <w:fldChar w:fldCharType="separate"/>
        </w:r>
        <w:r w:rsidR="00716737" w:rsidRPr="00716737">
          <w:rPr>
            <w:rFonts w:ascii="Times New Roman" w:hAnsi="Times New Roman" w:cs="Times New Roman"/>
            <w:noProof/>
            <w:webHidden/>
          </w:rPr>
          <w:t>4</w:t>
        </w:r>
        <w:r w:rsidR="00716737" w:rsidRPr="00716737">
          <w:rPr>
            <w:rFonts w:ascii="Times New Roman" w:hAnsi="Times New Roman" w:cs="Times New Roman"/>
            <w:noProof/>
            <w:webHidden/>
          </w:rPr>
          <w:fldChar w:fldCharType="end"/>
        </w:r>
      </w:hyperlink>
    </w:p>
    <w:p w14:paraId="1131F52B" w14:textId="66E45EA4" w:rsidR="00716737" w:rsidRPr="00716737" w:rsidRDefault="00D23780">
      <w:pPr>
        <w:pStyle w:val="TOC2"/>
        <w:tabs>
          <w:tab w:val="right" w:leader="dot" w:pos="9350"/>
        </w:tabs>
        <w:rPr>
          <w:rFonts w:ascii="Times New Roman" w:eastAsiaTheme="minorEastAsia" w:hAnsi="Times New Roman" w:cs="Times New Roman"/>
          <w:noProof/>
        </w:rPr>
      </w:pPr>
      <w:hyperlink w:anchor="_Toc56097563" w:history="1">
        <w:r w:rsidR="0036375B">
          <w:rPr>
            <w:rStyle w:val="Hyperlink"/>
            <w:rFonts w:ascii="Times New Roman" w:hAnsi="Times New Roman" w:cs="Times New Roman"/>
            <w:noProof/>
          </w:rPr>
          <w:t xml:space="preserve">Inclusion and </w:t>
        </w:r>
        <w:r w:rsidR="000C4107">
          <w:rPr>
            <w:rStyle w:val="Hyperlink"/>
            <w:rFonts w:ascii="Times New Roman" w:hAnsi="Times New Roman" w:cs="Times New Roman"/>
            <w:noProof/>
          </w:rPr>
          <w:t>exclusion</w:t>
        </w:r>
        <w:r w:rsidR="00716737" w:rsidRPr="00716737">
          <w:rPr>
            <w:rStyle w:val="Hyperlink"/>
            <w:rFonts w:ascii="Times New Roman" w:hAnsi="Times New Roman" w:cs="Times New Roman"/>
            <w:noProof/>
          </w:rPr>
          <w:t xml:space="preserve"> </w:t>
        </w:r>
        <w:r w:rsidR="00CF0A6C">
          <w:rPr>
            <w:rStyle w:val="Hyperlink"/>
            <w:rFonts w:ascii="Times New Roman" w:hAnsi="Times New Roman" w:cs="Times New Roman"/>
            <w:noProof/>
          </w:rPr>
          <w:t>c</w:t>
        </w:r>
        <w:r w:rsidR="00716737" w:rsidRPr="00716737">
          <w:rPr>
            <w:rStyle w:val="Hyperlink"/>
            <w:rFonts w:ascii="Times New Roman" w:hAnsi="Times New Roman" w:cs="Times New Roman"/>
            <w:noProof/>
          </w:rPr>
          <w:t>riteria</w:t>
        </w:r>
        <w:r w:rsidR="00716737" w:rsidRPr="00716737">
          <w:rPr>
            <w:rFonts w:ascii="Times New Roman" w:hAnsi="Times New Roman" w:cs="Times New Roman"/>
            <w:noProof/>
            <w:webHidden/>
          </w:rPr>
          <w:tab/>
        </w:r>
        <w:r w:rsidR="0029176A">
          <w:rPr>
            <w:rFonts w:ascii="Times New Roman" w:hAnsi="Times New Roman" w:cs="Times New Roman"/>
            <w:noProof/>
            <w:webHidden/>
          </w:rPr>
          <w:t>5</w:t>
        </w:r>
      </w:hyperlink>
    </w:p>
    <w:p w14:paraId="76863447" w14:textId="596C5939" w:rsidR="00716737" w:rsidRDefault="005B1B31" w:rsidP="005B1B31">
      <w:pPr>
        <w:pStyle w:val="TOC1"/>
      </w:pPr>
      <w:r>
        <w:tab/>
      </w:r>
      <w:hyperlink w:anchor="_Toc56097565" w:history="1">
        <w:r w:rsidR="00716737" w:rsidRPr="005B1B31">
          <w:rPr>
            <w:rStyle w:val="Hyperlink"/>
          </w:rPr>
          <w:t>Statistical analysis</w:t>
        </w:r>
        <w:r w:rsidR="00716737" w:rsidRPr="005B1B31">
          <w:rPr>
            <w:webHidden/>
          </w:rPr>
          <w:tab/>
        </w:r>
        <w:r w:rsidR="0029176A" w:rsidRPr="005B1B31">
          <w:rPr>
            <w:webHidden/>
          </w:rPr>
          <w:t>8</w:t>
        </w:r>
      </w:hyperlink>
    </w:p>
    <w:p w14:paraId="2CA7C456" w14:textId="4DFEE449" w:rsidR="00711DF1" w:rsidRPr="001766C4" w:rsidRDefault="00873D95" w:rsidP="001766C4">
      <w:pPr>
        <w:ind w:left="270"/>
        <w:rPr>
          <w:rFonts w:ascii="Times New Roman" w:hAnsi="Times New Roman" w:cs="Times New Roman"/>
        </w:rPr>
      </w:pPr>
      <w:r>
        <w:rPr>
          <w:rFonts w:ascii="Times New Roman" w:hAnsi="Times New Roman" w:cs="Times New Roman"/>
        </w:rPr>
        <w:t>Safety</w:t>
      </w:r>
      <w:r w:rsidR="001766C4" w:rsidRPr="001766C4">
        <w:rPr>
          <w:rFonts w:ascii="Times New Roman" w:hAnsi="Times New Roman" w:cs="Times New Roman"/>
        </w:rPr>
        <w:t xml:space="preserve"> Monitoring </w:t>
      </w:r>
      <w:r w:rsidR="00A741F2">
        <w:rPr>
          <w:rFonts w:ascii="Times New Roman" w:hAnsi="Times New Roman" w:cs="Times New Roman"/>
        </w:rPr>
        <w:t xml:space="preserve">and Stopping </w:t>
      </w:r>
      <w:r w:rsidR="001766C4" w:rsidRPr="001766C4">
        <w:rPr>
          <w:rFonts w:ascii="Times New Roman" w:hAnsi="Times New Roman" w:cs="Times New Roman"/>
        </w:rPr>
        <w:t>Rules</w:t>
      </w:r>
      <w:r w:rsidR="001766C4">
        <w:rPr>
          <w:rFonts w:ascii="Times New Roman" w:hAnsi="Times New Roman" w:cs="Times New Roman"/>
        </w:rPr>
        <w:t>………………………………………………………</w:t>
      </w:r>
      <w:r w:rsidR="00867BF8">
        <w:rPr>
          <w:rFonts w:ascii="Times New Roman" w:hAnsi="Times New Roman" w:cs="Times New Roman"/>
        </w:rPr>
        <w:t xml:space="preserve"> </w:t>
      </w:r>
      <w:r w:rsidR="001766C4">
        <w:rPr>
          <w:rFonts w:ascii="Times New Roman" w:hAnsi="Times New Roman" w:cs="Times New Roman"/>
        </w:rPr>
        <w:t>………</w:t>
      </w:r>
      <w:r w:rsidR="00A741F2">
        <w:rPr>
          <w:rFonts w:ascii="Times New Roman" w:hAnsi="Times New Roman" w:cs="Times New Roman"/>
        </w:rPr>
        <w:t>…</w:t>
      </w:r>
      <w:r w:rsidR="001766C4">
        <w:rPr>
          <w:rFonts w:ascii="Times New Roman" w:hAnsi="Times New Roman" w:cs="Times New Roman"/>
        </w:rPr>
        <w:t>9</w:t>
      </w:r>
    </w:p>
    <w:p w14:paraId="60A4E2A9" w14:textId="07770832" w:rsidR="00716737" w:rsidRDefault="00D23780" w:rsidP="005B1B31">
      <w:pPr>
        <w:pStyle w:val="TOC1"/>
        <w:rPr>
          <w:rFonts w:asciiTheme="minorHAnsi" w:eastAsiaTheme="minorEastAsia" w:hAnsiTheme="minorHAnsi"/>
        </w:rPr>
      </w:pPr>
      <w:hyperlink w:anchor="_Toc56097567" w:history="1">
        <w:r w:rsidR="00716737" w:rsidRPr="00640F5F">
          <w:rPr>
            <w:rStyle w:val="Hyperlink"/>
          </w:rPr>
          <w:t>SUPPLEMETARY TABLES AND FIGURES</w:t>
        </w:r>
        <w:r w:rsidR="00716737">
          <w:rPr>
            <w:webHidden/>
          </w:rPr>
          <w:tab/>
        </w:r>
        <w:r w:rsidR="002E1AEA">
          <w:rPr>
            <w:webHidden/>
          </w:rPr>
          <w:t>13</w:t>
        </w:r>
      </w:hyperlink>
    </w:p>
    <w:p w14:paraId="30985CBD" w14:textId="72C84F90" w:rsidR="00716737" w:rsidRPr="00716737" w:rsidRDefault="00D23780">
      <w:pPr>
        <w:pStyle w:val="TOC2"/>
        <w:tabs>
          <w:tab w:val="right" w:leader="dot" w:pos="9350"/>
        </w:tabs>
        <w:rPr>
          <w:rFonts w:ascii="Times New Roman" w:eastAsiaTheme="minorEastAsia" w:hAnsi="Times New Roman" w:cs="Times New Roman"/>
          <w:noProof/>
        </w:rPr>
      </w:pPr>
      <w:hyperlink w:anchor="_Toc56097568" w:history="1">
        <w:r w:rsidR="00716737" w:rsidRPr="00716737">
          <w:rPr>
            <w:rStyle w:val="Hyperlink"/>
            <w:rFonts w:ascii="Times New Roman" w:hAnsi="Times New Roman" w:cs="Times New Roman"/>
            <w:noProof/>
          </w:rPr>
          <w:t>Figure S1. Study Design</w:t>
        </w:r>
        <w:r w:rsidR="00716737" w:rsidRPr="00716737">
          <w:rPr>
            <w:rFonts w:ascii="Times New Roman" w:hAnsi="Times New Roman" w:cs="Times New Roman"/>
            <w:noProof/>
            <w:webHidden/>
          </w:rPr>
          <w:tab/>
        </w:r>
        <w:r w:rsidR="002E1AEA">
          <w:rPr>
            <w:rFonts w:ascii="Times New Roman" w:hAnsi="Times New Roman" w:cs="Times New Roman"/>
            <w:noProof/>
            <w:webHidden/>
          </w:rPr>
          <w:t>13</w:t>
        </w:r>
      </w:hyperlink>
    </w:p>
    <w:p w14:paraId="133B3CC1" w14:textId="77777777" w:rsidR="00A76D25" w:rsidRDefault="00D23780" w:rsidP="00080921">
      <w:pPr>
        <w:pStyle w:val="TOC2"/>
        <w:tabs>
          <w:tab w:val="right" w:leader="dot" w:pos="9350"/>
        </w:tabs>
        <w:rPr>
          <w:rFonts w:ascii="Times New Roman" w:hAnsi="Times New Roman" w:cs="Times New Roman"/>
          <w:noProof/>
        </w:rPr>
      </w:pPr>
      <w:hyperlink w:anchor="_Toc56097569" w:history="1">
        <w:r w:rsidR="00716737" w:rsidRPr="00716737">
          <w:rPr>
            <w:rStyle w:val="Hyperlink"/>
            <w:rFonts w:ascii="Times New Roman" w:hAnsi="Times New Roman" w:cs="Times New Roman"/>
            <w:noProof/>
          </w:rPr>
          <w:t>Figure S2. Consort Diagram of Patient Recruitment</w:t>
        </w:r>
        <w:r w:rsidR="00716737" w:rsidRPr="00716737">
          <w:rPr>
            <w:rFonts w:ascii="Times New Roman" w:hAnsi="Times New Roman" w:cs="Times New Roman"/>
            <w:noProof/>
            <w:webHidden/>
          </w:rPr>
          <w:tab/>
        </w:r>
        <w:r w:rsidR="00013777">
          <w:rPr>
            <w:rFonts w:ascii="Times New Roman" w:hAnsi="Times New Roman" w:cs="Times New Roman"/>
            <w:noProof/>
            <w:webHidden/>
          </w:rPr>
          <w:t xml:space="preserve"> </w:t>
        </w:r>
        <w:r w:rsidR="00660833">
          <w:rPr>
            <w:rFonts w:ascii="Times New Roman" w:hAnsi="Times New Roman" w:cs="Times New Roman"/>
            <w:noProof/>
            <w:webHidden/>
          </w:rPr>
          <w:t xml:space="preserve"> </w:t>
        </w:r>
        <w:r w:rsidR="0029176A">
          <w:rPr>
            <w:rFonts w:ascii="Times New Roman" w:hAnsi="Times New Roman" w:cs="Times New Roman"/>
            <w:noProof/>
            <w:webHidden/>
          </w:rPr>
          <w:t>1</w:t>
        </w:r>
        <w:r w:rsidR="002E1AEA">
          <w:rPr>
            <w:rFonts w:ascii="Times New Roman" w:hAnsi="Times New Roman" w:cs="Times New Roman"/>
            <w:noProof/>
            <w:webHidden/>
          </w:rPr>
          <w:t>4</w:t>
        </w:r>
      </w:hyperlink>
    </w:p>
    <w:p w14:paraId="7569CC93" w14:textId="283C508F" w:rsidR="00080921" w:rsidRPr="00AC5C18" w:rsidRDefault="00A76D25" w:rsidP="00AC5C18">
      <w:pPr>
        <w:pStyle w:val="Heading2"/>
        <w:spacing w:before="0" w:line="480" w:lineRule="auto"/>
        <w:ind w:left="180"/>
        <w:rPr>
          <w:rFonts w:cs="Times New Roman"/>
          <w:b w:val="0"/>
          <w:bCs/>
          <w:sz w:val="22"/>
          <w:szCs w:val="22"/>
        </w:rPr>
      </w:pPr>
      <w:r w:rsidRPr="007D5E2C">
        <w:rPr>
          <w:rFonts w:cs="Times New Roman"/>
          <w:b w:val="0"/>
          <w:bCs/>
          <w:noProof/>
          <w:sz w:val="22"/>
          <w:szCs w:val="22"/>
        </w:rPr>
        <w:t>Figure S</w:t>
      </w:r>
      <w:r w:rsidR="00AE62CC" w:rsidRPr="007D5E2C">
        <w:rPr>
          <w:rFonts w:cs="Times New Roman"/>
          <w:b w:val="0"/>
          <w:bCs/>
          <w:noProof/>
          <w:sz w:val="22"/>
          <w:szCs w:val="22"/>
        </w:rPr>
        <w:t xml:space="preserve">3. </w:t>
      </w:r>
      <w:r w:rsidR="007D5E2C" w:rsidRPr="007D5E2C">
        <w:rPr>
          <w:b w:val="0"/>
          <w:bCs/>
          <w:sz w:val="22"/>
          <w:szCs w:val="22"/>
        </w:rPr>
        <w:t xml:space="preserve">Percent of Patients Achieving Fasting Triglyceride Levels  </w:t>
      </w:r>
      <w:r w:rsidR="007D5E2C" w:rsidRPr="007D5E2C">
        <w:rPr>
          <w:rFonts w:cs="Times New Roman"/>
          <w:b w:val="0"/>
          <w:bCs/>
          <w:sz w:val="22"/>
          <w:szCs w:val="22"/>
        </w:rPr>
        <w:t>&lt;</w:t>
      </w:r>
      <w:r w:rsidR="007D5E2C" w:rsidRPr="007D5E2C">
        <w:rPr>
          <w:b w:val="0"/>
          <w:bCs/>
          <w:sz w:val="22"/>
          <w:szCs w:val="22"/>
        </w:rPr>
        <w:t xml:space="preserve">135 mg/dL </w:t>
      </w:r>
      <w:r w:rsidR="007D5E2C" w:rsidRPr="007D5E2C">
        <w:rPr>
          <w:rFonts w:cs="Times New Roman"/>
          <w:b w:val="0"/>
          <w:bCs/>
          <w:sz w:val="22"/>
          <w:szCs w:val="22"/>
        </w:rPr>
        <w:t>at the PAT</w:t>
      </w:r>
      <w:r w:rsidR="00AC5C18">
        <w:rPr>
          <w:rFonts w:cs="Times New Roman"/>
          <w:b w:val="0"/>
          <w:bCs/>
          <w:sz w:val="22"/>
          <w:szCs w:val="22"/>
        </w:rPr>
        <w:t>………15</w:t>
      </w:r>
      <w:r w:rsidR="00660833">
        <w:rPr>
          <w:rFonts w:cs="Times New Roman"/>
          <w:noProof/>
        </w:rPr>
        <w:t xml:space="preserve"> </w:t>
      </w:r>
    </w:p>
    <w:p w14:paraId="602A955A" w14:textId="0A46C83C" w:rsidR="00716737" w:rsidRDefault="00D23780">
      <w:pPr>
        <w:pStyle w:val="TOC2"/>
        <w:tabs>
          <w:tab w:val="right" w:leader="dot" w:pos="9350"/>
        </w:tabs>
        <w:rPr>
          <w:rFonts w:ascii="Times New Roman" w:hAnsi="Times New Roman" w:cs="Times New Roman"/>
          <w:noProof/>
        </w:rPr>
      </w:pPr>
      <w:hyperlink w:anchor="_Toc56097570" w:history="1">
        <w:r w:rsidR="00EE65E3" w:rsidRPr="00716737">
          <w:rPr>
            <w:rStyle w:val="Hyperlink"/>
            <w:rFonts w:ascii="Times New Roman" w:hAnsi="Times New Roman" w:cs="Times New Roman"/>
            <w:noProof/>
          </w:rPr>
          <w:t>Table S1. Reasons for Patient Ineligibility</w:t>
        </w:r>
        <w:r w:rsidR="00A03021">
          <w:rPr>
            <w:rStyle w:val="Hyperlink"/>
            <w:rFonts w:ascii="Times New Roman" w:hAnsi="Times New Roman" w:cs="Times New Roman"/>
            <w:noProof/>
          </w:rPr>
          <w:tab/>
        </w:r>
        <w:r w:rsidR="00EE65E3" w:rsidRPr="00716737">
          <w:rPr>
            <w:rFonts w:ascii="Times New Roman" w:hAnsi="Times New Roman" w:cs="Times New Roman"/>
            <w:noProof/>
            <w:webHidden/>
          </w:rPr>
          <w:fldChar w:fldCharType="begin"/>
        </w:r>
        <w:r w:rsidR="00EE65E3" w:rsidRPr="00716737">
          <w:rPr>
            <w:rFonts w:ascii="Times New Roman" w:hAnsi="Times New Roman" w:cs="Times New Roman"/>
            <w:noProof/>
            <w:webHidden/>
          </w:rPr>
          <w:instrText xml:space="preserve"> PAGEREF _Toc56097570 \h </w:instrText>
        </w:r>
        <w:r w:rsidR="00EE65E3" w:rsidRPr="00716737">
          <w:rPr>
            <w:rFonts w:ascii="Times New Roman" w:hAnsi="Times New Roman" w:cs="Times New Roman"/>
            <w:noProof/>
            <w:webHidden/>
          </w:rPr>
        </w:r>
        <w:r w:rsidR="00EE65E3" w:rsidRPr="00716737">
          <w:rPr>
            <w:rFonts w:ascii="Times New Roman" w:hAnsi="Times New Roman" w:cs="Times New Roman"/>
            <w:noProof/>
            <w:webHidden/>
          </w:rPr>
          <w:fldChar w:fldCharType="separate"/>
        </w:r>
        <w:r w:rsidR="00EE65E3" w:rsidRPr="00716737">
          <w:rPr>
            <w:rFonts w:ascii="Times New Roman" w:hAnsi="Times New Roman" w:cs="Times New Roman"/>
            <w:noProof/>
            <w:webHidden/>
          </w:rPr>
          <w:t>1</w:t>
        </w:r>
        <w:r w:rsidR="00AC5C18">
          <w:rPr>
            <w:rFonts w:ascii="Times New Roman" w:hAnsi="Times New Roman" w:cs="Times New Roman"/>
            <w:noProof/>
            <w:webHidden/>
          </w:rPr>
          <w:t>6</w:t>
        </w:r>
        <w:r w:rsidR="00EE65E3" w:rsidRPr="00716737">
          <w:rPr>
            <w:rFonts w:ascii="Times New Roman" w:hAnsi="Times New Roman" w:cs="Times New Roman"/>
            <w:noProof/>
            <w:webHidden/>
          </w:rPr>
          <w:fldChar w:fldCharType="end"/>
        </w:r>
      </w:hyperlink>
    </w:p>
    <w:p w14:paraId="3FE08BB6" w14:textId="002CB3EB" w:rsidR="0041754E" w:rsidRPr="002D26A5" w:rsidRDefault="0000360F" w:rsidP="00AC6E3C">
      <w:pPr>
        <w:ind w:left="220"/>
        <w:rPr>
          <w:rFonts w:ascii="Times New Roman" w:hAnsi="Times New Roman" w:cs="Times New Roman"/>
          <w:b/>
          <w:bCs/>
        </w:rPr>
      </w:pPr>
      <w:r w:rsidRPr="002D26A5">
        <w:rPr>
          <w:rFonts w:ascii="Times New Roman" w:hAnsi="Times New Roman" w:cs="Times New Roman"/>
        </w:rPr>
        <w:t>Table S2. Exploratory Endpoints</w:t>
      </w:r>
      <w:r w:rsidR="00B736EE" w:rsidRPr="002D26A5">
        <w:rPr>
          <w:rFonts w:ascii="Times New Roman" w:hAnsi="Times New Roman" w:cs="Times New Roman"/>
        </w:rPr>
        <w:t xml:space="preserve">. </w:t>
      </w:r>
      <w:r w:rsidR="0041754E" w:rsidRPr="002D26A5">
        <w:rPr>
          <w:rFonts w:ascii="Times New Roman" w:hAnsi="Times New Roman" w:cs="Times New Roman"/>
        </w:rPr>
        <w:t>Percent Change from Baseline to the Primary Analysis Timepoint in Lipoprotein(a) and Angiopoietin-like 3</w:t>
      </w:r>
      <w:r w:rsidR="00AC6E3C" w:rsidRPr="002D26A5">
        <w:rPr>
          <w:rFonts w:ascii="Times New Roman" w:hAnsi="Times New Roman" w:cs="Times New Roman"/>
        </w:rPr>
        <w:t>…………………………………</w:t>
      </w:r>
      <w:r w:rsidR="00867BF8">
        <w:rPr>
          <w:rFonts w:ascii="Times New Roman" w:hAnsi="Times New Roman" w:cs="Times New Roman"/>
        </w:rPr>
        <w:t>………………………..</w:t>
      </w:r>
      <w:r w:rsidR="00AC6E3C" w:rsidRPr="002D26A5">
        <w:rPr>
          <w:rFonts w:ascii="Times New Roman" w:hAnsi="Times New Roman" w:cs="Times New Roman"/>
        </w:rPr>
        <w:t>…….1</w:t>
      </w:r>
      <w:r w:rsidR="002D26A5" w:rsidRPr="002D26A5">
        <w:rPr>
          <w:rFonts w:ascii="Times New Roman" w:hAnsi="Times New Roman" w:cs="Times New Roman"/>
        </w:rPr>
        <w:t>8</w:t>
      </w:r>
    </w:p>
    <w:p w14:paraId="587C5899" w14:textId="245CA015" w:rsidR="0000360F" w:rsidRPr="0000360F" w:rsidRDefault="0000360F" w:rsidP="00B736EE">
      <w:pPr>
        <w:ind w:firstLine="220"/>
        <w:rPr>
          <w:rFonts w:ascii="Times New Roman" w:hAnsi="Times New Roman" w:cs="Times New Roman"/>
        </w:rPr>
      </w:pPr>
    </w:p>
    <w:p w14:paraId="79CF69F6" w14:textId="499BD5B7" w:rsidR="00716737" w:rsidRDefault="00716737" w:rsidP="005B1B31">
      <w:pPr>
        <w:pStyle w:val="TOC1"/>
      </w:pPr>
    </w:p>
    <w:p w14:paraId="5717DC9B" w14:textId="25210D96" w:rsidR="001E2145" w:rsidRPr="00DF7B12" w:rsidRDefault="008172E9" w:rsidP="001E2145">
      <w:pPr>
        <w:rPr>
          <w:rFonts w:ascii="Times New Roman" w:hAnsi="Times New Roman" w:cs="Times New Roman"/>
          <w:sz w:val="24"/>
          <w:szCs w:val="24"/>
        </w:rPr>
      </w:pPr>
      <w:r>
        <w:rPr>
          <w:rFonts w:ascii="Times New Roman" w:hAnsi="Times New Roman" w:cs="Times New Roman"/>
          <w:sz w:val="24"/>
          <w:szCs w:val="24"/>
        </w:rPr>
        <w:fldChar w:fldCharType="end"/>
      </w:r>
    </w:p>
    <w:p w14:paraId="76085B11" w14:textId="399A9B9B" w:rsidR="001E2145" w:rsidRPr="00DF7B12" w:rsidRDefault="001E2145" w:rsidP="001E2145">
      <w:pPr>
        <w:rPr>
          <w:rFonts w:ascii="Times New Roman" w:hAnsi="Times New Roman" w:cs="Times New Roman"/>
          <w:sz w:val="24"/>
          <w:szCs w:val="24"/>
        </w:rPr>
      </w:pPr>
    </w:p>
    <w:p w14:paraId="7B5049AB" w14:textId="52272672" w:rsidR="001E2145" w:rsidRPr="00DF7B12" w:rsidRDefault="001E2145" w:rsidP="001E2145">
      <w:pPr>
        <w:rPr>
          <w:rFonts w:ascii="Times New Roman" w:hAnsi="Times New Roman" w:cs="Times New Roman"/>
          <w:sz w:val="24"/>
          <w:szCs w:val="24"/>
        </w:rPr>
      </w:pPr>
    </w:p>
    <w:p w14:paraId="42FAD109" w14:textId="2B321625" w:rsidR="001E2145" w:rsidRPr="00DF7B12" w:rsidRDefault="001E2145" w:rsidP="001E2145">
      <w:pPr>
        <w:rPr>
          <w:rFonts w:ascii="Times New Roman" w:hAnsi="Times New Roman" w:cs="Times New Roman"/>
          <w:sz w:val="24"/>
          <w:szCs w:val="24"/>
        </w:rPr>
      </w:pPr>
    </w:p>
    <w:p w14:paraId="3B88550B" w14:textId="78336B66" w:rsidR="001E2145" w:rsidRPr="00DF7B12" w:rsidRDefault="001E2145" w:rsidP="001E2145">
      <w:pPr>
        <w:rPr>
          <w:rFonts w:ascii="Times New Roman" w:hAnsi="Times New Roman" w:cs="Times New Roman"/>
          <w:sz w:val="24"/>
          <w:szCs w:val="24"/>
        </w:rPr>
      </w:pPr>
    </w:p>
    <w:p w14:paraId="67AC112D" w14:textId="4F1BE58E" w:rsidR="001E2145" w:rsidRPr="00DF7B12" w:rsidRDefault="001E2145" w:rsidP="001E2145">
      <w:pPr>
        <w:rPr>
          <w:rFonts w:ascii="Times New Roman" w:hAnsi="Times New Roman" w:cs="Times New Roman"/>
          <w:sz w:val="24"/>
          <w:szCs w:val="24"/>
        </w:rPr>
      </w:pPr>
    </w:p>
    <w:p w14:paraId="7C425C3D" w14:textId="18D98055" w:rsidR="001E2145" w:rsidRPr="00DF7B12" w:rsidRDefault="001E2145" w:rsidP="001E2145">
      <w:pPr>
        <w:rPr>
          <w:rFonts w:ascii="Times New Roman" w:hAnsi="Times New Roman" w:cs="Times New Roman"/>
          <w:sz w:val="24"/>
          <w:szCs w:val="24"/>
        </w:rPr>
      </w:pPr>
    </w:p>
    <w:p w14:paraId="6B1CED35" w14:textId="4FC4EA29" w:rsidR="001E2145" w:rsidRPr="00DF7B12" w:rsidRDefault="001E2145" w:rsidP="001E2145">
      <w:pPr>
        <w:rPr>
          <w:rFonts w:ascii="Times New Roman" w:hAnsi="Times New Roman" w:cs="Times New Roman"/>
          <w:sz w:val="24"/>
          <w:szCs w:val="24"/>
        </w:rPr>
      </w:pPr>
    </w:p>
    <w:p w14:paraId="505813EA" w14:textId="5E00DCDC" w:rsidR="001E2145" w:rsidRPr="00DF7B12" w:rsidRDefault="001E2145" w:rsidP="001E2145">
      <w:pPr>
        <w:rPr>
          <w:rFonts w:ascii="Times New Roman" w:hAnsi="Times New Roman" w:cs="Times New Roman"/>
          <w:sz w:val="24"/>
          <w:szCs w:val="24"/>
        </w:rPr>
      </w:pPr>
    </w:p>
    <w:p w14:paraId="6225D07E" w14:textId="5FBC532E" w:rsidR="001E2145" w:rsidRPr="00DF7B12" w:rsidRDefault="001E2145" w:rsidP="001E2145">
      <w:pPr>
        <w:rPr>
          <w:rFonts w:ascii="Times New Roman" w:hAnsi="Times New Roman" w:cs="Times New Roman"/>
          <w:sz w:val="24"/>
          <w:szCs w:val="24"/>
        </w:rPr>
      </w:pPr>
    </w:p>
    <w:p w14:paraId="56CFEAA5" w14:textId="45492D7D" w:rsidR="00936542" w:rsidRDefault="00936542">
      <w:pPr>
        <w:rPr>
          <w:rFonts w:ascii="Times New Roman" w:hAnsi="Times New Roman" w:cs="Times New Roman"/>
          <w:sz w:val="24"/>
          <w:szCs w:val="24"/>
        </w:rPr>
      </w:pPr>
      <w:r>
        <w:rPr>
          <w:rFonts w:ascii="Times New Roman" w:hAnsi="Times New Roman" w:cs="Times New Roman"/>
          <w:sz w:val="24"/>
          <w:szCs w:val="24"/>
        </w:rPr>
        <w:br w:type="page"/>
      </w:r>
    </w:p>
    <w:p w14:paraId="01CDC340" w14:textId="64D33526" w:rsidR="001E2145" w:rsidRDefault="00DF7B12" w:rsidP="001E2145">
      <w:pPr>
        <w:pStyle w:val="Heading1"/>
      </w:pPr>
      <w:bookmarkStart w:id="1" w:name="_Toc56097560"/>
      <w:r>
        <w:rPr>
          <w:caps w:val="0"/>
        </w:rPr>
        <w:t>SITES AND INVESTIGATORS</w:t>
      </w:r>
      <w:bookmarkEnd w:id="1"/>
    </w:p>
    <w:p w14:paraId="13C584E2" w14:textId="1B877E50" w:rsidR="007541FF" w:rsidRDefault="007541FF" w:rsidP="007541FF"/>
    <w:tbl>
      <w:tblPr>
        <w:tblStyle w:val="TableGrid"/>
        <w:tblW w:w="5000" w:type="pct"/>
        <w:tblLook w:val="04A0" w:firstRow="1" w:lastRow="0" w:firstColumn="1" w:lastColumn="0" w:noHBand="0" w:noVBand="1"/>
      </w:tblPr>
      <w:tblGrid>
        <w:gridCol w:w="2605"/>
        <w:gridCol w:w="6745"/>
      </w:tblGrid>
      <w:tr w:rsidR="004C67A6" w14:paraId="1B2A0F7B" w14:textId="77777777" w:rsidTr="00C2173A">
        <w:tc>
          <w:tcPr>
            <w:tcW w:w="1393" w:type="pct"/>
            <w:tcBorders>
              <w:top w:val="single" w:sz="4" w:space="0" w:color="auto"/>
              <w:left w:val="single" w:sz="4" w:space="0" w:color="auto"/>
              <w:bottom w:val="single" w:sz="4" w:space="0" w:color="auto"/>
              <w:right w:val="single" w:sz="4" w:space="0" w:color="auto"/>
            </w:tcBorders>
            <w:shd w:val="clear" w:color="auto" w:fill="auto"/>
            <w:vAlign w:val="bottom"/>
          </w:tcPr>
          <w:p w14:paraId="65AC7872" w14:textId="4AB47288"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b/>
                <w:bCs/>
                <w:color w:val="000000"/>
                <w:sz w:val="24"/>
                <w:szCs w:val="24"/>
              </w:rPr>
              <w:t xml:space="preserve">Principal </w:t>
            </w:r>
            <w:proofErr w:type="spellStart"/>
            <w:r w:rsidRPr="004C67A6">
              <w:rPr>
                <w:rFonts w:ascii="Times New Roman" w:hAnsi="Times New Roman" w:cs="Times New Roman"/>
                <w:b/>
                <w:bCs/>
                <w:color w:val="000000"/>
                <w:sz w:val="24"/>
                <w:szCs w:val="24"/>
              </w:rPr>
              <w:t>Investigator</w:t>
            </w:r>
            <w:r w:rsidR="00C2173A" w:rsidRPr="00C2173A">
              <w:rPr>
                <w:rFonts w:ascii="Times New Roman" w:hAnsi="Times New Roman" w:cs="Times New Roman"/>
                <w:b/>
                <w:bCs/>
                <w:color w:val="000000"/>
                <w:sz w:val="24"/>
                <w:szCs w:val="24"/>
                <w:vertAlign w:val="superscript"/>
              </w:rPr>
              <w:t>a</w:t>
            </w:r>
            <w:proofErr w:type="spellEnd"/>
          </w:p>
        </w:tc>
        <w:tc>
          <w:tcPr>
            <w:tcW w:w="3607" w:type="pct"/>
            <w:tcBorders>
              <w:top w:val="single" w:sz="4" w:space="0" w:color="auto"/>
              <w:left w:val="nil"/>
              <w:bottom w:val="single" w:sz="4" w:space="0" w:color="auto"/>
              <w:right w:val="single" w:sz="4" w:space="0" w:color="auto"/>
            </w:tcBorders>
            <w:shd w:val="clear" w:color="auto" w:fill="auto"/>
            <w:vAlign w:val="bottom"/>
          </w:tcPr>
          <w:p w14:paraId="2495A00E" w14:textId="5ADBC37D" w:rsidR="004C67A6" w:rsidRPr="004C67A6" w:rsidRDefault="004C67A6" w:rsidP="00C2173A">
            <w:pPr>
              <w:spacing w:line="276" w:lineRule="auto"/>
              <w:rPr>
                <w:rFonts w:ascii="Times New Roman" w:hAnsi="Times New Roman" w:cs="Times New Roman"/>
                <w:b/>
                <w:bCs/>
                <w:sz w:val="24"/>
                <w:szCs w:val="24"/>
              </w:rPr>
            </w:pPr>
            <w:r w:rsidRPr="004C67A6">
              <w:rPr>
                <w:rFonts w:ascii="Times New Roman" w:hAnsi="Times New Roman" w:cs="Times New Roman"/>
                <w:b/>
                <w:bCs/>
                <w:sz w:val="24"/>
                <w:szCs w:val="24"/>
              </w:rPr>
              <w:t>Site</w:t>
            </w:r>
          </w:p>
        </w:tc>
      </w:tr>
      <w:tr w:rsidR="004C67A6" w14:paraId="5A6958E7"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37A0A5B8" w14:textId="40847AB1"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Raimundo Acosta</w:t>
            </w:r>
          </w:p>
        </w:tc>
        <w:tc>
          <w:tcPr>
            <w:tcW w:w="3607" w:type="pct"/>
            <w:tcBorders>
              <w:top w:val="nil"/>
              <w:left w:val="nil"/>
              <w:bottom w:val="single" w:sz="4" w:space="0" w:color="auto"/>
              <w:right w:val="single" w:sz="4" w:space="0" w:color="auto"/>
            </w:tcBorders>
            <w:shd w:val="clear" w:color="auto" w:fill="auto"/>
            <w:vAlign w:val="bottom"/>
          </w:tcPr>
          <w:p w14:paraId="29025AFD" w14:textId="0EA7DBBA"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Bio1 Clinical Research</w:t>
            </w:r>
            <w:r>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Miami Beach, FL </w:t>
            </w:r>
          </w:p>
        </w:tc>
      </w:tr>
      <w:tr w:rsidR="004C67A6" w14:paraId="15B5EA4A"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16846A37" w14:textId="4D9056EC"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Eric St. Amour</w:t>
            </w:r>
          </w:p>
        </w:tc>
        <w:tc>
          <w:tcPr>
            <w:tcW w:w="3607" w:type="pct"/>
            <w:tcBorders>
              <w:top w:val="nil"/>
              <w:left w:val="nil"/>
              <w:bottom w:val="single" w:sz="4" w:space="0" w:color="auto"/>
              <w:right w:val="single" w:sz="4" w:space="0" w:color="auto"/>
            </w:tcBorders>
            <w:shd w:val="clear" w:color="auto" w:fill="auto"/>
            <w:vAlign w:val="bottom"/>
          </w:tcPr>
          <w:p w14:paraId="70EB80B7" w14:textId="5EA53EB8"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Q and T Research Outaouais Inc</w:t>
            </w:r>
            <w:r>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Gatineau, QC </w:t>
            </w:r>
          </w:p>
        </w:tc>
      </w:tr>
      <w:tr w:rsidR="004C67A6" w14:paraId="309CF692"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7EE9CB75" w14:textId="429FA5B7"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 xml:space="preserve">Karen </w:t>
            </w:r>
            <w:proofErr w:type="spellStart"/>
            <w:r w:rsidRPr="004C67A6">
              <w:rPr>
                <w:rFonts w:ascii="Times New Roman" w:hAnsi="Times New Roman" w:cs="Times New Roman"/>
                <w:color w:val="000000"/>
                <w:sz w:val="24"/>
                <w:szCs w:val="24"/>
              </w:rPr>
              <w:t>Aspry</w:t>
            </w:r>
            <w:proofErr w:type="spellEnd"/>
          </w:p>
        </w:tc>
        <w:tc>
          <w:tcPr>
            <w:tcW w:w="3607" w:type="pct"/>
            <w:tcBorders>
              <w:top w:val="nil"/>
              <w:left w:val="nil"/>
              <w:bottom w:val="single" w:sz="4" w:space="0" w:color="auto"/>
              <w:right w:val="single" w:sz="4" w:space="0" w:color="auto"/>
            </w:tcBorders>
            <w:shd w:val="clear" w:color="auto" w:fill="auto"/>
            <w:vAlign w:val="bottom"/>
          </w:tcPr>
          <w:p w14:paraId="6A2F38A5" w14:textId="149CCB69"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Miriam Hospital</w:t>
            </w:r>
            <w:r>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Providence, RI </w:t>
            </w:r>
          </w:p>
        </w:tc>
      </w:tr>
      <w:tr w:rsidR="004C67A6" w14:paraId="723733B4"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10AC16B5" w14:textId="384E2D39"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Christie Ballantyne</w:t>
            </w:r>
          </w:p>
        </w:tc>
        <w:tc>
          <w:tcPr>
            <w:tcW w:w="3607" w:type="pct"/>
            <w:tcBorders>
              <w:top w:val="nil"/>
              <w:left w:val="nil"/>
              <w:bottom w:val="single" w:sz="4" w:space="0" w:color="auto"/>
              <w:right w:val="single" w:sz="4" w:space="0" w:color="auto"/>
            </w:tcBorders>
            <w:shd w:val="clear" w:color="auto" w:fill="auto"/>
            <w:vAlign w:val="bottom"/>
          </w:tcPr>
          <w:p w14:paraId="34EFE529" w14:textId="54142B62" w:rsidR="004C67A6" w:rsidRPr="004C67A6" w:rsidRDefault="00C2173A" w:rsidP="00C2173A">
            <w:pPr>
              <w:spacing w:line="276" w:lineRule="auto"/>
              <w:rPr>
                <w:rFonts w:ascii="Times New Roman" w:hAnsi="Times New Roman" w:cs="Times New Roman"/>
                <w:sz w:val="24"/>
                <w:szCs w:val="24"/>
              </w:rPr>
            </w:pPr>
            <w:r w:rsidRPr="00C2173A">
              <w:rPr>
                <w:rFonts w:ascii="Times New Roman" w:hAnsi="Times New Roman" w:cs="Times New Roman"/>
                <w:color w:val="000000"/>
                <w:sz w:val="24"/>
                <w:szCs w:val="24"/>
              </w:rPr>
              <w:t>Center for Cardiovascular Disease Prevention</w:t>
            </w:r>
            <w:r>
              <w:rPr>
                <w:rFonts w:ascii="Times New Roman" w:hAnsi="Times New Roman" w:cs="Times New Roman"/>
                <w:color w:val="000000"/>
                <w:sz w:val="24"/>
                <w:szCs w:val="24"/>
              </w:rPr>
              <w:t xml:space="preserve">, </w:t>
            </w:r>
            <w:r w:rsidR="004C67A6" w:rsidRPr="004C67A6">
              <w:rPr>
                <w:rFonts w:ascii="Times New Roman" w:hAnsi="Times New Roman" w:cs="Times New Roman"/>
                <w:color w:val="000000"/>
                <w:sz w:val="24"/>
                <w:szCs w:val="24"/>
              </w:rPr>
              <w:t xml:space="preserve">Baylor College of Medicine and </w:t>
            </w:r>
            <w:proofErr w:type="spellStart"/>
            <w:r w:rsidR="004C67A6" w:rsidRPr="004C67A6">
              <w:rPr>
                <w:rFonts w:ascii="Times New Roman" w:hAnsi="Times New Roman" w:cs="Times New Roman"/>
                <w:color w:val="000000"/>
                <w:sz w:val="24"/>
                <w:szCs w:val="24"/>
              </w:rPr>
              <w:t>DeBakey</w:t>
            </w:r>
            <w:proofErr w:type="spellEnd"/>
            <w:r w:rsidR="004C67A6" w:rsidRPr="004C67A6">
              <w:rPr>
                <w:rFonts w:ascii="Times New Roman" w:hAnsi="Times New Roman" w:cs="Times New Roman"/>
                <w:color w:val="000000"/>
                <w:sz w:val="24"/>
                <w:szCs w:val="24"/>
              </w:rPr>
              <w:t xml:space="preserve"> Heart and Vascular Center</w:t>
            </w:r>
            <w:r w:rsidR="004C67A6">
              <w:rPr>
                <w:rFonts w:ascii="Times New Roman" w:hAnsi="Times New Roman" w:cs="Times New Roman"/>
                <w:color w:val="000000"/>
                <w:sz w:val="24"/>
                <w:szCs w:val="24"/>
              </w:rPr>
              <w:t xml:space="preserve">, </w:t>
            </w:r>
            <w:r w:rsidR="004C67A6" w:rsidRPr="004C67A6">
              <w:rPr>
                <w:rFonts w:ascii="Times New Roman" w:hAnsi="Times New Roman" w:cs="Times New Roman"/>
                <w:color w:val="000000"/>
                <w:sz w:val="24"/>
                <w:szCs w:val="24"/>
              </w:rPr>
              <w:t xml:space="preserve">Houston, TX </w:t>
            </w:r>
          </w:p>
        </w:tc>
      </w:tr>
      <w:tr w:rsidR="004C67A6" w14:paraId="054F84E5"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4AC76A1D" w14:textId="1DBE47FB"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Cathy Barnes</w:t>
            </w:r>
          </w:p>
        </w:tc>
        <w:tc>
          <w:tcPr>
            <w:tcW w:w="3607" w:type="pct"/>
            <w:tcBorders>
              <w:top w:val="nil"/>
              <w:left w:val="nil"/>
              <w:bottom w:val="single" w:sz="4" w:space="0" w:color="auto"/>
              <w:right w:val="single" w:sz="4" w:space="0" w:color="auto"/>
            </w:tcBorders>
            <w:shd w:val="clear" w:color="auto" w:fill="auto"/>
            <w:vAlign w:val="bottom"/>
          </w:tcPr>
          <w:p w14:paraId="5F3EBFC3" w14:textId="117EFC0C"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Suncoast Clinical Research</w:t>
            </w:r>
            <w:r>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New Port Richey, FL </w:t>
            </w:r>
          </w:p>
        </w:tc>
      </w:tr>
      <w:tr w:rsidR="004C67A6" w14:paraId="48981129"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56A9EBA1" w14:textId="4573ADA8"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Scott Baron</w:t>
            </w:r>
          </w:p>
        </w:tc>
        <w:tc>
          <w:tcPr>
            <w:tcW w:w="3607" w:type="pct"/>
            <w:tcBorders>
              <w:top w:val="nil"/>
              <w:left w:val="nil"/>
              <w:bottom w:val="single" w:sz="4" w:space="0" w:color="auto"/>
              <w:right w:val="single" w:sz="4" w:space="0" w:color="auto"/>
            </w:tcBorders>
            <w:shd w:val="clear" w:color="auto" w:fill="auto"/>
            <w:vAlign w:val="bottom"/>
          </w:tcPr>
          <w:p w14:paraId="4FC1604C" w14:textId="19E23A7C"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Capitol Interventional Cardiology</w:t>
            </w:r>
            <w:r>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Carmichael, CA </w:t>
            </w:r>
          </w:p>
        </w:tc>
      </w:tr>
      <w:tr w:rsidR="004C67A6" w14:paraId="250D4598"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0CD72BA9" w14:textId="1EE9DA20"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Seth Baum</w:t>
            </w:r>
          </w:p>
        </w:tc>
        <w:tc>
          <w:tcPr>
            <w:tcW w:w="3607" w:type="pct"/>
            <w:tcBorders>
              <w:top w:val="nil"/>
              <w:left w:val="nil"/>
              <w:bottom w:val="single" w:sz="4" w:space="0" w:color="auto"/>
              <w:right w:val="single" w:sz="4" w:space="0" w:color="auto"/>
            </w:tcBorders>
            <w:shd w:val="clear" w:color="auto" w:fill="auto"/>
            <w:vAlign w:val="bottom"/>
          </w:tcPr>
          <w:p w14:paraId="35B2BD19" w14:textId="57D43417"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Excel Medical Clinical Trials, LLC</w:t>
            </w:r>
            <w:r>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Boca Raton, FL </w:t>
            </w:r>
          </w:p>
        </w:tc>
      </w:tr>
      <w:tr w:rsidR="004C67A6" w14:paraId="720F3F24"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0933A613" w14:textId="1CF362AE"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Harold Bays</w:t>
            </w:r>
          </w:p>
        </w:tc>
        <w:tc>
          <w:tcPr>
            <w:tcW w:w="3607" w:type="pct"/>
            <w:tcBorders>
              <w:top w:val="nil"/>
              <w:left w:val="nil"/>
              <w:bottom w:val="single" w:sz="4" w:space="0" w:color="auto"/>
              <w:right w:val="single" w:sz="4" w:space="0" w:color="auto"/>
            </w:tcBorders>
            <w:shd w:val="clear" w:color="auto" w:fill="auto"/>
            <w:vAlign w:val="bottom"/>
          </w:tcPr>
          <w:p w14:paraId="1D76CFD1" w14:textId="315C2FE6"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L-MARC Research Center</w:t>
            </w:r>
            <w:r>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Louisville, KY </w:t>
            </w:r>
          </w:p>
        </w:tc>
      </w:tr>
      <w:tr w:rsidR="004C67A6" w14:paraId="6E42FFDC"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4DF64D73" w14:textId="44A833DD"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Ravi Bhagwat</w:t>
            </w:r>
          </w:p>
        </w:tc>
        <w:tc>
          <w:tcPr>
            <w:tcW w:w="3607" w:type="pct"/>
            <w:tcBorders>
              <w:top w:val="nil"/>
              <w:left w:val="nil"/>
              <w:bottom w:val="single" w:sz="4" w:space="0" w:color="auto"/>
              <w:right w:val="single" w:sz="4" w:space="0" w:color="auto"/>
            </w:tcBorders>
            <w:shd w:val="clear" w:color="auto" w:fill="auto"/>
            <w:vAlign w:val="bottom"/>
          </w:tcPr>
          <w:p w14:paraId="7D061AE7" w14:textId="089BB69F"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Cardiovascular Research of Northwest Indiana, LLC</w:t>
            </w:r>
            <w:r>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Munster,</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IN </w:t>
            </w:r>
          </w:p>
        </w:tc>
      </w:tr>
      <w:tr w:rsidR="004C67A6" w14:paraId="30817BDC"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1B5E8326" w14:textId="71E9ADAC"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 xml:space="preserve">Samuel </w:t>
            </w:r>
            <w:proofErr w:type="spellStart"/>
            <w:r w:rsidRPr="004C67A6">
              <w:rPr>
                <w:rFonts w:ascii="Times New Roman" w:hAnsi="Times New Roman" w:cs="Times New Roman"/>
                <w:color w:val="000000"/>
                <w:sz w:val="24"/>
                <w:szCs w:val="24"/>
              </w:rPr>
              <w:t>Butman</w:t>
            </w:r>
            <w:proofErr w:type="spellEnd"/>
          </w:p>
        </w:tc>
        <w:tc>
          <w:tcPr>
            <w:tcW w:w="3607" w:type="pct"/>
            <w:tcBorders>
              <w:top w:val="nil"/>
              <w:left w:val="nil"/>
              <w:bottom w:val="single" w:sz="4" w:space="0" w:color="auto"/>
              <w:right w:val="single" w:sz="4" w:space="0" w:color="auto"/>
            </w:tcBorders>
            <w:shd w:val="clear" w:color="auto" w:fill="auto"/>
            <w:vAlign w:val="bottom"/>
          </w:tcPr>
          <w:p w14:paraId="13DA15C2" w14:textId="7D895305"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Verde Valley Medical Center</w:t>
            </w:r>
            <w:r>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Cottonwood, AZ </w:t>
            </w:r>
          </w:p>
        </w:tc>
      </w:tr>
      <w:tr w:rsidR="004C67A6" w14:paraId="446A46F0"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72796C3A" w14:textId="3F0FD480"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Deanna Cheung</w:t>
            </w:r>
          </w:p>
        </w:tc>
        <w:tc>
          <w:tcPr>
            <w:tcW w:w="3607" w:type="pct"/>
            <w:tcBorders>
              <w:top w:val="nil"/>
              <w:left w:val="nil"/>
              <w:bottom w:val="single" w:sz="4" w:space="0" w:color="auto"/>
              <w:right w:val="single" w:sz="4" w:space="0" w:color="auto"/>
            </w:tcBorders>
            <w:shd w:val="clear" w:color="auto" w:fill="auto"/>
            <w:vAlign w:val="bottom"/>
          </w:tcPr>
          <w:p w14:paraId="3739EDF3" w14:textId="09DBA139"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Long Beach Center for Clinical Research</w:t>
            </w:r>
            <w:r>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Long Beach, CA </w:t>
            </w:r>
          </w:p>
        </w:tc>
      </w:tr>
      <w:tr w:rsidR="004C67A6" w14:paraId="1C7DC12B"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3C303FDA" w14:textId="138B320D"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James Crenshaw</w:t>
            </w:r>
          </w:p>
        </w:tc>
        <w:tc>
          <w:tcPr>
            <w:tcW w:w="3607" w:type="pct"/>
            <w:tcBorders>
              <w:top w:val="nil"/>
              <w:left w:val="nil"/>
              <w:bottom w:val="single" w:sz="4" w:space="0" w:color="auto"/>
              <w:right w:val="single" w:sz="4" w:space="0" w:color="auto"/>
            </w:tcBorders>
            <w:shd w:val="clear" w:color="auto" w:fill="auto"/>
            <w:vAlign w:val="bottom"/>
          </w:tcPr>
          <w:p w14:paraId="220E5FCB" w14:textId="6AF2D536"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The Jackson Clinic, PA</w:t>
            </w:r>
            <w:r w:rsidR="00641C83">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Jackson, TN </w:t>
            </w:r>
          </w:p>
        </w:tc>
      </w:tr>
      <w:tr w:rsidR="004C67A6" w14:paraId="3E765275"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1F6860F8" w14:textId="07899755"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 xml:space="preserve">Anthony </w:t>
            </w:r>
            <w:proofErr w:type="spellStart"/>
            <w:r w:rsidRPr="004C67A6">
              <w:rPr>
                <w:rFonts w:ascii="Times New Roman" w:hAnsi="Times New Roman" w:cs="Times New Roman"/>
                <w:color w:val="000000"/>
                <w:sz w:val="24"/>
                <w:szCs w:val="24"/>
              </w:rPr>
              <w:t>DeMaria</w:t>
            </w:r>
            <w:proofErr w:type="spellEnd"/>
          </w:p>
        </w:tc>
        <w:tc>
          <w:tcPr>
            <w:tcW w:w="3607" w:type="pct"/>
            <w:tcBorders>
              <w:top w:val="nil"/>
              <w:left w:val="nil"/>
              <w:bottom w:val="single" w:sz="4" w:space="0" w:color="auto"/>
              <w:right w:val="single" w:sz="4" w:space="0" w:color="auto"/>
            </w:tcBorders>
            <w:shd w:val="clear" w:color="auto" w:fill="auto"/>
            <w:vAlign w:val="bottom"/>
          </w:tcPr>
          <w:p w14:paraId="025CD57A" w14:textId="393027AF"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University of California San Diego</w:t>
            </w:r>
            <w:r w:rsidR="00641C83">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La Jolla, CA </w:t>
            </w:r>
          </w:p>
        </w:tc>
      </w:tr>
      <w:tr w:rsidR="004C67A6" w14:paraId="4F6FA7E6"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5C4621A1" w14:textId="60612BEA"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 xml:space="preserve">Isaac </w:t>
            </w:r>
            <w:proofErr w:type="spellStart"/>
            <w:r w:rsidRPr="004C67A6">
              <w:rPr>
                <w:rFonts w:ascii="Times New Roman" w:hAnsi="Times New Roman" w:cs="Times New Roman"/>
                <w:color w:val="000000"/>
                <w:sz w:val="24"/>
                <w:szCs w:val="24"/>
              </w:rPr>
              <w:t>Dor</w:t>
            </w:r>
            <w:proofErr w:type="spellEnd"/>
          </w:p>
        </w:tc>
        <w:tc>
          <w:tcPr>
            <w:tcW w:w="3607" w:type="pct"/>
            <w:tcBorders>
              <w:top w:val="nil"/>
              <w:left w:val="nil"/>
              <w:bottom w:val="single" w:sz="4" w:space="0" w:color="auto"/>
              <w:right w:val="single" w:sz="4" w:space="0" w:color="auto"/>
            </w:tcBorders>
            <w:shd w:val="clear" w:color="auto" w:fill="auto"/>
            <w:vAlign w:val="bottom"/>
          </w:tcPr>
          <w:p w14:paraId="09850724" w14:textId="75BC424C"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Clinical Investigation Specialists, Inc</w:t>
            </w:r>
            <w:r w:rsidR="00641C83">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Gurnee, IL</w:t>
            </w:r>
          </w:p>
        </w:tc>
      </w:tr>
      <w:tr w:rsidR="004C67A6" w14:paraId="50768922"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098908C3" w14:textId="16CB3677"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Roger Estevez</w:t>
            </w:r>
          </w:p>
        </w:tc>
        <w:tc>
          <w:tcPr>
            <w:tcW w:w="3607" w:type="pct"/>
            <w:tcBorders>
              <w:top w:val="nil"/>
              <w:left w:val="nil"/>
              <w:bottom w:val="single" w:sz="4" w:space="0" w:color="auto"/>
              <w:right w:val="single" w:sz="4" w:space="0" w:color="auto"/>
            </w:tcBorders>
            <w:shd w:val="clear" w:color="auto" w:fill="auto"/>
            <w:vAlign w:val="bottom"/>
          </w:tcPr>
          <w:p w14:paraId="6921CB06" w14:textId="49BE1B4A"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Clinical Research of South Nevada</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Las Vegas, NV </w:t>
            </w:r>
          </w:p>
        </w:tc>
      </w:tr>
      <w:tr w:rsidR="004C67A6" w14:paraId="2616EA13"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6E77C307" w14:textId="32B2ACBF"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Daniel Gaudet</w:t>
            </w:r>
          </w:p>
        </w:tc>
        <w:tc>
          <w:tcPr>
            <w:tcW w:w="3607" w:type="pct"/>
            <w:tcBorders>
              <w:top w:val="nil"/>
              <w:left w:val="nil"/>
              <w:bottom w:val="single" w:sz="4" w:space="0" w:color="auto"/>
              <w:right w:val="single" w:sz="4" w:space="0" w:color="auto"/>
            </w:tcBorders>
            <w:shd w:val="clear" w:color="auto" w:fill="auto"/>
            <w:vAlign w:val="bottom"/>
          </w:tcPr>
          <w:p w14:paraId="0381D00B" w14:textId="142FC3C0"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ECOGENE-21</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Chicoutimi, QC </w:t>
            </w:r>
          </w:p>
        </w:tc>
      </w:tr>
      <w:tr w:rsidR="004C67A6" w14:paraId="3023D496"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581E9798" w14:textId="2CAF2040"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Gary Goldstein</w:t>
            </w:r>
          </w:p>
        </w:tc>
        <w:tc>
          <w:tcPr>
            <w:tcW w:w="3607" w:type="pct"/>
            <w:tcBorders>
              <w:top w:val="nil"/>
              <w:left w:val="nil"/>
              <w:bottom w:val="single" w:sz="4" w:space="0" w:color="auto"/>
              <w:right w:val="single" w:sz="4" w:space="0" w:color="auto"/>
            </w:tcBorders>
            <w:shd w:val="clear" w:color="auto" w:fill="auto"/>
            <w:vAlign w:val="bottom"/>
          </w:tcPr>
          <w:p w14:paraId="28AA8101" w14:textId="7BDAF0BE"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Suncoast Clinical Research</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New Port Richey, FL </w:t>
            </w:r>
          </w:p>
        </w:tc>
      </w:tr>
      <w:tr w:rsidR="004C67A6" w14:paraId="1245264D"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699F546F" w14:textId="079ECB36"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Thomas Jarrett</w:t>
            </w:r>
          </w:p>
        </w:tc>
        <w:tc>
          <w:tcPr>
            <w:tcW w:w="3607" w:type="pct"/>
            <w:tcBorders>
              <w:top w:val="nil"/>
              <w:left w:val="nil"/>
              <w:bottom w:val="single" w:sz="4" w:space="0" w:color="auto"/>
              <w:right w:val="single" w:sz="4" w:space="0" w:color="auto"/>
            </w:tcBorders>
            <w:shd w:val="clear" w:color="auto" w:fill="auto"/>
            <w:vAlign w:val="bottom"/>
          </w:tcPr>
          <w:p w14:paraId="20770D47" w14:textId="486A6A8D"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Peters Medical Research</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High Point, NC </w:t>
            </w:r>
          </w:p>
        </w:tc>
      </w:tr>
      <w:tr w:rsidR="004C67A6" w14:paraId="14BF9091"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01DB12B8" w14:textId="352FA22D"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 xml:space="preserve">Michael </w:t>
            </w:r>
            <w:proofErr w:type="spellStart"/>
            <w:r w:rsidRPr="004C67A6">
              <w:rPr>
                <w:rFonts w:ascii="Times New Roman" w:hAnsi="Times New Roman" w:cs="Times New Roman"/>
                <w:color w:val="000000"/>
                <w:sz w:val="24"/>
                <w:szCs w:val="24"/>
              </w:rPr>
              <w:t>Koren</w:t>
            </w:r>
            <w:proofErr w:type="spellEnd"/>
          </w:p>
        </w:tc>
        <w:tc>
          <w:tcPr>
            <w:tcW w:w="3607" w:type="pct"/>
            <w:tcBorders>
              <w:top w:val="nil"/>
              <w:left w:val="nil"/>
              <w:bottom w:val="single" w:sz="4" w:space="0" w:color="auto"/>
              <w:right w:val="single" w:sz="4" w:space="0" w:color="auto"/>
            </w:tcBorders>
            <w:shd w:val="clear" w:color="auto" w:fill="auto"/>
            <w:vAlign w:val="bottom"/>
          </w:tcPr>
          <w:p w14:paraId="4C69DFE7" w14:textId="5AE616F7"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Jacksonville Center for Clinical Research</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Jacksonville, FL </w:t>
            </w:r>
          </w:p>
        </w:tc>
      </w:tr>
      <w:tr w:rsidR="004C67A6" w14:paraId="19E858D5"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1419C785" w14:textId="21E84DF6"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 xml:space="preserve">Michael </w:t>
            </w:r>
            <w:proofErr w:type="spellStart"/>
            <w:r w:rsidRPr="004C67A6">
              <w:rPr>
                <w:rFonts w:ascii="Times New Roman" w:hAnsi="Times New Roman" w:cs="Times New Roman"/>
                <w:color w:val="000000"/>
                <w:sz w:val="24"/>
                <w:szCs w:val="24"/>
              </w:rPr>
              <w:t>Lillestol</w:t>
            </w:r>
            <w:proofErr w:type="spellEnd"/>
          </w:p>
        </w:tc>
        <w:tc>
          <w:tcPr>
            <w:tcW w:w="3607" w:type="pct"/>
            <w:tcBorders>
              <w:top w:val="nil"/>
              <w:left w:val="nil"/>
              <w:bottom w:val="single" w:sz="4" w:space="0" w:color="auto"/>
              <w:right w:val="single" w:sz="4" w:space="0" w:color="auto"/>
            </w:tcBorders>
            <w:shd w:val="clear" w:color="auto" w:fill="auto"/>
            <w:vAlign w:val="bottom"/>
          </w:tcPr>
          <w:p w14:paraId="3C07FFAD" w14:textId="564B8D3F" w:rsidR="004C67A6" w:rsidRPr="004C67A6" w:rsidRDefault="004C67A6" w:rsidP="00C2173A">
            <w:pPr>
              <w:spacing w:line="276" w:lineRule="auto"/>
              <w:rPr>
                <w:rFonts w:ascii="Times New Roman" w:hAnsi="Times New Roman" w:cs="Times New Roman"/>
                <w:sz w:val="24"/>
                <w:szCs w:val="24"/>
              </w:rPr>
            </w:pPr>
            <w:proofErr w:type="spellStart"/>
            <w:r w:rsidRPr="004C67A6">
              <w:rPr>
                <w:rFonts w:ascii="Times New Roman" w:hAnsi="Times New Roman" w:cs="Times New Roman"/>
                <w:color w:val="000000"/>
                <w:sz w:val="24"/>
                <w:szCs w:val="24"/>
              </w:rPr>
              <w:t>Lillestol</w:t>
            </w:r>
            <w:proofErr w:type="spellEnd"/>
            <w:r w:rsidRPr="004C67A6">
              <w:rPr>
                <w:rFonts w:ascii="Times New Roman" w:hAnsi="Times New Roman" w:cs="Times New Roman"/>
                <w:color w:val="000000"/>
                <w:sz w:val="24"/>
                <w:szCs w:val="24"/>
              </w:rPr>
              <w:t xml:space="preserve"> Research, LLC</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Fargo, ND </w:t>
            </w:r>
          </w:p>
        </w:tc>
      </w:tr>
      <w:tr w:rsidR="004C67A6" w14:paraId="60464E6A"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01A493B6" w14:textId="6C5E6308"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Charles Lovell</w:t>
            </w:r>
          </w:p>
        </w:tc>
        <w:tc>
          <w:tcPr>
            <w:tcW w:w="3607" w:type="pct"/>
            <w:tcBorders>
              <w:top w:val="nil"/>
              <w:left w:val="nil"/>
              <w:bottom w:val="single" w:sz="4" w:space="0" w:color="auto"/>
              <w:right w:val="single" w:sz="4" w:space="0" w:color="auto"/>
            </w:tcBorders>
            <w:shd w:val="clear" w:color="auto" w:fill="auto"/>
            <w:vAlign w:val="bottom"/>
          </w:tcPr>
          <w:p w14:paraId="21C366AA" w14:textId="64A19035"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York Clinical Research, LLC</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Norfolk, VA </w:t>
            </w:r>
          </w:p>
        </w:tc>
      </w:tr>
      <w:tr w:rsidR="004C67A6" w14:paraId="23CE85F7"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043B28DE" w14:textId="2CB38948"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 xml:space="preserve">Steven </w:t>
            </w:r>
            <w:proofErr w:type="spellStart"/>
            <w:r w:rsidRPr="004C67A6">
              <w:rPr>
                <w:rFonts w:ascii="Times New Roman" w:hAnsi="Times New Roman" w:cs="Times New Roman"/>
                <w:color w:val="000000"/>
                <w:sz w:val="24"/>
                <w:szCs w:val="24"/>
              </w:rPr>
              <w:t>Lupovitch</w:t>
            </w:r>
            <w:proofErr w:type="spellEnd"/>
          </w:p>
        </w:tc>
        <w:tc>
          <w:tcPr>
            <w:tcW w:w="3607" w:type="pct"/>
            <w:tcBorders>
              <w:top w:val="nil"/>
              <w:left w:val="nil"/>
              <w:bottom w:val="single" w:sz="4" w:space="0" w:color="auto"/>
              <w:right w:val="single" w:sz="4" w:space="0" w:color="auto"/>
            </w:tcBorders>
            <w:shd w:val="clear" w:color="auto" w:fill="auto"/>
            <w:vAlign w:val="bottom"/>
          </w:tcPr>
          <w:p w14:paraId="6C9B7B1A" w14:textId="1D9F2066"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Northwest Heart Clinical Research, LLC</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Arlington Heights, IL </w:t>
            </w:r>
          </w:p>
        </w:tc>
      </w:tr>
      <w:tr w:rsidR="004C67A6" w14:paraId="2202D4FE"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44F60F66" w14:textId="50E312A3"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Ronald Mayfield</w:t>
            </w:r>
          </w:p>
        </w:tc>
        <w:tc>
          <w:tcPr>
            <w:tcW w:w="3607" w:type="pct"/>
            <w:tcBorders>
              <w:top w:val="nil"/>
              <w:left w:val="nil"/>
              <w:bottom w:val="single" w:sz="4" w:space="0" w:color="auto"/>
              <w:right w:val="single" w:sz="4" w:space="0" w:color="auto"/>
            </w:tcBorders>
            <w:shd w:val="clear" w:color="auto" w:fill="auto"/>
            <w:vAlign w:val="bottom"/>
          </w:tcPr>
          <w:p w14:paraId="2EB99E83" w14:textId="20E318E0"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Mountain View Clinical Research</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Greer, SC </w:t>
            </w:r>
          </w:p>
        </w:tc>
      </w:tr>
      <w:tr w:rsidR="004C67A6" w14:paraId="12879118"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61B1E019" w14:textId="1443DCEF"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Stephen Miller</w:t>
            </w:r>
          </w:p>
        </w:tc>
        <w:tc>
          <w:tcPr>
            <w:tcW w:w="3607" w:type="pct"/>
            <w:tcBorders>
              <w:top w:val="nil"/>
              <w:left w:val="nil"/>
              <w:bottom w:val="single" w:sz="4" w:space="0" w:color="auto"/>
              <w:right w:val="single" w:sz="4" w:space="0" w:color="auto"/>
            </w:tcBorders>
            <w:shd w:val="clear" w:color="auto" w:fill="auto"/>
            <w:vAlign w:val="bottom"/>
          </w:tcPr>
          <w:p w14:paraId="7FEF1863" w14:textId="521830F6"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Advanced Clinical Research Center</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Murray, UT </w:t>
            </w:r>
          </w:p>
        </w:tc>
      </w:tr>
      <w:tr w:rsidR="004C67A6" w14:paraId="2882A648"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75D5F465" w14:textId="57A7B8C3" w:rsidR="004C67A6" w:rsidRPr="004C67A6" w:rsidRDefault="004C67A6" w:rsidP="00C2173A">
            <w:pPr>
              <w:spacing w:line="276" w:lineRule="auto"/>
              <w:rPr>
                <w:rFonts w:ascii="Times New Roman" w:hAnsi="Times New Roman" w:cs="Times New Roman"/>
                <w:sz w:val="24"/>
                <w:szCs w:val="24"/>
              </w:rPr>
            </w:pPr>
            <w:proofErr w:type="spellStart"/>
            <w:r w:rsidRPr="004C67A6">
              <w:rPr>
                <w:rFonts w:ascii="Times New Roman" w:hAnsi="Times New Roman" w:cs="Times New Roman"/>
                <w:color w:val="000000"/>
                <w:sz w:val="24"/>
                <w:szCs w:val="24"/>
              </w:rPr>
              <w:t>Rizwana</w:t>
            </w:r>
            <w:proofErr w:type="spellEnd"/>
            <w:r w:rsidRPr="004C67A6">
              <w:rPr>
                <w:rFonts w:ascii="Times New Roman" w:hAnsi="Times New Roman" w:cs="Times New Roman"/>
                <w:color w:val="000000"/>
                <w:sz w:val="24"/>
                <w:szCs w:val="24"/>
              </w:rPr>
              <w:t xml:space="preserve"> </w:t>
            </w:r>
            <w:proofErr w:type="spellStart"/>
            <w:r w:rsidRPr="004C67A6">
              <w:rPr>
                <w:rFonts w:ascii="Times New Roman" w:hAnsi="Times New Roman" w:cs="Times New Roman"/>
                <w:color w:val="000000"/>
                <w:sz w:val="24"/>
                <w:szCs w:val="24"/>
              </w:rPr>
              <w:t>Mohseni</w:t>
            </w:r>
            <w:proofErr w:type="spellEnd"/>
          </w:p>
        </w:tc>
        <w:tc>
          <w:tcPr>
            <w:tcW w:w="3607" w:type="pct"/>
            <w:tcBorders>
              <w:top w:val="nil"/>
              <w:left w:val="nil"/>
              <w:bottom w:val="single" w:sz="4" w:space="0" w:color="auto"/>
              <w:right w:val="single" w:sz="4" w:space="0" w:color="auto"/>
            </w:tcBorders>
            <w:shd w:val="clear" w:color="auto" w:fill="auto"/>
            <w:vAlign w:val="bottom"/>
          </w:tcPr>
          <w:p w14:paraId="2C0DCD1D" w14:textId="54DA1D6B"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Catalina Research Institute, LLC</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Montclair, CA </w:t>
            </w:r>
          </w:p>
        </w:tc>
      </w:tr>
      <w:tr w:rsidR="004C67A6" w14:paraId="167846B1"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3731DC58" w14:textId="276352B6"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Patrick Moriarty</w:t>
            </w:r>
          </w:p>
        </w:tc>
        <w:tc>
          <w:tcPr>
            <w:tcW w:w="3607" w:type="pct"/>
            <w:tcBorders>
              <w:top w:val="nil"/>
              <w:left w:val="nil"/>
              <w:bottom w:val="single" w:sz="4" w:space="0" w:color="auto"/>
              <w:right w:val="single" w:sz="4" w:space="0" w:color="auto"/>
            </w:tcBorders>
            <w:shd w:val="clear" w:color="auto" w:fill="auto"/>
            <w:vAlign w:val="bottom"/>
          </w:tcPr>
          <w:p w14:paraId="0EDEDAB0" w14:textId="0B8B689D"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University of Kansas Medical Center</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Kansas City, KS </w:t>
            </w:r>
          </w:p>
        </w:tc>
      </w:tr>
      <w:tr w:rsidR="004C67A6" w14:paraId="2330BA1F"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1F3CA2FC" w14:textId="5777A0A1"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Paul Norwood</w:t>
            </w:r>
          </w:p>
        </w:tc>
        <w:tc>
          <w:tcPr>
            <w:tcW w:w="3607" w:type="pct"/>
            <w:tcBorders>
              <w:top w:val="nil"/>
              <w:left w:val="nil"/>
              <w:bottom w:val="single" w:sz="4" w:space="0" w:color="auto"/>
              <w:right w:val="single" w:sz="4" w:space="0" w:color="auto"/>
            </w:tcBorders>
            <w:shd w:val="clear" w:color="auto" w:fill="auto"/>
            <w:vAlign w:val="bottom"/>
          </w:tcPr>
          <w:p w14:paraId="7445573D" w14:textId="314AC755"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Valley Research</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Fresno, CA </w:t>
            </w:r>
          </w:p>
        </w:tc>
      </w:tr>
      <w:tr w:rsidR="004C67A6" w14:paraId="5F1C007F"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7D9060FE" w14:textId="1E6F7FB0"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Jason Rasmussen</w:t>
            </w:r>
          </w:p>
        </w:tc>
        <w:tc>
          <w:tcPr>
            <w:tcW w:w="3607" w:type="pct"/>
            <w:tcBorders>
              <w:top w:val="nil"/>
              <w:left w:val="nil"/>
              <w:bottom w:val="single" w:sz="4" w:space="0" w:color="auto"/>
              <w:right w:val="single" w:sz="4" w:space="0" w:color="auto"/>
            </w:tcBorders>
            <w:shd w:val="clear" w:color="auto" w:fill="auto"/>
            <w:vAlign w:val="bottom"/>
          </w:tcPr>
          <w:p w14:paraId="26E5F606" w14:textId="20654B06"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PMG Research of McFarland Clinic</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Ames, IA </w:t>
            </w:r>
          </w:p>
        </w:tc>
      </w:tr>
      <w:tr w:rsidR="004C67A6" w14:paraId="0FD949D0"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504BEA71" w14:textId="3C1DD5CD"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Michael Shapiro</w:t>
            </w:r>
          </w:p>
        </w:tc>
        <w:tc>
          <w:tcPr>
            <w:tcW w:w="3607" w:type="pct"/>
            <w:tcBorders>
              <w:top w:val="nil"/>
              <w:left w:val="nil"/>
              <w:bottom w:val="single" w:sz="4" w:space="0" w:color="auto"/>
              <w:right w:val="single" w:sz="4" w:space="0" w:color="auto"/>
            </w:tcBorders>
            <w:shd w:val="clear" w:color="auto" w:fill="auto"/>
            <w:vAlign w:val="bottom"/>
          </w:tcPr>
          <w:p w14:paraId="0B6DD6E2" w14:textId="7F5F9F69"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Oregon Health and Science University</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Portland, OR </w:t>
            </w:r>
          </w:p>
        </w:tc>
      </w:tr>
      <w:tr w:rsidR="004C67A6" w14:paraId="749F49E0"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1DF15C66" w14:textId="164055FF"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Robert Shapiro</w:t>
            </w:r>
          </w:p>
        </w:tc>
        <w:tc>
          <w:tcPr>
            <w:tcW w:w="3607" w:type="pct"/>
            <w:tcBorders>
              <w:top w:val="nil"/>
              <w:left w:val="nil"/>
              <w:bottom w:val="single" w:sz="4" w:space="0" w:color="auto"/>
              <w:right w:val="single" w:sz="4" w:space="0" w:color="auto"/>
            </w:tcBorders>
            <w:shd w:val="clear" w:color="auto" w:fill="auto"/>
            <w:vAlign w:val="bottom"/>
          </w:tcPr>
          <w:p w14:paraId="4F72727F" w14:textId="3F7CFC50" w:rsidR="004C67A6" w:rsidRPr="004C67A6" w:rsidRDefault="004C67A6" w:rsidP="00C2173A">
            <w:pPr>
              <w:spacing w:line="276" w:lineRule="auto"/>
              <w:rPr>
                <w:rFonts w:ascii="Times New Roman" w:hAnsi="Times New Roman" w:cs="Times New Roman"/>
                <w:sz w:val="24"/>
                <w:szCs w:val="24"/>
              </w:rPr>
            </w:pPr>
            <w:r w:rsidRPr="004C67A6">
              <w:rPr>
                <w:rFonts w:ascii="Times New Roman" w:hAnsi="Times New Roman" w:cs="Times New Roman"/>
                <w:color w:val="000000"/>
                <w:sz w:val="24"/>
                <w:szCs w:val="24"/>
              </w:rPr>
              <w:t>PMG Research of McFarland Clinic</w:t>
            </w:r>
            <w:r w:rsidR="00C2173A">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Ames, IA </w:t>
            </w:r>
          </w:p>
        </w:tc>
      </w:tr>
      <w:tr w:rsidR="00F90AA7" w14:paraId="4B86ABE8"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1E8CF31C" w14:textId="0CCD82C4" w:rsidR="00F90AA7" w:rsidRPr="004C67A6" w:rsidRDefault="00F90AA7" w:rsidP="00F90AA7">
            <w:pPr>
              <w:spacing w:line="276" w:lineRule="auto"/>
              <w:rPr>
                <w:rFonts w:ascii="Times New Roman" w:hAnsi="Times New Roman" w:cs="Times New Roman"/>
                <w:color w:val="000000"/>
                <w:sz w:val="24"/>
                <w:szCs w:val="24"/>
              </w:rPr>
            </w:pPr>
            <w:r w:rsidRPr="004C67A6">
              <w:rPr>
                <w:rFonts w:ascii="Times New Roman" w:hAnsi="Times New Roman" w:cs="Times New Roman"/>
                <w:color w:val="000000"/>
                <w:sz w:val="24"/>
                <w:szCs w:val="24"/>
              </w:rPr>
              <w:t xml:space="preserve">Ehab </w:t>
            </w:r>
            <w:proofErr w:type="spellStart"/>
            <w:r w:rsidRPr="004C67A6">
              <w:rPr>
                <w:rFonts w:ascii="Times New Roman" w:hAnsi="Times New Roman" w:cs="Times New Roman"/>
                <w:color w:val="000000"/>
                <w:sz w:val="24"/>
                <w:szCs w:val="24"/>
              </w:rPr>
              <w:t>Sorial</w:t>
            </w:r>
            <w:proofErr w:type="spellEnd"/>
          </w:p>
        </w:tc>
        <w:tc>
          <w:tcPr>
            <w:tcW w:w="3607" w:type="pct"/>
            <w:tcBorders>
              <w:top w:val="nil"/>
              <w:left w:val="nil"/>
              <w:bottom w:val="single" w:sz="4" w:space="0" w:color="auto"/>
              <w:right w:val="single" w:sz="4" w:space="0" w:color="auto"/>
            </w:tcBorders>
            <w:shd w:val="clear" w:color="auto" w:fill="auto"/>
            <w:vAlign w:val="bottom"/>
          </w:tcPr>
          <w:p w14:paraId="20572DD9" w14:textId="431E4C87" w:rsidR="00F90AA7" w:rsidRPr="004C67A6" w:rsidRDefault="00F90AA7" w:rsidP="00F90AA7">
            <w:pPr>
              <w:spacing w:line="276" w:lineRule="auto"/>
              <w:rPr>
                <w:rFonts w:ascii="Times New Roman" w:hAnsi="Times New Roman" w:cs="Times New Roman"/>
                <w:color w:val="000000"/>
                <w:sz w:val="24"/>
                <w:szCs w:val="24"/>
              </w:rPr>
            </w:pPr>
            <w:proofErr w:type="spellStart"/>
            <w:r w:rsidRPr="004C67A6">
              <w:rPr>
                <w:rFonts w:ascii="Times New Roman" w:hAnsi="Times New Roman" w:cs="Times New Roman"/>
                <w:color w:val="000000"/>
                <w:sz w:val="24"/>
                <w:szCs w:val="24"/>
              </w:rPr>
              <w:t>NECCR</w:t>
            </w:r>
            <w:proofErr w:type="spellEnd"/>
            <w:r w:rsidRPr="004C67A6">
              <w:rPr>
                <w:rFonts w:ascii="Times New Roman" w:hAnsi="Times New Roman" w:cs="Times New Roman"/>
                <w:color w:val="000000"/>
                <w:sz w:val="24"/>
                <w:szCs w:val="24"/>
              </w:rPr>
              <w:t xml:space="preserve"> </w:t>
            </w:r>
            <w:proofErr w:type="spellStart"/>
            <w:r w:rsidRPr="004C67A6">
              <w:rPr>
                <w:rFonts w:ascii="Times New Roman" w:hAnsi="Times New Roman" w:cs="Times New Roman"/>
                <w:color w:val="000000"/>
                <w:sz w:val="24"/>
                <w:szCs w:val="24"/>
              </w:rPr>
              <w:t>Primacare</w:t>
            </w:r>
            <w:proofErr w:type="spellEnd"/>
            <w:r w:rsidRPr="004C67A6">
              <w:rPr>
                <w:rFonts w:ascii="Times New Roman" w:hAnsi="Times New Roman" w:cs="Times New Roman"/>
                <w:color w:val="000000"/>
                <w:sz w:val="24"/>
                <w:szCs w:val="24"/>
              </w:rPr>
              <w:t xml:space="preserve"> Research, LLC</w:t>
            </w:r>
            <w:r>
              <w:rPr>
                <w:rFonts w:ascii="Times New Roman" w:hAnsi="Times New Roman" w:cs="Times New Roman"/>
                <w:color w:val="000000"/>
                <w:sz w:val="24"/>
                <w:szCs w:val="24"/>
              </w:rPr>
              <w:t xml:space="preserve">, </w:t>
            </w:r>
            <w:r w:rsidRPr="004C67A6">
              <w:rPr>
                <w:rFonts w:ascii="Times New Roman" w:hAnsi="Times New Roman" w:cs="Times New Roman"/>
                <w:color w:val="000000"/>
                <w:sz w:val="24"/>
                <w:szCs w:val="24"/>
              </w:rPr>
              <w:t xml:space="preserve">Fall River, MA </w:t>
            </w:r>
          </w:p>
        </w:tc>
      </w:tr>
      <w:tr w:rsidR="00F90AA7" w14:paraId="06A6BAD3" w14:textId="77777777" w:rsidTr="00C2173A">
        <w:tc>
          <w:tcPr>
            <w:tcW w:w="1393" w:type="pct"/>
            <w:tcBorders>
              <w:top w:val="nil"/>
              <w:left w:val="single" w:sz="4" w:space="0" w:color="auto"/>
              <w:bottom w:val="single" w:sz="4" w:space="0" w:color="auto"/>
              <w:right w:val="single" w:sz="4" w:space="0" w:color="auto"/>
            </w:tcBorders>
            <w:shd w:val="clear" w:color="auto" w:fill="auto"/>
            <w:vAlign w:val="bottom"/>
          </w:tcPr>
          <w:p w14:paraId="188DC818" w14:textId="12308467" w:rsidR="00F90AA7" w:rsidRPr="004C67A6" w:rsidRDefault="00F90AA7" w:rsidP="00F90AA7">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Jean-Claude Tardif</w:t>
            </w:r>
          </w:p>
        </w:tc>
        <w:tc>
          <w:tcPr>
            <w:tcW w:w="3607" w:type="pct"/>
            <w:tcBorders>
              <w:top w:val="nil"/>
              <w:left w:val="nil"/>
              <w:bottom w:val="single" w:sz="4" w:space="0" w:color="auto"/>
              <w:right w:val="single" w:sz="4" w:space="0" w:color="auto"/>
            </w:tcBorders>
            <w:shd w:val="clear" w:color="auto" w:fill="auto"/>
            <w:vAlign w:val="bottom"/>
          </w:tcPr>
          <w:p w14:paraId="1241F027" w14:textId="6AB3F90B" w:rsidR="00F90AA7" w:rsidRPr="004C67A6" w:rsidRDefault="00AB4911" w:rsidP="00F90AA7">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Montreal Heart I</w:t>
            </w:r>
            <w:r w:rsidR="00787286">
              <w:rPr>
                <w:rFonts w:ascii="Times New Roman" w:hAnsi="Times New Roman" w:cs="Times New Roman"/>
                <w:color w:val="000000"/>
                <w:sz w:val="24"/>
                <w:szCs w:val="24"/>
              </w:rPr>
              <w:t xml:space="preserve">nstitute, University of Montreal </w:t>
            </w:r>
          </w:p>
        </w:tc>
      </w:tr>
    </w:tbl>
    <w:p w14:paraId="38057CFC" w14:textId="13A91F68" w:rsidR="007541FF" w:rsidRPr="00C2173A" w:rsidRDefault="00C2173A" w:rsidP="007541FF">
      <w:pPr>
        <w:rPr>
          <w:rFonts w:ascii="Times New Roman" w:hAnsi="Times New Roman" w:cs="Times New Roman"/>
          <w:sz w:val="24"/>
          <w:szCs w:val="24"/>
        </w:rPr>
      </w:pPr>
      <w:r w:rsidRPr="00C2173A">
        <w:rPr>
          <w:rFonts w:ascii="Times New Roman" w:hAnsi="Times New Roman" w:cs="Times New Roman"/>
          <w:sz w:val="24"/>
          <w:szCs w:val="24"/>
          <w:vertAlign w:val="superscript"/>
        </w:rPr>
        <w:t>a</w:t>
      </w:r>
      <w:r w:rsidRPr="00C2173A">
        <w:rPr>
          <w:rFonts w:ascii="Times New Roman" w:hAnsi="Times New Roman" w:cs="Times New Roman"/>
          <w:sz w:val="24"/>
          <w:szCs w:val="24"/>
        </w:rPr>
        <w:t xml:space="preserve"> List includes Principal Investigators who randomi</w:t>
      </w:r>
      <w:r w:rsidR="00BE6141">
        <w:rPr>
          <w:rFonts w:ascii="Times New Roman" w:hAnsi="Times New Roman" w:cs="Times New Roman"/>
          <w:sz w:val="24"/>
          <w:szCs w:val="24"/>
        </w:rPr>
        <w:t>z</w:t>
      </w:r>
      <w:r w:rsidRPr="00C2173A">
        <w:rPr>
          <w:rFonts w:ascii="Times New Roman" w:hAnsi="Times New Roman" w:cs="Times New Roman"/>
          <w:sz w:val="24"/>
          <w:szCs w:val="24"/>
        </w:rPr>
        <w:t>ed at least one patient, in alphabetical order by last name.</w:t>
      </w:r>
    </w:p>
    <w:p w14:paraId="094013D3" w14:textId="77777777" w:rsidR="007541FF" w:rsidRPr="007541FF" w:rsidRDefault="007541FF" w:rsidP="007541FF"/>
    <w:p w14:paraId="07867EC3" w14:textId="5EC32C8F" w:rsidR="007541FF" w:rsidRDefault="00DF7B12" w:rsidP="007541FF">
      <w:pPr>
        <w:pStyle w:val="Heading1"/>
      </w:pPr>
      <w:bookmarkStart w:id="2" w:name="_Toc56097561"/>
      <w:r>
        <w:rPr>
          <w:caps w:val="0"/>
        </w:rPr>
        <w:t>METHODS</w:t>
      </w:r>
      <w:bookmarkEnd w:id="2"/>
    </w:p>
    <w:p w14:paraId="2790F7EB" w14:textId="7F83C5C3" w:rsidR="007D53AF" w:rsidRDefault="007D53AF" w:rsidP="007D53AF"/>
    <w:p w14:paraId="7D46D068" w14:textId="0088B890" w:rsidR="007D53AF" w:rsidRDefault="007D53AF" w:rsidP="007D53AF">
      <w:pPr>
        <w:pStyle w:val="Heading2"/>
      </w:pPr>
      <w:bookmarkStart w:id="3" w:name="_Toc56097562"/>
      <w:r w:rsidRPr="007D53AF">
        <w:t>Independent Data Safety Monitoring Board</w:t>
      </w:r>
      <w:bookmarkEnd w:id="3"/>
    </w:p>
    <w:p w14:paraId="181D2EDA" w14:textId="329B2010" w:rsidR="007D53AF" w:rsidRDefault="007D53AF" w:rsidP="007D53AF"/>
    <w:tbl>
      <w:tblPr>
        <w:tblStyle w:val="TableGrid"/>
        <w:tblW w:w="0" w:type="auto"/>
        <w:tblLook w:val="04A0" w:firstRow="1" w:lastRow="0" w:firstColumn="1" w:lastColumn="0" w:noHBand="0" w:noVBand="1"/>
      </w:tblPr>
      <w:tblGrid>
        <w:gridCol w:w="3955"/>
        <w:gridCol w:w="5395"/>
      </w:tblGrid>
      <w:tr w:rsidR="007D53AF" w14:paraId="2D0CDA80" w14:textId="77777777" w:rsidTr="00C2173A">
        <w:tc>
          <w:tcPr>
            <w:tcW w:w="3955" w:type="dxa"/>
          </w:tcPr>
          <w:p w14:paraId="7CA4C394" w14:textId="3B255CA9" w:rsidR="007D53AF" w:rsidRPr="00FB1109" w:rsidRDefault="007D53AF" w:rsidP="00C2173A">
            <w:pPr>
              <w:spacing w:line="276" w:lineRule="auto"/>
              <w:rPr>
                <w:rFonts w:ascii="Times New Roman" w:hAnsi="Times New Roman" w:cs="Times New Roman"/>
                <w:b/>
                <w:bCs/>
                <w:sz w:val="24"/>
                <w:szCs w:val="24"/>
              </w:rPr>
            </w:pPr>
            <w:r w:rsidRPr="00FB1109">
              <w:rPr>
                <w:rFonts w:ascii="Times New Roman" w:hAnsi="Times New Roman" w:cs="Times New Roman"/>
                <w:b/>
                <w:bCs/>
                <w:sz w:val="24"/>
                <w:szCs w:val="24"/>
              </w:rPr>
              <w:t xml:space="preserve">Name </w:t>
            </w:r>
          </w:p>
        </w:tc>
        <w:tc>
          <w:tcPr>
            <w:tcW w:w="5395" w:type="dxa"/>
          </w:tcPr>
          <w:p w14:paraId="57EFFEBF" w14:textId="0E88C0C0" w:rsidR="007D53AF" w:rsidRPr="00FB1109" w:rsidRDefault="007D53AF" w:rsidP="00C2173A">
            <w:pPr>
              <w:spacing w:line="276" w:lineRule="auto"/>
              <w:rPr>
                <w:rFonts w:ascii="Times New Roman" w:hAnsi="Times New Roman" w:cs="Times New Roman"/>
                <w:b/>
                <w:bCs/>
                <w:sz w:val="24"/>
                <w:szCs w:val="24"/>
              </w:rPr>
            </w:pPr>
            <w:r w:rsidRPr="00FB1109">
              <w:rPr>
                <w:rFonts w:ascii="Times New Roman" w:hAnsi="Times New Roman" w:cs="Times New Roman"/>
                <w:b/>
                <w:bCs/>
                <w:sz w:val="24"/>
                <w:szCs w:val="24"/>
              </w:rPr>
              <w:t>Address/Affiliation</w:t>
            </w:r>
          </w:p>
        </w:tc>
      </w:tr>
      <w:tr w:rsidR="007D53AF" w14:paraId="3222518B" w14:textId="77777777" w:rsidTr="00C2173A">
        <w:tc>
          <w:tcPr>
            <w:tcW w:w="3955" w:type="dxa"/>
          </w:tcPr>
          <w:p w14:paraId="2AE970A9" w14:textId="77777777" w:rsidR="007D53AF" w:rsidRDefault="00FB1109" w:rsidP="00C2173A">
            <w:pPr>
              <w:spacing w:line="276" w:lineRule="auto"/>
              <w:rPr>
                <w:rFonts w:ascii="Times New Roman" w:hAnsi="Times New Roman" w:cs="Times New Roman"/>
                <w:sz w:val="24"/>
                <w:szCs w:val="24"/>
              </w:rPr>
            </w:pPr>
            <w:r>
              <w:rPr>
                <w:rFonts w:ascii="Times New Roman" w:hAnsi="Times New Roman" w:cs="Times New Roman"/>
                <w:sz w:val="24"/>
                <w:szCs w:val="24"/>
              </w:rPr>
              <w:t xml:space="preserve">John L. Reid, BM, </w:t>
            </w:r>
            <w:proofErr w:type="spellStart"/>
            <w:r>
              <w:rPr>
                <w:rFonts w:ascii="Times New Roman" w:hAnsi="Times New Roman" w:cs="Times New Roman"/>
                <w:sz w:val="24"/>
                <w:szCs w:val="24"/>
              </w:rPr>
              <w:t>BCh</w:t>
            </w:r>
            <w:proofErr w:type="spellEnd"/>
            <w:r>
              <w:rPr>
                <w:rFonts w:ascii="Times New Roman" w:hAnsi="Times New Roman" w:cs="Times New Roman"/>
                <w:sz w:val="24"/>
                <w:szCs w:val="24"/>
              </w:rPr>
              <w:t xml:space="preserve"> (Chairpe</w:t>
            </w:r>
            <w:r w:rsidR="001D6BFD">
              <w:rPr>
                <w:rFonts w:ascii="Times New Roman" w:hAnsi="Times New Roman" w:cs="Times New Roman"/>
                <w:sz w:val="24"/>
                <w:szCs w:val="24"/>
              </w:rPr>
              <w:t>r</w:t>
            </w:r>
            <w:r>
              <w:rPr>
                <w:rFonts w:ascii="Times New Roman" w:hAnsi="Times New Roman" w:cs="Times New Roman"/>
                <w:sz w:val="24"/>
                <w:szCs w:val="24"/>
              </w:rPr>
              <w:t>son)</w:t>
            </w:r>
          </w:p>
          <w:p w14:paraId="612736AA" w14:textId="34AEA47F" w:rsidR="00AB01AB" w:rsidRPr="007D53AF" w:rsidRDefault="00AB01AB" w:rsidP="00C2173A">
            <w:pPr>
              <w:spacing w:line="276" w:lineRule="auto"/>
              <w:rPr>
                <w:rFonts w:ascii="Times New Roman" w:hAnsi="Times New Roman" w:cs="Times New Roman"/>
                <w:sz w:val="24"/>
                <w:szCs w:val="24"/>
              </w:rPr>
            </w:pPr>
          </w:p>
        </w:tc>
        <w:tc>
          <w:tcPr>
            <w:tcW w:w="5395" w:type="dxa"/>
          </w:tcPr>
          <w:p w14:paraId="3869139D" w14:textId="79FC23DA" w:rsidR="007D53AF" w:rsidRPr="007D53AF" w:rsidRDefault="00FB1109" w:rsidP="00C2173A">
            <w:pPr>
              <w:spacing w:line="276" w:lineRule="auto"/>
              <w:rPr>
                <w:rFonts w:ascii="Times New Roman" w:hAnsi="Times New Roman" w:cs="Times New Roman"/>
                <w:sz w:val="24"/>
                <w:szCs w:val="24"/>
              </w:rPr>
            </w:pPr>
            <w:r>
              <w:rPr>
                <w:rFonts w:ascii="Times New Roman" w:hAnsi="Times New Roman" w:cs="Times New Roman"/>
                <w:sz w:val="24"/>
                <w:szCs w:val="24"/>
              </w:rPr>
              <w:t xml:space="preserve">University of Glasgow, </w:t>
            </w:r>
            <w:r w:rsidR="001D6BFD">
              <w:rPr>
                <w:rFonts w:ascii="Times New Roman" w:hAnsi="Times New Roman" w:cs="Times New Roman"/>
                <w:sz w:val="24"/>
                <w:szCs w:val="24"/>
              </w:rPr>
              <w:t>Glasgow, UK</w:t>
            </w:r>
            <w:r w:rsidR="00B65EC4">
              <w:rPr>
                <w:rFonts w:ascii="Times New Roman" w:hAnsi="Times New Roman" w:cs="Times New Roman"/>
                <w:sz w:val="24"/>
                <w:szCs w:val="24"/>
              </w:rPr>
              <w:t xml:space="preserve"> (retired)</w:t>
            </w:r>
          </w:p>
        </w:tc>
      </w:tr>
      <w:tr w:rsidR="003871C8" w14:paraId="776DEA9D" w14:textId="77777777" w:rsidTr="00C2173A">
        <w:tc>
          <w:tcPr>
            <w:tcW w:w="3955" w:type="dxa"/>
          </w:tcPr>
          <w:p w14:paraId="38ACDA39" w14:textId="77777777" w:rsidR="003871C8" w:rsidRDefault="003871C8" w:rsidP="003871C8">
            <w:pPr>
              <w:rPr>
                <w:rFonts w:ascii="Times New Roman" w:hAnsi="Times New Roman" w:cs="Times New Roman"/>
                <w:sz w:val="24"/>
                <w:szCs w:val="24"/>
              </w:rPr>
            </w:pPr>
            <w:r>
              <w:rPr>
                <w:rFonts w:ascii="Times New Roman" w:hAnsi="Times New Roman" w:cs="Times New Roman"/>
                <w:sz w:val="24"/>
                <w:szCs w:val="24"/>
              </w:rPr>
              <w:t>Richard C. Becker, MD</w:t>
            </w:r>
          </w:p>
          <w:p w14:paraId="3743059D" w14:textId="5893C9AD" w:rsidR="00AB01AB" w:rsidRPr="0025753C" w:rsidRDefault="00AB01AB" w:rsidP="003871C8">
            <w:pPr>
              <w:rPr>
                <w:rFonts w:ascii="Times New Roman" w:hAnsi="Times New Roman" w:cs="Times New Roman"/>
                <w:sz w:val="24"/>
                <w:szCs w:val="24"/>
              </w:rPr>
            </w:pPr>
          </w:p>
        </w:tc>
        <w:tc>
          <w:tcPr>
            <w:tcW w:w="5395" w:type="dxa"/>
          </w:tcPr>
          <w:p w14:paraId="213B3506" w14:textId="7389BB17" w:rsidR="003871C8" w:rsidRPr="00E7339E" w:rsidRDefault="003871C8" w:rsidP="003871C8">
            <w:pPr>
              <w:rPr>
                <w:rFonts w:ascii="Times New Roman" w:hAnsi="Times New Roman" w:cs="Times New Roman"/>
                <w:color w:val="000000"/>
                <w:sz w:val="24"/>
                <w:szCs w:val="24"/>
              </w:rPr>
            </w:pPr>
            <w:r>
              <w:rPr>
                <w:rFonts w:ascii="Times New Roman" w:hAnsi="Times New Roman" w:cs="Times New Roman"/>
                <w:sz w:val="24"/>
                <w:szCs w:val="24"/>
              </w:rPr>
              <w:t>Cincinnati Heart, Lung, and Vascular Institute, OH</w:t>
            </w:r>
          </w:p>
        </w:tc>
      </w:tr>
      <w:tr w:rsidR="003871C8" w14:paraId="00140D23" w14:textId="77777777" w:rsidTr="00C2173A">
        <w:tc>
          <w:tcPr>
            <w:tcW w:w="3955" w:type="dxa"/>
          </w:tcPr>
          <w:p w14:paraId="618DA8D9" w14:textId="77777777" w:rsidR="003871C8" w:rsidRDefault="003871C8" w:rsidP="003871C8">
            <w:pPr>
              <w:rPr>
                <w:rFonts w:ascii="Times New Roman" w:hAnsi="Times New Roman" w:cs="Times New Roman"/>
                <w:sz w:val="24"/>
                <w:szCs w:val="24"/>
              </w:rPr>
            </w:pPr>
            <w:r w:rsidRPr="0025753C">
              <w:rPr>
                <w:rFonts w:ascii="Times New Roman" w:hAnsi="Times New Roman" w:cs="Times New Roman"/>
                <w:sz w:val="24"/>
                <w:szCs w:val="24"/>
              </w:rPr>
              <w:t>Jamie Dwyer</w:t>
            </w:r>
            <w:r>
              <w:rPr>
                <w:rFonts w:ascii="Times New Roman" w:hAnsi="Times New Roman" w:cs="Times New Roman"/>
                <w:sz w:val="24"/>
                <w:szCs w:val="24"/>
              </w:rPr>
              <w:t>, MD</w:t>
            </w:r>
          </w:p>
          <w:p w14:paraId="699EFD5D" w14:textId="5A3C9785" w:rsidR="00AB01AB" w:rsidRPr="0025753C" w:rsidRDefault="00AB01AB" w:rsidP="003871C8">
            <w:pPr>
              <w:rPr>
                <w:rFonts w:ascii="Times New Roman" w:hAnsi="Times New Roman" w:cs="Times New Roman"/>
                <w:sz w:val="24"/>
                <w:szCs w:val="24"/>
              </w:rPr>
            </w:pPr>
          </w:p>
        </w:tc>
        <w:tc>
          <w:tcPr>
            <w:tcW w:w="5395" w:type="dxa"/>
          </w:tcPr>
          <w:p w14:paraId="136AB7A6" w14:textId="25EEE21F" w:rsidR="003871C8" w:rsidRPr="003871C8" w:rsidRDefault="003871C8" w:rsidP="003871C8">
            <w:pPr>
              <w:rPr>
                <w:rFonts w:ascii="Times New Roman" w:hAnsi="Times New Roman" w:cs="Times New Roman"/>
                <w:color w:val="000000"/>
                <w:sz w:val="24"/>
                <w:szCs w:val="24"/>
              </w:rPr>
            </w:pPr>
            <w:r w:rsidRPr="00E7339E">
              <w:rPr>
                <w:rFonts w:ascii="Times New Roman" w:hAnsi="Times New Roman" w:cs="Times New Roman"/>
                <w:color w:val="000000"/>
                <w:sz w:val="24"/>
                <w:szCs w:val="24"/>
              </w:rPr>
              <w:t>Vanderbilt University Medical Center, Nashville, TN</w:t>
            </w:r>
          </w:p>
        </w:tc>
      </w:tr>
      <w:tr w:rsidR="003871C8" w14:paraId="774A025E" w14:textId="77777777" w:rsidTr="00C2173A">
        <w:tc>
          <w:tcPr>
            <w:tcW w:w="3955" w:type="dxa"/>
          </w:tcPr>
          <w:p w14:paraId="351EF3BE" w14:textId="21D3DFF7" w:rsidR="003871C8" w:rsidRDefault="003871C8" w:rsidP="003871C8">
            <w:pPr>
              <w:spacing w:line="276" w:lineRule="auto"/>
              <w:rPr>
                <w:rFonts w:ascii="Times New Roman" w:hAnsi="Times New Roman" w:cs="Times New Roman"/>
                <w:sz w:val="24"/>
                <w:szCs w:val="24"/>
              </w:rPr>
            </w:pPr>
            <w:r>
              <w:rPr>
                <w:rFonts w:ascii="Times New Roman" w:hAnsi="Times New Roman" w:cs="Times New Roman"/>
                <w:sz w:val="24"/>
                <w:szCs w:val="24"/>
              </w:rPr>
              <w:t xml:space="preserve">Willis C. </w:t>
            </w:r>
            <w:proofErr w:type="spellStart"/>
            <w:r>
              <w:rPr>
                <w:rFonts w:ascii="Times New Roman" w:hAnsi="Times New Roman" w:cs="Times New Roman"/>
                <w:sz w:val="24"/>
                <w:szCs w:val="24"/>
              </w:rPr>
              <w:t>Maddrey</w:t>
            </w:r>
            <w:proofErr w:type="spellEnd"/>
            <w:r>
              <w:rPr>
                <w:rFonts w:ascii="Times New Roman" w:hAnsi="Times New Roman" w:cs="Times New Roman"/>
                <w:sz w:val="24"/>
                <w:szCs w:val="24"/>
              </w:rPr>
              <w:t>, MD</w:t>
            </w:r>
          </w:p>
        </w:tc>
        <w:tc>
          <w:tcPr>
            <w:tcW w:w="5395" w:type="dxa"/>
          </w:tcPr>
          <w:p w14:paraId="7F799B5C" w14:textId="0E5EE431" w:rsidR="003871C8" w:rsidRDefault="003871C8" w:rsidP="003871C8">
            <w:pPr>
              <w:spacing w:line="276" w:lineRule="auto"/>
              <w:rPr>
                <w:rFonts w:ascii="Times New Roman" w:hAnsi="Times New Roman" w:cs="Times New Roman"/>
                <w:sz w:val="24"/>
                <w:szCs w:val="24"/>
              </w:rPr>
            </w:pPr>
            <w:r>
              <w:rPr>
                <w:rFonts w:ascii="Times New Roman" w:hAnsi="Times New Roman" w:cs="Times New Roman"/>
                <w:sz w:val="24"/>
                <w:szCs w:val="24"/>
              </w:rPr>
              <w:t xml:space="preserve">University of Texas Southwestern Medical Center, Dallas, TX </w:t>
            </w:r>
          </w:p>
        </w:tc>
      </w:tr>
      <w:tr w:rsidR="003871C8" w14:paraId="559A04D4" w14:textId="77777777" w:rsidTr="00C2173A">
        <w:tc>
          <w:tcPr>
            <w:tcW w:w="3955" w:type="dxa"/>
          </w:tcPr>
          <w:p w14:paraId="3F3D9EF9" w14:textId="77777777" w:rsidR="003871C8" w:rsidRDefault="003871C8" w:rsidP="003871C8">
            <w:pPr>
              <w:spacing w:line="276" w:lineRule="auto"/>
              <w:rPr>
                <w:rFonts w:ascii="Times New Roman" w:hAnsi="Times New Roman" w:cs="Times New Roman"/>
                <w:sz w:val="24"/>
                <w:szCs w:val="24"/>
              </w:rPr>
            </w:pPr>
            <w:r>
              <w:rPr>
                <w:rFonts w:ascii="Times New Roman" w:hAnsi="Times New Roman" w:cs="Times New Roman"/>
                <w:sz w:val="24"/>
                <w:szCs w:val="24"/>
              </w:rPr>
              <w:t xml:space="preserve">Rodney </w:t>
            </w:r>
            <w:proofErr w:type="spellStart"/>
            <w:r>
              <w:rPr>
                <w:rFonts w:ascii="Times New Roman" w:hAnsi="Times New Roman" w:cs="Times New Roman"/>
                <w:sz w:val="24"/>
                <w:szCs w:val="24"/>
              </w:rPr>
              <w:t>Sleith</w:t>
            </w:r>
            <w:proofErr w:type="spellEnd"/>
            <w:r>
              <w:rPr>
                <w:rFonts w:ascii="Times New Roman" w:hAnsi="Times New Roman" w:cs="Times New Roman"/>
                <w:sz w:val="24"/>
                <w:szCs w:val="24"/>
              </w:rPr>
              <w:t>, MS (Statistician)</w:t>
            </w:r>
          </w:p>
          <w:p w14:paraId="6C256DE4" w14:textId="12937D61" w:rsidR="00AB01AB" w:rsidRDefault="00AB01AB" w:rsidP="003871C8">
            <w:pPr>
              <w:spacing w:line="276" w:lineRule="auto"/>
              <w:rPr>
                <w:rFonts w:ascii="Times New Roman" w:hAnsi="Times New Roman" w:cs="Times New Roman"/>
                <w:sz w:val="24"/>
                <w:szCs w:val="24"/>
              </w:rPr>
            </w:pPr>
          </w:p>
        </w:tc>
        <w:tc>
          <w:tcPr>
            <w:tcW w:w="5395" w:type="dxa"/>
          </w:tcPr>
          <w:p w14:paraId="72F5AA7A" w14:textId="4A8741C3" w:rsidR="003871C8" w:rsidRDefault="003871C8" w:rsidP="003871C8">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Veristat</w:t>
            </w:r>
            <w:proofErr w:type="spellEnd"/>
            <w:r>
              <w:rPr>
                <w:rFonts w:ascii="Times New Roman" w:hAnsi="Times New Roman" w:cs="Times New Roman"/>
                <w:sz w:val="24"/>
                <w:szCs w:val="24"/>
              </w:rPr>
              <w:t xml:space="preserve"> In., Southborough, MA</w:t>
            </w:r>
          </w:p>
        </w:tc>
      </w:tr>
    </w:tbl>
    <w:p w14:paraId="0429D401" w14:textId="53E3694B" w:rsidR="00923427" w:rsidRDefault="00923427" w:rsidP="007D53AF"/>
    <w:p w14:paraId="16764FE3" w14:textId="02AA8875" w:rsidR="007D53AF" w:rsidRPr="007D53AF" w:rsidRDefault="00923427" w:rsidP="007D53AF">
      <w:r>
        <w:br w:type="page"/>
      </w:r>
    </w:p>
    <w:p w14:paraId="75F0E62B" w14:textId="143EA950" w:rsidR="007D53AF" w:rsidRDefault="0068079C" w:rsidP="007D53AF">
      <w:pPr>
        <w:pStyle w:val="Heading2"/>
      </w:pPr>
      <w:bookmarkStart w:id="4" w:name="_Toc56097563"/>
      <w:r>
        <w:t>Inclusion and Exclusion</w:t>
      </w:r>
      <w:r w:rsidR="007D53AF">
        <w:t xml:space="preserve"> Criteria</w:t>
      </w:r>
      <w:bookmarkEnd w:id="4"/>
    </w:p>
    <w:p w14:paraId="79103E64" w14:textId="0C7746B5" w:rsidR="007D53AF" w:rsidRDefault="007D53AF" w:rsidP="007D53AF"/>
    <w:p w14:paraId="56E0450D" w14:textId="7D0582A2" w:rsidR="007D53AF" w:rsidRPr="007D53AF" w:rsidRDefault="007D53AF" w:rsidP="007D53AF">
      <w:pPr>
        <w:rPr>
          <w:rFonts w:ascii="Times New Roman" w:hAnsi="Times New Roman" w:cs="Times New Roman"/>
          <w:b/>
          <w:bCs/>
          <w:sz w:val="24"/>
          <w:szCs w:val="24"/>
        </w:rPr>
      </w:pPr>
      <w:r w:rsidRPr="007D53AF">
        <w:rPr>
          <w:rFonts w:ascii="Times New Roman" w:hAnsi="Times New Roman" w:cs="Times New Roman"/>
          <w:b/>
          <w:bCs/>
          <w:sz w:val="24"/>
          <w:szCs w:val="24"/>
        </w:rPr>
        <w:t>Inclusion Criteria</w:t>
      </w:r>
      <w:r w:rsidR="002D59E9">
        <w:rPr>
          <w:rFonts w:ascii="Times New Roman" w:hAnsi="Times New Roman" w:cs="Times New Roman"/>
          <w:b/>
          <w:bCs/>
          <w:sz w:val="24"/>
          <w:szCs w:val="24"/>
        </w:rPr>
        <w:t>:</w:t>
      </w:r>
    </w:p>
    <w:p w14:paraId="45ACEF56" w14:textId="77777777" w:rsidR="007D53AF" w:rsidRPr="00F71EA9" w:rsidRDefault="007D53AF" w:rsidP="007D53AF">
      <w:pPr>
        <w:pStyle w:val="CSRBodyText"/>
        <w:spacing w:before="60" w:after="60" w:line="264" w:lineRule="auto"/>
        <w:contextualSpacing/>
      </w:pPr>
      <w:r w:rsidRPr="00F71EA9">
        <w:t>Patients were eligible to participate in this study if they met the following inclusion criteria:</w:t>
      </w:r>
    </w:p>
    <w:p w14:paraId="16668166" w14:textId="77777777" w:rsidR="007D53AF" w:rsidRPr="00F71EA9" w:rsidRDefault="007D53AF" w:rsidP="007D53AF">
      <w:pPr>
        <w:pStyle w:val="CSR-Bullet1"/>
        <w:numPr>
          <w:ilvl w:val="0"/>
          <w:numId w:val="1"/>
        </w:numPr>
        <w:tabs>
          <w:tab w:val="left" w:pos="1080"/>
        </w:tabs>
        <w:spacing w:before="60" w:after="60" w:line="264" w:lineRule="auto"/>
        <w:contextualSpacing/>
      </w:pPr>
      <w:r w:rsidRPr="00F71EA9">
        <w:t>Mu</w:t>
      </w:r>
      <w:r w:rsidRPr="00F71EA9">
        <w:rPr>
          <w:spacing w:val="-2"/>
        </w:rPr>
        <w:t>s</w:t>
      </w:r>
      <w:r w:rsidRPr="00F71EA9">
        <w:t>t</w:t>
      </w:r>
      <w:r w:rsidRPr="00F71EA9">
        <w:rPr>
          <w:spacing w:val="1"/>
        </w:rPr>
        <w:t xml:space="preserve"> </w:t>
      </w:r>
      <w:r w:rsidRPr="00F71EA9">
        <w:t>ha</w:t>
      </w:r>
      <w:r w:rsidRPr="00F71EA9">
        <w:rPr>
          <w:spacing w:val="-3"/>
        </w:rPr>
        <w:t>v</w:t>
      </w:r>
      <w:r w:rsidRPr="00F71EA9">
        <w:t xml:space="preserve">e </w:t>
      </w:r>
      <w:r w:rsidRPr="00F71EA9">
        <w:rPr>
          <w:spacing w:val="-3"/>
        </w:rPr>
        <w:t>g</w:t>
      </w:r>
      <w:r w:rsidRPr="00F71EA9">
        <w:rPr>
          <w:spacing w:val="1"/>
        </w:rPr>
        <w:t>i</w:t>
      </w:r>
      <w:r w:rsidRPr="00F71EA9">
        <w:rPr>
          <w:spacing w:val="-3"/>
        </w:rPr>
        <w:t>v</w:t>
      </w:r>
      <w:r w:rsidRPr="00F71EA9">
        <w:t xml:space="preserve">en </w:t>
      </w:r>
      <w:r w:rsidRPr="00F71EA9">
        <w:rPr>
          <w:spacing w:val="-2"/>
        </w:rPr>
        <w:t>w</w:t>
      </w:r>
      <w:r w:rsidRPr="00F71EA9">
        <w:t>r</w:t>
      </w:r>
      <w:r w:rsidRPr="00F71EA9">
        <w:rPr>
          <w:spacing w:val="1"/>
        </w:rPr>
        <w:t>i</w:t>
      </w:r>
      <w:r w:rsidRPr="00F71EA9">
        <w:rPr>
          <w:spacing w:val="-2"/>
        </w:rPr>
        <w:t>t</w:t>
      </w:r>
      <w:r w:rsidRPr="00F71EA9">
        <w:rPr>
          <w:spacing w:val="1"/>
        </w:rPr>
        <w:t>t</w:t>
      </w:r>
      <w:r w:rsidRPr="00F71EA9">
        <w:t>en</w:t>
      </w:r>
      <w:r w:rsidRPr="00F71EA9">
        <w:rPr>
          <w:spacing w:val="-3"/>
        </w:rPr>
        <w:t xml:space="preserve"> </w:t>
      </w:r>
      <w:r w:rsidRPr="00F71EA9">
        <w:rPr>
          <w:spacing w:val="1"/>
        </w:rPr>
        <w:t>i</w:t>
      </w:r>
      <w:r w:rsidRPr="00F71EA9">
        <w:rPr>
          <w:spacing w:val="-3"/>
        </w:rPr>
        <w:t>n</w:t>
      </w:r>
      <w:r w:rsidRPr="00F71EA9">
        <w:rPr>
          <w:spacing w:val="-2"/>
        </w:rPr>
        <w:t>f</w:t>
      </w:r>
      <w:r w:rsidRPr="00F71EA9">
        <w:t>or</w:t>
      </w:r>
      <w:r w:rsidRPr="00F71EA9">
        <w:rPr>
          <w:spacing w:val="-4"/>
        </w:rPr>
        <w:t>m</w:t>
      </w:r>
      <w:r w:rsidRPr="00F71EA9">
        <w:t>ed conse</w:t>
      </w:r>
      <w:r w:rsidRPr="00F71EA9">
        <w:rPr>
          <w:spacing w:val="-3"/>
        </w:rPr>
        <w:t>n</w:t>
      </w:r>
      <w:r w:rsidRPr="00F71EA9">
        <w:t>t</w:t>
      </w:r>
      <w:r w:rsidRPr="00F71EA9">
        <w:rPr>
          <w:spacing w:val="1"/>
        </w:rPr>
        <w:t xml:space="preserve"> </w:t>
      </w:r>
      <w:r w:rsidRPr="00F71EA9">
        <w:rPr>
          <w:spacing w:val="-2"/>
        </w:rPr>
        <w:t>(</w:t>
      </w:r>
      <w:r w:rsidRPr="00F71EA9">
        <w:t>s</w:t>
      </w:r>
      <w:r w:rsidRPr="00F71EA9">
        <w:rPr>
          <w:spacing w:val="1"/>
        </w:rPr>
        <w:t>i</w:t>
      </w:r>
      <w:r w:rsidRPr="00F71EA9">
        <w:rPr>
          <w:spacing w:val="-3"/>
        </w:rPr>
        <w:t>g</w:t>
      </w:r>
      <w:r w:rsidRPr="00F71EA9">
        <w:t xml:space="preserve">ned </w:t>
      </w:r>
      <w:r w:rsidRPr="00F71EA9">
        <w:rPr>
          <w:spacing w:val="-2"/>
        </w:rPr>
        <w:t>a</w:t>
      </w:r>
      <w:r w:rsidRPr="00F71EA9">
        <w:t>nd</w:t>
      </w:r>
      <w:r w:rsidRPr="00F71EA9">
        <w:rPr>
          <w:spacing w:val="-3"/>
        </w:rPr>
        <w:t xml:space="preserve"> </w:t>
      </w:r>
      <w:r w:rsidRPr="00F71EA9">
        <w:t>da</w:t>
      </w:r>
      <w:r w:rsidRPr="00F71EA9">
        <w:rPr>
          <w:spacing w:val="1"/>
        </w:rPr>
        <w:t>t</w:t>
      </w:r>
      <w:r w:rsidRPr="00F71EA9">
        <w:t>e</w:t>
      </w:r>
      <w:r w:rsidRPr="00F71EA9">
        <w:rPr>
          <w:spacing w:val="-3"/>
        </w:rPr>
        <w:t>d</w:t>
      </w:r>
      <w:r w:rsidRPr="00F71EA9">
        <w:t>)</w:t>
      </w:r>
      <w:r w:rsidRPr="00F71EA9">
        <w:rPr>
          <w:spacing w:val="1"/>
        </w:rPr>
        <w:t xml:space="preserve"> </w:t>
      </w:r>
      <w:r w:rsidRPr="00F71EA9">
        <w:rPr>
          <w:spacing w:val="-2"/>
        </w:rPr>
        <w:t>a</w:t>
      </w:r>
      <w:r w:rsidRPr="00F71EA9">
        <w:t>nd any</w:t>
      </w:r>
      <w:r w:rsidRPr="00F71EA9">
        <w:rPr>
          <w:spacing w:val="-3"/>
        </w:rPr>
        <w:t xml:space="preserve"> </w:t>
      </w:r>
      <w:r w:rsidRPr="00F71EA9">
        <w:t>au</w:t>
      </w:r>
      <w:r w:rsidRPr="00F71EA9">
        <w:rPr>
          <w:spacing w:val="-2"/>
        </w:rPr>
        <w:t>t</w:t>
      </w:r>
      <w:r w:rsidRPr="00F71EA9">
        <w:t>ho</w:t>
      </w:r>
      <w:r w:rsidRPr="00F71EA9">
        <w:rPr>
          <w:spacing w:val="-2"/>
        </w:rPr>
        <w:t>r</w:t>
      </w:r>
      <w:r w:rsidRPr="00F71EA9">
        <w:rPr>
          <w:spacing w:val="1"/>
        </w:rPr>
        <w:t>i</w:t>
      </w:r>
      <w:r w:rsidRPr="00F71EA9">
        <w:rPr>
          <w:spacing w:val="-2"/>
        </w:rPr>
        <w:t>z</w:t>
      </w:r>
      <w:r w:rsidRPr="00F71EA9">
        <w:t>a</w:t>
      </w:r>
      <w:r w:rsidRPr="00F71EA9">
        <w:rPr>
          <w:spacing w:val="1"/>
        </w:rPr>
        <w:t>t</w:t>
      </w:r>
      <w:r w:rsidRPr="00F71EA9">
        <w:rPr>
          <w:spacing w:val="-2"/>
        </w:rPr>
        <w:t>i</w:t>
      </w:r>
      <w:r w:rsidRPr="00F71EA9">
        <w:rPr>
          <w:spacing w:val="-3"/>
        </w:rPr>
        <w:t>o</w:t>
      </w:r>
      <w:r w:rsidRPr="00F71EA9">
        <w:t>ns r</w:t>
      </w:r>
      <w:r w:rsidRPr="00F71EA9">
        <w:rPr>
          <w:spacing w:val="-2"/>
        </w:rPr>
        <w:t>e</w:t>
      </w:r>
      <w:r w:rsidRPr="00F71EA9">
        <w:t>qu</w:t>
      </w:r>
      <w:r w:rsidRPr="00F71EA9">
        <w:rPr>
          <w:spacing w:val="-2"/>
        </w:rPr>
        <w:t>i</w:t>
      </w:r>
      <w:r w:rsidRPr="00F71EA9">
        <w:t xml:space="preserve">red by </w:t>
      </w:r>
      <w:r w:rsidRPr="00F71EA9">
        <w:rPr>
          <w:spacing w:val="1"/>
        </w:rPr>
        <w:t>l</w:t>
      </w:r>
      <w:r w:rsidRPr="00F71EA9">
        <w:t>oc</w:t>
      </w:r>
      <w:r w:rsidRPr="00F71EA9">
        <w:rPr>
          <w:spacing w:val="-2"/>
        </w:rPr>
        <w:t>a</w:t>
      </w:r>
      <w:r w:rsidRPr="00F71EA9">
        <w:t>l</w:t>
      </w:r>
      <w:r w:rsidRPr="00F71EA9">
        <w:rPr>
          <w:spacing w:val="1"/>
        </w:rPr>
        <w:t xml:space="preserve"> </w:t>
      </w:r>
      <w:r w:rsidRPr="00F71EA9">
        <w:rPr>
          <w:spacing w:val="-2"/>
        </w:rPr>
        <w:t>l</w:t>
      </w:r>
      <w:r w:rsidRPr="00F71EA9">
        <w:t>aw</w:t>
      </w:r>
      <w:r w:rsidRPr="00F71EA9">
        <w:rPr>
          <w:spacing w:val="-1"/>
        </w:rPr>
        <w:t xml:space="preserve"> </w:t>
      </w:r>
      <w:r w:rsidRPr="00F71EA9">
        <w:t>and</w:t>
      </w:r>
      <w:r w:rsidRPr="00F71EA9">
        <w:rPr>
          <w:spacing w:val="-3"/>
        </w:rPr>
        <w:t xml:space="preserve"> </w:t>
      </w:r>
      <w:r w:rsidRPr="00F71EA9">
        <w:t>be a</w:t>
      </w:r>
      <w:r w:rsidRPr="00F71EA9">
        <w:rPr>
          <w:spacing w:val="-3"/>
        </w:rPr>
        <w:t>b</w:t>
      </w:r>
      <w:r w:rsidRPr="00F71EA9">
        <w:rPr>
          <w:spacing w:val="1"/>
        </w:rPr>
        <w:t>l</w:t>
      </w:r>
      <w:r w:rsidRPr="00F71EA9">
        <w:t>e</w:t>
      </w:r>
      <w:r w:rsidRPr="00F71EA9">
        <w:rPr>
          <w:spacing w:val="-2"/>
        </w:rPr>
        <w:t xml:space="preserve"> </w:t>
      </w:r>
      <w:r w:rsidRPr="00F71EA9">
        <w:rPr>
          <w:spacing w:val="1"/>
        </w:rPr>
        <w:t>t</w:t>
      </w:r>
      <w:r w:rsidRPr="00F71EA9">
        <w:t xml:space="preserve">o </w:t>
      </w:r>
      <w:r w:rsidRPr="00F71EA9">
        <w:rPr>
          <w:spacing w:val="-2"/>
        </w:rPr>
        <w:t>c</w:t>
      </w:r>
      <w:r w:rsidRPr="00F71EA9">
        <w:rPr>
          <w:spacing w:val="-3"/>
        </w:rPr>
        <w:t>o</w:t>
      </w:r>
      <w:r w:rsidRPr="00F71EA9">
        <w:rPr>
          <w:spacing w:val="-4"/>
        </w:rPr>
        <w:t>m</w:t>
      </w:r>
      <w:r w:rsidRPr="00F71EA9">
        <w:t>p</w:t>
      </w:r>
      <w:r w:rsidRPr="00F71EA9">
        <w:rPr>
          <w:spacing w:val="1"/>
        </w:rPr>
        <w:t>l</w:t>
      </w:r>
      <w:r w:rsidRPr="00F71EA9">
        <w:t xml:space="preserve">y </w:t>
      </w:r>
      <w:r w:rsidRPr="00F71EA9">
        <w:rPr>
          <w:spacing w:val="-2"/>
        </w:rPr>
        <w:t>w</w:t>
      </w:r>
      <w:r w:rsidRPr="00F71EA9">
        <w:rPr>
          <w:spacing w:val="1"/>
        </w:rPr>
        <w:t>it</w:t>
      </w:r>
      <w:r w:rsidRPr="00F71EA9">
        <w:t xml:space="preserve">h </w:t>
      </w:r>
      <w:r w:rsidRPr="00F71EA9">
        <w:rPr>
          <w:spacing w:val="-2"/>
        </w:rPr>
        <w:t>a</w:t>
      </w:r>
      <w:r w:rsidRPr="00F71EA9">
        <w:rPr>
          <w:spacing w:val="1"/>
        </w:rPr>
        <w:t>l</w:t>
      </w:r>
      <w:r w:rsidRPr="00F71EA9">
        <w:t>l</w:t>
      </w:r>
      <w:r w:rsidRPr="00F71EA9">
        <w:rPr>
          <w:spacing w:val="-2"/>
        </w:rPr>
        <w:t xml:space="preserve"> </w:t>
      </w:r>
      <w:r w:rsidRPr="00F71EA9">
        <w:t>s</w:t>
      </w:r>
      <w:r w:rsidRPr="00F71EA9">
        <w:rPr>
          <w:spacing w:val="1"/>
        </w:rPr>
        <w:t>t</w:t>
      </w:r>
      <w:r w:rsidRPr="00F71EA9">
        <w:t>udy</w:t>
      </w:r>
      <w:r w:rsidRPr="00F71EA9">
        <w:rPr>
          <w:spacing w:val="-3"/>
        </w:rPr>
        <w:t xml:space="preserve"> </w:t>
      </w:r>
      <w:r w:rsidRPr="00F71EA9">
        <w:t>r</w:t>
      </w:r>
      <w:r w:rsidRPr="00F71EA9">
        <w:rPr>
          <w:spacing w:val="-2"/>
        </w:rPr>
        <w:t>e</w:t>
      </w:r>
      <w:r w:rsidRPr="00F71EA9">
        <w:t>qu</w:t>
      </w:r>
      <w:r w:rsidRPr="00F71EA9">
        <w:rPr>
          <w:spacing w:val="-2"/>
        </w:rPr>
        <w:t>i</w:t>
      </w:r>
      <w:r w:rsidRPr="00F71EA9">
        <w:t>r</w:t>
      </w:r>
      <w:r w:rsidRPr="00F71EA9">
        <w:rPr>
          <w:spacing w:val="-2"/>
        </w:rPr>
        <w:t>e</w:t>
      </w:r>
      <w:r w:rsidRPr="00F71EA9">
        <w:rPr>
          <w:spacing w:val="-4"/>
        </w:rPr>
        <w:t>m</w:t>
      </w:r>
      <w:r w:rsidRPr="00F71EA9">
        <w:t>en</w:t>
      </w:r>
      <w:r w:rsidRPr="00F71EA9">
        <w:rPr>
          <w:spacing w:val="1"/>
        </w:rPr>
        <w:t>t</w:t>
      </w:r>
      <w:r w:rsidRPr="00F71EA9">
        <w:t>s</w:t>
      </w:r>
    </w:p>
    <w:p w14:paraId="757EE0A5" w14:textId="77777777" w:rsidR="007D53AF" w:rsidRPr="00F71EA9" w:rsidRDefault="007D53AF" w:rsidP="007D53AF">
      <w:pPr>
        <w:pStyle w:val="CSR-Bullet1"/>
        <w:numPr>
          <w:ilvl w:val="0"/>
          <w:numId w:val="1"/>
        </w:numPr>
        <w:tabs>
          <w:tab w:val="left" w:pos="1080"/>
        </w:tabs>
        <w:spacing w:before="60" w:after="60" w:line="264" w:lineRule="auto"/>
        <w:contextualSpacing/>
        <w:rPr>
          <w:spacing w:val="-2"/>
        </w:rPr>
      </w:pPr>
      <w:r w:rsidRPr="00F71EA9">
        <w:t>Ma</w:t>
      </w:r>
      <w:r w:rsidRPr="00F71EA9">
        <w:rPr>
          <w:spacing w:val="-2"/>
        </w:rPr>
        <w:t>l</w:t>
      </w:r>
      <w:r w:rsidRPr="00F71EA9">
        <w:t xml:space="preserve">es </w:t>
      </w:r>
      <w:r w:rsidRPr="00F71EA9">
        <w:rPr>
          <w:spacing w:val="-3"/>
        </w:rPr>
        <w:t>o</w:t>
      </w:r>
      <w:r w:rsidRPr="00F71EA9">
        <w:t>r</w:t>
      </w:r>
      <w:r w:rsidRPr="00F71EA9">
        <w:rPr>
          <w:spacing w:val="1"/>
        </w:rPr>
        <w:t xml:space="preserve"> </w:t>
      </w:r>
      <w:r w:rsidRPr="00F71EA9">
        <w:rPr>
          <w:spacing w:val="-2"/>
        </w:rPr>
        <w:t>f</w:t>
      </w:r>
      <w:r w:rsidRPr="00F71EA9">
        <w:t>e</w:t>
      </w:r>
      <w:r w:rsidRPr="00F71EA9">
        <w:rPr>
          <w:spacing w:val="-4"/>
        </w:rPr>
        <w:t>m</w:t>
      </w:r>
      <w:r w:rsidRPr="00F71EA9">
        <w:t>a</w:t>
      </w:r>
      <w:r w:rsidRPr="00F71EA9">
        <w:rPr>
          <w:spacing w:val="1"/>
        </w:rPr>
        <w:t>l</w:t>
      </w:r>
      <w:r w:rsidRPr="00F71EA9">
        <w:t>es a</w:t>
      </w:r>
      <w:r w:rsidRPr="00F71EA9">
        <w:rPr>
          <w:spacing w:val="-3"/>
        </w:rPr>
        <w:t>g</w:t>
      </w:r>
      <w:r w:rsidRPr="00F71EA9">
        <w:t>ed ≥</w:t>
      </w:r>
      <w:r w:rsidRPr="00F71EA9">
        <w:rPr>
          <w:i/>
          <w:u w:color="000000"/>
        </w:rPr>
        <w:t xml:space="preserve"> </w:t>
      </w:r>
      <w:r w:rsidRPr="00F71EA9">
        <w:rPr>
          <w:spacing w:val="-3"/>
        </w:rPr>
        <w:t>1</w:t>
      </w:r>
      <w:r w:rsidRPr="00F71EA9">
        <w:t xml:space="preserve">8 and ≤ 80 years </w:t>
      </w:r>
      <w:r w:rsidRPr="00F71EA9">
        <w:rPr>
          <w:spacing w:val="-3"/>
        </w:rPr>
        <w:t>o</w:t>
      </w:r>
      <w:r w:rsidRPr="00F71EA9">
        <w:rPr>
          <w:spacing w:val="1"/>
        </w:rPr>
        <w:t>l</w:t>
      </w:r>
      <w:r w:rsidRPr="00F71EA9">
        <w:t xml:space="preserve">d </w:t>
      </w:r>
      <w:r w:rsidRPr="00F71EA9">
        <w:rPr>
          <w:spacing w:val="-2"/>
        </w:rPr>
        <w:t>a</w:t>
      </w:r>
      <w:r w:rsidRPr="00F71EA9">
        <w:t>t</w:t>
      </w:r>
      <w:r w:rsidRPr="00F71EA9">
        <w:rPr>
          <w:spacing w:val="1"/>
        </w:rPr>
        <w:t xml:space="preserve"> t</w:t>
      </w:r>
      <w:r w:rsidRPr="00F71EA9">
        <w:rPr>
          <w:spacing w:val="-3"/>
        </w:rPr>
        <w:t>h</w:t>
      </w:r>
      <w:r w:rsidRPr="00F71EA9">
        <w:t xml:space="preserve">e </w:t>
      </w:r>
      <w:r w:rsidRPr="00F71EA9">
        <w:rPr>
          <w:spacing w:val="-2"/>
        </w:rPr>
        <w:t>t</w:t>
      </w:r>
      <w:r w:rsidRPr="00F71EA9">
        <w:rPr>
          <w:spacing w:val="1"/>
        </w:rPr>
        <w:t>i</w:t>
      </w:r>
      <w:r w:rsidRPr="00F71EA9">
        <w:rPr>
          <w:spacing w:val="-4"/>
        </w:rPr>
        <w:t>m</w:t>
      </w:r>
      <w:r w:rsidRPr="00F71EA9">
        <w:t>e of</w:t>
      </w:r>
      <w:r w:rsidRPr="00F71EA9">
        <w:rPr>
          <w:spacing w:val="1"/>
        </w:rPr>
        <w:t xml:space="preserve"> i</w:t>
      </w:r>
      <w:r w:rsidRPr="00F71EA9">
        <w:rPr>
          <w:spacing w:val="-3"/>
        </w:rPr>
        <w:t>n</w:t>
      </w:r>
      <w:r w:rsidRPr="00F71EA9">
        <w:t>for</w:t>
      </w:r>
      <w:r w:rsidRPr="00F71EA9">
        <w:rPr>
          <w:spacing w:val="-4"/>
        </w:rPr>
        <w:t>m</w:t>
      </w:r>
      <w:r w:rsidRPr="00F71EA9">
        <w:t>ed con</w:t>
      </w:r>
      <w:r w:rsidRPr="00F71EA9">
        <w:rPr>
          <w:spacing w:val="-2"/>
        </w:rPr>
        <w:t>s</w:t>
      </w:r>
      <w:r w:rsidRPr="00F71EA9">
        <w:t xml:space="preserve">ent </w:t>
      </w:r>
    </w:p>
    <w:p w14:paraId="1F7D1BCB" w14:textId="77777777" w:rsidR="007D53AF" w:rsidRPr="00F71EA9" w:rsidRDefault="007D53AF" w:rsidP="007D53AF">
      <w:pPr>
        <w:pStyle w:val="CSR-Bullet1"/>
        <w:numPr>
          <w:ilvl w:val="0"/>
          <w:numId w:val="1"/>
        </w:numPr>
        <w:tabs>
          <w:tab w:val="left" w:pos="1080"/>
        </w:tabs>
        <w:spacing w:before="60" w:after="60" w:line="264" w:lineRule="auto"/>
        <w:contextualSpacing/>
        <w:rPr>
          <w:spacing w:val="-2"/>
        </w:rPr>
      </w:pPr>
      <w:r w:rsidRPr="00F71EA9">
        <w:t xml:space="preserve"> a. Clinical diagnosis of CVD (defined as documented coronary artery disease, stroke, or peripheral artery disease), OR </w:t>
      </w:r>
    </w:p>
    <w:p w14:paraId="1DA00C58" w14:textId="77777777" w:rsidR="007D53AF" w:rsidRPr="00F71EA9" w:rsidRDefault="007D53AF" w:rsidP="007D53AF">
      <w:pPr>
        <w:pStyle w:val="CSR-Bullet1"/>
        <w:numPr>
          <w:ilvl w:val="0"/>
          <w:numId w:val="0"/>
        </w:numPr>
        <w:spacing w:before="60" w:after="60" w:line="264" w:lineRule="auto"/>
        <w:ind w:left="720"/>
        <w:contextualSpacing/>
      </w:pPr>
      <w:r w:rsidRPr="00F71EA9">
        <w:t xml:space="preserve">b. High risk for CVD defined as: </w:t>
      </w:r>
    </w:p>
    <w:p w14:paraId="20065E64" w14:textId="77777777" w:rsidR="007D53AF" w:rsidRPr="007D53AF" w:rsidRDefault="007D53AF" w:rsidP="007D53AF">
      <w:pPr>
        <w:pStyle w:val="C-Heading6"/>
        <w:keepNext w:val="0"/>
        <w:numPr>
          <w:ilvl w:val="0"/>
          <w:numId w:val="3"/>
        </w:numPr>
        <w:spacing w:before="60" w:after="60" w:line="264" w:lineRule="auto"/>
        <w:contextualSpacing/>
        <w:outlineLvl w:val="9"/>
        <w:rPr>
          <w:b w:val="0"/>
          <w:bCs/>
          <w:spacing w:val="-2"/>
        </w:rPr>
      </w:pPr>
      <w:r w:rsidRPr="007D53AF">
        <w:rPr>
          <w:b w:val="0"/>
          <w:bCs/>
        </w:rPr>
        <w:t xml:space="preserve">Type 2 Diabetes Mellitus requiring treatment, and </w:t>
      </w:r>
    </w:p>
    <w:p w14:paraId="2F5FF4AD" w14:textId="77777777" w:rsidR="007D53AF" w:rsidRPr="007D53AF" w:rsidRDefault="007D53AF" w:rsidP="007D53AF">
      <w:pPr>
        <w:pStyle w:val="C-Heading6"/>
        <w:keepNext w:val="0"/>
        <w:numPr>
          <w:ilvl w:val="0"/>
          <w:numId w:val="3"/>
        </w:numPr>
        <w:spacing w:before="60" w:after="60" w:line="264" w:lineRule="auto"/>
        <w:contextualSpacing/>
        <w:outlineLvl w:val="9"/>
        <w:rPr>
          <w:b w:val="0"/>
          <w:bCs/>
          <w:spacing w:val="-2"/>
        </w:rPr>
      </w:pPr>
      <w:r w:rsidRPr="007D53AF">
        <w:rPr>
          <w:b w:val="0"/>
          <w:bCs/>
          <w:spacing w:val="-2"/>
        </w:rPr>
        <w:t>Age ≥ 50 years, and</w:t>
      </w:r>
    </w:p>
    <w:p w14:paraId="0F3A5C3B" w14:textId="77777777" w:rsidR="007D53AF" w:rsidRPr="007D53AF" w:rsidRDefault="007D53AF" w:rsidP="007D53AF">
      <w:pPr>
        <w:pStyle w:val="C-Heading6"/>
        <w:keepNext w:val="0"/>
        <w:numPr>
          <w:ilvl w:val="0"/>
          <w:numId w:val="3"/>
        </w:numPr>
        <w:spacing w:before="60" w:after="60" w:line="264" w:lineRule="auto"/>
        <w:contextualSpacing/>
        <w:outlineLvl w:val="9"/>
        <w:rPr>
          <w:b w:val="0"/>
          <w:bCs/>
          <w:spacing w:val="-2"/>
        </w:rPr>
      </w:pPr>
      <w:r w:rsidRPr="007D53AF">
        <w:rPr>
          <w:b w:val="0"/>
          <w:bCs/>
          <w:spacing w:val="-2"/>
        </w:rPr>
        <w:t>at least one additional CV risk factor:</w:t>
      </w:r>
    </w:p>
    <w:p w14:paraId="4CF0EC92" w14:textId="77777777" w:rsidR="007D53AF" w:rsidRPr="007D53AF" w:rsidRDefault="007D53AF" w:rsidP="007D53AF">
      <w:pPr>
        <w:pStyle w:val="C-Heading6"/>
        <w:keepNext w:val="0"/>
        <w:numPr>
          <w:ilvl w:val="1"/>
          <w:numId w:val="3"/>
        </w:numPr>
        <w:spacing w:before="60" w:after="60" w:line="264" w:lineRule="auto"/>
        <w:contextualSpacing/>
        <w:outlineLvl w:val="9"/>
        <w:rPr>
          <w:b w:val="0"/>
          <w:bCs/>
          <w:spacing w:val="-2"/>
        </w:rPr>
      </w:pPr>
      <w:r w:rsidRPr="007D53AF">
        <w:rPr>
          <w:b w:val="0"/>
          <w:bCs/>
          <w:spacing w:val="-2"/>
        </w:rPr>
        <w:t>men ≥ 55 years of age and women ≥ 65 years of age, or</w:t>
      </w:r>
    </w:p>
    <w:p w14:paraId="51B06C2A" w14:textId="77777777" w:rsidR="007D53AF" w:rsidRPr="007D53AF" w:rsidRDefault="007D53AF" w:rsidP="007D53AF">
      <w:pPr>
        <w:pStyle w:val="C-Heading6"/>
        <w:keepNext w:val="0"/>
        <w:numPr>
          <w:ilvl w:val="1"/>
          <w:numId w:val="3"/>
        </w:numPr>
        <w:spacing w:before="60" w:after="60" w:line="264" w:lineRule="auto"/>
        <w:contextualSpacing/>
        <w:outlineLvl w:val="9"/>
        <w:rPr>
          <w:b w:val="0"/>
          <w:bCs/>
          <w:spacing w:val="-2"/>
        </w:rPr>
      </w:pPr>
      <w:r w:rsidRPr="007D53AF">
        <w:rPr>
          <w:b w:val="0"/>
          <w:bCs/>
          <w:spacing w:val="-2"/>
        </w:rPr>
        <w:t>current cigarette smoker, or stopped smoking within 3 months prior to screening, or</w:t>
      </w:r>
    </w:p>
    <w:p w14:paraId="783259E7" w14:textId="77777777" w:rsidR="007D53AF" w:rsidRPr="007D53AF" w:rsidRDefault="007D53AF" w:rsidP="007D53AF">
      <w:pPr>
        <w:pStyle w:val="C-Heading6"/>
        <w:keepNext w:val="0"/>
        <w:numPr>
          <w:ilvl w:val="1"/>
          <w:numId w:val="3"/>
        </w:numPr>
        <w:spacing w:before="60" w:after="60" w:line="264" w:lineRule="auto"/>
        <w:contextualSpacing/>
        <w:outlineLvl w:val="9"/>
        <w:rPr>
          <w:b w:val="0"/>
          <w:bCs/>
          <w:spacing w:val="-2"/>
        </w:rPr>
      </w:pPr>
      <w:r w:rsidRPr="007D53AF">
        <w:rPr>
          <w:b w:val="0"/>
          <w:bCs/>
          <w:spacing w:val="-2"/>
        </w:rPr>
        <w:t xml:space="preserve">hypertension requiring antihypertensive treatment </w:t>
      </w:r>
    </w:p>
    <w:p w14:paraId="3EAFDA2B" w14:textId="77777777" w:rsidR="007D53AF" w:rsidRPr="00F71EA9" w:rsidRDefault="007D53AF" w:rsidP="007D53AF">
      <w:pPr>
        <w:pStyle w:val="CSR-Bullet1"/>
        <w:numPr>
          <w:ilvl w:val="0"/>
          <w:numId w:val="1"/>
        </w:numPr>
        <w:tabs>
          <w:tab w:val="left" w:pos="1080"/>
        </w:tabs>
        <w:spacing w:before="60" w:after="60" w:line="264" w:lineRule="auto"/>
        <w:contextualSpacing/>
        <w:rPr>
          <w:spacing w:val="-2"/>
        </w:rPr>
      </w:pPr>
      <w:r w:rsidRPr="00F71EA9">
        <w:rPr>
          <w:spacing w:val="-2"/>
        </w:rPr>
        <w:t xml:space="preserve">Fasting serum TG ≥ 200 mg/dL (≥ 2.3 mmol/L) and ≤ 500 mg/dL (≥ 5.7 mmol/L) at Screening. If the fasting TG value at Screening is &lt; 200 mg/dL (&lt; 2.3 mmol/L) but ≥ 150 mg/dL (≥ 1.7 mmol/L) one additional test may have been performed in order to qualify </w:t>
      </w:r>
    </w:p>
    <w:p w14:paraId="7B518925" w14:textId="77777777" w:rsidR="007D53AF" w:rsidRPr="00F71EA9" w:rsidRDefault="007D53AF" w:rsidP="007D53AF">
      <w:pPr>
        <w:pStyle w:val="CSR-Bullet1"/>
        <w:numPr>
          <w:ilvl w:val="0"/>
          <w:numId w:val="1"/>
        </w:numPr>
        <w:tabs>
          <w:tab w:val="left" w:pos="1080"/>
        </w:tabs>
        <w:spacing w:before="60" w:after="60" w:line="264" w:lineRule="auto"/>
        <w:contextualSpacing/>
        <w:rPr>
          <w:spacing w:val="-2"/>
        </w:rPr>
      </w:pPr>
      <w:r w:rsidRPr="00F71EA9">
        <w:rPr>
          <w:spacing w:val="-2"/>
        </w:rPr>
        <w:t>Fasting TG ≥ 200 mg/dL and ≤ 500 mg/dL at Qualification visit. If fasting TG is &lt; 200mg/dL but ≥ 150 mg/dL one additional test may have been performed in order to qualify</w:t>
      </w:r>
    </w:p>
    <w:p w14:paraId="0207555E" w14:textId="77777777" w:rsidR="007D53AF" w:rsidRPr="00F71EA9" w:rsidRDefault="007D53AF" w:rsidP="007D53AF">
      <w:pPr>
        <w:pStyle w:val="CSR-Bullet1"/>
        <w:numPr>
          <w:ilvl w:val="0"/>
          <w:numId w:val="1"/>
        </w:numPr>
        <w:tabs>
          <w:tab w:val="left" w:pos="1080"/>
        </w:tabs>
        <w:spacing w:before="60" w:after="60" w:line="264" w:lineRule="auto"/>
        <w:contextualSpacing/>
        <w:rPr>
          <w:spacing w:val="-2"/>
        </w:rPr>
      </w:pPr>
      <w:r w:rsidRPr="00F71EA9">
        <w:rPr>
          <w:spacing w:val="-2"/>
        </w:rPr>
        <w:t>Must have been on standard-of-care preventative therapy for their known CVD risk factors (e.g., hyperlipidemia, hypertension, diabetes)</w:t>
      </w:r>
    </w:p>
    <w:p w14:paraId="6E62B39D" w14:textId="77777777" w:rsidR="007D53AF" w:rsidRPr="00F71EA9" w:rsidRDefault="007D53AF" w:rsidP="007D53AF">
      <w:pPr>
        <w:pStyle w:val="CSR-Bullet1"/>
        <w:numPr>
          <w:ilvl w:val="0"/>
          <w:numId w:val="1"/>
        </w:numPr>
        <w:tabs>
          <w:tab w:val="left" w:pos="1080"/>
        </w:tabs>
        <w:spacing w:before="60" w:after="60" w:line="264" w:lineRule="auto"/>
        <w:contextualSpacing/>
        <w:rPr>
          <w:spacing w:val="-2"/>
        </w:rPr>
      </w:pPr>
      <w:r w:rsidRPr="00F71EA9">
        <w:rPr>
          <w:spacing w:val="-2"/>
        </w:rPr>
        <w:t>Patients on the following medications must have been on a stable regimen for at least 4 weeks prior to Screening and expected to remain on a stable regimen through the end of the post-treatment follow-up period:</w:t>
      </w:r>
    </w:p>
    <w:p w14:paraId="5B917E47" w14:textId="77777777" w:rsidR="007D53AF" w:rsidRPr="00F71EA9" w:rsidRDefault="007D53AF" w:rsidP="007D53AF">
      <w:pPr>
        <w:pStyle w:val="CSR-Bullet1"/>
        <w:numPr>
          <w:ilvl w:val="1"/>
          <w:numId w:val="1"/>
        </w:numPr>
        <w:tabs>
          <w:tab w:val="left" w:pos="1080"/>
        </w:tabs>
        <w:spacing w:before="60" w:after="60" w:line="264" w:lineRule="auto"/>
        <w:contextualSpacing/>
        <w:rPr>
          <w:spacing w:val="-2"/>
        </w:rPr>
      </w:pPr>
      <w:r w:rsidRPr="00F71EA9">
        <w:t xml:space="preserve">Lipid lowering drugs (statins, ezetimibe, PCSK9 inhibitors, niacin, fibrates, fish oil or </w:t>
      </w:r>
      <w:r w:rsidRPr="00F71EA9">
        <w:rPr>
          <w:spacing w:val="-2"/>
        </w:rPr>
        <w:t>other products containing omega-3 fatty acids including over the counter preparations)</w:t>
      </w:r>
    </w:p>
    <w:p w14:paraId="77A65E74" w14:textId="77777777" w:rsidR="007D53AF" w:rsidRPr="00F71EA9" w:rsidRDefault="007D53AF" w:rsidP="007D53AF">
      <w:pPr>
        <w:pStyle w:val="CSR-Bullet1"/>
        <w:numPr>
          <w:ilvl w:val="1"/>
          <w:numId w:val="1"/>
        </w:numPr>
        <w:tabs>
          <w:tab w:val="left" w:pos="1080"/>
        </w:tabs>
        <w:spacing w:before="60" w:after="60" w:line="264" w:lineRule="auto"/>
        <w:contextualSpacing/>
        <w:rPr>
          <w:spacing w:val="-2"/>
        </w:rPr>
      </w:pPr>
      <w:r w:rsidRPr="00F71EA9">
        <w:rPr>
          <w:spacing w:val="-2"/>
        </w:rPr>
        <w:t>Antiplatelet drugs</w:t>
      </w:r>
    </w:p>
    <w:p w14:paraId="4482813A" w14:textId="77777777" w:rsidR="007D53AF" w:rsidRPr="00F71EA9" w:rsidRDefault="007D53AF" w:rsidP="007D53AF">
      <w:pPr>
        <w:pStyle w:val="CSR-Bullet1"/>
        <w:numPr>
          <w:ilvl w:val="1"/>
          <w:numId w:val="1"/>
        </w:numPr>
        <w:tabs>
          <w:tab w:val="left" w:pos="1080"/>
        </w:tabs>
        <w:spacing w:before="60" w:after="60" w:line="264" w:lineRule="auto"/>
        <w:contextualSpacing/>
        <w:rPr>
          <w:spacing w:val="-2"/>
        </w:rPr>
      </w:pPr>
      <w:r w:rsidRPr="00F71EA9">
        <w:rPr>
          <w:spacing w:val="-2"/>
        </w:rPr>
        <w:t>Testosterone, estrogens, progesterone, growth hormone or progestins</w:t>
      </w:r>
    </w:p>
    <w:p w14:paraId="5DA455ED" w14:textId="77777777" w:rsidR="007D53AF" w:rsidRPr="00F71EA9" w:rsidRDefault="007D53AF" w:rsidP="007D53AF">
      <w:pPr>
        <w:pStyle w:val="CSR-Bullet1"/>
        <w:numPr>
          <w:ilvl w:val="0"/>
          <w:numId w:val="1"/>
        </w:numPr>
        <w:tabs>
          <w:tab w:val="left" w:pos="1080"/>
        </w:tabs>
        <w:spacing w:before="60" w:after="60" w:line="264" w:lineRule="auto"/>
        <w:contextualSpacing/>
        <w:rPr>
          <w:spacing w:val="-2"/>
        </w:rPr>
      </w:pPr>
      <w:r w:rsidRPr="00F71EA9">
        <w:rPr>
          <w:spacing w:val="-2"/>
        </w:rPr>
        <w:t>Females: must have been non-pregnant and non-lactating and either:</w:t>
      </w:r>
    </w:p>
    <w:p w14:paraId="0481465C" w14:textId="77777777" w:rsidR="007D53AF" w:rsidRPr="00F71EA9" w:rsidRDefault="007D53AF" w:rsidP="007D53AF">
      <w:pPr>
        <w:pStyle w:val="CSR-Bullet1"/>
        <w:numPr>
          <w:ilvl w:val="1"/>
          <w:numId w:val="1"/>
        </w:numPr>
        <w:tabs>
          <w:tab w:val="left" w:pos="1080"/>
        </w:tabs>
        <w:spacing w:before="60" w:after="60" w:line="264" w:lineRule="auto"/>
        <w:contextualSpacing/>
        <w:rPr>
          <w:spacing w:val="-2"/>
        </w:rPr>
      </w:pPr>
      <w:r w:rsidRPr="00F71EA9">
        <w:t xml:space="preserve">Surgically sterile (e.g., tubal occlusion, hysterectomy, bilateral salpingectomy, </w:t>
      </w:r>
      <w:r w:rsidRPr="00F71EA9">
        <w:rPr>
          <w:spacing w:val="-2"/>
        </w:rPr>
        <w:t>bilateral oophorectomy),</w:t>
      </w:r>
    </w:p>
    <w:p w14:paraId="6E74E20E" w14:textId="77777777" w:rsidR="007D53AF" w:rsidRPr="00F71EA9" w:rsidRDefault="007D53AF" w:rsidP="007D53AF">
      <w:pPr>
        <w:pStyle w:val="CSR-Bullet1"/>
        <w:numPr>
          <w:ilvl w:val="1"/>
          <w:numId w:val="1"/>
        </w:numPr>
        <w:tabs>
          <w:tab w:val="left" w:pos="1080"/>
        </w:tabs>
        <w:spacing w:before="60" w:after="60" w:line="264" w:lineRule="auto"/>
        <w:contextualSpacing/>
        <w:rPr>
          <w:spacing w:val="-2"/>
        </w:rPr>
      </w:pPr>
      <w:r w:rsidRPr="00F71EA9">
        <w:rPr>
          <w:spacing w:val="-2"/>
        </w:rPr>
        <w:t>Post-menopausal (defined as 12 months of spontaneous amenorrhea in females &gt; 55 years of age or, in females ≤ 55 years, 12 months of spontaneous amenorrhea without an alternative medical cause and follicle-stimulating hormone (FSH) levels in the postmenopausal range for the laboratory involved),</w:t>
      </w:r>
    </w:p>
    <w:p w14:paraId="15111A7D" w14:textId="77777777" w:rsidR="007D53AF" w:rsidRPr="00F71EA9" w:rsidRDefault="007D53AF" w:rsidP="007D53AF">
      <w:pPr>
        <w:pStyle w:val="CSR-Bullet1"/>
        <w:numPr>
          <w:ilvl w:val="1"/>
          <w:numId w:val="1"/>
        </w:numPr>
        <w:tabs>
          <w:tab w:val="left" w:pos="1080"/>
        </w:tabs>
        <w:spacing w:before="60" w:after="60" w:line="264" w:lineRule="auto"/>
        <w:contextualSpacing/>
        <w:rPr>
          <w:spacing w:val="-2"/>
        </w:rPr>
      </w:pPr>
      <w:r w:rsidRPr="00F71EA9">
        <w:rPr>
          <w:spacing w:val="-2"/>
        </w:rPr>
        <w:t>Abstinent*, or</w:t>
      </w:r>
    </w:p>
    <w:p w14:paraId="4C31FA5C" w14:textId="5D83922E" w:rsidR="007D53AF" w:rsidRPr="00F71EA9" w:rsidRDefault="007D53AF" w:rsidP="007D53AF">
      <w:pPr>
        <w:pStyle w:val="CSR-Bullet1"/>
        <w:numPr>
          <w:ilvl w:val="1"/>
          <w:numId w:val="1"/>
        </w:numPr>
        <w:tabs>
          <w:tab w:val="left" w:pos="1080"/>
        </w:tabs>
        <w:spacing w:before="60" w:after="60" w:line="264" w:lineRule="auto"/>
        <w:contextualSpacing/>
        <w:rPr>
          <w:spacing w:val="-2"/>
        </w:rPr>
      </w:pPr>
      <w:r w:rsidRPr="00F71EA9">
        <w:rPr>
          <w:spacing w:val="-2"/>
        </w:rPr>
        <w:t>If engaged in sexual relations of child-bearing potential, agree to use 2 highly effective contraceptive methods from the time of signing the informed consent form until at least 13 weeks after the last dose of Study Drug (</w:t>
      </w:r>
      <w:r w:rsidR="0023652D">
        <w:t>olezarsen</w:t>
      </w:r>
      <w:r w:rsidR="0023652D" w:rsidRPr="00F71EA9">
        <w:rPr>
          <w:spacing w:val="-2"/>
        </w:rPr>
        <w:t xml:space="preserve"> </w:t>
      </w:r>
      <w:r w:rsidRPr="00F71EA9">
        <w:rPr>
          <w:spacing w:val="-2"/>
        </w:rPr>
        <w:t>or placebo)</w:t>
      </w:r>
    </w:p>
    <w:p w14:paraId="345E8A2B" w14:textId="77777777" w:rsidR="007D53AF" w:rsidRPr="00F71EA9" w:rsidRDefault="007D53AF" w:rsidP="007D53AF">
      <w:pPr>
        <w:pStyle w:val="CSRBodyText"/>
        <w:spacing w:before="60" w:after="60" w:line="264" w:lineRule="auto"/>
        <w:ind w:left="180" w:hanging="180"/>
        <w:contextualSpacing/>
      </w:pPr>
      <w:r w:rsidRPr="00F71EA9">
        <w:rPr>
          <w:szCs w:val="24"/>
        </w:rPr>
        <w:t xml:space="preserve">* Abstinence was only acceptable as true abstinence, i.e., when this was in line with the preferred and </w:t>
      </w:r>
      <w:r w:rsidRPr="00F71EA9">
        <w:t xml:space="preserve">usual lifestyle of the patient. Periodic abstinence (e.g., calendar, ovulation, </w:t>
      </w:r>
      <w:proofErr w:type="spellStart"/>
      <w:r w:rsidRPr="00F71EA9">
        <w:t>symptothermal</w:t>
      </w:r>
      <w:proofErr w:type="spellEnd"/>
      <w:r w:rsidRPr="00F71EA9">
        <w:t xml:space="preserve">, post-ovulation methods), declaration of abstinence for the duration of a trial and withdrawal were not acceptable methods of contraception </w:t>
      </w:r>
    </w:p>
    <w:p w14:paraId="29E758EE" w14:textId="5C3ABF29" w:rsidR="007D53AF" w:rsidRPr="00F71EA9" w:rsidRDefault="007D53AF" w:rsidP="007D53AF">
      <w:pPr>
        <w:pStyle w:val="CSR-Bullet1"/>
        <w:numPr>
          <w:ilvl w:val="0"/>
          <w:numId w:val="1"/>
        </w:numPr>
        <w:tabs>
          <w:tab w:val="left" w:pos="1080"/>
        </w:tabs>
        <w:spacing w:before="60" w:after="60" w:line="264" w:lineRule="auto"/>
        <w:contextualSpacing/>
      </w:pPr>
      <w:r w:rsidRPr="00F71EA9">
        <w:t xml:space="preserve">Males must have been surgically sterile or, if engaged in sexual relations with a female of childbearing </w:t>
      </w:r>
      <w:r w:rsidRPr="00F71EA9">
        <w:rPr>
          <w:spacing w:val="-2"/>
        </w:rPr>
        <w:t xml:space="preserve">potential, the patient must have been using an acceptable contraceptive method from the time of signing the informed consent form until at least 13 weeks after the last dose of </w:t>
      </w:r>
      <w:r w:rsidR="0023652D">
        <w:t>olezarsen</w:t>
      </w:r>
    </w:p>
    <w:p w14:paraId="0694A2B3" w14:textId="77777777" w:rsidR="007D53AF" w:rsidRDefault="007D53AF" w:rsidP="007D53AF">
      <w:bookmarkStart w:id="5" w:name="_Toc257217324"/>
      <w:bookmarkStart w:id="6" w:name="_Toc182110841"/>
      <w:bookmarkStart w:id="7" w:name="_Toc29924164"/>
      <w:bookmarkStart w:id="8" w:name="_Ref51511455"/>
      <w:bookmarkStart w:id="9" w:name="_Toc54882746"/>
    </w:p>
    <w:p w14:paraId="2B4B7CFA" w14:textId="5771694D" w:rsidR="007D53AF" w:rsidRPr="007D53AF" w:rsidRDefault="007D53AF" w:rsidP="007D53AF">
      <w:pPr>
        <w:rPr>
          <w:rFonts w:ascii="Times New Roman" w:hAnsi="Times New Roman" w:cs="Times New Roman"/>
          <w:b/>
          <w:bCs/>
          <w:sz w:val="24"/>
          <w:szCs w:val="24"/>
        </w:rPr>
      </w:pPr>
      <w:r w:rsidRPr="007D53AF">
        <w:rPr>
          <w:rFonts w:ascii="Times New Roman" w:hAnsi="Times New Roman" w:cs="Times New Roman"/>
          <w:b/>
          <w:bCs/>
          <w:sz w:val="24"/>
          <w:szCs w:val="24"/>
        </w:rPr>
        <w:t>Exclusion Criteria</w:t>
      </w:r>
      <w:bookmarkEnd w:id="5"/>
      <w:bookmarkEnd w:id="6"/>
      <w:bookmarkEnd w:id="7"/>
      <w:bookmarkEnd w:id="8"/>
      <w:bookmarkEnd w:id="9"/>
      <w:r w:rsidR="002D59E9">
        <w:rPr>
          <w:rFonts w:ascii="Times New Roman" w:hAnsi="Times New Roman" w:cs="Times New Roman"/>
          <w:b/>
          <w:bCs/>
          <w:sz w:val="24"/>
          <w:szCs w:val="24"/>
        </w:rPr>
        <w:t>:</w:t>
      </w:r>
    </w:p>
    <w:p w14:paraId="0A06467C" w14:textId="77777777" w:rsidR="007D53AF" w:rsidRPr="00F71EA9" w:rsidRDefault="007D53AF" w:rsidP="007D53AF">
      <w:pPr>
        <w:pStyle w:val="CSRBodyText"/>
        <w:spacing w:before="60" w:after="60" w:line="264" w:lineRule="auto"/>
        <w:contextualSpacing/>
      </w:pPr>
      <w:r w:rsidRPr="00F71EA9">
        <w:t>Patients were excluded from enrolling in the study if they had any of the following exclusion criteria:</w:t>
      </w:r>
    </w:p>
    <w:p w14:paraId="2DCAB759"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rPr>
          <w:u w:val="single"/>
        </w:rPr>
        <w:t>Within 3 months of Screening</w:t>
      </w:r>
      <w:r w:rsidRPr="00F71EA9">
        <w:t>: acute coronary syndrome, major cardiac surgery, or stroke/transient ischemic attack</w:t>
      </w:r>
    </w:p>
    <w:p w14:paraId="54E8A2EE"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rPr>
          <w:u w:val="single"/>
        </w:rPr>
        <w:t>Within 3 months of Screening</w:t>
      </w:r>
      <w:r w:rsidRPr="00F71EA9">
        <w:t>: coronary, carotid, or peripheral arterial revascularization, major non-cardiac surgery, or lipoprotein apheresis</w:t>
      </w:r>
    </w:p>
    <w:p w14:paraId="7BBF56E1"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Heart failure New York Heart Association (NYHA) class III and IV</w:t>
      </w:r>
    </w:p>
    <w:p w14:paraId="7674EE72"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Uncontrolled hypertension (systolic &gt; 160 or diastolic &gt; 100 mmHg)</w:t>
      </w:r>
    </w:p>
    <w:p w14:paraId="7EEC7D3A"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History of acute kidney injury within 12 months of Screening</w:t>
      </w:r>
    </w:p>
    <w:p w14:paraId="518D16FA"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Uncontrolled hyper or hypothyroidism</w:t>
      </w:r>
    </w:p>
    <w:p w14:paraId="2CB746DE"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Active infection requiring systemic antiviral or antimicrobial therapy that will not be completed prior to Study Day 1</w:t>
      </w:r>
    </w:p>
    <w:p w14:paraId="0E268885"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Known history of or positive test for human immunodeficiency virus (HIV), hepatitis C or chronic hepatitis B</w:t>
      </w:r>
    </w:p>
    <w:p w14:paraId="77500FEF"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Malignancy within 5 years, except for basal or squamous cell carcinoma of the skin or carcinoma in situ of the cervix that has been successfully treated</w:t>
      </w:r>
    </w:p>
    <w:p w14:paraId="558037D0"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Patients at high-risk of bleeding diathesis</w:t>
      </w:r>
    </w:p>
    <w:p w14:paraId="32EA074C"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Recent history of, or current drug or alcohol abuse</w:t>
      </w:r>
    </w:p>
    <w:p w14:paraId="5726B531"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Hypersensitivity to the active substance or to any of the excipients</w:t>
      </w:r>
    </w:p>
    <w:p w14:paraId="0301F6B1"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Clinically-significant abnormalities in screening laboratory values that would render a patient unsuitable for inclusion, including the following:</w:t>
      </w:r>
    </w:p>
    <w:p w14:paraId="7D618843" w14:textId="77777777" w:rsidR="007D53AF" w:rsidRPr="00F71EA9" w:rsidRDefault="007D53AF" w:rsidP="007D53AF">
      <w:pPr>
        <w:pStyle w:val="CSR-Bullet1"/>
        <w:numPr>
          <w:ilvl w:val="1"/>
          <w:numId w:val="4"/>
        </w:numPr>
        <w:tabs>
          <w:tab w:val="left" w:pos="1080"/>
        </w:tabs>
        <w:spacing w:before="60" w:after="60" w:line="264" w:lineRule="auto"/>
        <w:contextualSpacing/>
      </w:pPr>
      <w:r w:rsidRPr="00F71EA9">
        <w:t>Positive test (including trace) for blood on urinalysis. In the event of a positive test, eligibility may have been confirmed with urine microscopy showing ≤ 5 red blood cells per high power field</w:t>
      </w:r>
    </w:p>
    <w:p w14:paraId="21B579BD" w14:textId="77777777" w:rsidR="007D53AF" w:rsidRPr="00F71EA9" w:rsidRDefault="007D53AF" w:rsidP="007D53AF">
      <w:pPr>
        <w:pStyle w:val="CSR-Bullet1"/>
        <w:numPr>
          <w:ilvl w:val="1"/>
          <w:numId w:val="4"/>
        </w:numPr>
        <w:tabs>
          <w:tab w:val="left" w:pos="1080"/>
        </w:tabs>
        <w:spacing w:before="60" w:after="60" w:line="264" w:lineRule="auto"/>
        <w:contextualSpacing/>
      </w:pPr>
      <w:r w:rsidRPr="00F71EA9">
        <w:t>Urine protein/creatinine ratio (UPCR) ≥ 0.25 mg/mg.</w:t>
      </w:r>
    </w:p>
    <w:p w14:paraId="4A0C1AC1" w14:textId="77777777" w:rsidR="007D53AF" w:rsidRPr="00F71EA9" w:rsidRDefault="007D53AF" w:rsidP="007D53AF">
      <w:pPr>
        <w:pStyle w:val="CSR-Bullet1"/>
        <w:numPr>
          <w:ilvl w:val="1"/>
          <w:numId w:val="4"/>
        </w:numPr>
        <w:tabs>
          <w:tab w:val="left" w:pos="1080"/>
        </w:tabs>
        <w:spacing w:before="60" w:after="60" w:line="264" w:lineRule="auto"/>
        <w:contextualSpacing/>
      </w:pPr>
      <w:r w:rsidRPr="00F71EA9">
        <w:t>Estimated glomerular filtration rate (GFR) ˂ 60 mL/min/1.73 m</w:t>
      </w:r>
      <w:r w:rsidRPr="00F71EA9">
        <w:rPr>
          <w:vertAlign w:val="superscript"/>
        </w:rPr>
        <w:t>2</w:t>
      </w:r>
      <w:r w:rsidRPr="00F71EA9">
        <w:t xml:space="preserve"> (as determined by the Chronic Kidney Disease-Epidemiological Collaboration (CKD-EPI) Equation</w:t>
      </w:r>
    </w:p>
    <w:p w14:paraId="4D6B48D0" w14:textId="77777777" w:rsidR="007D53AF" w:rsidRPr="00F71EA9" w:rsidRDefault="007D53AF" w:rsidP="007D53AF">
      <w:pPr>
        <w:pStyle w:val="CSR-Bullet1"/>
        <w:numPr>
          <w:ilvl w:val="1"/>
          <w:numId w:val="4"/>
        </w:numPr>
        <w:tabs>
          <w:tab w:val="left" w:pos="1080"/>
        </w:tabs>
        <w:spacing w:before="60" w:after="60" w:line="264" w:lineRule="auto"/>
        <w:contextualSpacing/>
      </w:pPr>
      <w:r w:rsidRPr="00F71EA9">
        <w:t>Alanine aminotransferase (ALT) or aspartate aminotransferase (AST) &gt; 2 x upper limit of normal (ULN)</w:t>
      </w:r>
    </w:p>
    <w:p w14:paraId="27D52037" w14:textId="77777777" w:rsidR="007D53AF" w:rsidRPr="00F71EA9" w:rsidRDefault="007D53AF" w:rsidP="007D53AF">
      <w:pPr>
        <w:pStyle w:val="CSR-Bullet1"/>
        <w:numPr>
          <w:ilvl w:val="1"/>
          <w:numId w:val="4"/>
        </w:numPr>
        <w:tabs>
          <w:tab w:val="left" w:pos="1080"/>
        </w:tabs>
        <w:spacing w:before="60" w:after="60" w:line="264" w:lineRule="auto"/>
        <w:contextualSpacing/>
      </w:pPr>
      <w:r w:rsidRPr="00F71EA9">
        <w:t>Bilirubin &gt; 1.2 x ULN, unless prior diagnosis and documentation of Gilbert’s syndrome in which case total bilirubin must have been ≤ 3 mg/dL</w:t>
      </w:r>
    </w:p>
    <w:p w14:paraId="3641B0DA" w14:textId="77777777" w:rsidR="007D53AF" w:rsidRPr="00F71EA9" w:rsidRDefault="007D53AF" w:rsidP="007D53AF">
      <w:pPr>
        <w:pStyle w:val="CSR-Bullet1"/>
        <w:numPr>
          <w:ilvl w:val="1"/>
          <w:numId w:val="4"/>
        </w:numPr>
        <w:tabs>
          <w:tab w:val="left" w:pos="1080"/>
        </w:tabs>
        <w:spacing w:before="60" w:after="60" w:line="264" w:lineRule="auto"/>
        <w:contextualSpacing/>
      </w:pPr>
      <w:r w:rsidRPr="00F71EA9">
        <w:t>Alkaline phosphatase (ALP) &gt; 1.5 x ULN</w:t>
      </w:r>
    </w:p>
    <w:p w14:paraId="112A70FE" w14:textId="77777777" w:rsidR="007D53AF" w:rsidRPr="00F71EA9" w:rsidRDefault="007D53AF" w:rsidP="007D53AF">
      <w:pPr>
        <w:pStyle w:val="CSR-Bullet1"/>
        <w:numPr>
          <w:ilvl w:val="1"/>
          <w:numId w:val="4"/>
        </w:numPr>
        <w:tabs>
          <w:tab w:val="left" w:pos="1080"/>
        </w:tabs>
        <w:spacing w:before="60" w:after="60" w:line="264" w:lineRule="auto"/>
        <w:contextualSpacing/>
      </w:pPr>
      <w:r w:rsidRPr="00F71EA9">
        <w:t>Platelet count ˂ lower limit of normal (LLN)</w:t>
      </w:r>
    </w:p>
    <w:p w14:paraId="243D72ED" w14:textId="77777777" w:rsidR="007D53AF" w:rsidRPr="00F71EA9" w:rsidRDefault="007D53AF" w:rsidP="007D53AF">
      <w:pPr>
        <w:pStyle w:val="CSR-Bullet1"/>
        <w:numPr>
          <w:ilvl w:val="1"/>
          <w:numId w:val="4"/>
        </w:numPr>
        <w:tabs>
          <w:tab w:val="left" w:pos="1080"/>
        </w:tabs>
        <w:spacing w:before="60" w:after="60" w:line="264" w:lineRule="auto"/>
        <w:contextualSpacing/>
      </w:pPr>
      <w:r w:rsidRPr="00F71EA9">
        <w:t>LDL-C &gt; 130 mg/dL (&gt; 3.4 mmol/L)</w:t>
      </w:r>
    </w:p>
    <w:p w14:paraId="646EBFD8"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Type 1 diabetes mellitus</w:t>
      </w:r>
    </w:p>
    <w:p w14:paraId="07C2A1D5"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Type 2 diabetes mellitus with any of the following:</w:t>
      </w:r>
    </w:p>
    <w:p w14:paraId="50C70C1E" w14:textId="77777777" w:rsidR="007D53AF" w:rsidRPr="00F71EA9" w:rsidRDefault="007D53AF" w:rsidP="007D53AF">
      <w:pPr>
        <w:pStyle w:val="CSR-Bullet1"/>
        <w:numPr>
          <w:ilvl w:val="1"/>
          <w:numId w:val="4"/>
        </w:numPr>
        <w:tabs>
          <w:tab w:val="left" w:pos="1080"/>
        </w:tabs>
        <w:spacing w:before="60" w:after="60" w:line="264" w:lineRule="auto"/>
        <w:contextualSpacing/>
      </w:pPr>
      <w:r w:rsidRPr="00F71EA9">
        <w:t>Newly diagnosed within 12 weeks of Screening</w:t>
      </w:r>
    </w:p>
    <w:p w14:paraId="7F28CD63" w14:textId="77777777" w:rsidR="007D53AF" w:rsidRPr="00F71EA9" w:rsidRDefault="007D53AF" w:rsidP="007D53AF">
      <w:pPr>
        <w:pStyle w:val="CSR-Bullet1"/>
        <w:numPr>
          <w:ilvl w:val="1"/>
          <w:numId w:val="4"/>
        </w:numPr>
        <w:tabs>
          <w:tab w:val="left" w:pos="1080"/>
        </w:tabs>
        <w:spacing w:before="60" w:after="60" w:line="264" w:lineRule="auto"/>
        <w:contextualSpacing/>
      </w:pPr>
      <w:r w:rsidRPr="00F71EA9">
        <w:t>Glycated hemoglobin (HbA1c) ≥ 9.0% at Screening</w:t>
      </w:r>
    </w:p>
    <w:p w14:paraId="5B5C3DC8" w14:textId="77777777" w:rsidR="007D53AF" w:rsidRPr="00F71EA9" w:rsidRDefault="007D53AF" w:rsidP="007D53AF">
      <w:pPr>
        <w:pStyle w:val="CSR-Bullet1"/>
        <w:numPr>
          <w:ilvl w:val="1"/>
          <w:numId w:val="4"/>
        </w:numPr>
        <w:tabs>
          <w:tab w:val="left" w:pos="1080"/>
        </w:tabs>
        <w:spacing w:before="60" w:after="60" w:line="264" w:lineRule="auto"/>
        <w:contextualSpacing/>
      </w:pPr>
      <w:r w:rsidRPr="00F71EA9">
        <w:t>Recent change in anti-diabetic pharmacotherapy (change in dosage or addition of new medication within 12 weeks of Screening [with the exception of ± 10 units of insulin])</w:t>
      </w:r>
    </w:p>
    <w:p w14:paraId="7CBB145E" w14:textId="77777777" w:rsidR="007D53AF" w:rsidRPr="00F71EA9" w:rsidRDefault="007D53AF" w:rsidP="007D53AF">
      <w:pPr>
        <w:pStyle w:val="CSR-Bullet1"/>
        <w:numPr>
          <w:ilvl w:val="1"/>
          <w:numId w:val="4"/>
        </w:numPr>
        <w:tabs>
          <w:tab w:val="left" w:pos="1080"/>
        </w:tabs>
        <w:spacing w:before="60" w:after="60" w:line="264" w:lineRule="auto"/>
        <w:contextualSpacing/>
      </w:pPr>
      <w:r w:rsidRPr="00F71EA9">
        <w:t>Anticipated need to change dose or type of medication during the treatment period of the Study (with the exception of ± 10 units for insulin)</w:t>
      </w:r>
    </w:p>
    <w:p w14:paraId="30095DE0" w14:textId="77777777" w:rsidR="007D53AF" w:rsidRPr="00F71EA9" w:rsidRDefault="007D53AF" w:rsidP="007D53AF">
      <w:pPr>
        <w:pStyle w:val="CSR-Bullet1"/>
        <w:numPr>
          <w:ilvl w:val="1"/>
          <w:numId w:val="4"/>
        </w:numPr>
        <w:tabs>
          <w:tab w:val="left" w:pos="1080"/>
        </w:tabs>
        <w:spacing w:before="60" w:after="60" w:line="264" w:lineRule="auto"/>
        <w:contextualSpacing/>
      </w:pPr>
      <w:r w:rsidRPr="00F71EA9">
        <w:t>Current use of glucagon-like peptide-1 (GLP-1) agonists, if patient had history of pancreatitis</w:t>
      </w:r>
    </w:p>
    <w:p w14:paraId="72631A70"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Use of warfarin or other vitamin K antagonists, direct thrombin inhibitors or factor Xa inhibitors</w:t>
      </w:r>
    </w:p>
    <w:p w14:paraId="5EFA2024"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Treatment with another investigational drug, biological agent, or device within 1 month of Screening, or 5 half-lives of investigational agent, whichever was longer</w:t>
      </w:r>
    </w:p>
    <w:p w14:paraId="3CAFDCD2"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 xml:space="preserve">Treatment with any non-Akcea/non-Ionis oligonucleotide (including small interfering ribonucleic acid [siRNA]) at any time or prior treatment with an Ionis oligonucleotide or siRNA within 9 months of Screening. Patients who previously received only 1 dose of an Ionis oligonucleotide as part of a clinical study may have been included as long as ≥ 4 months had elapsed since dosing </w:t>
      </w:r>
    </w:p>
    <w:p w14:paraId="41B732AA"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Body mass index (BMI) &gt; 40 kg/m</w:t>
      </w:r>
      <w:r w:rsidRPr="00F71EA9">
        <w:rPr>
          <w:vertAlign w:val="superscript"/>
        </w:rPr>
        <w:t>2</w:t>
      </w:r>
    </w:p>
    <w:p w14:paraId="2C1F7D73"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Blood donation of 50-499 mL within 30 days of Screening or of &gt; 499 mL within 8 weeks of Screening</w:t>
      </w:r>
    </w:p>
    <w:p w14:paraId="4F1C6883"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Unwillingness to comply with study procedures, including follow-up, as specified by the protocol, or unwillingness to cooperate fully with the Investigator</w:t>
      </w:r>
    </w:p>
    <w:p w14:paraId="0FE24B3A" w14:textId="77777777" w:rsidR="007D53AF" w:rsidRPr="00F71EA9" w:rsidRDefault="007D53AF" w:rsidP="007D53AF">
      <w:pPr>
        <w:pStyle w:val="CSR-Bullet1"/>
        <w:numPr>
          <w:ilvl w:val="0"/>
          <w:numId w:val="4"/>
        </w:numPr>
        <w:tabs>
          <w:tab w:val="left" w:pos="1080"/>
        </w:tabs>
        <w:spacing w:before="60" w:after="60" w:line="264" w:lineRule="auto"/>
        <w:contextualSpacing/>
      </w:pPr>
      <w:r w:rsidRPr="00F71EA9">
        <w:t>Had any other conditions, which, in the opinion of the Investigator or Sponsor would make the patient unsuitable for inclusion, or could interfere with the patient participating in or completing the Study</w:t>
      </w:r>
    </w:p>
    <w:p w14:paraId="37B5622B" w14:textId="7EA75DF7" w:rsidR="006429DB" w:rsidRDefault="006429DB">
      <w:pPr>
        <w:rPr>
          <w:rFonts w:ascii="Times New Roman" w:hAnsi="Times New Roman" w:cs="Times New Roman"/>
          <w:sz w:val="24"/>
          <w:szCs w:val="24"/>
        </w:rPr>
      </w:pPr>
      <w:r>
        <w:rPr>
          <w:rFonts w:ascii="Times New Roman" w:hAnsi="Times New Roman" w:cs="Times New Roman"/>
          <w:sz w:val="24"/>
          <w:szCs w:val="24"/>
        </w:rPr>
        <w:br w:type="page"/>
      </w:r>
    </w:p>
    <w:p w14:paraId="4B1DB9F4" w14:textId="600AE8D0" w:rsidR="001E2145" w:rsidRDefault="00950F70" w:rsidP="00234656">
      <w:pPr>
        <w:pStyle w:val="Heading1"/>
        <w:spacing w:before="0" w:after="160" w:line="240" w:lineRule="auto"/>
      </w:pPr>
      <w:bookmarkStart w:id="10" w:name="_Toc56097565"/>
      <w:r>
        <w:t>Statistical analysis</w:t>
      </w:r>
      <w:bookmarkEnd w:id="10"/>
    </w:p>
    <w:p w14:paraId="1D926322" w14:textId="229BB454" w:rsidR="00950F70" w:rsidRDefault="00950F70" w:rsidP="00234656">
      <w:pPr>
        <w:spacing w:line="240" w:lineRule="auto"/>
      </w:pPr>
    </w:p>
    <w:p w14:paraId="4A61C897" w14:textId="0048F439" w:rsidR="00F55F80" w:rsidRPr="00F55F80" w:rsidRDefault="00F55F80" w:rsidP="00234656">
      <w:pPr>
        <w:spacing w:line="240" w:lineRule="auto"/>
        <w:rPr>
          <w:rFonts w:ascii="Times New Roman" w:hAnsi="Times New Roman" w:cs="Times New Roman"/>
          <w:b/>
          <w:bCs/>
          <w:sz w:val="24"/>
          <w:szCs w:val="24"/>
        </w:rPr>
      </w:pPr>
      <w:r w:rsidRPr="00F55F80">
        <w:rPr>
          <w:rFonts w:ascii="Times New Roman" w:hAnsi="Times New Roman" w:cs="Times New Roman"/>
          <w:b/>
          <w:bCs/>
          <w:sz w:val="24"/>
          <w:szCs w:val="24"/>
        </w:rPr>
        <w:t>Power Calculations:</w:t>
      </w:r>
    </w:p>
    <w:p w14:paraId="09CDE0B0" w14:textId="4079E493" w:rsidR="00F55F80" w:rsidRPr="00F55F80" w:rsidRDefault="00F55F80" w:rsidP="00950F70">
      <w:pPr>
        <w:rPr>
          <w:rFonts w:ascii="Times New Roman" w:hAnsi="Times New Roman" w:cs="Times New Roman"/>
          <w:b/>
          <w:bCs/>
          <w:i/>
          <w:iCs/>
          <w:sz w:val="24"/>
          <w:szCs w:val="24"/>
        </w:rPr>
      </w:pPr>
      <w:r w:rsidRPr="00F55F80">
        <w:rPr>
          <w:rFonts w:ascii="Times New Roman" w:hAnsi="Times New Roman" w:cs="Times New Roman"/>
          <w:b/>
          <w:bCs/>
          <w:i/>
          <w:iCs/>
          <w:sz w:val="24"/>
          <w:szCs w:val="24"/>
        </w:rPr>
        <w:t>Efficacy</w:t>
      </w:r>
    </w:p>
    <w:p w14:paraId="1F42A7C2" w14:textId="67A7EEE9" w:rsidR="00F55F80" w:rsidRPr="00F55F80" w:rsidRDefault="00F55F80" w:rsidP="00F55F80">
      <w:pPr>
        <w:spacing w:before="120" w:after="0" w:line="240" w:lineRule="auto"/>
        <w:rPr>
          <w:rFonts w:ascii="Times New Roman" w:eastAsia="Calibri" w:hAnsi="Times New Roman" w:cs="Times New Roman"/>
          <w:sz w:val="24"/>
        </w:rPr>
      </w:pPr>
      <w:r w:rsidRPr="00F55F80">
        <w:rPr>
          <w:rFonts w:ascii="Times New Roman" w:eastAsia="Calibri" w:hAnsi="Times New Roman" w:cs="Times New Roman"/>
          <w:sz w:val="24"/>
        </w:rPr>
        <w:t xml:space="preserve">Based upon prior clinical trial experience with </w:t>
      </w:r>
      <w:r w:rsidR="0020069B">
        <w:rPr>
          <w:rFonts w:ascii="Times New Roman" w:eastAsia="Calibri" w:hAnsi="Times New Roman" w:cs="Times New Roman"/>
          <w:sz w:val="24"/>
        </w:rPr>
        <w:t>olezarsen (formerly AKCEA-APOCIII-L</w:t>
      </w:r>
      <w:r w:rsidR="0020069B" w:rsidRPr="0020069B">
        <w:rPr>
          <w:rFonts w:ascii="Times New Roman" w:eastAsia="Calibri" w:hAnsi="Times New Roman" w:cs="Times New Roman"/>
          <w:sz w:val="24"/>
          <w:vertAlign w:val="subscript"/>
        </w:rPr>
        <w:t>Rx</w:t>
      </w:r>
      <w:r w:rsidR="0020069B">
        <w:rPr>
          <w:rFonts w:ascii="Times New Roman" w:eastAsia="Calibri" w:hAnsi="Times New Roman" w:cs="Times New Roman"/>
          <w:sz w:val="24"/>
        </w:rPr>
        <w:t>)</w:t>
      </w:r>
      <w:r w:rsidRPr="00F55F80">
        <w:rPr>
          <w:rFonts w:ascii="Times New Roman" w:eastAsia="Calibri" w:hAnsi="Times New Roman" w:cs="Times New Roman"/>
          <w:sz w:val="24"/>
        </w:rPr>
        <w:t xml:space="preserve">, it was estimated that the standard deviation (SD) of the percent change in TG was approximately 25%. With 17 patients in each </w:t>
      </w:r>
      <w:r w:rsidR="0020069B">
        <w:rPr>
          <w:rFonts w:ascii="Times New Roman" w:eastAsia="Calibri" w:hAnsi="Times New Roman" w:cs="Times New Roman"/>
          <w:sz w:val="24"/>
        </w:rPr>
        <w:t>olezarsen</w:t>
      </w:r>
      <w:r w:rsidR="0020069B" w:rsidRPr="00F55F80">
        <w:rPr>
          <w:rFonts w:ascii="Times New Roman" w:eastAsia="Calibri" w:hAnsi="Times New Roman" w:cs="Times New Roman"/>
          <w:sz w:val="24"/>
        </w:rPr>
        <w:t xml:space="preserve"> </w:t>
      </w:r>
      <w:r w:rsidRPr="00F55F80">
        <w:rPr>
          <w:rFonts w:ascii="Times New Roman" w:eastAsia="Calibri" w:hAnsi="Times New Roman" w:cs="Times New Roman"/>
          <w:sz w:val="24"/>
        </w:rPr>
        <w:t xml:space="preserve">treatment group and 17 in the placebo group there would be approximately 80% power to detect as little as 25% difference in percent change in TG levels between the </w:t>
      </w:r>
      <w:r w:rsidR="0020069B">
        <w:rPr>
          <w:rFonts w:ascii="Times New Roman" w:eastAsia="Calibri" w:hAnsi="Times New Roman" w:cs="Times New Roman"/>
          <w:sz w:val="24"/>
        </w:rPr>
        <w:t>olezarsen</w:t>
      </w:r>
      <w:r w:rsidR="0020069B" w:rsidRPr="00F55F80">
        <w:rPr>
          <w:rFonts w:ascii="Times New Roman" w:eastAsia="Calibri" w:hAnsi="Times New Roman" w:cs="Times New Roman"/>
          <w:sz w:val="24"/>
        </w:rPr>
        <w:t xml:space="preserve"> </w:t>
      </w:r>
      <w:r w:rsidRPr="00F55F80">
        <w:rPr>
          <w:rFonts w:ascii="Times New Roman" w:eastAsia="Calibri" w:hAnsi="Times New Roman" w:cs="Times New Roman"/>
          <w:sz w:val="24"/>
        </w:rPr>
        <w:t xml:space="preserve">treatment groups and placebo group at an alpha level of 0.05, assuming 35% reduction in the </w:t>
      </w:r>
      <w:r w:rsidR="0020069B">
        <w:rPr>
          <w:rFonts w:ascii="Times New Roman" w:eastAsia="Calibri" w:hAnsi="Times New Roman" w:cs="Times New Roman"/>
          <w:sz w:val="24"/>
        </w:rPr>
        <w:t>olezarsen</w:t>
      </w:r>
      <w:r w:rsidR="0020069B" w:rsidRPr="00F55F80">
        <w:rPr>
          <w:rFonts w:ascii="Times New Roman" w:eastAsia="Calibri" w:hAnsi="Times New Roman" w:cs="Times New Roman"/>
          <w:sz w:val="24"/>
        </w:rPr>
        <w:t xml:space="preserve"> </w:t>
      </w:r>
      <w:r w:rsidRPr="00F55F80">
        <w:rPr>
          <w:rFonts w:ascii="Times New Roman" w:eastAsia="Calibri" w:hAnsi="Times New Roman" w:cs="Times New Roman"/>
          <w:sz w:val="24"/>
        </w:rPr>
        <w:t xml:space="preserve">patients and 10% reduction in the placebo patients. Therefore, approximately 100 patients (20 patients in each of the 4 </w:t>
      </w:r>
      <w:r w:rsidR="0020069B">
        <w:rPr>
          <w:rFonts w:ascii="Times New Roman" w:eastAsia="Calibri" w:hAnsi="Times New Roman" w:cs="Times New Roman"/>
          <w:sz w:val="24"/>
        </w:rPr>
        <w:t>olezarsen</w:t>
      </w:r>
      <w:r w:rsidR="0020069B" w:rsidRPr="00F55F80">
        <w:rPr>
          <w:rFonts w:ascii="Times New Roman" w:eastAsia="Calibri" w:hAnsi="Times New Roman" w:cs="Times New Roman"/>
          <w:sz w:val="24"/>
        </w:rPr>
        <w:t xml:space="preserve"> </w:t>
      </w:r>
      <w:r w:rsidRPr="00F55F80">
        <w:rPr>
          <w:rFonts w:ascii="Times New Roman" w:eastAsia="Calibri" w:hAnsi="Times New Roman" w:cs="Times New Roman"/>
          <w:sz w:val="24"/>
        </w:rPr>
        <w:t>treatment groups and 20 patients in the placebo group) were to be enrolled.</w:t>
      </w:r>
    </w:p>
    <w:p w14:paraId="20C7D154" w14:textId="77777777" w:rsidR="00F55F80" w:rsidRDefault="00F55F80" w:rsidP="00F55F80">
      <w:pPr>
        <w:spacing w:after="0"/>
      </w:pPr>
    </w:p>
    <w:p w14:paraId="6A5EC9E5" w14:textId="785135AF" w:rsidR="00F55F80" w:rsidRPr="00F55F80" w:rsidRDefault="00F55F80" w:rsidP="00F55F80">
      <w:pPr>
        <w:spacing w:after="0"/>
        <w:rPr>
          <w:rFonts w:ascii="Times New Roman" w:hAnsi="Times New Roman" w:cs="Times New Roman"/>
          <w:b/>
          <w:bCs/>
          <w:i/>
          <w:iCs/>
          <w:sz w:val="24"/>
          <w:szCs w:val="24"/>
        </w:rPr>
      </w:pPr>
      <w:r w:rsidRPr="00F55F80">
        <w:rPr>
          <w:rFonts w:ascii="Times New Roman" w:hAnsi="Times New Roman" w:cs="Times New Roman"/>
          <w:b/>
          <w:bCs/>
          <w:i/>
          <w:iCs/>
          <w:sz w:val="24"/>
          <w:szCs w:val="24"/>
        </w:rPr>
        <w:t xml:space="preserve">Safety </w:t>
      </w:r>
    </w:p>
    <w:p w14:paraId="5450837F" w14:textId="19E8179A" w:rsidR="00F55F80" w:rsidRPr="00F55F80" w:rsidRDefault="00F55F80" w:rsidP="00F55F80">
      <w:pPr>
        <w:spacing w:before="120" w:after="120" w:line="240" w:lineRule="auto"/>
        <w:rPr>
          <w:rFonts w:ascii="Times New Roman" w:eastAsia="Calibri" w:hAnsi="Times New Roman" w:cs="Times New Roman"/>
          <w:sz w:val="24"/>
        </w:rPr>
      </w:pPr>
      <w:r w:rsidRPr="00F55F80">
        <w:rPr>
          <w:rFonts w:ascii="Times New Roman" w:eastAsia="Calibri" w:hAnsi="Times New Roman" w:cs="Times New Roman"/>
          <w:sz w:val="24"/>
        </w:rPr>
        <w:t xml:space="preserve">Based upon prior clinical trial experience with Ionis ASOs, assuming the incidence rate of platelet count below LLN in placebo treated patients is 1.9%, in the </w:t>
      </w:r>
      <w:r w:rsidR="0020069B">
        <w:rPr>
          <w:rFonts w:ascii="Times New Roman" w:eastAsia="Calibri" w:hAnsi="Times New Roman" w:cs="Times New Roman"/>
          <w:sz w:val="24"/>
        </w:rPr>
        <w:t>olezarsen</w:t>
      </w:r>
      <w:r w:rsidR="0020069B" w:rsidRPr="00F55F80">
        <w:rPr>
          <w:rFonts w:ascii="Times New Roman" w:eastAsia="Calibri" w:hAnsi="Times New Roman" w:cs="Times New Roman"/>
          <w:sz w:val="24"/>
        </w:rPr>
        <w:t xml:space="preserve"> </w:t>
      </w:r>
      <w:r w:rsidRPr="00F55F80">
        <w:rPr>
          <w:rFonts w:ascii="Times New Roman" w:eastAsia="Calibri" w:hAnsi="Times New Roman" w:cs="Times New Roman"/>
          <w:sz w:val="24"/>
        </w:rPr>
        <w:t xml:space="preserve">treated patients is 3.8%, twice the incidence rate observed in placebo, with 80 patients treated with </w:t>
      </w:r>
      <w:r w:rsidR="0020069B">
        <w:rPr>
          <w:rFonts w:ascii="Times New Roman" w:eastAsia="Calibri" w:hAnsi="Times New Roman" w:cs="Times New Roman"/>
          <w:sz w:val="24"/>
        </w:rPr>
        <w:t>olezarsen</w:t>
      </w:r>
      <w:r w:rsidR="0020069B" w:rsidRPr="00F55F80">
        <w:rPr>
          <w:rFonts w:ascii="Times New Roman" w:eastAsia="Calibri" w:hAnsi="Times New Roman" w:cs="Times New Roman"/>
          <w:sz w:val="24"/>
        </w:rPr>
        <w:t xml:space="preserve"> </w:t>
      </w:r>
      <w:r w:rsidRPr="00F55F80">
        <w:rPr>
          <w:rFonts w:ascii="Times New Roman" w:eastAsia="Calibri" w:hAnsi="Times New Roman" w:cs="Times New Roman"/>
          <w:sz w:val="24"/>
        </w:rPr>
        <w:t xml:space="preserve">(20 patients in each </w:t>
      </w:r>
      <w:r w:rsidR="0020069B">
        <w:rPr>
          <w:rFonts w:ascii="Times New Roman" w:eastAsia="Calibri" w:hAnsi="Times New Roman" w:cs="Times New Roman"/>
          <w:sz w:val="24"/>
        </w:rPr>
        <w:t>olezarsen</w:t>
      </w:r>
      <w:r w:rsidR="0020069B" w:rsidRPr="00F55F80">
        <w:rPr>
          <w:rFonts w:ascii="Times New Roman" w:eastAsia="Calibri" w:hAnsi="Times New Roman" w:cs="Times New Roman"/>
          <w:sz w:val="24"/>
        </w:rPr>
        <w:t xml:space="preserve"> </w:t>
      </w:r>
      <w:r w:rsidRPr="00F55F80">
        <w:rPr>
          <w:rFonts w:ascii="Times New Roman" w:eastAsia="Calibri" w:hAnsi="Times New Roman" w:cs="Times New Roman"/>
          <w:sz w:val="24"/>
        </w:rPr>
        <w:t>treatment group), there would be at least 80% power to detect at least 1 event.</w:t>
      </w:r>
    </w:p>
    <w:p w14:paraId="2FD17D8C" w14:textId="7C8A784F" w:rsidR="00F55F80" w:rsidRPr="00F55F80" w:rsidRDefault="00F55F80" w:rsidP="00F55F80">
      <w:pPr>
        <w:spacing w:before="120" w:after="120" w:line="240" w:lineRule="auto"/>
        <w:rPr>
          <w:rFonts w:ascii="Times New Roman" w:eastAsia="Calibri" w:hAnsi="Times New Roman" w:cs="Times New Roman"/>
          <w:sz w:val="24"/>
        </w:rPr>
      </w:pPr>
      <w:r w:rsidRPr="00F55F80">
        <w:rPr>
          <w:rFonts w:ascii="Times New Roman" w:eastAsia="Calibri" w:hAnsi="Times New Roman" w:cs="Times New Roman"/>
          <w:sz w:val="24"/>
        </w:rPr>
        <w:t xml:space="preserve">Therefore, a total of approximately 100 patients (25 patients per cohort, including 20 patients per cohort treated with </w:t>
      </w:r>
      <w:r w:rsidR="0020069B">
        <w:rPr>
          <w:rFonts w:ascii="Times New Roman" w:eastAsia="Calibri" w:hAnsi="Times New Roman" w:cs="Times New Roman"/>
          <w:sz w:val="24"/>
        </w:rPr>
        <w:t>olezarsen</w:t>
      </w:r>
      <w:r w:rsidRPr="00F55F80">
        <w:rPr>
          <w:rFonts w:ascii="Times New Roman" w:eastAsia="Calibri" w:hAnsi="Times New Roman" w:cs="Times New Roman"/>
          <w:sz w:val="24"/>
        </w:rPr>
        <w:t xml:space="preserve">) were to be randomized 4:1 to receive </w:t>
      </w:r>
      <w:r w:rsidR="0020069B">
        <w:rPr>
          <w:rFonts w:ascii="Times New Roman" w:eastAsia="Calibri" w:hAnsi="Times New Roman" w:cs="Times New Roman"/>
          <w:sz w:val="24"/>
        </w:rPr>
        <w:t>olezarsen</w:t>
      </w:r>
      <w:r w:rsidR="0020069B" w:rsidRPr="00F55F80">
        <w:rPr>
          <w:rFonts w:ascii="Times New Roman" w:eastAsia="Calibri" w:hAnsi="Times New Roman" w:cs="Times New Roman"/>
          <w:sz w:val="24"/>
        </w:rPr>
        <w:t xml:space="preserve"> </w:t>
      </w:r>
      <w:r w:rsidRPr="00F55F80">
        <w:rPr>
          <w:rFonts w:ascii="Times New Roman" w:eastAsia="Calibri" w:hAnsi="Times New Roman" w:cs="Times New Roman"/>
          <w:sz w:val="24"/>
        </w:rPr>
        <w:t>or placebo.</w:t>
      </w:r>
    </w:p>
    <w:p w14:paraId="5ED27F56" w14:textId="77777777" w:rsidR="00F55F80" w:rsidRDefault="00F55F80" w:rsidP="00950F70">
      <w:pPr>
        <w:rPr>
          <w:rFonts w:ascii="Times New Roman" w:hAnsi="Times New Roman" w:cs="Times New Roman"/>
          <w:sz w:val="24"/>
          <w:szCs w:val="24"/>
        </w:rPr>
      </w:pPr>
    </w:p>
    <w:p w14:paraId="7FC9710B" w14:textId="77777777" w:rsidR="00837557" w:rsidRDefault="00837557">
      <w:r>
        <w:br w:type="page"/>
      </w:r>
    </w:p>
    <w:p w14:paraId="6E02B19F" w14:textId="77777777" w:rsidR="00837557" w:rsidRDefault="00837557" w:rsidP="00837557">
      <w:pPr>
        <w:pStyle w:val="Heading1"/>
        <w:rPr>
          <w:rFonts w:ascii="Times New Roman" w:hAnsi="Times New Roman" w:cs="Times New Roman"/>
        </w:rPr>
      </w:pPr>
      <w:r w:rsidRPr="007A2B24">
        <w:rPr>
          <w:rFonts w:ascii="Times New Roman" w:hAnsi="Times New Roman" w:cs="Times New Roman"/>
        </w:rPr>
        <w:t>S</w:t>
      </w:r>
      <w:r>
        <w:rPr>
          <w:rFonts w:ascii="Times New Roman" w:hAnsi="Times New Roman" w:cs="Times New Roman"/>
        </w:rPr>
        <w:t>afety Monitoring and Stopping Rules for Platelet Count, Liver, and Renal Function</w:t>
      </w:r>
    </w:p>
    <w:p w14:paraId="78652010" w14:textId="77777777" w:rsidR="00837557" w:rsidRDefault="00837557" w:rsidP="00837557">
      <w:pPr>
        <w:rPr>
          <w:u w:val="single"/>
        </w:rPr>
      </w:pPr>
    </w:p>
    <w:p w14:paraId="4690B311" w14:textId="611C924C"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u w:val="single"/>
        </w:rPr>
        <w:t>Confirmation Guidance</w:t>
      </w:r>
      <w:r w:rsidRPr="00837557">
        <w:rPr>
          <w:rFonts w:ascii="Times New Roman" w:hAnsi="Times New Roman" w:cs="Times New Roman"/>
          <w:sz w:val="24"/>
          <w:szCs w:val="24"/>
        </w:rPr>
        <w:t xml:space="preserve">:  At any time during the study (treatment or post-treatment follow-up periods), the clinical laboratory results meeting any of the safety monitoring criteria </w:t>
      </w:r>
      <w:r w:rsidRPr="00837557">
        <w:rPr>
          <w:rFonts w:ascii="Times New Roman" w:hAnsi="Times New Roman" w:cs="Times New Roman"/>
          <w:b/>
          <w:bCs/>
          <w:sz w:val="24"/>
          <w:szCs w:val="24"/>
        </w:rPr>
        <w:t xml:space="preserve">must be confirmed </w:t>
      </w:r>
      <w:r w:rsidRPr="00837557">
        <w:rPr>
          <w:rFonts w:ascii="Times New Roman" w:hAnsi="Times New Roman" w:cs="Times New Roman"/>
          <w:sz w:val="24"/>
          <w:szCs w:val="24"/>
        </w:rPr>
        <w:t>by performing measurements (ideally in the same laboratory that performed the initial measurement) on new specimens prior to administering the next dose of Study Drug. All new specimen collections should take place as soon as possible (ideally within 3 days of the initial collection).</w:t>
      </w:r>
    </w:p>
    <w:p w14:paraId="7F903B03" w14:textId="3D25EB85" w:rsidR="00837557" w:rsidRPr="00837557" w:rsidRDefault="00837557" w:rsidP="00837557">
      <w:pPr>
        <w:rPr>
          <w:rFonts w:ascii="Times New Roman" w:hAnsi="Times New Roman" w:cs="Times New Roman"/>
          <w:b/>
          <w:bCs/>
          <w:i/>
          <w:iCs/>
          <w:sz w:val="24"/>
          <w:szCs w:val="24"/>
        </w:rPr>
      </w:pPr>
      <w:r w:rsidRPr="00837557">
        <w:rPr>
          <w:rFonts w:ascii="Times New Roman" w:hAnsi="Times New Roman" w:cs="Times New Roman"/>
          <w:b/>
          <w:bCs/>
          <w:i/>
          <w:iCs/>
          <w:sz w:val="24"/>
          <w:szCs w:val="24"/>
        </w:rPr>
        <w:t>Liver Chemistry Tests</w:t>
      </w:r>
    </w:p>
    <w:p w14:paraId="16DD08CB" w14:textId="0EDE792C"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Liver chemistry tests were monitored every 14 days (±2 days) during the first 3-months of the study treatment, and monthly thereafter during the Treatment Period, and at Week 4, 8 and 13 of the Follow-Up Period. In the event of appearance of symptoms or signs of hepatic injury liver enzymes and bilirubin should had been tested as soon as possible, testing at a local lab was permissible.</w:t>
      </w:r>
    </w:p>
    <w:p w14:paraId="38A702A7" w14:textId="77777777"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 xml:space="preserve">Lab alerts for abnormal liver chemistry tests (set to anticipate the risk of a combined elevation of aminotransferases and bilirubin) were issued for:  </w:t>
      </w:r>
    </w:p>
    <w:p w14:paraId="7A1D8F44" w14:textId="77777777" w:rsidR="00837557" w:rsidRPr="00837557" w:rsidRDefault="00837557" w:rsidP="00837557">
      <w:pPr>
        <w:spacing w:line="240" w:lineRule="auto"/>
        <w:ind w:firstLine="450"/>
        <w:rPr>
          <w:rFonts w:ascii="Times New Roman" w:hAnsi="Times New Roman" w:cs="Times New Roman"/>
          <w:sz w:val="24"/>
          <w:szCs w:val="24"/>
        </w:rPr>
      </w:pPr>
      <w:r w:rsidRPr="00837557">
        <w:rPr>
          <w:rFonts w:ascii="Times New Roman" w:hAnsi="Times New Roman" w:cs="Times New Roman"/>
          <w:sz w:val="24"/>
          <w:szCs w:val="24"/>
        </w:rPr>
        <w:t xml:space="preserve">1) ALT or AST &gt; 3 x </w:t>
      </w:r>
      <w:proofErr w:type="gramStart"/>
      <w:r w:rsidRPr="00837557">
        <w:rPr>
          <w:rFonts w:ascii="Times New Roman" w:hAnsi="Times New Roman" w:cs="Times New Roman"/>
          <w:sz w:val="24"/>
          <w:szCs w:val="24"/>
        </w:rPr>
        <w:t>ULN;</w:t>
      </w:r>
      <w:proofErr w:type="gramEnd"/>
      <w:r w:rsidRPr="00837557">
        <w:rPr>
          <w:rFonts w:ascii="Times New Roman" w:hAnsi="Times New Roman" w:cs="Times New Roman"/>
          <w:sz w:val="24"/>
          <w:szCs w:val="24"/>
        </w:rPr>
        <w:t xml:space="preserve"> </w:t>
      </w:r>
    </w:p>
    <w:p w14:paraId="5B0E124C" w14:textId="77777777" w:rsidR="00837557" w:rsidRPr="00837557" w:rsidRDefault="00837557" w:rsidP="00837557">
      <w:pPr>
        <w:spacing w:line="240" w:lineRule="auto"/>
        <w:ind w:firstLine="450"/>
        <w:rPr>
          <w:rFonts w:ascii="Times New Roman" w:hAnsi="Times New Roman" w:cs="Times New Roman"/>
          <w:sz w:val="24"/>
          <w:szCs w:val="24"/>
        </w:rPr>
      </w:pPr>
      <w:r w:rsidRPr="00837557">
        <w:rPr>
          <w:rFonts w:ascii="Times New Roman" w:hAnsi="Times New Roman" w:cs="Times New Roman"/>
          <w:sz w:val="24"/>
          <w:szCs w:val="24"/>
        </w:rPr>
        <w:t xml:space="preserve">2) ALT or AST &gt; 2 x </w:t>
      </w:r>
      <w:proofErr w:type="gramStart"/>
      <w:r w:rsidRPr="00837557">
        <w:rPr>
          <w:rFonts w:ascii="Times New Roman" w:hAnsi="Times New Roman" w:cs="Times New Roman"/>
          <w:sz w:val="24"/>
          <w:szCs w:val="24"/>
        </w:rPr>
        <w:t>Baseline;</w:t>
      </w:r>
      <w:proofErr w:type="gramEnd"/>
      <w:r w:rsidRPr="00837557">
        <w:rPr>
          <w:rFonts w:ascii="Times New Roman" w:hAnsi="Times New Roman" w:cs="Times New Roman"/>
          <w:sz w:val="24"/>
          <w:szCs w:val="24"/>
        </w:rPr>
        <w:t xml:space="preserve"> </w:t>
      </w:r>
    </w:p>
    <w:p w14:paraId="45E0CB58" w14:textId="77777777" w:rsidR="00837557" w:rsidRPr="00837557" w:rsidRDefault="00837557" w:rsidP="00837557">
      <w:pPr>
        <w:spacing w:line="240" w:lineRule="auto"/>
        <w:ind w:firstLine="450"/>
        <w:rPr>
          <w:rFonts w:ascii="Times New Roman" w:hAnsi="Times New Roman" w:cs="Times New Roman"/>
          <w:sz w:val="24"/>
          <w:szCs w:val="24"/>
        </w:rPr>
      </w:pPr>
      <w:r w:rsidRPr="00837557">
        <w:rPr>
          <w:rFonts w:ascii="Times New Roman" w:hAnsi="Times New Roman" w:cs="Times New Roman"/>
          <w:sz w:val="24"/>
          <w:szCs w:val="24"/>
        </w:rPr>
        <w:t xml:space="preserve">3) Total bilirubin &gt; </w:t>
      </w:r>
      <w:proofErr w:type="gramStart"/>
      <w:r w:rsidRPr="00837557">
        <w:rPr>
          <w:rFonts w:ascii="Times New Roman" w:hAnsi="Times New Roman" w:cs="Times New Roman"/>
          <w:sz w:val="24"/>
          <w:szCs w:val="24"/>
        </w:rPr>
        <w:t>ULN;</w:t>
      </w:r>
      <w:proofErr w:type="gramEnd"/>
      <w:r w:rsidRPr="00837557">
        <w:rPr>
          <w:rFonts w:ascii="Times New Roman" w:hAnsi="Times New Roman" w:cs="Times New Roman"/>
          <w:sz w:val="24"/>
          <w:szCs w:val="24"/>
        </w:rPr>
        <w:t xml:space="preserve"> </w:t>
      </w:r>
    </w:p>
    <w:p w14:paraId="5BE5D1B9" w14:textId="77777777" w:rsidR="00837557" w:rsidRPr="00837557" w:rsidRDefault="00837557" w:rsidP="00837557">
      <w:pPr>
        <w:spacing w:line="240" w:lineRule="auto"/>
        <w:ind w:firstLine="450"/>
        <w:rPr>
          <w:rFonts w:ascii="Times New Roman" w:hAnsi="Times New Roman" w:cs="Times New Roman"/>
          <w:sz w:val="24"/>
          <w:szCs w:val="24"/>
        </w:rPr>
      </w:pPr>
      <w:r w:rsidRPr="00837557">
        <w:rPr>
          <w:rFonts w:ascii="Times New Roman" w:hAnsi="Times New Roman" w:cs="Times New Roman"/>
          <w:sz w:val="24"/>
          <w:szCs w:val="24"/>
        </w:rPr>
        <w:t xml:space="preserve">4) ALP &gt;ULN. </w:t>
      </w:r>
    </w:p>
    <w:p w14:paraId="42AC4364" w14:textId="40D04073"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All these lab alerts must had been promptly reviewed by the Investigator (within 48 hours of receipt) and Medical Monitors (within 24 hours of receipt) to ensure that the result had not met the stopping rules.</w:t>
      </w:r>
    </w:p>
    <w:p w14:paraId="65A227C5" w14:textId="77777777"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For patients with confirmed ALT or AST levels &gt; 3 x ULN,</w:t>
      </w:r>
      <w:r w:rsidRPr="00837557">
        <w:rPr>
          <w:rFonts w:ascii="Times New Roman" w:hAnsi="Times New Roman" w:cs="Times New Roman"/>
          <w:color w:val="0000FF"/>
          <w:sz w:val="24"/>
          <w:szCs w:val="24"/>
        </w:rPr>
        <w:t xml:space="preserve"> </w:t>
      </w:r>
      <w:r w:rsidRPr="00837557">
        <w:rPr>
          <w:rFonts w:ascii="Times New Roman" w:hAnsi="Times New Roman" w:cs="Times New Roman"/>
          <w:sz w:val="24"/>
          <w:szCs w:val="24"/>
        </w:rPr>
        <w:t>the following evaluations should had been performed:</w:t>
      </w:r>
    </w:p>
    <w:p w14:paraId="18DCA59B" w14:textId="77777777" w:rsidR="00837557" w:rsidRPr="00837557" w:rsidRDefault="00837557" w:rsidP="00837557">
      <w:pPr>
        <w:spacing w:after="120"/>
        <w:ind w:left="720" w:hanging="360"/>
        <w:rPr>
          <w:rFonts w:ascii="Times New Roman" w:hAnsi="Times New Roman" w:cs="Times New Roman"/>
          <w:sz w:val="24"/>
          <w:szCs w:val="24"/>
        </w:rPr>
      </w:pPr>
      <w:r w:rsidRPr="00837557">
        <w:rPr>
          <w:rFonts w:ascii="Times New Roman" w:hAnsi="Times New Roman" w:cs="Times New Roman"/>
          <w:sz w:val="24"/>
          <w:szCs w:val="24"/>
        </w:rPr>
        <w:t>1.</w:t>
      </w:r>
      <w:r w:rsidRPr="00837557">
        <w:rPr>
          <w:rFonts w:ascii="Times New Roman" w:hAnsi="Times New Roman" w:cs="Times New Roman"/>
          <w:sz w:val="24"/>
          <w:szCs w:val="24"/>
        </w:rPr>
        <w:tab/>
        <w:t>Obtain a more detailed history of symptoms and prior and concurrent diseases</w:t>
      </w:r>
    </w:p>
    <w:p w14:paraId="63C9FA82" w14:textId="77777777" w:rsidR="00837557" w:rsidRPr="00837557" w:rsidRDefault="00837557" w:rsidP="00837557">
      <w:pPr>
        <w:spacing w:after="120"/>
        <w:ind w:left="720" w:hanging="360"/>
        <w:rPr>
          <w:rFonts w:ascii="Times New Roman" w:hAnsi="Times New Roman" w:cs="Times New Roman"/>
          <w:sz w:val="24"/>
          <w:szCs w:val="24"/>
        </w:rPr>
      </w:pPr>
      <w:r w:rsidRPr="00837557">
        <w:rPr>
          <w:rFonts w:ascii="Times New Roman" w:hAnsi="Times New Roman" w:cs="Times New Roman"/>
          <w:sz w:val="24"/>
          <w:szCs w:val="24"/>
        </w:rPr>
        <w:t>2.</w:t>
      </w:r>
      <w:r w:rsidRPr="00837557">
        <w:rPr>
          <w:rFonts w:ascii="Times New Roman" w:hAnsi="Times New Roman" w:cs="Times New Roman"/>
          <w:sz w:val="24"/>
          <w:szCs w:val="24"/>
        </w:rPr>
        <w:tab/>
        <w:t>Obtain further history for concomitant drug use (including nonprescription medications, herbal and dietary supplement preparations), alcohol use, recreational drug use, and special diets</w:t>
      </w:r>
    </w:p>
    <w:p w14:paraId="569C26D7" w14:textId="77777777" w:rsidR="00837557" w:rsidRPr="00837557" w:rsidRDefault="00837557" w:rsidP="00837557">
      <w:pPr>
        <w:spacing w:after="120"/>
        <w:ind w:left="720" w:hanging="360"/>
        <w:rPr>
          <w:rFonts w:ascii="Times New Roman" w:hAnsi="Times New Roman" w:cs="Times New Roman"/>
          <w:sz w:val="24"/>
          <w:szCs w:val="24"/>
        </w:rPr>
      </w:pPr>
      <w:r w:rsidRPr="00837557">
        <w:rPr>
          <w:rFonts w:ascii="Times New Roman" w:hAnsi="Times New Roman" w:cs="Times New Roman"/>
          <w:sz w:val="24"/>
          <w:szCs w:val="24"/>
        </w:rPr>
        <w:t>3.</w:t>
      </w:r>
      <w:r w:rsidRPr="00837557">
        <w:rPr>
          <w:rFonts w:ascii="Times New Roman" w:hAnsi="Times New Roman" w:cs="Times New Roman"/>
          <w:sz w:val="24"/>
          <w:szCs w:val="24"/>
        </w:rPr>
        <w:tab/>
        <w:t>Obtain a history of exposure to environmental chemical agents and travel</w:t>
      </w:r>
    </w:p>
    <w:p w14:paraId="3F8AE93C" w14:textId="77777777" w:rsidR="00837557" w:rsidRPr="00837557" w:rsidRDefault="00837557" w:rsidP="00837557">
      <w:pPr>
        <w:spacing w:after="120"/>
        <w:ind w:left="720" w:hanging="360"/>
        <w:rPr>
          <w:rFonts w:ascii="Times New Roman" w:hAnsi="Times New Roman" w:cs="Times New Roman"/>
          <w:sz w:val="24"/>
          <w:szCs w:val="24"/>
        </w:rPr>
      </w:pPr>
      <w:r w:rsidRPr="00837557">
        <w:rPr>
          <w:rFonts w:ascii="Times New Roman" w:hAnsi="Times New Roman" w:cs="Times New Roman"/>
          <w:sz w:val="24"/>
          <w:szCs w:val="24"/>
        </w:rPr>
        <w:t>4.</w:t>
      </w:r>
      <w:r w:rsidRPr="00837557">
        <w:rPr>
          <w:rFonts w:ascii="Times New Roman" w:hAnsi="Times New Roman" w:cs="Times New Roman"/>
          <w:sz w:val="24"/>
          <w:szCs w:val="24"/>
        </w:rPr>
        <w:tab/>
        <w:t>Serology for viral hepatitis (hepatitis A virus [HAV] immunoglobulin M [IgM], hepatitis B surface antigen [HBsAg], hepatitis C virus [HCV] antibody, Cytomegalovirus [CMV] IgM, and EBV antibody panel)</w:t>
      </w:r>
    </w:p>
    <w:p w14:paraId="7ADD5652" w14:textId="0DE1C466" w:rsidR="00837557" w:rsidRPr="00837557" w:rsidRDefault="00837557" w:rsidP="00837557">
      <w:pPr>
        <w:ind w:left="720" w:hanging="360"/>
        <w:rPr>
          <w:rFonts w:ascii="Times New Roman" w:hAnsi="Times New Roman" w:cs="Times New Roman"/>
          <w:sz w:val="24"/>
          <w:szCs w:val="24"/>
        </w:rPr>
      </w:pPr>
      <w:r w:rsidRPr="00837557">
        <w:rPr>
          <w:rFonts w:ascii="Times New Roman" w:hAnsi="Times New Roman" w:cs="Times New Roman"/>
          <w:sz w:val="24"/>
          <w:szCs w:val="24"/>
        </w:rPr>
        <w:t>5.</w:t>
      </w:r>
      <w:r w:rsidRPr="00837557">
        <w:rPr>
          <w:rFonts w:ascii="Times New Roman" w:hAnsi="Times New Roman" w:cs="Times New Roman"/>
          <w:sz w:val="24"/>
          <w:szCs w:val="24"/>
        </w:rPr>
        <w:tab/>
        <w:t>Serology for autoimmune hepatitis (e.g., antinuclear antibody [ANA])</w:t>
      </w:r>
    </w:p>
    <w:p w14:paraId="18458479" w14:textId="77777777" w:rsidR="00837557" w:rsidRPr="00837557" w:rsidRDefault="00837557" w:rsidP="00837557">
      <w:pPr>
        <w:rPr>
          <w:rFonts w:ascii="Times New Roman" w:hAnsi="Times New Roman" w:cs="Times New Roman"/>
          <w:sz w:val="24"/>
          <w:szCs w:val="24"/>
        </w:rPr>
      </w:pPr>
      <w:r w:rsidRPr="00837557">
        <w:rPr>
          <w:rFonts w:ascii="Times New Roman" w:eastAsia="Calibri" w:hAnsi="Times New Roman" w:cs="Times New Roman"/>
          <w:sz w:val="24"/>
          <w:szCs w:val="24"/>
        </w:rPr>
        <w:t xml:space="preserve">Dosing of a patient with Study Drug had to be </w:t>
      </w:r>
      <w:r w:rsidRPr="00837557">
        <w:rPr>
          <w:rFonts w:ascii="Times New Roman" w:eastAsia="Calibri" w:hAnsi="Times New Roman" w:cs="Times New Roman"/>
          <w:sz w:val="24"/>
          <w:szCs w:val="24"/>
          <w:u w:val="single"/>
        </w:rPr>
        <w:t>stopped permanently</w:t>
      </w:r>
      <w:r w:rsidRPr="00837557">
        <w:rPr>
          <w:rFonts w:ascii="Times New Roman" w:eastAsia="Calibri" w:hAnsi="Times New Roman" w:cs="Times New Roman"/>
          <w:sz w:val="24"/>
          <w:szCs w:val="24"/>
        </w:rPr>
        <w:t xml:space="preserve"> </w:t>
      </w:r>
      <w:r w:rsidRPr="00837557">
        <w:rPr>
          <w:rFonts w:ascii="Times New Roman" w:hAnsi="Times New Roman" w:cs="Times New Roman"/>
          <w:sz w:val="24"/>
          <w:szCs w:val="24"/>
        </w:rPr>
        <w:t xml:space="preserve">in the event of confirmed laboratory results meeting any of the following criteria: </w:t>
      </w:r>
    </w:p>
    <w:p w14:paraId="3DF7D306" w14:textId="77777777" w:rsidR="00837557" w:rsidRPr="00837557" w:rsidRDefault="00837557" w:rsidP="00837557">
      <w:pPr>
        <w:spacing w:after="120"/>
        <w:ind w:left="720" w:hanging="360"/>
        <w:rPr>
          <w:rFonts w:ascii="Times New Roman" w:hAnsi="Times New Roman" w:cs="Times New Roman"/>
          <w:sz w:val="24"/>
          <w:szCs w:val="24"/>
        </w:rPr>
      </w:pPr>
      <w:r w:rsidRPr="00837557">
        <w:rPr>
          <w:rFonts w:ascii="Times New Roman" w:hAnsi="Times New Roman" w:cs="Times New Roman"/>
          <w:sz w:val="24"/>
          <w:szCs w:val="24"/>
        </w:rPr>
        <w:t>1.</w:t>
      </w:r>
      <w:r w:rsidRPr="00837557">
        <w:rPr>
          <w:rFonts w:ascii="Times New Roman" w:hAnsi="Times New Roman" w:cs="Times New Roman"/>
          <w:sz w:val="24"/>
          <w:szCs w:val="24"/>
        </w:rPr>
        <w:tab/>
        <w:t>ALT or AST &gt; 8 x ULN, which is confirmed</w:t>
      </w:r>
    </w:p>
    <w:p w14:paraId="67676871" w14:textId="77777777" w:rsidR="00837557" w:rsidRPr="00837557" w:rsidRDefault="00837557" w:rsidP="00837557">
      <w:pPr>
        <w:spacing w:after="120"/>
        <w:ind w:left="720" w:hanging="360"/>
        <w:rPr>
          <w:rFonts w:ascii="Times New Roman" w:hAnsi="Times New Roman" w:cs="Times New Roman"/>
          <w:sz w:val="24"/>
          <w:szCs w:val="24"/>
        </w:rPr>
      </w:pPr>
      <w:r w:rsidRPr="00837557">
        <w:rPr>
          <w:rFonts w:ascii="Times New Roman" w:hAnsi="Times New Roman" w:cs="Times New Roman"/>
          <w:sz w:val="24"/>
          <w:szCs w:val="24"/>
        </w:rPr>
        <w:t>2.</w:t>
      </w:r>
      <w:r w:rsidRPr="00837557">
        <w:rPr>
          <w:rFonts w:ascii="Times New Roman" w:hAnsi="Times New Roman" w:cs="Times New Roman"/>
          <w:sz w:val="24"/>
          <w:szCs w:val="24"/>
        </w:rPr>
        <w:tab/>
        <w:t>ALT or AST &gt; 5 x ULN, which is confirmed and persists for ≥ 2 weeks</w:t>
      </w:r>
    </w:p>
    <w:p w14:paraId="051E9A09" w14:textId="77777777" w:rsidR="00837557" w:rsidRPr="00837557" w:rsidRDefault="00837557" w:rsidP="00837557">
      <w:pPr>
        <w:spacing w:after="120"/>
        <w:ind w:left="720" w:hanging="360"/>
        <w:rPr>
          <w:rFonts w:ascii="Times New Roman" w:hAnsi="Times New Roman" w:cs="Times New Roman"/>
          <w:sz w:val="24"/>
          <w:szCs w:val="24"/>
        </w:rPr>
      </w:pPr>
      <w:r w:rsidRPr="00837557">
        <w:rPr>
          <w:rFonts w:ascii="Times New Roman" w:hAnsi="Times New Roman" w:cs="Times New Roman"/>
          <w:sz w:val="24"/>
          <w:szCs w:val="24"/>
        </w:rPr>
        <w:t>3.</w:t>
      </w:r>
      <w:r w:rsidRPr="00837557">
        <w:rPr>
          <w:rFonts w:ascii="Times New Roman" w:hAnsi="Times New Roman" w:cs="Times New Roman"/>
          <w:sz w:val="24"/>
          <w:szCs w:val="24"/>
        </w:rPr>
        <w:tab/>
        <w:t xml:space="preserve">ALT or AST &gt; 3 x ULN (or the greater of 2 x Baseline value or 3 x ULN if the Baseline value was &gt; ULN), which is confirmed </w:t>
      </w:r>
      <w:r w:rsidRPr="0020069B">
        <w:rPr>
          <w:rFonts w:ascii="Times New Roman" w:hAnsi="Times New Roman" w:cs="Times New Roman"/>
          <w:sz w:val="24"/>
          <w:szCs w:val="24"/>
        </w:rPr>
        <w:t xml:space="preserve">and </w:t>
      </w:r>
      <w:r w:rsidRPr="00837557">
        <w:rPr>
          <w:rFonts w:ascii="Times New Roman" w:hAnsi="Times New Roman" w:cs="Times New Roman"/>
          <w:sz w:val="24"/>
          <w:szCs w:val="24"/>
        </w:rPr>
        <w:t>total bilirubin &gt; 2 x ULN or INR &gt; 1.5</w:t>
      </w:r>
    </w:p>
    <w:p w14:paraId="07771A8E" w14:textId="20045BE0" w:rsidR="00837557" w:rsidRDefault="00837557" w:rsidP="00E42011">
      <w:pPr>
        <w:ind w:left="720" w:hanging="360"/>
        <w:rPr>
          <w:rFonts w:ascii="Times New Roman" w:hAnsi="Times New Roman" w:cs="Times New Roman"/>
          <w:sz w:val="24"/>
          <w:szCs w:val="24"/>
        </w:rPr>
      </w:pPr>
      <w:r w:rsidRPr="00837557">
        <w:rPr>
          <w:rFonts w:ascii="Times New Roman" w:hAnsi="Times New Roman" w:cs="Times New Roman"/>
          <w:sz w:val="24"/>
          <w:szCs w:val="24"/>
        </w:rPr>
        <w:t>4.</w:t>
      </w:r>
      <w:r w:rsidRPr="00837557">
        <w:rPr>
          <w:rFonts w:ascii="Times New Roman" w:hAnsi="Times New Roman" w:cs="Times New Roman"/>
          <w:sz w:val="24"/>
          <w:szCs w:val="24"/>
        </w:rPr>
        <w:tab/>
        <w:t xml:space="preserve">ALT or AST &gt; 3 x ULN (or the greater of 2 x Baseline value or 3 x ULN if the Baseline value was &gt; ULN), which is confirmed, and the new appearance (i.e., onset coincides with the changes in hepatic enzymes) of fatigue, nausea, vomiting, right upper quadrant pain or tenderness, fever, rash, or eosinophilia (&gt; ULN) felt by the Investigator to be potentially related to hepatic inflammation/injury </w:t>
      </w:r>
    </w:p>
    <w:p w14:paraId="62457604" w14:textId="77777777" w:rsidR="00E42011" w:rsidRPr="00837557" w:rsidRDefault="00E42011" w:rsidP="00E42011">
      <w:pPr>
        <w:ind w:left="720" w:hanging="360"/>
        <w:rPr>
          <w:rFonts w:ascii="Times New Roman" w:hAnsi="Times New Roman" w:cs="Times New Roman"/>
          <w:sz w:val="24"/>
          <w:szCs w:val="24"/>
        </w:rPr>
      </w:pPr>
    </w:p>
    <w:p w14:paraId="31BB0EDA" w14:textId="1A1D91FA" w:rsidR="00837557" w:rsidRPr="00837557" w:rsidRDefault="00837557" w:rsidP="00837557">
      <w:pPr>
        <w:rPr>
          <w:rFonts w:ascii="Times New Roman" w:hAnsi="Times New Roman" w:cs="Times New Roman"/>
          <w:b/>
          <w:bCs/>
          <w:i/>
          <w:iCs/>
          <w:sz w:val="24"/>
          <w:szCs w:val="24"/>
        </w:rPr>
      </w:pPr>
      <w:r w:rsidRPr="00837557">
        <w:rPr>
          <w:rFonts w:ascii="Times New Roman" w:hAnsi="Times New Roman" w:cs="Times New Roman"/>
          <w:b/>
          <w:bCs/>
          <w:i/>
          <w:iCs/>
          <w:sz w:val="24"/>
          <w:szCs w:val="24"/>
        </w:rPr>
        <w:t xml:space="preserve">Renal Function </w:t>
      </w:r>
    </w:p>
    <w:p w14:paraId="508CDC57" w14:textId="7E403686"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Renal function tests were monitored every 14 days (±2 days) during the first 3-months of the study treatment, and monthly thereafter during the Treatment Period, and at Week 4, 8 and 13 of the Follow-Up Period. They included serum creatinine and cystatin-C, extended urinalysis with urine/protein creatinine ratio (UPCR), urine/albumin creatinine ratio (UACR), and microscopy examination for urine red blood cells (RBCs), and biomarkers of acute renal injury. In the event of appearance of symptoms or signs consistent with renal dysfunction, renal function should had been tested as soon as possible, testing at a local lab was permissible.</w:t>
      </w:r>
    </w:p>
    <w:p w14:paraId="46EDE506" w14:textId="77777777"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 xml:space="preserve">Lab alerts for abnormal renal tests (set to anticipate and prevent the risk of a medically significant change in renal function while receiving Study Drug) were issued for: </w:t>
      </w:r>
    </w:p>
    <w:p w14:paraId="2F77F4D7" w14:textId="77777777" w:rsidR="00837557" w:rsidRPr="00837557" w:rsidRDefault="00837557" w:rsidP="00837557">
      <w:pPr>
        <w:pStyle w:val="ListParagraph"/>
        <w:numPr>
          <w:ilvl w:val="0"/>
          <w:numId w:val="11"/>
        </w:numPr>
        <w:spacing w:after="0" w:line="240" w:lineRule="auto"/>
        <w:rPr>
          <w:rFonts w:ascii="Times New Roman" w:hAnsi="Times New Roman" w:cs="Times New Roman"/>
          <w:sz w:val="24"/>
          <w:szCs w:val="24"/>
        </w:rPr>
      </w:pPr>
      <w:r w:rsidRPr="00837557">
        <w:rPr>
          <w:rFonts w:ascii="Times New Roman" w:hAnsi="Times New Roman" w:cs="Times New Roman"/>
          <w:sz w:val="24"/>
          <w:szCs w:val="24"/>
        </w:rPr>
        <w:t xml:space="preserve">Estimated GFR (eGFR) (by CKD-EPI formula) decrease from Baseline &gt; 25%, </w:t>
      </w:r>
    </w:p>
    <w:p w14:paraId="27F8B7E5" w14:textId="77777777" w:rsidR="00837557" w:rsidRPr="00837557" w:rsidRDefault="00837557" w:rsidP="00837557">
      <w:pPr>
        <w:pStyle w:val="ListParagraph"/>
        <w:numPr>
          <w:ilvl w:val="0"/>
          <w:numId w:val="11"/>
        </w:numPr>
        <w:spacing w:after="0" w:line="240" w:lineRule="auto"/>
        <w:rPr>
          <w:rFonts w:ascii="Times New Roman" w:hAnsi="Times New Roman" w:cs="Times New Roman"/>
          <w:sz w:val="24"/>
          <w:szCs w:val="24"/>
        </w:rPr>
      </w:pPr>
      <w:r w:rsidRPr="00837557">
        <w:rPr>
          <w:rFonts w:ascii="Times New Roman" w:hAnsi="Times New Roman" w:cs="Times New Roman"/>
          <w:sz w:val="24"/>
          <w:szCs w:val="24"/>
        </w:rPr>
        <w:t xml:space="preserve">UACR &gt; 250 mg/g, </w:t>
      </w:r>
    </w:p>
    <w:p w14:paraId="0BB3933A" w14:textId="77777777" w:rsidR="00837557" w:rsidRPr="00837557" w:rsidRDefault="00837557" w:rsidP="00837557">
      <w:pPr>
        <w:pStyle w:val="ListParagraph"/>
        <w:numPr>
          <w:ilvl w:val="0"/>
          <w:numId w:val="11"/>
        </w:numPr>
        <w:spacing w:after="0" w:line="240" w:lineRule="auto"/>
        <w:rPr>
          <w:rFonts w:ascii="Times New Roman" w:hAnsi="Times New Roman" w:cs="Times New Roman"/>
          <w:sz w:val="24"/>
          <w:szCs w:val="24"/>
        </w:rPr>
      </w:pPr>
      <w:r w:rsidRPr="00837557">
        <w:rPr>
          <w:rFonts w:ascii="Times New Roman" w:hAnsi="Times New Roman" w:cs="Times New Roman"/>
          <w:sz w:val="24"/>
          <w:szCs w:val="24"/>
        </w:rPr>
        <w:t xml:space="preserve">UPCR &gt; 500 mg/g,  </w:t>
      </w:r>
    </w:p>
    <w:p w14:paraId="0323D30B" w14:textId="77777777" w:rsidR="00837557" w:rsidRPr="00837557" w:rsidRDefault="00837557" w:rsidP="00837557">
      <w:pPr>
        <w:pStyle w:val="ListParagraph"/>
        <w:numPr>
          <w:ilvl w:val="0"/>
          <w:numId w:val="11"/>
        </w:numPr>
        <w:spacing w:after="0" w:line="240" w:lineRule="auto"/>
        <w:rPr>
          <w:rFonts w:ascii="Times New Roman" w:hAnsi="Times New Roman" w:cs="Times New Roman"/>
          <w:sz w:val="24"/>
          <w:szCs w:val="24"/>
        </w:rPr>
      </w:pPr>
      <w:r w:rsidRPr="00837557">
        <w:rPr>
          <w:rFonts w:ascii="Times New Roman" w:hAnsi="Times New Roman" w:cs="Times New Roman"/>
          <w:sz w:val="24"/>
          <w:szCs w:val="24"/>
        </w:rPr>
        <w:t xml:space="preserve">Increase in serum creatinine from Baseline &gt; 0.3 mg/dL, </w:t>
      </w:r>
    </w:p>
    <w:p w14:paraId="672B16DD" w14:textId="15900F35"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All these lab alerts must had been promptly reviewed by the Investigator (within 48 hours of receipt) and Medical Monitors (within 24 hours of receipt) to ensure that the result had not met the stopping rules.</w:t>
      </w:r>
    </w:p>
    <w:p w14:paraId="09396932" w14:textId="66E91873" w:rsidR="00837557" w:rsidRPr="00837557" w:rsidRDefault="00837557" w:rsidP="00837557">
      <w:pPr>
        <w:rPr>
          <w:rFonts w:ascii="Times New Roman" w:eastAsia="Calibri" w:hAnsi="Times New Roman" w:cs="Times New Roman"/>
          <w:sz w:val="24"/>
          <w:szCs w:val="24"/>
        </w:rPr>
      </w:pPr>
      <w:r w:rsidRPr="00837557">
        <w:rPr>
          <w:rFonts w:ascii="Times New Roman" w:eastAsia="Calibri" w:hAnsi="Times New Roman" w:cs="Times New Roman"/>
          <w:sz w:val="24"/>
          <w:szCs w:val="24"/>
        </w:rPr>
        <w:t xml:space="preserve">In the event that any of the renal monitoring rules above were met, </w:t>
      </w:r>
      <w:r w:rsidRPr="00837557">
        <w:rPr>
          <w:rFonts w:ascii="Times New Roman" w:hAnsi="Times New Roman" w:cs="Times New Roman"/>
          <w:sz w:val="24"/>
          <w:szCs w:val="24"/>
        </w:rPr>
        <w:t>treatment should had been immediately interrupted</w:t>
      </w:r>
      <w:r w:rsidRPr="00837557">
        <w:rPr>
          <w:rFonts w:ascii="Times New Roman" w:eastAsia="Calibri" w:hAnsi="Times New Roman" w:cs="Times New Roman"/>
          <w:sz w:val="24"/>
          <w:szCs w:val="24"/>
        </w:rPr>
        <w:t xml:space="preserve"> and the abnormal result should had been confirmed as soon as possible, but no later than 7 days after the initial event. In addition, upon consultation with the Study Medical Monitor, site had to obtain any additional lab assessments necessary to determine any alternative etiologies that might had accounted for the abnormal result. If results from additional testing confirmed the initial abnormal lab result, future treatment of the patient was determined per the guidelines below:</w:t>
      </w:r>
    </w:p>
    <w:p w14:paraId="7A8554D7" w14:textId="77777777" w:rsidR="00837557" w:rsidRPr="00837557" w:rsidRDefault="00837557" w:rsidP="00837557">
      <w:pPr>
        <w:pStyle w:val="ListParagraph"/>
        <w:numPr>
          <w:ilvl w:val="0"/>
          <w:numId w:val="9"/>
        </w:numPr>
        <w:spacing w:before="60" w:after="200" w:line="240" w:lineRule="auto"/>
        <w:rPr>
          <w:rFonts w:ascii="Times New Roman" w:eastAsia="Calibri" w:hAnsi="Times New Roman" w:cs="Times New Roman"/>
          <w:sz w:val="24"/>
          <w:szCs w:val="24"/>
        </w:rPr>
      </w:pPr>
      <w:r w:rsidRPr="00837557">
        <w:rPr>
          <w:rFonts w:ascii="Times New Roman" w:eastAsia="Calibri" w:hAnsi="Times New Roman" w:cs="Times New Roman"/>
          <w:sz w:val="24"/>
          <w:szCs w:val="24"/>
        </w:rPr>
        <w:t xml:space="preserve">An alternative etiology was identified that might accounted for abnormal results: </w:t>
      </w:r>
    </w:p>
    <w:p w14:paraId="6814A65A" w14:textId="77777777" w:rsidR="00837557" w:rsidRPr="00837557" w:rsidRDefault="00837557" w:rsidP="00837557">
      <w:pPr>
        <w:pStyle w:val="ListParagraph"/>
        <w:numPr>
          <w:ilvl w:val="1"/>
          <w:numId w:val="9"/>
        </w:numPr>
        <w:spacing w:before="60" w:after="200" w:line="240" w:lineRule="auto"/>
        <w:rPr>
          <w:rFonts w:ascii="Times New Roman" w:eastAsia="Calibri" w:hAnsi="Times New Roman" w:cs="Times New Roman"/>
          <w:sz w:val="24"/>
          <w:szCs w:val="24"/>
        </w:rPr>
      </w:pPr>
      <w:r w:rsidRPr="00837557">
        <w:rPr>
          <w:rFonts w:ascii="Times New Roman" w:eastAsia="Calibri" w:hAnsi="Times New Roman" w:cs="Times New Roman"/>
          <w:sz w:val="24"/>
          <w:szCs w:val="24"/>
        </w:rPr>
        <w:t>Patient had treatment interrupted until either:</w:t>
      </w:r>
    </w:p>
    <w:p w14:paraId="7B3EBA69" w14:textId="77777777" w:rsidR="00837557" w:rsidRPr="00837557" w:rsidRDefault="00837557" w:rsidP="00837557">
      <w:pPr>
        <w:pStyle w:val="ListParagraph"/>
        <w:numPr>
          <w:ilvl w:val="2"/>
          <w:numId w:val="9"/>
        </w:numPr>
        <w:spacing w:before="60" w:after="200" w:line="240" w:lineRule="auto"/>
        <w:rPr>
          <w:rFonts w:ascii="Times New Roman" w:eastAsia="Calibri" w:hAnsi="Times New Roman" w:cs="Times New Roman"/>
          <w:sz w:val="24"/>
          <w:szCs w:val="24"/>
        </w:rPr>
      </w:pPr>
      <w:r w:rsidRPr="00837557">
        <w:rPr>
          <w:rFonts w:ascii="Times New Roman" w:eastAsia="Calibri" w:hAnsi="Times New Roman" w:cs="Times New Roman"/>
          <w:sz w:val="24"/>
          <w:szCs w:val="24"/>
        </w:rPr>
        <w:t>Lab values have returned to baseline, and/or</w:t>
      </w:r>
    </w:p>
    <w:p w14:paraId="308247AE" w14:textId="77777777" w:rsidR="00837557" w:rsidRPr="00837557" w:rsidRDefault="00837557" w:rsidP="00837557">
      <w:pPr>
        <w:pStyle w:val="ListParagraph"/>
        <w:numPr>
          <w:ilvl w:val="2"/>
          <w:numId w:val="9"/>
        </w:numPr>
        <w:spacing w:before="60" w:after="200" w:line="240" w:lineRule="auto"/>
        <w:rPr>
          <w:rFonts w:ascii="Times New Roman" w:eastAsia="Calibri" w:hAnsi="Times New Roman" w:cs="Times New Roman"/>
          <w:sz w:val="24"/>
          <w:szCs w:val="24"/>
        </w:rPr>
      </w:pPr>
      <w:r w:rsidRPr="00837557">
        <w:rPr>
          <w:rFonts w:ascii="Times New Roman" w:eastAsia="Calibri" w:hAnsi="Times New Roman" w:cs="Times New Roman"/>
          <w:sz w:val="24"/>
          <w:szCs w:val="24"/>
        </w:rPr>
        <w:t>Alternative etiology had resolved/recovered, AND</w:t>
      </w:r>
    </w:p>
    <w:p w14:paraId="1104A9AB" w14:textId="77777777" w:rsidR="00837557" w:rsidRPr="00837557" w:rsidRDefault="00837557" w:rsidP="00837557">
      <w:pPr>
        <w:pStyle w:val="ListParagraph"/>
        <w:numPr>
          <w:ilvl w:val="2"/>
          <w:numId w:val="9"/>
        </w:numPr>
        <w:spacing w:before="60" w:after="200" w:line="240" w:lineRule="auto"/>
        <w:rPr>
          <w:rFonts w:ascii="Times New Roman" w:eastAsia="Calibri" w:hAnsi="Times New Roman" w:cs="Times New Roman"/>
          <w:sz w:val="24"/>
          <w:szCs w:val="24"/>
        </w:rPr>
      </w:pPr>
      <w:r w:rsidRPr="00837557">
        <w:rPr>
          <w:rFonts w:ascii="Times New Roman" w:eastAsia="Calibri" w:hAnsi="Times New Roman" w:cs="Times New Roman"/>
          <w:sz w:val="24"/>
          <w:szCs w:val="24"/>
        </w:rPr>
        <w:t>Study Medical Monitor had approved treatment to resume</w:t>
      </w:r>
    </w:p>
    <w:p w14:paraId="7AEDB539" w14:textId="77777777" w:rsidR="00837557" w:rsidRPr="00837557" w:rsidRDefault="00837557" w:rsidP="00837557">
      <w:pPr>
        <w:pStyle w:val="ListParagraph"/>
        <w:numPr>
          <w:ilvl w:val="0"/>
          <w:numId w:val="9"/>
        </w:numPr>
        <w:spacing w:before="60" w:after="200" w:line="240" w:lineRule="auto"/>
        <w:rPr>
          <w:rFonts w:ascii="Times New Roman" w:eastAsia="Calibri" w:hAnsi="Times New Roman" w:cs="Times New Roman"/>
          <w:sz w:val="24"/>
          <w:szCs w:val="24"/>
        </w:rPr>
      </w:pPr>
      <w:r w:rsidRPr="00837557">
        <w:rPr>
          <w:rFonts w:ascii="Times New Roman" w:eastAsia="Calibri" w:hAnsi="Times New Roman" w:cs="Times New Roman"/>
          <w:sz w:val="24"/>
          <w:szCs w:val="24"/>
        </w:rPr>
        <w:t xml:space="preserve">An alternative etiology was not identified that might accounted for abnormal results: </w:t>
      </w:r>
    </w:p>
    <w:p w14:paraId="0C4E3D14" w14:textId="77777777" w:rsidR="00837557" w:rsidRPr="00837557" w:rsidRDefault="00837557" w:rsidP="00837557">
      <w:pPr>
        <w:pStyle w:val="ListParagraph"/>
        <w:numPr>
          <w:ilvl w:val="1"/>
          <w:numId w:val="9"/>
        </w:numPr>
        <w:spacing w:before="60" w:after="200" w:line="240" w:lineRule="auto"/>
        <w:rPr>
          <w:rFonts w:ascii="Times New Roman" w:eastAsia="Calibri" w:hAnsi="Times New Roman" w:cs="Times New Roman"/>
          <w:sz w:val="24"/>
          <w:szCs w:val="24"/>
        </w:rPr>
      </w:pPr>
      <w:r w:rsidRPr="00837557">
        <w:rPr>
          <w:rFonts w:ascii="Times New Roman" w:eastAsia="Calibri" w:hAnsi="Times New Roman" w:cs="Times New Roman"/>
          <w:sz w:val="24"/>
          <w:szCs w:val="24"/>
        </w:rPr>
        <w:t>Patient was permanently withdrawn from treatment</w:t>
      </w:r>
    </w:p>
    <w:p w14:paraId="32BD2556" w14:textId="1DCD68E6" w:rsidR="00837557" w:rsidRDefault="00837557" w:rsidP="00837557">
      <w:pPr>
        <w:pStyle w:val="ListParagraph"/>
        <w:spacing w:before="60" w:after="120"/>
        <w:ind w:left="0"/>
        <w:rPr>
          <w:rFonts w:ascii="Times New Roman" w:hAnsi="Times New Roman" w:cs="Times New Roman"/>
          <w:b/>
          <w:bCs/>
          <w:sz w:val="24"/>
          <w:szCs w:val="24"/>
        </w:rPr>
      </w:pPr>
    </w:p>
    <w:p w14:paraId="6C3DF32E" w14:textId="77777777" w:rsidR="00E42011" w:rsidRPr="00E42011" w:rsidRDefault="00E42011" w:rsidP="00837557">
      <w:pPr>
        <w:pStyle w:val="ListParagraph"/>
        <w:spacing w:before="60" w:after="120"/>
        <w:ind w:left="0"/>
        <w:rPr>
          <w:rFonts w:ascii="Times New Roman" w:hAnsi="Times New Roman" w:cs="Times New Roman"/>
          <w:b/>
          <w:bCs/>
          <w:sz w:val="24"/>
          <w:szCs w:val="24"/>
        </w:rPr>
      </w:pPr>
    </w:p>
    <w:p w14:paraId="1D4E20E5" w14:textId="77777777" w:rsidR="00837557" w:rsidRPr="00837557" w:rsidRDefault="00837557" w:rsidP="00837557">
      <w:pPr>
        <w:pStyle w:val="ListParagraph"/>
        <w:spacing w:before="60" w:after="120"/>
        <w:ind w:left="0"/>
        <w:rPr>
          <w:rFonts w:ascii="Times New Roman" w:hAnsi="Times New Roman" w:cs="Times New Roman"/>
          <w:b/>
          <w:bCs/>
          <w:i/>
          <w:iCs/>
          <w:sz w:val="24"/>
          <w:szCs w:val="24"/>
        </w:rPr>
      </w:pPr>
      <w:r w:rsidRPr="00837557">
        <w:rPr>
          <w:rFonts w:ascii="Times New Roman" w:hAnsi="Times New Roman" w:cs="Times New Roman"/>
          <w:b/>
          <w:bCs/>
          <w:i/>
          <w:iCs/>
          <w:sz w:val="24"/>
          <w:szCs w:val="24"/>
        </w:rPr>
        <w:t>Platelet Count</w:t>
      </w:r>
    </w:p>
    <w:p w14:paraId="5950C410" w14:textId="77777777"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Hematology labs should had been sent in parallel to the central and local laboratory for analysis.</w:t>
      </w:r>
    </w:p>
    <w:p w14:paraId="2F8C6653" w14:textId="2FBA9C79"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Platelet counts were monitored every 14 days (±2 days) for the duration of the Treatment Period. During the Follow-up period platelets were monitored every 2 weeks for the first 6 weeks and then at Week 8 and 13 weeks post last dose. Patients must not receive Study Drug without an interpretable platelet count result in the prior 14 days</w:t>
      </w:r>
      <w:r w:rsidRPr="00837557" w:rsidDel="0013081B">
        <w:rPr>
          <w:rFonts w:ascii="Times New Roman" w:hAnsi="Times New Roman" w:cs="Times New Roman"/>
          <w:sz w:val="24"/>
          <w:szCs w:val="24"/>
        </w:rPr>
        <w:t>.</w:t>
      </w:r>
    </w:p>
    <w:p w14:paraId="498C0AEA" w14:textId="79422764"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All platelet count results must had been reviewed promptly (within 48 hours of receipt) by the Investigator or the designee  and Medical Monitors to ensure that the count has not met the stopping rule and to determine whether the rate of decline is suggestive that the patient could be approaching the dose interruption rule of 75,000/mm</w:t>
      </w:r>
      <w:r w:rsidRPr="00837557">
        <w:rPr>
          <w:rFonts w:ascii="Times New Roman" w:hAnsi="Times New Roman" w:cs="Times New Roman"/>
          <w:sz w:val="24"/>
          <w:szCs w:val="24"/>
          <w:vertAlign w:val="superscript"/>
        </w:rPr>
        <w:t>3</w:t>
      </w:r>
      <w:r w:rsidRPr="00837557">
        <w:rPr>
          <w:rFonts w:ascii="Times New Roman" w:hAnsi="Times New Roman" w:cs="Times New Roman"/>
          <w:sz w:val="24"/>
          <w:szCs w:val="24"/>
        </w:rPr>
        <w:t xml:space="preserve">. </w:t>
      </w:r>
    </w:p>
    <w:p w14:paraId="1C8B7D1D" w14:textId="77777777"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 xml:space="preserve">Lab alerts related to platelet monitoring/stopping rules were issued when:  </w:t>
      </w:r>
    </w:p>
    <w:p w14:paraId="2E4B8DAA" w14:textId="77777777" w:rsidR="00837557" w:rsidRPr="00837557" w:rsidRDefault="00837557" w:rsidP="00837557">
      <w:pPr>
        <w:spacing w:line="240" w:lineRule="auto"/>
        <w:rPr>
          <w:rFonts w:ascii="Times New Roman" w:hAnsi="Times New Roman" w:cs="Times New Roman"/>
          <w:sz w:val="24"/>
          <w:szCs w:val="24"/>
        </w:rPr>
      </w:pPr>
      <w:r w:rsidRPr="00837557">
        <w:rPr>
          <w:rFonts w:ascii="Times New Roman" w:hAnsi="Times New Roman" w:cs="Times New Roman"/>
          <w:sz w:val="24"/>
          <w:szCs w:val="24"/>
        </w:rPr>
        <w:t>1) platelet counts are &lt; 140,000 mm</w:t>
      </w:r>
      <w:r w:rsidRPr="00837557">
        <w:rPr>
          <w:rFonts w:ascii="Times New Roman" w:hAnsi="Times New Roman" w:cs="Times New Roman"/>
          <w:sz w:val="24"/>
          <w:szCs w:val="24"/>
          <w:vertAlign w:val="superscript"/>
        </w:rPr>
        <w:t>3</w:t>
      </w:r>
      <w:r w:rsidRPr="00837557">
        <w:rPr>
          <w:rFonts w:ascii="Times New Roman" w:hAnsi="Times New Roman" w:cs="Times New Roman"/>
          <w:sz w:val="24"/>
          <w:szCs w:val="24"/>
        </w:rPr>
        <w:t xml:space="preserve">, </w:t>
      </w:r>
    </w:p>
    <w:p w14:paraId="23867B37" w14:textId="77777777" w:rsidR="00837557" w:rsidRPr="00837557" w:rsidRDefault="00837557" w:rsidP="00837557">
      <w:pPr>
        <w:spacing w:line="240" w:lineRule="auto"/>
        <w:rPr>
          <w:rFonts w:ascii="Times New Roman" w:hAnsi="Times New Roman" w:cs="Times New Roman"/>
          <w:sz w:val="24"/>
          <w:szCs w:val="24"/>
        </w:rPr>
      </w:pPr>
      <w:r w:rsidRPr="00837557">
        <w:rPr>
          <w:rFonts w:ascii="Times New Roman" w:hAnsi="Times New Roman" w:cs="Times New Roman"/>
          <w:sz w:val="24"/>
          <w:szCs w:val="24"/>
        </w:rPr>
        <w:t xml:space="preserve">2) platelet count is ≥ 30% decreased from Baseline, or </w:t>
      </w:r>
    </w:p>
    <w:p w14:paraId="7931B941" w14:textId="77777777" w:rsidR="00837557" w:rsidRPr="00837557" w:rsidRDefault="00837557" w:rsidP="00837557">
      <w:pPr>
        <w:spacing w:line="240" w:lineRule="auto"/>
        <w:rPr>
          <w:rFonts w:ascii="Times New Roman" w:hAnsi="Times New Roman" w:cs="Times New Roman"/>
          <w:sz w:val="24"/>
          <w:szCs w:val="24"/>
        </w:rPr>
      </w:pPr>
      <w:r w:rsidRPr="00837557">
        <w:rPr>
          <w:rFonts w:ascii="Times New Roman" w:hAnsi="Times New Roman" w:cs="Times New Roman"/>
          <w:sz w:val="24"/>
          <w:szCs w:val="24"/>
        </w:rPr>
        <w:t xml:space="preserve">3) the hematology sample is unreportable. </w:t>
      </w:r>
    </w:p>
    <w:p w14:paraId="3697D39F" w14:textId="5D39433A"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All lab alerts were reviewed promptly by the Medical Monitor, and instructions are communicated to the Investigator and the study personnel within 24 hours of receiving an actionable lab alert.</w:t>
      </w:r>
    </w:p>
    <w:p w14:paraId="4AC4423F" w14:textId="04A5F2F5"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In the event of a platelet count ˂ 140,000/mm</w:t>
      </w:r>
      <w:r w:rsidRPr="00837557">
        <w:rPr>
          <w:rFonts w:ascii="Times New Roman" w:hAnsi="Times New Roman" w:cs="Times New Roman"/>
          <w:sz w:val="24"/>
          <w:szCs w:val="24"/>
          <w:vertAlign w:val="superscript"/>
        </w:rPr>
        <w:t>3</w:t>
      </w:r>
      <w:r w:rsidRPr="00837557">
        <w:rPr>
          <w:rFonts w:ascii="Times New Roman" w:hAnsi="Times New Roman" w:cs="Times New Roman"/>
          <w:sz w:val="24"/>
          <w:szCs w:val="24"/>
        </w:rPr>
        <w:t xml:space="preserve"> platelet count had to be monitored weekly until the platelet count returned to the normal range (</w:t>
      </w:r>
      <w:r w:rsidRPr="00837557">
        <w:rPr>
          <w:rFonts w:ascii="Times New Roman" w:hAnsi="Times New Roman" w:cs="Times New Roman"/>
          <w:sz w:val="24"/>
          <w:szCs w:val="24"/>
        </w:rPr>
        <w:sym w:font="Symbol" w:char="F0B3"/>
      </w:r>
      <w:r w:rsidRPr="00837557">
        <w:rPr>
          <w:rFonts w:ascii="Times New Roman" w:hAnsi="Times New Roman" w:cs="Times New Roman"/>
          <w:sz w:val="24"/>
          <w:szCs w:val="24"/>
        </w:rPr>
        <w:t>140,000/mm</w:t>
      </w:r>
      <w:r w:rsidRPr="00837557">
        <w:rPr>
          <w:rFonts w:ascii="Times New Roman" w:hAnsi="Times New Roman" w:cs="Times New Roman"/>
          <w:sz w:val="24"/>
          <w:szCs w:val="24"/>
          <w:vertAlign w:val="superscript"/>
        </w:rPr>
        <w:t>3</w:t>
      </w:r>
      <w:r w:rsidRPr="00837557">
        <w:rPr>
          <w:rFonts w:ascii="Times New Roman" w:hAnsi="Times New Roman" w:cs="Times New Roman"/>
          <w:sz w:val="24"/>
          <w:szCs w:val="24"/>
        </w:rPr>
        <w:t>) for 2 successive values. In the event of a platelet count ˂ 100,000/mm</w:t>
      </w:r>
      <w:r w:rsidRPr="00837557">
        <w:rPr>
          <w:rFonts w:ascii="Times New Roman" w:hAnsi="Times New Roman" w:cs="Times New Roman"/>
          <w:sz w:val="24"/>
          <w:szCs w:val="24"/>
          <w:vertAlign w:val="superscript"/>
        </w:rPr>
        <w:t>3</w:t>
      </w:r>
      <w:r w:rsidRPr="00837557">
        <w:rPr>
          <w:rFonts w:ascii="Times New Roman" w:hAnsi="Times New Roman" w:cs="Times New Roman"/>
          <w:sz w:val="24"/>
          <w:szCs w:val="24"/>
        </w:rPr>
        <w:t xml:space="preserve"> and ≥ 75,000/mm</w:t>
      </w:r>
      <w:r w:rsidRPr="00837557">
        <w:rPr>
          <w:rFonts w:ascii="Times New Roman" w:hAnsi="Times New Roman" w:cs="Times New Roman"/>
          <w:sz w:val="24"/>
          <w:szCs w:val="24"/>
          <w:vertAlign w:val="superscript"/>
        </w:rPr>
        <w:t>3</w:t>
      </w:r>
      <w:r w:rsidRPr="00837557">
        <w:rPr>
          <w:rFonts w:ascii="Times New Roman" w:hAnsi="Times New Roman" w:cs="Times New Roman"/>
          <w:sz w:val="24"/>
          <w:szCs w:val="24"/>
        </w:rPr>
        <w:t xml:space="preserve"> dose had to be permanently reduced to half dose.</w:t>
      </w:r>
    </w:p>
    <w:p w14:paraId="174BEE0A" w14:textId="052FF08A"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In the event of a platelet count ˂ 75,000/mm</w:t>
      </w:r>
      <w:r w:rsidRPr="00837557">
        <w:rPr>
          <w:rFonts w:ascii="Times New Roman" w:hAnsi="Times New Roman" w:cs="Times New Roman"/>
          <w:sz w:val="24"/>
          <w:szCs w:val="24"/>
          <w:vertAlign w:val="superscript"/>
        </w:rPr>
        <w:t>3</w:t>
      </w:r>
      <w:r w:rsidRPr="00837557">
        <w:rPr>
          <w:rFonts w:ascii="Times New Roman" w:hAnsi="Times New Roman" w:cs="Times New Roman"/>
          <w:sz w:val="24"/>
          <w:szCs w:val="24"/>
        </w:rPr>
        <w:t xml:space="preserve"> and ≥ 50,000/mm</w:t>
      </w:r>
      <w:r w:rsidRPr="00837557">
        <w:rPr>
          <w:rFonts w:ascii="Times New Roman" w:hAnsi="Times New Roman" w:cs="Times New Roman"/>
          <w:sz w:val="24"/>
          <w:szCs w:val="24"/>
          <w:vertAlign w:val="superscript"/>
        </w:rPr>
        <w:t>3</w:t>
      </w:r>
      <w:r w:rsidRPr="00837557">
        <w:rPr>
          <w:rFonts w:ascii="Times New Roman" w:hAnsi="Times New Roman" w:cs="Times New Roman"/>
          <w:sz w:val="24"/>
          <w:szCs w:val="24"/>
        </w:rPr>
        <w:t>, dosing of a patient with Study Drug had to be suspended temporarily until the platelet count has recovered to ≥ 100,000/mm</w:t>
      </w:r>
      <w:r w:rsidRPr="00837557">
        <w:rPr>
          <w:rFonts w:ascii="Times New Roman" w:hAnsi="Times New Roman" w:cs="Times New Roman"/>
          <w:sz w:val="24"/>
          <w:szCs w:val="24"/>
          <w:vertAlign w:val="superscript"/>
        </w:rPr>
        <w:t>3</w:t>
      </w:r>
      <w:r w:rsidRPr="00837557">
        <w:rPr>
          <w:rFonts w:ascii="Times New Roman" w:hAnsi="Times New Roman" w:cs="Times New Roman"/>
          <w:sz w:val="24"/>
          <w:szCs w:val="24"/>
        </w:rPr>
        <w:t>.  If dosing were to continue, it must had been at a reduced dose. The suitability of the patient for continued dosing were to be determined by the Investigator in consultation with the Study Medical Monitor and were to be based on factors such as the original rate of decline in the patient’s platelet count, whether any bleeding events were experienced by the patient, and the speed of recovery of platelet count after interruption of dosing. If, after reintroduction of Study Drug, the platelet count again falls below 75,000/mm</w:t>
      </w:r>
      <w:r w:rsidRPr="00837557">
        <w:rPr>
          <w:rFonts w:ascii="Times New Roman" w:hAnsi="Times New Roman" w:cs="Times New Roman"/>
          <w:sz w:val="24"/>
          <w:szCs w:val="24"/>
          <w:vertAlign w:val="superscript"/>
        </w:rPr>
        <w:t>3</w:t>
      </w:r>
      <w:r w:rsidRPr="00837557">
        <w:rPr>
          <w:rFonts w:ascii="Times New Roman" w:hAnsi="Times New Roman" w:cs="Times New Roman"/>
          <w:sz w:val="24"/>
          <w:szCs w:val="24"/>
        </w:rPr>
        <w:t xml:space="preserve">, then dosing of the patient with Study Drug were to be stopped permanently. </w:t>
      </w:r>
    </w:p>
    <w:p w14:paraId="77CE9571" w14:textId="67106F39" w:rsidR="00837557" w:rsidRPr="00837557" w:rsidRDefault="00837557" w:rsidP="00837557">
      <w:pPr>
        <w:rPr>
          <w:rFonts w:ascii="Times New Roman" w:hAnsi="Times New Roman" w:cs="Times New Roman"/>
          <w:sz w:val="24"/>
          <w:szCs w:val="24"/>
        </w:rPr>
      </w:pPr>
      <w:r w:rsidRPr="00837557">
        <w:rPr>
          <w:rFonts w:ascii="Times New Roman" w:eastAsia="Calibri" w:hAnsi="Times New Roman" w:cs="Times New Roman"/>
          <w:sz w:val="24"/>
          <w:szCs w:val="24"/>
        </w:rPr>
        <w:t xml:space="preserve">Dosing of a patient with Study Drug had to be </w:t>
      </w:r>
      <w:r w:rsidRPr="00837557">
        <w:rPr>
          <w:rFonts w:ascii="Times New Roman" w:eastAsia="Calibri" w:hAnsi="Times New Roman" w:cs="Times New Roman"/>
          <w:sz w:val="24"/>
          <w:szCs w:val="24"/>
          <w:u w:val="single"/>
        </w:rPr>
        <w:t>stopped permanently</w:t>
      </w:r>
      <w:r w:rsidRPr="00837557">
        <w:rPr>
          <w:rFonts w:ascii="Times New Roman" w:eastAsia="Calibri" w:hAnsi="Times New Roman" w:cs="Times New Roman"/>
          <w:sz w:val="24"/>
          <w:szCs w:val="24"/>
        </w:rPr>
        <w:t xml:space="preserve"> i</w:t>
      </w:r>
      <w:r w:rsidRPr="00837557">
        <w:rPr>
          <w:rFonts w:ascii="Times New Roman" w:hAnsi="Times New Roman" w:cs="Times New Roman"/>
          <w:sz w:val="24"/>
          <w:szCs w:val="24"/>
        </w:rPr>
        <w:t>n the event of any platelet count &lt; 50,000/mm</w:t>
      </w:r>
      <w:r w:rsidRPr="00837557">
        <w:rPr>
          <w:rFonts w:ascii="Times New Roman" w:hAnsi="Times New Roman" w:cs="Times New Roman"/>
          <w:sz w:val="24"/>
          <w:szCs w:val="24"/>
          <w:vertAlign w:val="superscript"/>
        </w:rPr>
        <w:t>3</w:t>
      </w:r>
      <w:r w:rsidRPr="00837557">
        <w:rPr>
          <w:rFonts w:ascii="Times New Roman" w:hAnsi="Times New Roman" w:cs="Times New Roman"/>
          <w:sz w:val="24"/>
          <w:szCs w:val="24"/>
        </w:rPr>
        <w:t>, or a platelet count less than 75,000/mm</w:t>
      </w:r>
      <w:r w:rsidRPr="00837557">
        <w:rPr>
          <w:rFonts w:ascii="Times New Roman" w:hAnsi="Times New Roman" w:cs="Times New Roman"/>
          <w:sz w:val="24"/>
          <w:szCs w:val="24"/>
          <w:vertAlign w:val="superscript"/>
        </w:rPr>
        <w:t xml:space="preserve">3 </w:t>
      </w:r>
      <w:r w:rsidRPr="00837557">
        <w:rPr>
          <w:rFonts w:ascii="Times New Roman" w:hAnsi="Times New Roman" w:cs="Times New Roman"/>
          <w:sz w:val="24"/>
          <w:szCs w:val="24"/>
        </w:rPr>
        <w:t>that occurred while the patient was already on a reduced dose.  Platelet count had to be monitored daily until 2 successive values show improvement then monitored every 2-3 days until platelet count is stable.</w:t>
      </w:r>
    </w:p>
    <w:p w14:paraId="4B480B75" w14:textId="77777777" w:rsidR="00837557" w:rsidRPr="00837557" w:rsidRDefault="00837557" w:rsidP="00837557">
      <w:pPr>
        <w:rPr>
          <w:rFonts w:ascii="Times New Roman" w:hAnsi="Times New Roman" w:cs="Times New Roman"/>
          <w:sz w:val="24"/>
          <w:szCs w:val="24"/>
        </w:rPr>
      </w:pPr>
      <w:r w:rsidRPr="00837557">
        <w:rPr>
          <w:rFonts w:ascii="Times New Roman" w:hAnsi="Times New Roman" w:cs="Times New Roman"/>
          <w:sz w:val="24"/>
          <w:szCs w:val="24"/>
        </w:rPr>
        <w:t>Any case of a platelet count reduction to levels below 50,000/mm</w:t>
      </w:r>
      <w:r w:rsidRPr="00837557">
        <w:rPr>
          <w:rFonts w:ascii="Times New Roman" w:hAnsi="Times New Roman" w:cs="Times New Roman"/>
          <w:sz w:val="24"/>
          <w:szCs w:val="24"/>
          <w:vertAlign w:val="superscript"/>
        </w:rPr>
        <w:t>3</w:t>
      </w:r>
      <w:r w:rsidRPr="00837557">
        <w:rPr>
          <w:rFonts w:ascii="Times New Roman" w:hAnsi="Times New Roman" w:cs="Times New Roman"/>
          <w:sz w:val="24"/>
          <w:szCs w:val="24"/>
        </w:rPr>
        <w:t xml:space="preserve"> was considered an adverse event of special interest and had to be reported in an expedited fashion to the Sponsor. </w:t>
      </w:r>
    </w:p>
    <w:p w14:paraId="25EC67A4" w14:textId="77777777" w:rsidR="00837557" w:rsidRPr="00837557" w:rsidRDefault="00837557" w:rsidP="00837557">
      <w:pPr>
        <w:rPr>
          <w:rFonts w:ascii="Times New Roman" w:hAnsi="Times New Roman" w:cs="Times New Roman"/>
          <w:sz w:val="24"/>
          <w:szCs w:val="24"/>
        </w:rPr>
      </w:pPr>
    </w:p>
    <w:p w14:paraId="155E5418" w14:textId="620548DF" w:rsidR="00B3543E" w:rsidRPr="00837557" w:rsidRDefault="00B3543E">
      <w:pPr>
        <w:rPr>
          <w:rFonts w:ascii="Times New Roman" w:hAnsi="Times New Roman" w:cs="Times New Roman"/>
          <w:sz w:val="24"/>
          <w:szCs w:val="24"/>
        </w:rPr>
      </w:pPr>
      <w:r w:rsidRPr="00837557">
        <w:rPr>
          <w:rFonts w:ascii="Times New Roman" w:hAnsi="Times New Roman" w:cs="Times New Roman"/>
          <w:sz w:val="24"/>
          <w:szCs w:val="24"/>
        </w:rPr>
        <w:br w:type="page"/>
      </w:r>
    </w:p>
    <w:p w14:paraId="2C7DE9CC" w14:textId="4DB59390" w:rsidR="00950F70" w:rsidRDefault="00DF7B12" w:rsidP="00950F70">
      <w:pPr>
        <w:pStyle w:val="Heading1"/>
      </w:pPr>
      <w:bookmarkStart w:id="11" w:name="_Toc56097567"/>
      <w:r>
        <w:rPr>
          <w:caps w:val="0"/>
        </w:rPr>
        <w:t>SUPPLEME</w:t>
      </w:r>
      <w:r w:rsidR="006B6EEB">
        <w:rPr>
          <w:caps w:val="0"/>
        </w:rPr>
        <w:t>N</w:t>
      </w:r>
      <w:r>
        <w:rPr>
          <w:caps w:val="0"/>
        </w:rPr>
        <w:t>TARY FIGURES</w:t>
      </w:r>
      <w:bookmarkEnd w:id="11"/>
    </w:p>
    <w:p w14:paraId="79E463B7" w14:textId="49D25F7D" w:rsidR="005A0897" w:rsidRDefault="005A0897" w:rsidP="005A0897"/>
    <w:p w14:paraId="26A60991" w14:textId="2FEC43BD" w:rsidR="005A0897" w:rsidRDefault="005A0897" w:rsidP="005A0897">
      <w:pPr>
        <w:pStyle w:val="Heading2"/>
      </w:pPr>
      <w:bookmarkStart w:id="12" w:name="_Toc56097568"/>
      <w:r>
        <w:t>Figure S1. Study Design</w:t>
      </w:r>
      <w:bookmarkEnd w:id="12"/>
    </w:p>
    <w:p w14:paraId="50D7686E" w14:textId="2276AD65" w:rsidR="005A0897" w:rsidRDefault="005A0897" w:rsidP="005A0897"/>
    <w:p w14:paraId="3DE6D335" w14:textId="22F66EE0" w:rsidR="00ED6583" w:rsidRDefault="00BF2F60" w:rsidP="005A0897">
      <w:r>
        <w:rPr>
          <w:noProof/>
        </w:rPr>
        <w:drawing>
          <wp:inline distT="0" distB="0" distL="0" distR="0" wp14:anchorId="42EAE4E7" wp14:editId="02733063">
            <wp:extent cx="5732145" cy="22479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8654" t="15670" r="9615" b="27350"/>
                    <a:stretch/>
                  </pic:blipFill>
                  <pic:spPr bwMode="auto">
                    <a:xfrm>
                      <a:off x="0" y="0"/>
                      <a:ext cx="5739219" cy="2250674"/>
                    </a:xfrm>
                    <a:prstGeom prst="rect">
                      <a:avLst/>
                    </a:prstGeom>
                    <a:noFill/>
                    <a:ln>
                      <a:noFill/>
                    </a:ln>
                    <a:extLst>
                      <a:ext uri="{53640926-AAD7-44D8-BBD7-CCE9431645EC}">
                        <a14:shadowObscured xmlns:a14="http://schemas.microsoft.com/office/drawing/2010/main"/>
                      </a:ext>
                    </a:extLst>
                  </pic:spPr>
                </pic:pic>
              </a:graphicData>
            </a:graphic>
          </wp:inline>
        </w:drawing>
      </w:r>
    </w:p>
    <w:p w14:paraId="247E75B7" w14:textId="73B47D6E" w:rsidR="00ED6583" w:rsidRDefault="00BF2F60" w:rsidP="005A0897">
      <w:pPr>
        <w:rPr>
          <w:rFonts w:ascii="Times New Roman" w:hAnsi="Times New Roman" w:cs="Times New Roman"/>
          <w:sz w:val="24"/>
          <w:szCs w:val="24"/>
        </w:rPr>
      </w:pPr>
      <w:r w:rsidRPr="009C70E6">
        <w:rPr>
          <w:rFonts w:ascii="Times New Roman" w:hAnsi="Times New Roman" w:cs="Times New Roman"/>
          <w:sz w:val="24"/>
          <w:szCs w:val="24"/>
        </w:rPr>
        <w:t>Primary endpoint was</w:t>
      </w:r>
      <w:r w:rsidR="009C70E6" w:rsidRPr="009C70E6">
        <w:rPr>
          <w:rFonts w:ascii="Times New Roman" w:hAnsi="Times New Roman" w:cs="Times New Roman"/>
          <w:sz w:val="24"/>
          <w:szCs w:val="24"/>
        </w:rPr>
        <w:t xml:space="preserve"> the percent change from baseline to the primary analysis time point of 25</w:t>
      </w:r>
      <w:r w:rsidR="009C70E6">
        <w:rPr>
          <w:rFonts w:ascii="Times New Roman" w:hAnsi="Times New Roman" w:cs="Times New Roman"/>
          <w:sz w:val="24"/>
          <w:szCs w:val="24"/>
        </w:rPr>
        <w:t>-</w:t>
      </w:r>
      <w:r w:rsidR="009C70E6" w:rsidRPr="009C70E6">
        <w:rPr>
          <w:rFonts w:ascii="Times New Roman" w:hAnsi="Times New Roman" w:cs="Times New Roman"/>
          <w:sz w:val="24"/>
          <w:szCs w:val="24"/>
        </w:rPr>
        <w:t>27 in fasting TG.</w:t>
      </w:r>
    </w:p>
    <w:p w14:paraId="6E3CD2F4" w14:textId="56A37472" w:rsidR="009C70E6" w:rsidRDefault="009C70E6" w:rsidP="005A0897">
      <w:pPr>
        <w:rPr>
          <w:rFonts w:ascii="Times New Roman" w:hAnsi="Times New Roman" w:cs="Times New Roman"/>
          <w:sz w:val="24"/>
          <w:szCs w:val="24"/>
        </w:rPr>
      </w:pPr>
    </w:p>
    <w:p w14:paraId="57B713A0" w14:textId="2578D5A4" w:rsidR="0011314F" w:rsidRDefault="0011314F" w:rsidP="005A0897">
      <w:pPr>
        <w:rPr>
          <w:rFonts w:ascii="Times New Roman" w:hAnsi="Times New Roman" w:cs="Times New Roman"/>
          <w:sz w:val="24"/>
          <w:szCs w:val="24"/>
        </w:rPr>
      </w:pPr>
    </w:p>
    <w:p w14:paraId="27A8B95D" w14:textId="0529D2B7" w:rsidR="0011314F" w:rsidRDefault="0011314F" w:rsidP="005A0897">
      <w:pPr>
        <w:rPr>
          <w:rFonts w:ascii="Times New Roman" w:hAnsi="Times New Roman" w:cs="Times New Roman"/>
          <w:sz w:val="24"/>
          <w:szCs w:val="24"/>
        </w:rPr>
      </w:pPr>
    </w:p>
    <w:p w14:paraId="30857A5E" w14:textId="26C751CB" w:rsidR="0011314F" w:rsidRDefault="0011314F" w:rsidP="005A0897">
      <w:pPr>
        <w:rPr>
          <w:rFonts w:ascii="Times New Roman" w:hAnsi="Times New Roman" w:cs="Times New Roman"/>
          <w:sz w:val="24"/>
          <w:szCs w:val="24"/>
        </w:rPr>
      </w:pPr>
    </w:p>
    <w:p w14:paraId="4799A087" w14:textId="6E7D67A9" w:rsidR="0011314F" w:rsidRDefault="0011314F" w:rsidP="005A0897">
      <w:pPr>
        <w:rPr>
          <w:rFonts w:ascii="Times New Roman" w:hAnsi="Times New Roman" w:cs="Times New Roman"/>
          <w:sz w:val="24"/>
          <w:szCs w:val="24"/>
        </w:rPr>
      </w:pPr>
    </w:p>
    <w:p w14:paraId="5BFEB53B" w14:textId="6D5BE16E" w:rsidR="0011314F" w:rsidRDefault="0011314F" w:rsidP="005A0897">
      <w:pPr>
        <w:rPr>
          <w:rFonts w:ascii="Times New Roman" w:hAnsi="Times New Roman" w:cs="Times New Roman"/>
          <w:sz w:val="24"/>
          <w:szCs w:val="24"/>
        </w:rPr>
      </w:pPr>
    </w:p>
    <w:p w14:paraId="78E41BCA" w14:textId="7657A3B2" w:rsidR="0011314F" w:rsidRDefault="0011314F" w:rsidP="005A0897">
      <w:pPr>
        <w:rPr>
          <w:rFonts w:ascii="Times New Roman" w:hAnsi="Times New Roman" w:cs="Times New Roman"/>
          <w:sz w:val="24"/>
          <w:szCs w:val="24"/>
        </w:rPr>
      </w:pPr>
    </w:p>
    <w:p w14:paraId="1B2FD170" w14:textId="430D76F2" w:rsidR="0011314F" w:rsidRDefault="0011314F" w:rsidP="005A0897">
      <w:pPr>
        <w:rPr>
          <w:rFonts w:ascii="Times New Roman" w:hAnsi="Times New Roman" w:cs="Times New Roman"/>
          <w:sz w:val="24"/>
          <w:szCs w:val="24"/>
        </w:rPr>
      </w:pPr>
    </w:p>
    <w:p w14:paraId="7699045E" w14:textId="3336D58F" w:rsidR="0011314F" w:rsidRDefault="0011314F" w:rsidP="005A0897">
      <w:pPr>
        <w:rPr>
          <w:rFonts w:ascii="Times New Roman" w:hAnsi="Times New Roman" w:cs="Times New Roman"/>
          <w:sz w:val="24"/>
          <w:szCs w:val="24"/>
        </w:rPr>
      </w:pPr>
    </w:p>
    <w:p w14:paraId="59ABA797" w14:textId="141E544E" w:rsidR="0011314F" w:rsidRDefault="0011314F" w:rsidP="005A0897">
      <w:pPr>
        <w:rPr>
          <w:rFonts w:ascii="Times New Roman" w:hAnsi="Times New Roman" w:cs="Times New Roman"/>
          <w:sz w:val="24"/>
          <w:szCs w:val="24"/>
        </w:rPr>
      </w:pPr>
    </w:p>
    <w:p w14:paraId="6A94EBB5" w14:textId="3C208D48" w:rsidR="0011314F" w:rsidRDefault="0011314F" w:rsidP="005A0897">
      <w:pPr>
        <w:rPr>
          <w:rFonts w:ascii="Times New Roman" w:hAnsi="Times New Roman" w:cs="Times New Roman"/>
          <w:sz w:val="24"/>
          <w:szCs w:val="24"/>
        </w:rPr>
      </w:pPr>
    </w:p>
    <w:p w14:paraId="47D8DE92" w14:textId="098058D8" w:rsidR="0011314F" w:rsidRDefault="0011314F" w:rsidP="005A0897">
      <w:pPr>
        <w:rPr>
          <w:rFonts w:ascii="Times New Roman" w:hAnsi="Times New Roman" w:cs="Times New Roman"/>
          <w:sz w:val="24"/>
          <w:szCs w:val="24"/>
        </w:rPr>
      </w:pPr>
    </w:p>
    <w:p w14:paraId="4C28B6A1" w14:textId="77777777" w:rsidR="00F10C95" w:rsidRDefault="00F10C95" w:rsidP="005A0897">
      <w:pPr>
        <w:rPr>
          <w:rFonts w:ascii="Times New Roman" w:hAnsi="Times New Roman" w:cs="Times New Roman"/>
          <w:sz w:val="24"/>
          <w:szCs w:val="24"/>
        </w:rPr>
        <w:sectPr w:rsidR="00F10C95" w:rsidSect="003047B2">
          <w:footerReference w:type="default" r:id="rId12"/>
          <w:pgSz w:w="12240" w:h="15840"/>
          <w:pgMar w:top="1440" w:right="1440" w:bottom="1440" w:left="1440" w:header="720" w:footer="720" w:gutter="0"/>
          <w:cols w:space="720"/>
          <w:titlePg/>
          <w:docGrid w:linePitch="360"/>
        </w:sectPr>
      </w:pPr>
    </w:p>
    <w:p w14:paraId="5CB201CA" w14:textId="77777777" w:rsidR="00527A0B" w:rsidRDefault="00527A0B" w:rsidP="00527A0B">
      <w:pPr>
        <w:pStyle w:val="Heading2"/>
      </w:pPr>
      <w:r>
        <w:t>Figure S2. Consort Diagram of Patient Recruitment</w:t>
      </w:r>
    </w:p>
    <w:p w14:paraId="7AD3ADF7" w14:textId="77777777" w:rsidR="0011314F" w:rsidRDefault="0011314F" w:rsidP="005A0897">
      <w:pPr>
        <w:rPr>
          <w:rFonts w:ascii="Times New Roman" w:hAnsi="Times New Roman" w:cs="Times New Roman"/>
          <w:sz w:val="24"/>
          <w:szCs w:val="24"/>
        </w:rPr>
      </w:pPr>
    </w:p>
    <w:p w14:paraId="5E3CAACB" w14:textId="77777777" w:rsidR="00C80F08" w:rsidRDefault="00C80F08" w:rsidP="005A0897">
      <w:pPr>
        <w:rPr>
          <w:rFonts w:ascii="Times New Roman" w:hAnsi="Times New Roman" w:cs="Times New Roman"/>
          <w:sz w:val="24"/>
          <w:szCs w:val="24"/>
        </w:rPr>
      </w:pPr>
      <w:r>
        <w:rPr>
          <w:noProof/>
        </w:rPr>
        <w:drawing>
          <wp:inline distT="0" distB="0" distL="0" distR="0" wp14:anchorId="3115E174" wp14:editId="30254672">
            <wp:extent cx="8229600" cy="39168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5168"/>
                    <a:stretch/>
                  </pic:blipFill>
                  <pic:spPr bwMode="auto">
                    <a:xfrm>
                      <a:off x="0" y="0"/>
                      <a:ext cx="8229600" cy="3916823"/>
                    </a:xfrm>
                    <a:prstGeom prst="rect">
                      <a:avLst/>
                    </a:prstGeom>
                    <a:noFill/>
                    <a:ln>
                      <a:noFill/>
                    </a:ln>
                    <a:extLst>
                      <a:ext uri="{53640926-AAD7-44D8-BBD7-CCE9431645EC}">
                        <a14:shadowObscured xmlns:a14="http://schemas.microsoft.com/office/drawing/2010/main"/>
                      </a:ext>
                    </a:extLst>
                  </pic:spPr>
                </pic:pic>
              </a:graphicData>
            </a:graphic>
          </wp:inline>
        </w:drawing>
      </w:r>
    </w:p>
    <w:p w14:paraId="58710F27" w14:textId="77777777" w:rsidR="00C80F08" w:rsidRPr="002152D2" w:rsidRDefault="00C80F08" w:rsidP="00C80F08">
      <w:pPr>
        <w:spacing w:after="0" w:line="240" w:lineRule="auto"/>
        <w:rPr>
          <w:rFonts w:ascii="Times New Roman" w:eastAsia="Times New Roman" w:hAnsi="Times New Roman" w:cs="Times New Roman"/>
          <w:bCs/>
          <w:szCs w:val="20"/>
          <w:lang w:val="en-GB"/>
        </w:rPr>
      </w:pPr>
      <w:r w:rsidRPr="002152D2">
        <w:rPr>
          <w:rFonts w:ascii="Times New Roman" w:eastAsia="Times New Roman" w:hAnsi="Times New Roman" w:cs="Times New Roman"/>
          <w:bCs/>
          <w:szCs w:val="20"/>
          <w:lang w:val="en-GB"/>
        </w:rPr>
        <w:t xml:space="preserve">AE, adverse event; Q4W, every 4 weeks; </w:t>
      </w:r>
      <w:r>
        <w:rPr>
          <w:rFonts w:ascii="Times New Roman" w:eastAsia="Times New Roman" w:hAnsi="Times New Roman" w:cs="Times New Roman"/>
          <w:bCs/>
          <w:szCs w:val="20"/>
          <w:lang w:val="en-GB"/>
        </w:rPr>
        <w:t xml:space="preserve">Q2W, every 2 weeks; </w:t>
      </w:r>
      <w:r w:rsidRPr="002152D2">
        <w:rPr>
          <w:rFonts w:ascii="Times New Roman" w:eastAsia="Times New Roman" w:hAnsi="Times New Roman" w:cs="Times New Roman"/>
          <w:bCs/>
          <w:szCs w:val="20"/>
          <w:lang w:val="en-GB"/>
        </w:rPr>
        <w:t xml:space="preserve">QW, every week. </w:t>
      </w:r>
      <w:r>
        <w:rPr>
          <w:rFonts w:ascii="Times New Roman" w:eastAsia="Times New Roman" w:hAnsi="Times New Roman" w:cs="Times New Roman"/>
          <w:bCs/>
          <w:szCs w:val="20"/>
        </w:rPr>
        <w:t>E</w:t>
      </w:r>
      <w:r w:rsidRPr="00FB5BFF">
        <w:rPr>
          <w:rFonts w:ascii="Times New Roman" w:eastAsia="Times New Roman" w:hAnsi="Times New Roman" w:cs="Times New Roman"/>
          <w:bCs/>
          <w:szCs w:val="20"/>
        </w:rPr>
        <w:t>ach patient may have multiple reasons for failing screening.</w:t>
      </w:r>
    </w:p>
    <w:p w14:paraId="045F2A1B" w14:textId="77777777" w:rsidR="00C80F08" w:rsidRDefault="00C80F08" w:rsidP="00C80F08">
      <w:pPr>
        <w:spacing w:after="0" w:line="240" w:lineRule="auto"/>
        <w:rPr>
          <w:rFonts w:ascii="Times New Roman" w:eastAsia="Times New Roman" w:hAnsi="Times New Roman" w:cs="Times New Roman"/>
          <w:bCs/>
          <w:szCs w:val="20"/>
          <w:lang w:val="en-GB"/>
        </w:rPr>
      </w:pPr>
      <w:proofErr w:type="spellStart"/>
      <w:r w:rsidRPr="002152D2">
        <w:rPr>
          <w:rFonts w:ascii="Times New Roman" w:eastAsia="Times New Roman" w:hAnsi="Times New Roman" w:cs="Times New Roman"/>
          <w:bCs/>
          <w:szCs w:val="20"/>
          <w:vertAlign w:val="superscript"/>
          <w:lang w:val="en-GB"/>
        </w:rPr>
        <w:t>a</w:t>
      </w:r>
      <w:r w:rsidRPr="002152D2">
        <w:rPr>
          <w:rFonts w:ascii="Times New Roman" w:eastAsia="Times New Roman" w:hAnsi="Times New Roman" w:cs="Times New Roman"/>
          <w:bCs/>
          <w:szCs w:val="20"/>
          <w:lang w:val="en-GB"/>
        </w:rPr>
        <w:t>The</w:t>
      </w:r>
      <w:proofErr w:type="spellEnd"/>
      <w:r w:rsidRPr="002152D2">
        <w:rPr>
          <w:rFonts w:ascii="Times New Roman" w:eastAsia="Times New Roman" w:hAnsi="Times New Roman" w:cs="Times New Roman"/>
          <w:bCs/>
          <w:szCs w:val="20"/>
          <w:lang w:val="en-GB"/>
        </w:rPr>
        <w:t xml:space="preserve"> three most common reasons for patient ineligibility </w:t>
      </w:r>
      <w:r>
        <w:rPr>
          <w:rFonts w:ascii="Times New Roman" w:eastAsia="Times New Roman" w:hAnsi="Times New Roman" w:cs="Times New Roman"/>
          <w:bCs/>
          <w:szCs w:val="20"/>
          <w:lang w:val="en-GB"/>
        </w:rPr>
        <w:t>included failing to meet inclusion 4 (low TG at screening)</w:t>
      </w:r>
      <w:r w:rsidRPr="002152D2">
        <w:rPr>
          <w:rFonts w:ascii="Times New Roman" w:eastAsia="Times New Roman" w:hAnsi="Times New Roman" w:cs="Times New Roman"/>
          <w:bCs/>
          <w:szCs w:val="20"/>
          <w:lang w:val="en-GB"/>
        </w:rPr>
        <w:t xml:space="preserve"> = 1</w:t>
      </w:r>
      <w:r>
        <w:rPr>
          <w:rFonts w:ascii="Times New Roman" w:eastAsia="Times New Roman" w:hAnsi="Times New Roman" w:cs="Times New Roman"/>
          <w:bCs/>
          <w:szCs w:val="20"/>
          <w:lang w:val="en-GB"/>
        </w:rPr>
        <w:t>71</w:t>
      </w:r>
      <w:r w:rsidRPr="002152D2">
        <w:rPr>
          <w:rFonts w:ascii="Times New Roman" w:eastAsia="Times New Roman" w:hAnsi="Times New Roman" w:cs="Times New Roman"/>
          <w:bCs/>
          <w:szCs w:val="20"/>
          <w:lang w:val="en-GB"/>
        </w:rPr>
        <w:t>,</w:t>
      </w:r>
      <w:r>
        <w:rPr>
          <w:rFonts w:ascii="Times New Roman" w:eastAsia="Times New Roman" w:hAnsi="Times New Roman" w:cs="Times New Roman"/>
          <w:bCs/>
          <w:szCs w:val="20"/>
          <w:lang w:val="en-GB"/>
        </w:rPr>
        <w:t xml:space="preserve"> and meeting exclusion criteria 13b (high UPCR) = 47 and 13c (low eGFR)</w:t>
      </w:r>
      <w:r w:rsidRPr="002152D2">
        <w:rPr>
          <w:rFonts w:ascii="Times New Roman" w:eastAsia="Times New Roman" w:hAnsi="Times New Roman" w:cs="Times New Roman"/>
          <w:bCs/>
          <w:szCs w:val="20"/>
          <w:lang w:val="en-GB"/>
        </w:rPr>
        <w:t xml:space="preserve"> = </w:t>
      </w:r>
      <w:r>
        <w:rPr>
          <w:rFonts w:ascii="Times New Roman" w:eastAsia="Times New Roman" w:hAnsi="Times New Roman" w:cs="Times New Roman"/>
          <w:bCs/>
          <w:szCs w:val="20"/>
          <w:lang w:val="en-GB"/>
        </w:rPr>
        <w:t>40</w:t>
      </w:r>
      <w:r w:rsidRPr="002152D2">
        <w:rPr>
          <w:rFonts w:ascii="Times New Roman" w:eastAsia="Times New Roman" w:hAnsi="Times New Roman" w:cs="Times New Roman"/>
          <w:bCs/>
          <w:szCs w:val="20"/>
          <w:lang w:val="en-GB"/>
        </w:rPr>
        <w:t>, see Table S</w:t>
      </w:r>
      <w:r>
        <w:rPr>
          <w:rFonts w:ascii="Times New Roman" w:eastAsia="Times New Roman" w:hAnsi="Times New Roman" w:cs="Times New Roman"/>
          <w:bCs/>
          <w:szCs w:val="20"/>
          <w:lang w:val="en-GB"/>
        </w:rPr>
        <w:t>1</w:t>
      </w:r>
      <w:r w:rsidRPr="002152D2">
        <w:rPr>
          <w:rFonts w:ascii="Times New Roman" w:eastAsia="Times New Roman" w:hAnsi="Times New Roman" w:cs="Times New Roman"/>
          <w:bCs/>
          <w:szCs w:val="20"/>
          <w:lang w:val="en-GB"/>
        </w:rPr>
        <w:t xml:space="preserve"> for other reasons </w:t>
      </w:r>
      <w:r>
        <w:rPr>
          <w:rFonts w:ascii="Times New Roman" w:eastAsia="Times New Roman" w:hAnsi="Times New Roman" w:cs="Times New Roman"/>
          <w:bCs/>
          <w:szCs w:val="20"/>
          <w:lang w:val="en-GB"/>
        </w:rPr>
        <w:t>of patient ineligibility</w:t>
      </w:r>
      <w:r w:rsidRPr="002152D2">
        <w:rPr>
          <w:rFonts w:ascii="Times New Roman" w:eastAsia="Times New Roman" w:hAnsi="Times New Roman" w:cs="Times New Roman"/>
          <w:bCs/>
          <w:szCs w:val="20"/>
          <w:lang w:val="en-GB"/>
        </w:rPr>
        <w:t>.</w:t>
      </w:r>
    </w:p>
    <w:p w14:paraId="51DF069A" w14:textId="77777777" w:rsidR="00C80F08" w:rsidRPr="002152D2" w:rsidRDefault="00C80F08" w:rsidP="00C80F08">
      <w:pPr>
        <w:spacing w:after="0" w:line="240" w:lineRule="auto"/>
        <w:rPr>
          <w:rFonts w:ascii="Times New Roman" w:eastAsia="Times New Roman" w:hAnsi="Times New Roman" w:cs="Times New Roman"/>
          <w:bCs/>
          <w:szCs w:val="20"/>
          <w:lang w:val="en-GB"/>
        </w:rPr>
      </w:pPr>
      <w:proofErr w:type="spellStart"/>
      <w:r w:rsidRPr="00784685">
        <w:rPr>
          <w:rFonts w:ascii="Times New Roman" w:eastAsia="Times New Roman" w:hAnsi="Times New Roman" w:cs="Times New Roman"/>
          <w:bCs/>
          <w:szCs w:val="20"/>
          <w:vertAlign w:val="superscript"/>
          <w:lang w:val="en-GB"/>
        </w:rPr>
        <w:t>b</w:t>
      </w:r>
      <w:r>
        <w:rPr>
          <w:rFonts w:ascii="Times New Roman" w:eastAsia="Times New Roman" w:hAnsi="Times New Roman" w:cs="Times New Roman"/>
          <w:bCs/>
          <w:szCs w:val="20"/>
          <w:lang w:val="en-GB"/>
        </w:rPr>
        <w:t>Reasons</w:t>
      </w:r>
      <w:proofErr w:type="spellEnd"/>
      <w:r>
        <w:rPr>
          <w:rFonts w:ascii="Times New Roman" w:eastAsia="Times New Roman" w:hAnsi="Times New Roman" w:cs="Times New Roman"/>
          <w:bCs/>
          <w:szCs w:val="20"/>
          <w:lang w:val="en-GB"/>
        </w:rPr>
        <w:t xml:space="preserve"> for withdrawal of consent included lost interest, frequent study visits or did not have time to participate.</w:t>
      </w:r>
    </w:p>
    <w:p w14:paraId="31C01887" w14:textId="77777777" w:rsidR="002276B8" w:rsidRDefault="002276B8">
      <w:pPr>
        <w:rPr>
          <w:rFonts w:eastAsia="Times New Roman" w:cs="Times New Roman"/>
          <w:b/>
          <w:bCs/>
          <w:szCs w:val="20"/>
          <w:vertAlign w:val="superscript"/>
          <w:lang w:val="en-GB"/>
        </w:rPr>
        <w:sectPr w:rsidR="002276B8" w:rsidSect="00527A0B">
          <w:pgSz w:w="15840" w:h="12240" w:orient="landscape"/>
          <w:pgMar w:top="1440" w:right="1440" w:bottom="1440" w:left="1440" w:header="720" w:footer="720" w:gutter="0"/>
          <w:cols w:space="720"/>
          <w:titlePg/>
          <w:docGrid w:linePitch="360"/>
        </w:sectPr>
      </w:pPr>
      <w:bookmarkStart w:id="13" w:name="_Toc56097570"/>
    </w:p>
    <w:p w14:paraId="3E90CDED" w14:textId="7617F793" w:rsidR="00D23D73" w:rsidRPr="002B2382" w:rsidRDefault="00D23D73" w:rsidP="002B2382">
      <w:pPr>
        <w:rPr>
          <w:rFonts w:ascii="Times New Roman" w:eastAsia="Times New Roman" w:hAnsi="Times New Roman" w:cs="Times New Roman"/>
          <w:b/>
          <w:bCs/>
          <w:sz w:val="24"/>
          <w:szCs w:val="24"/>
          <w:vertAlign w:val="superscript"/>
          <w:lang w:val="en-GB"/>
        </w:rPr>
      </w:pPr>
      <w:r w:rsidRPr="002B2382">
        <w:rPr>
          <w:rFonts w:ascii="Times New Roman" w:hAnsi="Times New Roman" w:cs="Times New Roman"/>
          <w:b/>
          <w:bCs/>
          <w:sz w:val="24"/>
          <w:szCs w:val="24"/>
        </w:rPr>
        <w:t xml:space="preserve">Figure S3. </w:t>
      </w:r>
      <w:r w:rsidR="00CF3592" w:rsidRPr="002B2382">
        <w:rPr>
          <w:rFonts w:ascii="Times New Roman" w:hAnsi="Times New Roman" w:cs="Times New Roman"/>
          <w:b/>
          <w:bCs/>
          <w:sz w:val="24"/>
          <w:szCs w:val="24"/>
        </w:rPr>
        <w:t>Percent of Patients Achieving Fasting Triglyceride Levels &lt;135 mg/dL (B) at the Primary Analysis Timepoint (PAT).</w:t>
      </w:r>
    </w:p>
    <w:p w14:paraId="32E59A05" w14:textId="2D529207" w:rsidR="00092B43" w:rsidRDefault="00092B43" w:rsidP="00092B43"/>
    <w:p w14:paraId="20A0E306" w14:textId="28511333" w:rsidR="002276B8" w:rsidRDefault="00092B43" w:rsidP="001D34D5">
      <w:r w:rsidRPr="00092B43">
        <w:rPr>
          <w:noProof/>
        </w:rPr>
        <w:drawing>
          <wp:inline distT="0" distB="0" distL="0" distR="0" wp14:anchorId="50F0586B" wp14:editId="2F7CE786">
            <wp:extent cx="5087060" cy="26768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87060" cy="2676899"/>
                    </a:xfrm>
                    <a:prstGeom prst="rect">
                      <a:avLst/>
                    </a:prstGeom>
                  </pic:spPr>
                </pic:pic>
              </a:graphicData>
            </a:graphic>
          </wp:inline>
        </w:drawing>
      </w:r>
    </w:p>
    <w:p w14:paraId="336708A7" w14:textId="573212AD" w:rsidR="00D332F7" w:rsidRPr="00D332F7" w:rsidRDefault="00D332F7" w:rsidP="00D332F7">
      <w:pPr>
        <w:sectPr w:rsidR="00D332F7" w:rsidRPr="00D332F7" w:rsidSect="002B2382">
          <w:pgSz w:w="12240" w:h="15840"/>
          <w:pgMar w:top="1440" w:right="1440" w:bottom="1440" w:left="1440" w:header="720" w:footer="720" w:gutter="0"/>
          <w:cols w:space="720"/>
          <w:titlePg/>
          <w:docGrid w:linePitch="360"/>
        </w:sectPr>
      </w:pPr>
      <w:r w:rsidRPr="00D332F7">
        <w:rPr>
          <w:rFonts w:ascii="Times New Roman" w:hAnsi="Times New Roman" w:cs="Times New Roman"/>
        </w:rPr>
        <w:t>** p-value &lt;0.01; *** p-value &lt;0.001</w:t>
      </w:r>
    </w:p>
    <w:p w14:paraId="030A03F1" w14:textId="3EFAB7B9" w:rsidR="00747395" w:rsidRDefault="00747395" w:rsidP="00747395">
      <w:pPr>
        <w:pStyle w:val="Heading2"/>
      </w:pPr>
      <w:r>
        <w:t xml:space="preserve">Table S1. </w:t>
      </w:r>
      <w:r w:rsidRPr="002152D2">
        <w:t xml:space="preserve">Reasons for </w:t>
      </w:r>
      <w:r>
        <w:t>Patient Ineligibility</w:t>
      </w:r>
      <w:bookmarkEnd w:id="13"/>
    </w:p>
    <w:p w14:paraId="3245F12B" w14:textId="77777777" w:rsidR="00747395" w:rsidRDefault="00747395" w:rsidP="00747395"/>
    <w:tbl>
      <w:tblPr>
        <w:tblStyle w:val="TableGrid3"/>
        <w:tblW w:w="5000" w:type="pct"/>
        <w:tblLook w:val="04A0" w:firstRow="1" w:lastRow="0" w:firstColumn="1" w:lastColumn="0" w:noHBand="0" w:noVBand="1"/>
      </w:tblPr>
      <w:tblGrid>
        <w:gridCol w:w="9966"/>
        <w:gridCol w:w="2984"/>
      </w:tblGrid>
      <w:tr w:rsidR="00747395" w:rsidRPr="002152D2" w14:paraId="1665ECC6" w14:textId="77777777" w:rsidTr="0036776B">
        <w:tc>
          <w:tcPr>
            <w:tcW w:w="3848" w:type="pct"/>
          </w:tcPr>
          <w:p w14:paraId="4041D671" w14:textId="77777777" w:rsidR="00747395" w:rsidRPr="002152D2" w:rsidRDefault="00747395" w:rsidP="0036776B">
            <w:pPr>
              <w:rPr>
                <w:rFonts w:ascii="Times New Roman" w:eastAsia="Calibri" w:hAnsi="Times New Roman" w:cs="Times New Roman"/>
                <w:b/>
                <w:bCs/>
                <w:sz w:val="24"/>
                <w:szCs w:val="24"/>
              </w:rPr>
            </w:pPr>
            <w:r w:rsidRPr="002152D2">
              <w:rPr>
                <w:rFonts w:ascii="Times New Roman" w:eastAsia="Calibri" w:hAnsi="Times New Roman" w:cs="Times New Roman"/>
                <w:b/>
                <w:bCs/>
                <w:sz w:val="24"/>
                <w:szCs w:val="24"/>
              </w:rPr>
              <w:t xml:space="preserve">Reasons for </w:t>
            </w:r>
            <w:r>
              <w:rPr>
                <w:rFonts w:ascii="Times New Roman" w:eastAsia="Calibri" w:hAnsi="Times New Roman" w:cs="Times New Roman"/>
                <w:b/>
                <w:bCs/>
                <w:sz w:val="24"/>
                <w:szCs w:val="24"/>
              </w:rPr>
              <w:t>patient ineligibility</w:t>
            </w:r>
            <w:r w:rsidRPr="002152D2">
              <w:rPr>
                <w:rFonts w:ascii="Times New Roman" w:eastAsia="Calibri" w:hAnsi="Times New Roman" w:cs="Times New Roman"/>
                <w:b/>
                <w:bCs/>
                <w:sz w:val="24"/>
                <w:szCs w:val="24"/>
              </w:rPr>
              <w:t xml:space="preserve"> </w:t>
            </w:r>
          </w:p>
        </w:tc>
        <w:tc>
          <w:tcPr>
            <w:tcW w:w="1152" w:type="pct"/>
          </w:tcPr>
          <w:p w14:paraId="38CC7309" w14:textId="77777777" w:rsidR="00747395" w:rsidRPr="002152D2" w:rsidRDefault="00747395" w:rsidP="0036776B">
            <w:pPr>
              <w:rPr>
                <w:rFonts w:ascii="Times New Roman" w:eastAsia="Calibri" w:hAnsi="Times New Roman" w:cs="Times New Roman"/>
                <w:b/>
                <w:bCs/>
                <w:sz w:val="24"/>
                <w:szCs w:val="24"/>
              </w:rPr>
            </w:pPr>
            <w:r w:rsidRPr="002152D2">
              <w:rPr>
                <w:rFonts w:ascii="Times New Roman" w:eastAsia="Calibri" w:hAnsi="Times New Roman" w:cs="Times New Roman"/>
                <w:b/>
                <w:bCs/>
                <w:sz w:val="24"/>
                <w:szCs w:val="24"/>
              </w:rPr>
              <w:t>Number of Patients failing criteria*</w:t>
            </w:r>
          </w:p>
        </w:tc>
      </w:tr>
      <w:tr w:rsidR="00747395" w:rsidRPr="002152D2" w14:paraId="1B953A0F" w14:textId="77777777" w:rsidTr="0036776B">
        <w:tc>
          <w:tcPr>
            <w:tcW w:w="3848" w:type="pct"/>
          </w:tcPr>
          <w:p w14:paraId="5F392CDD" w14:textId="77777777" w:rsidR="00747395" w:rsidRPr="002152D2" w:rsidRDefault="00747395" w:rsidP="0036776B">
            <w:pPr>
              <w:rPr>
                <w:rFonts w:ascii="Times New Roman" w:eastAsia="Calibri" w:hAnsi="Times New Roman" w:cs="Times New Roman"/>
                <w:b/>
                <w:bCs/>
                <w:i/>
                <w:iCs/>
                <w:sz w:val="24"/>
                <w:szCs w:val="24"/>
              </w:rPr>
            </w:pPr>
            <w:r w:rsidRPr="002152D2">
              <w:rPr>
                <w:rFonts w:ascii="Times New Roman" w:eastAsia="Calibri" w:hAnsi="Times New Roman" w:cs="Times New Roman"/>
                <w:b/>
                <w:bCs/>
                <w:i/>
                <w:iCs/>
                <w:sz w:val="24"/>
                <w:szCs w:val="24"/>
              </w:rPr>
              <w:t>Inclusion Criteria not met:</w:t>
            </w:r>
          </w:p>
        </w:tc>
        <w:tc>
          <w:tcPr>
            <w:tcW w:w="1152" w:type="pct"/>
          </w:tcPr>
          <w:p w14:paraId="2F7AF852" w14:textId="77777777" w:rsidR="00747395" w:rsidRPr="002152D2" w:rsidRDefault="00747395" w:rsidP="0036776B">
            <w:pPr>
              <w:rPr>
                <w:rFonts w:ascii="Times New Roman" w:eastAsia="Calibri" w:hAnsi="Times New Roman" w:cs="Times New Roman"/>
                <w:sz w:val="24"/>
                <w:szCs w:val="24"/>
              </w:rPr>
            </w:pPr>
          </w:p>
        </w:tc>
      </w:tr>
      <w:tr w:rsidR="00747395" w:rsidRPr="002152D2" w14:paraId="631D997C" w14:textId="77777777" w:rsidTr="0036776B">
        <w:tc>
          <w:tcPr>
            <w:tcW w:w="3848" w:type="pct"/>
          </w:tcPr>
          <w:p w14:paraId="46E103E0" w14:textId="77777777" w:rsidR="00747395" w:rsidRPr="002152D2" w:rsidRDefault="00747395" w:rsidP="0036776B">
            <w:pPr>
              <w:rPr>
                <w:rFonts w:ascii="Times New Roman" w:eastAsia="Calibri" w:hAnsi="Times New Roman" w:cs="Times New Roman"/>
                <w:sz w:val="24"/>
                <w:szCs w:val="24"/>
              </w:rPr>
            </w:pPr>
            <w:r w:rsidRPr="00352FD7">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352FD7">
              <w:rPr>
                <w:rFonts w:ascii="Times New Roman" w:eastAsia="Calibri" w:hAnsi="Times New Roman" w:cs="Times New Roman"/>
                <w:sz w:val="24"/>
                <w:szCs w:val="24"/>
              </w:rPr>
              <w:t>Must have given written informed consent (signed and dated) and any authorizations required by local law and be able to comply with all study requirements</w:t>
            </w:r>
          </w:p>
        </w:tc>
        <w:tc>
          <w:tcPr>
            <w:tcW w:w="1152" w:type="pct"/>
          </w:tcPr>
          <w:p w14:paraId="415E8B95"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47395" w:rsidRPr="002152D2" w14:paraId="1BCB9CC5" w14:textId="77777777" w:rsidTr="0036776B">
        <w:tc>
          <w:tcPr>
            <w:tcW w:w="3848" w:type="pct"/>
          </w:tcPr>
          <w:p w14:paraId="01961965" w14:textId="77777777" w:rsidR="00747395" w:rsidRDefault="00747395" w:rsidP="0036776B">
            <w:pPr>
              <w:rPr>
                <w:rFonts w:ascii="Times New Roman" w:eastAsia="Calibri" w:hAnsi="Times New Roman" w:cs="Times New Roman"/>
                <w:sz w:val="24"/>
                <w:szCs w:val="24"/>
              </w:rPr>
            </w:pPr>
            <w:r w:rsidRPr="00352FD7">
              <w:rPr>
                <w:rFonts w:ascii="Times New Roman" w:eastAsia="Calibri" w:hAnsi="Times New Roman" w:cs="Times New Roman"/>
                <w:sz w:val="24"/>
                <w:szCs w:val="24"/>
              </w:rPr>
              <w:t>3a.</w:t>
            </w:r>
            <w:r>
              <w:rPr>
                <w:rFonts w:ascii="Times New Roman" w:eastAsia="Calibri" w:hAnsi="Times New Roman" w:cs="Times New Roman"/>
                <w:sz w:val="24"/>
                <w:szCs w:val="24"/>
              </w:rPr>
              <w:t xml:space="preserve"> </w:t>
            </w:r>
            <w:r w:rsidRPr="00352FD7">
              <w:rPr>
                <w:rFonts w:ascii="Times New Roman" w:eastAsia="Calibri" w:hAnsi="Times New Roman" w:cs="Times New Roman"/>
                <w:sz w:val="24"/>
                <w:szCs w:val="24"/>
              </w:rPr>
              <w:t>Clinical diagnosis of CVD (defined as documented coronary artery disease, stroke, or peripheral artery disease</w:t>
            </w:r>
            <w:r>
              <w:rPr>
                <w:rFonts w:ascii="Times New Roman" w:eastAsia="Calibri" w:hAnsi="Times New Roman" w:cs="Times New Roman"/>
                <w:sz w:val="24"/>
                <w:szCs w:val="24"/>
              </w:rPr>
              <w:t>)</w:t>
            </w:r>
          </w:p>
          <w:p w14:paraId="7658E804"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34656">
              <w:rPr>
                <w:rFonts w:ascii="Times New Roman" w:eastAsia="Calibri" w:hAnsi="Times New Roman" w:cs="Times New Roman"/>
                <w:sz w:val="24"/>
                <w:szCs w:val="24"/>
              </w:rPr>
              <w:t>b. High risk for CVD</w:t>
            </w:r>
          </w:p>
        </w:tc>
        <w:tc>
          <w:tcPr>
            <w:tcW w:w="1152" w:type="pct"/>
          </w:tcPr>
          <w:p w14:paraId="4BC9E7BA"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747395" w:rsidRPr="002152D2" w14:paraId="17BC850C" w14:textId="77777777" w:rsidTr="0036776B">
        <w:tc>
          <w:tcPr>
            <w:tcW w:w="3848" w:type="pct"/>
          </w:tcPr>
          <w:p w14:paraId="6D49EF01" w14:textId="77777777" w:rsidR="00747395" w:rsidRPr="002152D2" w:rsidRDefault="00747395" w:rsidP="0036776B">
            <w:pPr>
              <w:rPr>
                <w:rFonts w:ascii="Times New Roman" w:eastAsia="Calibri" w:hAnsi="Times New Roman" w:cs="Times New Roman"/>
                <w:sz w:val="24"/>
                <w:szCs w:val="24"/>
              </w:rPr>
            </w:pPr>
          </w:p>
        </w:tc>
        <w:tc>
          <w:tcPr>
            <w:tcW w:w="1152" w:type="pct"/>
          </w:tcPr>
          <w:p w14:paraId="4862F778" w14:textId="77777777" w:rsidR="00747395" w:rsidRPr="002152D2" w:rsidRDefault="00747395" w:rsidP="0036776B">
            <w:pPr>
              <w:jc w:val="center"/>
              <w:rPr>
                <w:rFonts w:ascii="Times New Roman" w:eastAsia="Calibri" w:hAnsi="Times New Roman" w:cs="Times New Roman"/>
                <w:sz w:val="24"/>
                <w:szCs w:val="24"/>
              </w:rPr>
            </w:pPr>
          </w:p>
        </w:tc>
      </w:tr>
      <w:tr w:rsidR="00747395" w:rsidRPr="002152D2" w14:paraId="1D43023C" w14:textId="77777777" w:rsidTr="0036776B">
        <w:tc>
          <w:tcPr>
            <w:tcW w:w="3848" w:type="pct"/>
          </w:tcPr>
          <w:p w14:paraId="3648D7A8" w14:textId="77777777" w:rsidR="00747395" w:rsidRDefault="00747395" w:rsidP="0036776B">
            <w:pPr>
              <w:rPr>
                <w:rFonts w:ascii="Times New Roman" w:eastAsia="Calibri" w:hAnsi="Times New Roman" w:cs="Times New Roman"/>
                <w:sz w:val="24"/>
                <w:szCs w:val="24"/>
              </w:rPr>
            </w:pPr>
            <w:r w:rsidRPr="00352FD7">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352FD7">
              <w:rPr>
                <w:rFonts w:ascii="Times New Roman" w:eastAsia="Calibri" w:hAnsi="Times New Roman" w:cs="Times New Roman"/>
                <w:sz w:val="24"/>
                <w:szCs w:val="24"/>
              </w:rPr>
              <w:t xml:space="preserve">Fasting serum TG ≥ 200 mg/dL (≥ 2.3 mmol/L) and ≤ 500 mg/dL (≥ </w:t>
            </w:r>
          </w:p>
          <w:p w14:paraId="238607A6"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2FD7">
              <w:rPr>
                <w:rFonts w:ascii="Times New Roman" w:eastAsia="Calibri" w:hAnsi="Times New Roman" w:cs="Times New Roman"/>
                <w:sz w:val="24"/>
                <w:szCs w:val="24"/>
              </w:rPr>
              <w:t xml:space="preserve">5.7 mmol/L) at Screening.  </w:t>
            </w:r>
          </w:p>
        </w:tc>
        <w:tc>
          <w:tcPr>
            <w:tcW w:w="1152" w:type="pct"/>
          </w:tcPr>
          <w:p w14:paraId="67E026F2"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171</w:t>
            </w:r>
          </w:p>
        </w:tc>
      </w:tr>
      <w:tr w:rsidR="00747395" w:rsidRPr="002152D2" w14:paraId="6A2B9B33" w14:textId="77777777" w:rsidTr="0036776B">
        <w:tc>
          <w:tcPr>
            <w:tcW w:w="3848" w:type="pct"/>
          </w:tcPr>
          <w:p w14:paraId="2EB975FD" w14:textId="77777777" w:rsidR="00747395" w:rsidRPr="002152D2" w:rsidRDefault="00747395" w:rsidP="0036776B">
            <w:pPr>
              <w:rPr>
                <w:rFonts w:ascii="Times New Roman" w:eastAsia="Calibri" w:hAnsi="Times New Roman" w:cs="Times New Roman"/>
                <w:sz w:val="24"/>
                <w:szCs w:val="24"/>
              </w:rPr>
            </w:pPr>
            <w:r w:rsidRPr="00352FD7">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352FD7">
              <w:rPr>
                <w:rFonts w:ascii="Times New Roman" w:eastAsia="Calibri" w:hAnsi="Times New Roman" w:cs="Times New Roman"/>
                <w:sz w:val="24"/>
                <w:szCs w:val="24"/>
              </w:rPr>
              <w:t xml:space="preserve">Fasting TG ≥ 200 mg/dL and ≤ 500 mg/dL at Qualification visit.  </w:t>
            </w:r>
          </w:p>
        </w:tc>
        <w:tc>
          <w:tcPr>
            <w:tcW w:w="1152" w:type="pct"/>
          </w:tcPr>
          <w:p w14:paraId="1BF03B9C"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747395" w:rsidRPr="002152D2" w14:paraId="28C2746D" w14:textId="77777777" w:rsidTr="0036776B">
        <w:tc>
          <w:tcPr>
            <w:tcW w:w="3848" w:type="pct"/>
          </w:tcPr>
          <w:p w14:paraId="25EDD0F7" w14:textId="77777777" w:rsidR="00747395" w:rsidRDefault="00747395" w:rsidP="0036776B">
            <w:pPr>
              <w:rPr>
                <w:rFonts w:ascii="Times New Roman" w:eastAsia="Calibri" w:hAnsi="Times New Roman" w:cs="Times New Roman"/>
                <w:sz w:val="24"/>
                <w:szCs w:val="24"/>
              </w:rPr>
            </w:pPr>
            <w:r w:rsidRPr="005D20D3">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5D20D3">
              <w:rPr>
                <w:rFonts w:ascii="Times New Roman" w:eastAsia="Calibri" w:hAnsi="Times New Roman" w:cs="Times New Roman"/>
                <w:sz w:val="24"/>
                <w:szCs w:val="24"/>
              </w:rPr>
              <w:t xml:space="preserve">Patients on the following medications must be on a stable regimen for </w:t>
            </w:r>
          </w:p>
          <w:p w14:paraId="2F765A9D" w14:textId="77777777" w:rsidR="00747395"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D20D3">
              <w:rPr>
                <w:rFonts w:ascii="Times New Roman" w:eastAsia="Calibri" w:hAnsi="Times New Roman" w:cs="Times New Roman"/>
                <w:sz w:val="24"/>
                <w:szCs w:val="24"/>
              </w:rPr>
              <w:t xml:space="preserve">at least 4 weeks prior to Screening and expected to remain on a stable </w:t>
            </w:r>
          </w:p>
          <w:p w14:paraId="6A7F0C6E" w14:textId="77777777" w:rsidR="00747395" w:rsidRPr="005D20D3"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D20D3">
              <w:rPr>
                <w:rFonts w:ascii="Times New Roman" w:eastAsia="Calibri" w:hAnsi="Times New Roman" w:cs="Times New Roman"/>
                <w:sz w:val="24"/>
                <w:szCs w:val="24"/>
              </w:rPr>
              <w:t>regimen through the end of the post-treatment follow-up period:</w:t>
            </w:r>
          </w:p>
          <w:p w14:paraId="270CB82C" w14:textId="77777777" w:rsidR="00747395" w:rsidRPr="005D20D3" w:rsidRDefault="00747395" w:rsidP="0036776B">
            <w:pPr>
              <w:ind w:left="720"/>
              <w:rPr>
                <w:rFonts w:ascii="Times New Roman" w:eastAsia="Calibri" w:hAnsi="Times New Roman" w:cs="Times New Roman"/>
                <w:sz w:val="24"/>
                <w:szCs w:val="24"/>
              </w:rPr>
            </w:pPr>
            <w:r w:rsidRPr="005D20D3">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5D20D3">
              <w:rPr>
                <w:rFonts w:ascii="Times New Roman" w:eastAsia="Calibri" w:hAnsi="Times New Roman" w:cs="Times New Roman"/>
                <w:sz w:val="24"/>
                <w:szCs w:val="24"/>
              </w:rPr>
              <w:t>Lipid lowering drugs (statins, ezetimibe, PCSK9 inhibitors, niacin, fibrates, fish oil or other products containing omega-3 fatty acids including OTC preparations)</w:t>
            </w:r>
          </w:p>
          <w:p w14:paraId="2E022C27" w14:textId="77777777" w:rsidR="00747395" w:rsidRPr="005D20D3" w:rsidRDefault="00747395" w:rsidP="0036776B">
            <w:pPr>
              <w:ind w:left="720"/>
              <w:rPr>
                <w:rFonts w:ascii="Times New Roman" w:eastAsia="Calibri" w:hAnsi="Times New Roman" w:cs="Times New Roman"/>
                <w:sz w:val="24"/>
                <w:szCs w:val="24"/>
              </w:rPr>
            </w:pPr>
            <w:r w:rsidRPr="005D20D3">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5D20D3">
              <w:rPr>
                <w:rFonts w:ascii="Times New Roman" w:eastAsia="Calibri" w:hAnsi="Times New Roman" w:cs="Times New Roman"/>
                <w:sz w:val="24"/>
                <w:szCs w:val="24"/>
              </w:rPr>
              <w:t>Antiplatelet drugs</w:t>
            </w:r>
          </w:p>
          <w:p w14:paraId="2464A88A" w14:textId="77777777" w:rsidR="00747395" w:rsidRPr="002152D2" w:rsidRDefault="00747395" w:rsidP="0036776B">
            <w:pPr>
              <w:ind w:left="720"/>
              <w:rPr>
                <w:rFonts w:ascii="Times New Roman" w:eastAsia="Calibri" w:hAnsi="Times New Roman" w:cs="Times New Roman"/>
                <w:sz w:val="24"/>
                <w:szCs w:val="24"/>
              </w:rPr>
            </w:pPr>
            <w:r w:rsidRPr="005D20D3">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5D20D3">
              <w:rPr>
                <w:rFonts w:ascii="Times New Roman" w:eastAsia="Calibri" w:hAnsi="Times New Roman" w:cs="Times New Roman"/>
                <w:sz w:val="24"/>
                <w:szCs w:val="24"/>
              </w:rPr>
              <w:t>Testosterone, estrogens, progesterone, growth hormone or progestins</w:t>
            </w:r>
          </w:p>
        </w:tc>
        <w:tc>
          <w:tcPr>
            <w:tcW w:w="1152" w:type="pct"/>
          </w:tcPr>
          <w:p w14:paraId="44A27DD7"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747395" w:rsidRPr="002152D2" w14:paraId="208D70B0" w14:textId="77777777" w:rsidTr="0036776B">
        <w:tc>
          <w:tcPr>
            <w:tcW w:w="3848" w:type="pct"/>
          </w:tcPr>
          <w:p w14:paraId="46F952D6"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5D20D3">
              <w:rPr>
                <w:rFonts w:ascii="Times New Roman" w:eastAsia="Calibri" w:hAnsi="Times New Roman" w:cs="Times New Roman"/>
                <w:sz w:val="24"/>
                <w:szCs w:val="24"/>
              </w:rPr>
              <w:t xml:space="preserve">Females must be non-pregnant and non-lactating and agree to contraception if they are of </w:t>
            </w:r>
            <w:proofErr w:type="gramStart"/>
            <w:r w:rsidRPr="005D20D3">
              <w:rPr>
                <w:rFonts w:ascii="Times New Roman" w:eastAsia="Calibri" w:hAnsi="Times New Roman" w:cs="Times New Roman"/>
                <w:sz w:val="24"/>
                <w:szCs w:val="24"/>
              </w:rPr>
              <w:t>child bearing</w:t>
            </w:r>
            <w:proofErr w:type="gramEnd"/>
            <w:r w:rsidRPr="005D20D3">
              <w:rPr>
                <w:rFonts w:ascii="Times New Roman" w:eastAsia="Calibri" w:hAnsi="Times New Roman" w:cs="Times New Roman"/>
                <w:sz w:val="24"/>
                <w:szCs w:val="24"/>
              </w:rPr>
              <w:t xml:space="preserve"> potential</w:t>
            </w:r>
          </w:p>
        </w:tc>
        <w:tc>
          <w:tcPr>
            <w:tcW w:w="1152" w:type="pct"/>
          </w:tcPr>
          <w:p w14:paraId="65EBC264"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47395" w:rsidRPr="002152D2" w14:paraId="0E625C85" w14:textId="77777777" w:rsidTr="0036776B">
        <w:tc>
          <w:tcPr>
            <w:tcW w:w="3848" w:type="pct"/>
          </w:tcPr>
          <w:p w14:paraId="6D28DB2A" w14:textId="77777777" w:rsidR="00747395" w:rsidRPr="002152D2" w:rsidRDefault="00747395" w:rsidP="0036776B">
            <w:pPr>
              <w:rPr>
                <w:rFonts w:ascii="Times New Roman" w:eastAsia="Calibri" w:hAnsi="Times New Roman" w:cs="Times New Roman"/>
                <w:b/>
                <w:bCs/>
                <w:i/>
                <w:iCs/>
                <w:sz w:val="24"/>
                <w:szCs w:val="24"/>
              </w:rPr>
            </w:pPr>
            <w:r w:rsidRPr="002152D2">
              <w:rPr>
                <w:rFonts w:ascii="Times New Roman" w:eastAsia="Calibri" w:hAnsi="Times New Roman" w:cs="Times New Roman"/>
                <w:b/>
                <w:bCs/>
                <w:i/>
                <w:iCs/>
                <w:sz w:val="24"/>
                <w:szCs w:val="24"/>
              </w:rPr>
              <w:t>Exclusion Criteria met:</w:t>
            </w:r>
          </w:p>
        </w:tc>
        <w:tc>
          <w:tcPr>
            <w:tcW w:w="1152" w:type="pct"/>
          </w:tcPr>
          <w:p w14:paraId="536CC22F" w14:textId="77777777" w:rsidR="00747395" w:rsidRPr="002152D2" w:rsidRDefault="00747395" w:rsidP="0036776B">
            <w:pPr>
              <w:jc w:val="center"/>
              <w:rPr>
                <w:rFonts w:ascii="Times New Roman" w:eastAsia="Calibri" w:hAnsi="Times New Roman" w:cs="Times New Roman"/>
                <w:sz w:val="24"/>
                <w:szCs w:val="24"/>
              </w:rPr>
            </w:pPr>
          </w:p>
        </w:tc>
      </w:tr>
      <w:tr w:rsidR="00747395" w:rsidRPr="002152D2" w14:paraId="4193DFC2" w14:textId="77777777" w:rsidTr="0036776B">
        <w:tc>
          <w:tcPr>
            <w:tcW w:w="3848" w:type="pct"/>
          </w:tcPr>
          <w:p w14:paraId="6E840CD1" w14:textId="77777777" w:rsidR="00747395" w:rsidRPr="002152D2" w:rsidRDefault="00747395" w:rsidP="0036776B">
            <w:pPr>
              <w:rPr>
                <w:rFonts w:ascii="Times New Roman" w:eastAsia="Calibri" w:hAnsi="Times New Roman" w:cs="Times New Roman"/>
                <w:sz w:val="24"/>
                <w:szCs w:val="24"/>
              </w:rPr>
            </w:pPr>
            <w:r w:rsidRPr="0098539B">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98539B">
              <w:rPr>
                <w:rFonts w:ascii="Times New Roman" w:eastAsia="Calibri" w:hAnsi="Times New Roman" w:cs="Times New Roman"/>
                <w:sz w:val="24"/>
                <w:szCs w:val="24"/>
              </w:rPr>
              <w:t>Uncontrolled hypertension (systolic &gt; 160 or diastolic &gt; 100 mm Hg)</w:t>
            </w:r>
          </w:p>
        </w:tc>
        <w:tc>
          <w:tcPr>
            <w:tcW w:w="1152" w:type="pct"/>
          </w:tcPr>
          <w:p w14:paraId="5AEC9819"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47395" w:rsidRPr="002152D2" w14:paraId="68D2B85B" w14:textId="77777777" w:rsidTr="0036776B">
        <w:tc>
          <w:tcPr>
            <w:tcW w:w="3848" w:type="pct"/>
          </w:tcPr>
          <w:p w14:paraId="60FBE5CC" w14:textId="77777777" w:rsidR="00747395" w:rsidRPr="002152D2" w:rsidRDefault="00747395" w:rsidP="0036776B">
            <w:pPr>
              <w:rPr>
                <w:rFonts w:ascii="Times New Roman" w:eastAsia="Calibri" w:hAnsi="Times New Roman" w:cs="Times New Roman"/>
                <w:sz w:val="24"/>
                <w:szCs w:val="24"/>
              </w:rPr>
            </w:pPr>
          </w:p>
        </w:tc>
        <w:tc>
          <w:tcPr>
            <w:tcW w:w="1152" w:type="pct"/>
          </w:tcPr>
          <w:p w14:paraId="3AABB886" w14:textId="77777777" w:rsidR="00747395" w:rsidRPr="002152D2" w:rsidRDefault="00747395" w:rsidP="0036776B">
            <w:pPr>
              <w:jc w:val="center"/>
              <w:rPr>
                <w:rFonts w:ascii="Times New Roman" w:eastAsia="Calibri" w:hAnsi="Times New Roman" w:cs="Times New Roman"/>
                <w:sz w:val="24"/>
                <w:szCs w:val="24"/>
              </w:rPr>
            </w:pPr>
          </w:p>
        </w:tc>
      </w:tr>
      <w:tr w:rsidR="00747395" w:rsidRPr="002152D2" w14:paraId="79AACDDF" w14:textId="77777777" w:rsidTr="0036776B">
        <w:tc>
          <w:tcPr>
            <w:tcW w:w="3848" w:type="pct"/>
          </w:tcPr>
          <w:p w14:paraId="76F7666E" w14:textId="77777777" w:rsidR="00747395" w:rsidRPr="002152D2" w:rsidRDefault="00747395" w:rsidP="0036776B">
            <w:pPr>
              <w:rPr>
                <w:rFonts w:ascii="Times New Roman" w:eastAsia="Calibri" w:hAnsi="Times New Roman" w:cs="Times New Roman"/>
                <w:sz w:val="24"/>
                <w:szCs w:val="24"/>
              </w:rPr>
            </w:pPr>
            <w:r w:rsidRPr="0098539B">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98539B">
              <w:rPr>
                <w:rFonts w:ascii="Times New Roman" w:eastAsia="Calibri" w:hAnsi="Times New Roman" w:cs="Times New Roman"/>
                <w:sz w:val="24"/>
                <w:szCs w:val="24"/>
              </w:rPr>
              <w:t>Uncontrolled hyper or hypothyroidism</w:t>
            </w:r>
          </w:p>
        </w:tc>
        <w:tc>
          <w:tcPr>
            <w:tcW w:w="1152" w:type="pct"/>
          </w:tcPr>
          <w:p w14:paraId="0C216EF8"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47395" w:rsidRPr="002152D2" w14:paraId="7FF7AAC7" w14:textId="77777777" w:rsidTr="0036776B">
        <w:tc>
          <w:tcPr>
            <w:tcW w:w="3848" w:type="pct"/>
          </w:tcPr>
          <w:p w14:paraId="28A8E38B" w14:textId="77777777" w:rsidR="00747395" w:rsidRDefault="00747395" w:rsidP="0036776B">
            <w:pPr>
              <w:rPr>
                <w:rFonts w:ascii="Times New Roman" w:eastAsia="Calibri" w:hAnsi="Times New Roman" w:cs="Times New Roman"/>
                <w:sz w:val="24"/>
                <w:szCs w:val="24"/>
              </w:rPr>
            </w:pPr>
            <w:r w:rsidRPr="0098539B">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98539B">
              <w:rPr>
                <w:rFonts w:ascii="Times New Roman" w:eastAsia="Calibri" w:hAnsi="Times New Roman" w:cs="Times New Roman"/>
                <w:sz w:val="24"/>
                <w:szCs w:val="24"/>
              </w:rPr>
              <w:t xml:space="preserve">Active infection requiring systemic antiviral or antimicrobial therapy </w:t>
            </w:r>
          </w:p>
          <w:p w14:paraId="722E04F7"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8539B">
              <w:rPr>
                <w:rFonts w:ascii="Times New Roman" w:eastAsia="Calibri" w:hAnsi="Times New Roman" w:cs="Times New Roman"/>
                <w:sz w:val="24"/>
                <w:szCs w:val="24"/>
              </w:rPr>
              <w:t>that will not be completed prior to Study Day 1</w:t>
            </w:r>
          </w:p>
        </w:tc>
        <w:tc>
          <w:tcPr>
            <w:tcW w:w="1152" w:type="pct"/>
          </w:tcPr>
          <w:p w14:paraId="6A815DC8"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47395" w:rsidRPr="002152D2" w14:paraId="7522CD96" w14:textId="77777777" w:rsidTr="0036776B">
        <w:tc>
          <w:tcPr>
            <w:tcW w:w="3848" w:type="pct"/>
          </w:tcPr>
          <w:p w14:paraId="5B5F8E6D" w14:textId="77777777" w:rsidR="00747395" w:rsidRDefault="00747395" w:rsidP="0036776B">
            <w:pPr>
              <w:rPr>
                <w:rFonts w:ascii="Times New Roman" w:eastAsia="Calibri" w:hAnsi="Times New Roman" w:cs="Times New Roman"/>
                <w:sz w:val="24"/>
                <w:szCs w:val="24"/>
              </w:rPr>
            </w:pPr>
            <w:r w:rsidRPr="0098539B">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98539B">
              <w:rPr>
                <w:rFonts w:ascii="Times New Roman" w:eastAsia="Calibri" w:hAnsi="Times New Roman" w:cs="Times New Roman"/>
                <w:sz w:val="24"/>
                <w:szCs w:val="24"/>
              </w:rPr>
              <w:t xml:space="preserve">Known history of or positive test for human immunodeficiency virus </w:t>
            </w:r>
          </w:p>
          <w:p w14:paraId="7BE7C86E"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8539B">
              <w:rPr>
                <w:rFonts w:ascii="Times New Roman" w:eastAsia="Calibri" w:hAnsi="Times New Roman" w:cs="Times New Roman"/>
                <w:sz w:val="24"/>
                <w:szCs w:val="24"/>
              </w:rPr>
              <w:t>(HIV), hepatitis C or chronic hepatitis B</w:t>
            </w:r>
          </w:p>
        </w:tc>
        <w:tc>
          <w:tcPr>
            <w:tcW w:w="1152" w:type="pct"/>
          </w:tcPr>
          <w:p w14:paraId="06012631"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747395" w:rsidRPr="002152D2" w14:paraId="03B91ABD" w14:textId="77777777" w:rsidTr="0036776B">
        <w:tc>
          <w:tcPr>
            <w:tcW w:w="3848" w:type="pct"/>
          </w:tcPr>
          <w:p w14:paraId="5335DEA4" w14:textId="77777777" w:rsidR="00747395" w:rsidRDefault="00747395" w:rsidP="0036776B">
            <w:pPr>
              <w:rPr>
                <w:rFonts w:ascii="Times New Roman" w:eastAsia="Calibri" w:hAnsi="Times New Roman" w:cs="Times New Roman"/>
                <w:sz w:val="24"/>
                <w:szCs w:val="24"/>
              </w:rPr>
            </w:pPr>
            <w:r w:rsidRPr="0098539B">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Pr="0098539B">
              <w:rPr>
                <w:rFonts w:ascii="Times New Roman" w:eastAsia="Calibri" w:hAnsi="Times New Roman" w:cs="Times New Roman"/>
                <w:sz w:val="24"/>
                <w:szCs w:val="24"/>
              </w:rPr>
              <w:t xml:space="preserve">Malignancy within 5 years, except for basal or squamous cell </w:t>
            </w:r>
          </w:p>
          <w:p w14:paraId="54AB09D3" w14:textId="77777777" w:rsidR="00747395"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8539B">
              <w:rPr>
                <w:rFonts w:ascii="Times New Roman" w:eastAsia="Calibri" w:hAnsi="Times New Roman" w:cs="Times New Roman"/>
                <w:sz w:val="24"/>
                <w:szCs w:val="24"/>
              </w:rPr>
              <w:t xml:space="preserve">carcinoma of the skin or carcinoma in situ of the cervix that has been </w:t>
            </w:r>
          </w:p>
          <w:p w14:paraId="40A4D219"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8539B">
              <w:rPr>
                <w:rFonts w:ascii="Times New Roman" w:eastAsia="Calibri" w:hAnsi="Times New Roman" w:cs="Times New Roman"/>
                <w:sz w:val="24"/>
                <w:szCs w:val="24"/>
              </w:rPr>
              <w:t>successfully treated</w:t>
            </w:r>
          </w:p>
        </w:tc>
        <w:tc>
          <w:tcPr>
            <w:tcW w:w="1152" w:type="pct"/>
          </w:tcPr>
          <w:p w14:paraId="0E1CD8E2"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47395" w:rsidRPr="002152D2" w14:paraId="4085CA13" w14:textId="77777777" w:rsidTr="0036776B">
        <w:tc>
          <w:tcPr>
            <w:tcW w:w="3848" w:type="pct"/>
          </w:tcPr>
          <w:p w14:paraId="6F4386D2"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13</w:t>
            </w:r>
            <w:r w:rsidRPr="0098539B">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98539B">
              <w:rPr>
                <w:rFonts w:ascii="Times New Roman" w:eastAsia="Calibri" w:hAnsi="Times New Roman" w:cs="Times New Roman"/>
                <w:sz w:val="24"/>
                <w:szCs w:val="24"/>
              </w:rPr>
              <w:t xml:space="preserve">Positive test (including trace) for blood on urinalysis.  </w:t>
            </w:r>
          </w:p>
        </w:tc>
        <w:tc>
          <w:tcPr>
            <w:tcW w:w="1152" w:type="pct"/>
          </w:tcPr>
          <w:p w14:paraId="0C980F0B"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747395" w:rsidRPr="002152D2" w14:paraId="6AB9BB79" w14:textId="77777777" w:rsidTr="0036776B">
        <w:tc>
          <w:tcPr>
            <w:tcW w:w="3848" w:type="pct"/>
          </w:tcPr>
          <w:p w14:paraId="67A613C4"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13</w:t>
            </w:r>
            <w:r w:rsidRPr="0098539B">
              <w:rPr>
                <w:rFonts w:ascii="Times New Roman" w:eastAsia="Calibri" w:hAnsi="Times New Roman" w:cs="Times New Roman"/>
                <w:sz w:val="24"/>
                <w:szCs w:val="24"/>
              </w:rPr>
              <w:t>b.Urine protein/creatinine ratio (UPCR) ≥ 0.25 mg/mg.</w:t>
            </w:r>
          </w:p>
        </w:tc>
        <w:tc>
          <w:tcPr>
            <w:tcW w:w="1152" w:type="pct"/>
          </w:tcPr>
          <w:p w14:paraId="69513060"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r>
      <w:tr w:rsidR="00747395" w:rsidRPr="002152D2" w14:paraId="2A936C8A" w14:textId="77777777" w:rsidTr="0036776B">
        <w:tc>
          <w:tcPr>
            <w:tcW w:w="3848" w:type="pct"/>
          </w:tcPr>
          <w:p w14:paraId="725A00AC" w14:textId="77777777" w:rsidR="00747395"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13</w:t>
            </w:r>
            <w:r w:rsidRPr="0098539B">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98539B">
              <w:rPr>
                <w:rFonts w:ascii="Times New Roman" w:eastAsia="Calibri" w:hAnsi="Times New Roman" w:cs="Times New Roman"/>
                <w:sz w:val="24"/>
                <w:szCs w:val="24"/>
              </w:rPr>
              <w:t>Estimated GFR ˂ 60 mL/min/1.73 m2 (as determined by the CKD-</w:t>
            </w:r>
          </w:p>
          <w:p w14:paraId="01D8C006"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8539B">
              <w:rPr>
                <w:rFonts w:ascii="Times New Roman" w:eastAsia="Calibri" w:hAnsi="Times New Roman" w:cs="Times New Roman"/>
                <w:sz w:val="24"/>
                <w:szCs w:val="24"/>
              </w:rPr>
              <w:t>EPI</w:t>
            </w:r>
            <w:r>
              <w:rPr>
                <w:rFonts w:ascii="Times New Roman" w:eastAsia="Calibri" w:hAnsi="Times New Roman" w:cs="Times New Roman"/>
                <w:sz w:val="24"/>
                <w:szCs w:val="24"/>
              </w:rPr>
              <w:t xml:space="preserve"> </w:t>
            </w:r>
            <w:r w:rsidRPr="0098539B">
              <w:rPr>
                <w:rFonts w:ascii="Times New Roman" w:eastAsia="Calibri" w:hAnsi="Times New Roman" w:cs="Times New Roman"/>
                <w:sz w:val="24"/>
                <w:szCs w:val="24"/>
              </w:rPr>
              <w:t>Equation</w:t>
            </w:r>
            <w:r>
              <w:rPr>
                <w:rFonts w:ascii="Times New Roman" w:eastAsia="Calibri" w:hAnsi="Times New Roman" w:cs="Times New Roman"/>
                <w:sz w:val="24"/>
                <w:szCs w:val="24"/>
              </w:rPr>
              <w:t>)</w:t>
            </w:r>
          </w:p>
        </w:tc>
        <w:tc>
          <w:tcPr>
            <w:tcW w:w="1152" w:type="pct"/>
          </w:tcPr>
          <w:p w14:paraId="734B4B44"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747395" w:rsidRPr="002152D2" w14:paraId="0F00F856" w14:textId="77777777" w:rsidTr="0036776B">
        <w:tc>
          <w:tcPr>
            <w:tcW w:w="3848" w:type="pct"/>
          </w:tcPr>
          <w:p w14:paraId="74B7A5D9"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13</w:t>
            </w:r>
            <w:r w:rsidRPr="0098539B">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Pr="0098539B">
              <w:rPr>
                <w:rFonts w:ascii="Times New Roman" w:eastAsia="Calibri" w:hAnsi="Times New Roman" w:cs="Times New Roman"/>
                <w:sz w:val="24"/>
                <w:szCs w:val="24"/>
              </w:rPr>
              <w:t>ALT or AST &gt; 2 x ULN</w:t>
            </w:r>
          </w:p>
        </w:tc>
        <w:tc>
          <w:tcPr>
            <w:tcW w:w="1152" w:type="pct"/>
          </w:tcPr>
          <w:p w14:paraId="44626D1E"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47395" w:rsidRPr="002152D2" w14:paraId="1B102E23" w14:textId="77777777" w:rsidTr="0036776B">
        <w:tc>
          <w:tcPr>
            <w:tcW w:w="3848" w:type="pct"/>
          </w:tcPr>
          <w:p w14:paraId="3343A5F4"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13</w:t>
            </w:r>
            <w:r w:rsidRPr="00DC3DB8">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Pr="00DC3DB8">
              <w:rPr>
                <w:rFonts w:ascii="Times New Roman" w:eastAsia="Calibri" w:hAnsi="Times New Roman" w:cs="Times New Roman"/>
                <w:sz w:val="24"/>
                <w:szCs w:val="24"/>
              </w:rPr>
              <w:t>Bilirubin &gt; 1.2 x ULN, unless prior diagnosis and documentation of Gilbert’s syndrome in which case total bilirubin must be ≤ 3 mg/dL</w:t>
            </w:r>
          </w:p>
        </w:tc>
        <w:tc>
          <w:tcPr>
            <w:tcW w:w="1152" w:type="pct"/>
          </w:tcPr>
          <w:p w14:paraId="454249A6"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47395" w:rsidRPr="002152D2" w14:paraId="69A7414B" w14:textId="77777777" w:rsidTr="0036776B">
        <w:tc>
          <w:tcPr>
            <w:tcW w:w="3848" w:type="pct"/>
          </w:tcPr>
          <w:p w14:paraId="56C6BD78" w14:textId="77777777" w:rsidR="00747395"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13f.</w:t>
            </w:r>
          </w:p>
        </w:tc>
        <w:tc>
          <w:tcPr>
            <w:tcW w:w="1152" w:type="pct"/>
          </w:tcPr>
          <w:p w14:paraId="215F8CBF" w14:textId="77777777" w:rsidR="00747395"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747395" w:rsidRPr="002152D2" w14:paraId="2A89DFCC" w14:textId="77777777" w:rsidTr="0036776B">
        <w:tc>
          <w:tcPr>
            <w:tcW w:w="3848" w:type="pct"/>
          </w:tcPr>
          <w:p w14:paraId="5080C624"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13</w:t>
            </w:r>
            <w:r w:rsidRPr="00DC3DB8">
              <w:rPr>
                <w:rFonts w:ascii="Times New Roman" w:eastAsia="Calibri" w:hAnsi="Times New Roman" w:cs="Times New Roman"/>
                <w:sz w:val="24"/>
                <w:szCs w:val="24"/>
              </w:rPr>
              <w:t>g.</w:t>
            </w:r>
            <w:r>
              <w:rPr>
                <w:rFonts w:ascii="Times New Roman" w:eastAsia="Calibri" w:hAnsi="Times New Roman" w:cs="Times New Roman"/>
                <w:sz w:val="24"/>
                <w:szCs w:val="24"/>
              </w:rPr>
              <w:t xml:space="preserve"> </w:t>
            </w:r>
            <w:r w:rsidRPr="00DC3DB8">
              <w:rPr>
                <w:rFonts w:ascii="Times New Roman" w:eastAsia="Calibri" w:hAnsi="Times New Roman" w:cs="Times New Roman"/>
                <w:sz w:val="24"/>
                <w:szCs w:val="24"/>
              </w:rPr>
              <w:t>Platelet count ˂ LLN</w:t>
            </w:r>
          </w:p>
        </w:tc>
        <w:tc>
          <w:tcPr>
            <w:tcW w:w="1152" w:type="pct"/>
          </w:tcPr>
          <w:p w14:paraId="773E427E"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747395" w:rsidRPr="002152D2" w14:paraId="6A88A59A" w14:textId="77777777" w:rsidTr="0036776B">
        <w:tc>
          <w:tcPr>
            <w:tcW w:w="3848" w:type="pct"/>
          </w:tcPr>
          <w:p w14:paraId="065B710D"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13</w:t>
            </w:r>
            <w:r w:rsidRPr="00DC3DB8">
              <w:rPr>
                <w:rFonts w:ascii="Times New Roman" w:eastAsia="Calibri" w:hAnsi="Times New Roman" w:cs="Times New Roman"/>
                <w:sz w:val="24"/>
                <w:szCs w:val="24"/>
              </w:rPr>
              <w:t>h.</w:t>
            </w:r>
            <w:r>
              <w:rPr>
                <w:rFonts w:ascii="Times New Roman" w:eastAsia="Calibri" w:hAnsi="Times New Roman" w:cs="Times New Roman"/>
                <w:sz w:val="24"/>
                <w:szCs w:val="24"/>
              </w:rPr>
              <w:t xml:space="preserve"> </w:t>
            </w:r>
            <w:r w:rsidRPr="00DC3DB8">
              <w:rPr>
                <w:rFonts w:ascii="Times New Roman" w:eastAsia="Calibri" w:hAnsi="Times New Roman" w:cs="Times New Roman"/>
                <w:sz w:val="24"/>
                <w:szCs w:val="24"/>
              </w:rPr>
              <w:t>LDL-C &gt; 130 mg/dL (&gt; 3.4 mmol/L)</w:t>
            </w:r>
          </w:p>
        </w:tc>
        <w:tc>
          <w:tcPr>
            <w:tcW w:w="1152" w:type="pct"/>
          </w:tcPr>
          <w:p w14:paraId="7D0CAE53"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747395" w:rsidRPr="002152D2" w14:paraId="56B6A294" w14:textId="77777777" w:rsidTr="0036776B">
        <w:tc>
          <w:tcPr>
            <w:tcW w:w="3848" w:type="pct"/>
          </w:tcPr>
          <w:p w14:paraId="1746041A" w14:textId="77777777" w:rsidR="00747395"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15</w:t>
            </w:r>
            <w:r w:rsidRPr="00DC3DB8">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DC3DB8">
              <w:rPr>
                <w:rFonts w:ascii="Times New Roman" w:eastAsia="Calibri" w:hAnsi="Times New Roman" w:cs="Times New Roman"/>
                <w:sz w:val="24"/>
                <w:szCs w:val="24"/>
              </w:rPr>
              <w:t xml:space="preserve">Newly diagnosed </w:t>
            </w:r>
            <w:r>
              <w:rPr>
                <w:rFonts w:ascii="Times New Roman" w:eastAsia="Calibri" w:hAnsi="Times New Roman" w:cs="Times New Roman"/>
                <w:sz w:val="24"/>
                <w:szCs w:val="24"/>
              </w:rPr>
              <w:t xml:space="preserve">Type 2 diabetes mellitus </w:t>
            </w:r>
            <w:r w:rsidRPr="00DC3DB8">
              <w:rPr>
                <w:rFonts w:ascii="Times New Roman" w:eastAsia="Calibri" w:hAnsi="Times New Roman" w:cs="Times New Roman"/>
                <w:sz w:val="24"/>
                <w:szCs w:val="24"/>
              </w:rPr>
              <w:t xml:space="preserve">within 12 weeks of </w:t>
            </w:r>
          </w:p>
          <w:p w14:paraId="74181649"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C3DB8">
              <w:rPr>
                <w:rFonts w:ascii="Times New Roman" w:eastAsia="Calibri" w:hAnsi="Times New Roman" w:cs="Times New Roman"/>
                <w:sz w:val="24"/>
                <w:szCs w:val="24"/>
              </w:rPr>
              <w:t>Screening</w:t>
            </w:r>
          </w:p>
        </w:tc>
        <w:tc>
          <w:tcPr>
            <w:tcW w:w="1152" w:type="pct"/>
          </w:tcPr>
          <w:p w14:paraId="5B1BDB3D"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47395" w:rsidRPr="002152D2" w14:paraId="12C03700" w14:textId="77777777" w:rsidTr="0036776B">
        <w:tc>
          <w:tcPr>
            <w:tcW w:w="3848" w:type="pct"/>
          </w:tcPr>
          <w:p w14:paraId="3787E56D"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 xml:space="preserve">15b. </w:t>
            </w:r>
            <w:r w:rsidRPr="00DC3DB8">
              <w:rPr>
                <w:rFonts w:ascii="Times New Roman" w:eastAsia="Calibri" w:hAnsi="Times New Roman" w:cs="Times New Roman"/>
                <w:sz w:val="24"/>
                <w:szCs w:val="24"/>
              </w:rPr>
              <w:t>HbA1c ≥ 9.0% at Screening</w:t>
            </w:r>
          </w:p>
        </w:tc>
        <w:tc>
          <w:tcPr>
            <w:tcW w:w="1152" w:type="pct"/>
          </w:tcPr>
          <w:p w14:paraId="73796262"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747395" w:rsidRPr="002152D2" w14:paraId="2E8EF9E1" w14:textId="77777777" w:rsidTr="0036776B">
        <w:tc>
          <w:tcPr>
            <w:tcW w:w="3848" w:type="pct"/>
          </w:tcPr>
          <w:p w14:paraId="730AB5F7" w14:textId="77777777" w:rsidR="00747395" w:rsidRPr="002152D2" w:rsidRDefault="00747395" w:rsidP="0036776B">
            <w:pPr>
              <w:rPr>
                <w:rFonts w:ascii="Times New Roman" w:eastAsia="Calibri" w:hAnsi="Times New Roman" w:cs="Times New Roman"/>
                <w:sz w:val="24"/>
                <w:szCs w:val="24"/>
              </w:rPr>
            </w:pPr>
            <w:r>
              <w:rPr>
                <w:rFonts w:ascii="Times New Roman" w:eastAsia="Calibri" w:hAnsi="Times New Roman" w:cs="Times New Roman"/>
                <w:sz w:val="24"/>
                <w:szCs w:val="24"/>
              </w:rPr>
              <w:t>15</w:t>
            </w:r>
            <w:r w:rsidRPr="00BC2E9A">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BC2E9A">
              <w:rPr>
                <w:rFonts w:ascii="Times New Roman" w:eastAsia="Calibri" w:hAnsi="Times New Roman" w:cs="Times New Roman"/>
                <w:sz w:val="24"/>
                <w:szCs w:val="24"/>
              </w:rPr>
              <w:t>Recent change in anti-diabetic pharmacotherapy (change in dosage or addition of new medication within 12 weeks of Screening [with the exception of ± 10 units of insulin])</w:t>
            </w:r>
          </w:p>
        </w:tc>
        <w:tc>
          <w:tcPr>
            <w:tcW w:w="1152" w:type="pct"/>
          </w:tcPr>
          <w:p w14:paraId="7CF3C30E"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747395" w:rsidRPr="002152D2" w14:paraId="041E40E5" w14:textId="77777777" w:rsidTr="0036776B">
        <w:tc>
          <w:tcPr>
            <w:tcW w:w="3848" w:type="pct"/>
          </w:tcPr>
          <w:p w14:paraId="3E150814" w14:textId="77777777" w:rsidR="00747395" w:rsidRPr="002152D2" w:rsidRDefault="00747395" w:rsidP="0036776B">
            <w:pPr>
              <w:rPr>
                <w:rFonts w:ascii="Times New Roman" w:eastAsia="Calibri" w:hAnsi="Times New Roman" w:cs="Times New Roman"/>
                <w:sz w:val="24"/>
                <w:szCs w:val="24"/>
              </w:rPr>
            </w:pPr>
            <w:r w:rsidRPr="00BC2E9A">
              <w:rPr>
                <w:rFonts w:ascii="Times New Roman" w:eastAsia="Calibri" w:hAnsi="Times New Roman" w:cs="Times New Roman"/>
                <w:sz w:val="24"/>
                <w:szCs w:val="24"/>
              </w:rPr>
              <w:t>16.</w:t>
            </w:r>
            <w:r>
              <w:rPr>
                <w:rFonts w:ascii="Times New Roman" w:eastAsia="Calibri" w:hAnsi="Times New Roman" w:cs="Times New Roman"/>
                <w:sz w:val="24"/>
                <w:szCs w:val="24"/>
              </w:rPr>
              <w:t xml:space="preserve"> </w:t>
            </w:r>
            <w:r w:rsidRPr="00BC2E9A">
              <w:rPr>
                <w:rFonts w:ascii="Times New Roman" w:eastAsia="Calibri" w:hAnsi="Times New Roman" w:cs="Times New Roman"/>
                <w:sz w:val="24"/>
                <w:szCs w:val="24"/>
              </w:rPr>
              <w:t xml:space="preserve">Use of warfarin or other vitamin K antagonists, direct thrombin inhibitors or factor </w:t>
            </w:r>
            <w:proofErr w:type="spellStart"/>
            <w:r w:rsidRPr="00BC2E9A">
              <w:rPr>
                <w:rFonts w:ascii="Times New Roman" w:eastAsia="Calibri" w:hAnsi="Times New Roman" w:cs="Times New Roman"/>
                <w:sz w:val="24"/>
                <w:szCs w:val="24"/>
              </w:rPr>
              <w:t>Xa</w:t>
            </w:r>
            <w:proofErr w:type="spellEnd"/>
            <w:r w:rsidRPr="00BC2E9A">
              <w:rPr>
                <w:rFonts w:ascii="Times New Roman" w:eastAsia="Calibri" w:hAnsi="Times New Roman" w:cs="Times New Roman"/>
                <w:sz w:val="24"/>
                <w:szCs w:val="24"/>
              </w:rPr>
              <w:t xml:space="preserve"> inhibitors</w:t>
            </w:r>
          </w:p>
        </w:tc>
        <w:tc>
          <w:tcPr>
            <w:tcW w:w="1152" w:type="pct"/>
          </w:tcPr>
          <w:p w14:paraId="47E3AADA"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47395" w:rsidRPr="002152D2" w14:paraId="7C3CF625" w14:textId="77777777" w:rsidTr="0036776B">
        <w:tc>
          <w:tcPr>
            <w:tcW w:w="3848" w:type="pct"/>
          </w:tcPr>
          <w:p w14:paraId="17AC408D" w14:textId="77777777" w:rsidR="00747395" w:rsidRPr="002152D2" w:rsidRDefault="00747395" w:rsidP="0036776B">
            <w:pPr>
              <w:rPr>
                <w:rFonts w:ascii="Times New Roman" w:eastAsia="Calibri" w:hAnsi="Times New Roman" w:cs="Times New Roman"/>
                <w:sz w:val="24"/>
                <w:szCs w:val="24"/>
              </w:rPr>
            </w:pPr>
            <w:r w:rsidRPr="00BC2E9A">
              <w:rPr>
                <w:rFonts w:ascii="Times New Roman" w:eastAsia="Calibri" w:hAnsi="Times New Roman" w:cs="Times New Roman"/>
                <w:sz w:val="24"/>
                <w:szCs w:val="24"/>
              </w:rPr>
              <w:t>19.</w:t>
            </w:r>
            <w:r>
              <w:rPr>
                <w:rFonts w:ascii="Times New Roman" w:eastAsia="Calibri" w:hAnsi="Times New Roman" w:cs="Times New Roman"/>
                <w:sz w:val="24"/>
                <w:szCs w:val="24"/>
              </w:rPr>
              <w:t xml:space="preserve"> </w:t>
            </w:r>
            <w:r w:rsidRPr="00BC2E9A">
              <w:rPr>
                <w:rFonts w:ascii="Times New Roman" w:eastAsia="Calibri" w:hAnsi="Times New Roman" w:cs="Times New Roman"/>
                <w:sz w:val="24"/>
                <w:szCs w:val="24"/>
              </w:rPr>
              <w:t>BMI &gt; 40 kg/m</w:t>
            </w:r>
            <w:r w:rsidRPr="00BC2E9A">
              <w:rPr>
                <w:rFonts w:ascii="Times New Roman" w:eastAsia="Calibri" w:hAnsi="Times New Roman" w:cs="Times New Roman"/>
                <w:sz w:val="24"/>
                <w:szCs w:val="24"/>
                <w:vertAlign w:val="superscript"/>
              </w:rPr>
              <w:t>2</w:t>
            </w:r>
          </w:p>
        </w:tc>
        <w:tc>
          <w:tcPr>
            <w:tcW w:w="1152" w:type="pct"/>
          </w:tcPr>
          <w:p w14:paraId="46350CE8"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747395" w:rsidRPr="002152D2" w14:paraId="53899B54" w14:textId="77777777" w:rsidTr="0036776B">
        <w:tc>
          <w:tcPr>
            <w:tcW w:w="3848" w:type="pct"/>
          </w:tcPr>
          <w:p w14:paraId="49BBEFCA" w14:textId="77777777" w:rsidR="00747395" w:rsidRPr="002152D2" w:rsidRDefault="00747395" w:rsidP="0036776B">
            <w:pPr>
              <w:rPr>
                <w:rFonts w:ascii="Times New Roman" w:eastAsia="Calibri" w:hAnsi="Times New Roman" w:cs="Times New Roman"/>
                <w:sz w:val="24"/>
                <w:szCs w:val="24"/>
              </w:rPr>
            </w:pPr>
            <w:r w:rsidRPr="00921207">
              <w:rPr>
                <w:rFonts w:ascii="Times New Roman" w:eastAsia="Calibri" w:hAnsi="Times New Roman" w:cs="Times New Roman"/>
                <w:sz w:val="24"/>
                <w:szCs w:val="24"/>
              </w:rPr>
              <w:t>20.</w:t>
            </w:r>
            <w:r>
              <w:rPr>
                <w:rFonts w:ascii="Times New Roman" w:eastAsia="Calibri" w:hAnsi="Times New Roman" w:cs="Times New Roman"/>
                <w:sz w:val="24"/>
                <w:szCs w:val="24"/>
              </w:rPr>
              <w:t xml:space="preserve"> </w:t>
            </w:r>
            <w:r w:rsidRPr="00921207">
              <w:rPr>
                <w:rFonts w:ascii="Times New Roman" w:eastAsia="Calibri" w:hAnsi="Times New Roman" w:cs="Times New Roman"/>
                <w:sz w:val="24"/>
                <w:szCs w:val="24"/>
              </w:rPr>
              <w:t>Blood donation of 50-499 mL within 30 days of Screening or of &gt; 499 mL within 8 weeks of Screening</w:t>
            </w:r>
          </w:p>
        </w:tc>
        <w:tc>
          <w:tcPr>
            <w:tcW w:w="1152" w:type="pct"/>
          </w:tcPr>
          <w:p w14:paraId="49EAE615" w14:textId="77777777" w:rsidR="00747395" w:rsidRPr="002152D2"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47395" w:rsidRPr="002152D2" w14:paraId="0A70B476" w14:textId="77777777" w:rsidTr="0036776B">
        <w:tc>
          <w:tcPr>
            <w:tcW w:w="3848" w:type="pct"/>
          </w:tcPr>
          <w:p w14:paraId="6118CE57" w14:textId="77777777" w:rsidR="00747395" w:rsidRPr="00921207" w:rsidRDefault="00747395" w:rsidP="0036776B">
            <w:pPr>
              <w:rPr>
                <w:rFonts w:ascii="Times New Roman" w:eastAsia="Calibri" w:hAnsi="Times New Roman" w:cs="Times New Roman"/>
                <w:sz w:val="24"/>
                <w:szCs w:val="24"/>
              </w:rPr>
            </w:pPr>
            <w:r w:rsidRPr="00921207">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Pr="00921207">
              <w:rPr>
                <w:rFonts w:ascii="Times New Roman" w:eastAsia="Calibri" w:hAnsi="Times New Roman" w:cs="Times New Roman"/>
                <w:sz w:val="24"/>
                <w:szCs w:val="24"/>
              </w:rPr>
              <w:t>Unwillingness to comply with study procedures, including follow-up, as specified by this protocol, or unwillingness to cooperate fully with the Investigator</w:t>
            </w:r>
          </w:p>
        </w:tc>
        <w:tc>
          <w:tcPr>
            <w:tcW w:w="1152" w:type="pct"/>
          </w:tcPr>
          <w:p w14:paraId="0FB0BDDE" w14:textId="77777777" w:rsidR="00747395"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747395" w:rsidRPr="002152D2" w14:paraId="288A358A" w14:textId="77777777" w:rsidTr="0036776B">
        <w:tc>
          <w:tcPr>
            <w:tcW w:w="3848" w:type="pct"/>
          </w:tcPr>
          <w:p w14:paraId="20C7B8EF" w14:textId="77777777" w:rsidR="00747395" w:rsidRPr="00921207" w:rsidRDefault="00747395" w:rsidP="0036776B">
            <w:pPr>
              <w:rPr>
                <w:rFonts w:ascii="Times New Roman" w:eastAsia="Calibri" w:hAnsi="Times New Roman" w:cs="Times New Roman"/>
                <w:sz w:val="24"/>
                <w:szCs w:val="24"/>
              </w:rPr>
            </w:pPr>
            <w:r w:rsidRPr="00514454">
              <w:rPr>
                <w:rFonts w:ascii="Times New Roman" w:eastAsia="Calibri" w:hAnsi="Times New Roman" w:cs="Times New Roman"/>
                <w:sz w:val="24"/>
                <w:szCs w:val="24"/>
              </w:rPr>
              <w:t>22.</w:t>
            </w:r>
            <w:r>
              <w:rPr>
                <w:rFonts w:ascii="Times New Roman" w:eastAsia="Calibri" w:hAnsi="Times New Roman" w:cs="Times New Roman"/>
                <w:sz w:val="24"/>
                <w:szCs w:val="24"/>
              </w:rPr>
              <w:t xml:space="preserve"> </w:t>
            </w:r>
            <w:r w:rsidRPr="00514454">
              <w:rPr>
                <w:rFonts w:ascii="Times New Roman" w:eastAsia="Calibri" w:hAnsi="Times New Roman" w:cs="Times New Roman"/>
                <w:sz w:val="24"/>
                <w:szCs w:val="24"/>
              </w:rPr>
              <w:t>Have any other conditions, which, in the opinion of the Investigator or Sponsor would make the patient unsuitable for inclusion, or could interfere with the patient participating in or completing the Study</w:t>
            </w:r>
          </w:p>
        </w:tc>
        <w:tc>
          <w:tcPr>
            <w:tcW w:w="1152" w:type="pct"/>
          </w:tcPr>
          <w:p w14:paraId="290E66CB" w14:textId="77777777" w:rsidR="00747395" w:rsidRDefault="00747395" w:rsidP="0036776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bl>
    <w:p w14:paraId="5A503B7A" w14:textId="3858662A" w:rsidR="00B75FDE" w:rsidRDefault="00B75FDE" w:rsidP="00EC4ADD">
      <w:pPr>
        <w:rPr>
          <w:rFonts w:ascii="Times New Roman" w:hAnsi="Times New Roman" w:cs="Times New Roman"/>
          <w:sz w:val="24"/>
          <w:szCs w:val="24"/>
        </w:rPr>
      </w:pPr>
    </w:p>
    <w:p w14:paraId="325438A5" w14:textId="77777777" w:rsidR="00B75FDE" w:rsidRDefault="00B75FDE">
      <w:pPr>
        <w:rPr>
          <w:rFonts w:ascii="Times New Roman" w:hAnsi="Times New Roman" w:cs="Times New Roman"/>
          <w:sz w:val="24"/>
          <w:szCs w:val="24"/>
        </w:rPr>
      </w:pPr>
      <w:r>
        <w:rPr>
          <w:rFonts w:ascii="Times New Roman" w:hAnsi="Times New Roman" w:cs="Times New Roman"/>
          <w:sz w:val="24"/>
          <w:szCs w:val="24"/>
        </w:rPr>
        <w:br w:type="page"/>
      </w:r>
    </w:p>
    <w:p w14:paraId="225F2D45" w14:textId="33078F09" w:rsidR="001E2145" w:rsidRPr="003D2857" w:rsidRDefault="00B75FDE" w:rsidP="00EC4ADD">
      <w:pPr>
        <w:rPr>
          <w:rFonts w:ascii="Times New Roman" w:hAnsi="Times New Roman" w:cs="Times New Roman"/>
          <w:b/>
          <w:bCs/>
          <w:sz w:val="24"/>
          <w:szCs w:val="24"/>
        </w:rPr>
      </w:pPr>
      <w:r w:rsidRPr="003D2857">
        <w:rPr>
          <w:rFonts w:ascii="Times New Roman" w:hAnsi="Times New Roman" w:cs="Times New Roman"/>
          <w:b/>
          <w:bCs/>
          <w:sz w:val="24"/>
          <w:szCs w:val="24"/>
        </w:rPr>
        <w:t>Table S2</w:t>
      </w:r>
      <w:r w:rsidR="00600B7E" w:rsidRPr="003D2857">
        <w:rPr>
          <w:rFonts w:ascii="Times New Roman" w:hAnsi="Times New Roman" w:cs="Times New Roman"/>
          <w:b/>
          <w:bCs/>
          <w:sz w:val="24"/>
          <w:szCs w:val="24"/>
        </w:rPr>
        <w:t xml:space="preserve">. Exploratory </w:t>
      </w:r>
      <w:r w:rsidR="009D4BF5" w:rsidRPr="003D2857">
        <w:rPr>
          <w:rFonts w:ascii="Times New Roman" w:hAnsi="Times New Roman" w:cs="Times New Roman"/>
          <w:b/>
          <w:bCs/>
          <w:sz w:val="24"/>
          <w:szCs w:val="24"/>
        </w:rPr>
        <w:t>E</w:t>
      </w:r>
      <w:r w:rsidR="00600B7E" w:rsidRPr="003D2857">
        <w:rPr>
          <w:rFonts w:ascii="Times New Roman" w:hAnsi="Times New Roman" w:cs="Times New Roman"/>
          <w:b/>
          <w:bCs/>
          <w:sz w:val="24"/>
          <w:szCs w:val="24"/>
        </w:rPr>
        <w:t xml:space="preserve">ndpoints. </w:t>
      </w:r>
      <w:r w:rsidR="00837C12" w:rsidRPr="003D2857">
        <w:rPr>
          <w:rFonts w:ascii="Times New Roman" w:hAnsi="Times New Roman" w:cs="Times New Roman"/>
          <w:b/>
          <w:bCs/>
          <w:sz w:val="24"/>
          <w:szCs w:val="24"/>
        </w:rPr>
        <w:t>P</w:t>
      </w:r>
      <w:r w:rsidR="00CF52EB" w:rsidRPr="003D2857">
        <w:rPr>
          <w:rFonts w:ascii="Times New Roman" w:hAnsi="Times New Roman" w:cs="Times New Roman"/>
          <w:b/>
          <w:bCs/>
          <w:sz w:val="24"/>
          <w:szCs w:val="24"/>
        </w:rPr>
        <w:t xml:space="preserve">ercent </w:t>
      </w:r>
      <w:r w:rsidR="00837C12" w:rsidRPr="003D2857">
        <w:rPr>
          <w:rFonts w:ascii="Times New Roman" w:hAnsi="Times New Roman" w:cs="Times New Roman"/>
          <w:b/>
          <w:bCs/>
          <w:sz w:val="24"/>
          <w:szCs w:val="24"/>
        </w:rPr>
        <w:t>C</w:t>
      </w:r>
      <w:r w:rsidR="00CF52EB" w:rsidRPr="003D2857">
        <w:rPr>
          <w:rFonts w:ascii="Times New Roman" w:hAnsi="Times New Roman" w:cs="Times New Roman"/>
          <w:b/>
          <w:bCs/>
          <w:sz w:val="24"/>
          <w:szCs w:val="24"/>
        </w:rPr>
        <w:t xml:space="preserve">hange from </w:t>
      </w:r>
      <w:r w:rsidR="00837C12" w:rsidRPr="003D2857">
        <w:rPr>
          <w:rFonts w:ascii="Times New Roman" w:hAnsi="Times New Roman" w:cs="Times New Roman"/>
          <w:b/>
          <w:bCs/>
          <w:sz w:val="24"/>
          <w:szCs w:val="24"/>
        </w:rPr>
        <w:t>B</w:t>
      </w:r>
      <w:r w:rsidR="00CF52EB" w:rsidRPr="003D2857">
        <w:rPr>
          <w:rFonts w:ascii="Times New Roman" w:hAnsi="Times New Roman" w:cs="Times New Roman"/>
          <w:b/>
          <w:bCs/>
          <w:sz w:val="24"/>
          <w:szCs w:val="24"/>
        </w:rPr>
        <w:t xml:space="preserve">aseline to the Primary </w:t>
      </w:r>
      <w:r w:rsidR="00837C12" w:rsidRPr="003D2857">
        <w:rPr>
          <w:rFonts w:ascii="Times New Roman" w:hAnsi="Times New Roman" w:cs="Times New Roman"/>
          <w:b/>
          <w:bCs/>
          <w:sz w:val="24"/>
          <w:szCs w:val="24"/>
        </w:rPr>
        <w:t>A</w:t>
      </w:r>
      <w:r w:rsidR="00CF52EB" w:rsidRPr="003D2857">
        <w:rPr>
          <w:rFonts w:ascii="Times New Roman" w:hAnsi="Times New Roman" w:cs="Times New Roman"/>
          <w:b/>
          <w:bCs/>
          <w:sz w:val="24"/>
          <w:szCs w:val="24"/>
        </w:rPr>
        <w:t xml:space="preserve">nalysis </w:t>
      </w:r>
      <w:r w:rsidR="00837C12" w:rsidRPr="003D2857">
        <w:rPr>
          <w:rFonts w:ascii="Times New Roman" w:hAnsi="Times New Roman" w:cs="Times New Roman"/>
          <w:b/>
          <w:bCs/>
          <w:sz w:val="24"/>
          <w:szCs w:val="24"/>
        </w:rPr>
        <w:t>T</w:t>
      </w:r>
      <w:r w:rsidR="00CF52EB" w:rsidRPr="003D2857">
        <w:rPr>
          <w:rFonts w:ascii="Times New Roman" w:hAnsi="Times New Roman" w:cs="Times New Roman"/>
          <w:b/>
          <w:bCs/>
          <w:sz w:val="24"/>
          <w:szCs w:val="24"/>
        </w:rPr>
        <w:t xml:space="preserve">imepoint in </w:t>
      </w:r>
      <w:r w:rsidR="00837C12" w:rsidRPr="003D2857">
        <w:rPr>
          <w:rFonts w:ascii="Times New Roman" w:hAnsi="Times New Roman" w:cs="Times New Roman"/>
          <w:b/>
          <w:bCs/>
          <w:sz w:val="24"/>
          <w:szCs w:val="24"/>
        </w:rPr>
        <w:t>Lipoprotein</w:t>
      </w:r>
      <w:r w:rsidR="00CF52EB" w:rsidRPr="003D2857">
        <w:rPr>
          <w:rFonts w:ascii="Times New Roman" w:hAnsi="Times New Roman" w:cs="Times New Roman"/>
          <w:b/>
          <w:bCs/>
          <w:sz w:val="24"/>
          <w:szCs w:val="24"/>
        </w:rPr>
        <w:t>(a) and Angiopoietin-like 3</w:t>
      </w:r>
      <w:r w:rsidR="00657AEE" w:rsidRPr="003D2857">
        <w:rPr>
          <w:rFonts w:ascii="Times New Roman" w:hAnsi="Times New Roman" w:cs="Times New Roman"/>
          <w:b/>
          <w:bCs/>
          <w:sz w:val="24"/>
          <w:szCs w:val="24"/>
        </w:rPr>
        <w:t>.</w:t>
      </w:r>
    </w:p>
    <w:p w14:paraId="723F5EB4" w14:textId="0421073F" w:rsidR="00734E89" w:rsidRDefault="00734E89" w:rsidP="00EC4ADD">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8"/>
        <w:gridCol w:w="1847"/>
        <w:gridCol w:w="1891"/>
        <w:gridCol w:w="1888"/>
        <w:gridCol w:w="1891"/>
        <w:gridCol w:w="2155"/>
      </w:tblGrid>
      <w:tr w:rsidR="00CA68B9" w:rsidRPr="006063A0" w14:paraId="21ADF72C" w14:textId="77777777" w:rsidTr="00116F64">
        <w:trPr>
          <w:cantSplit/>
        </w:trPr>
        <w:tc>
          <w:tcPr>
            <w:tcW w:w="1266" w:type="pct"/>
            <w:vMerge w:val="restart"/>
            <w:tcMar>
              <w:top w:w="0" w:type="dxa"/>
              <w:left w:w="10" w:type="dxa"/>
              <w:bottom w:w="0" w:type="dxa"/>
              <w:right w:w="10" w:type="dxa"/>
            </w:tcMar>
          </w:tcPr>
          <w:p w14:paraId="35894CED" w14:textId="77777777" w:rsidR="00CA68B9" w:rsidRPr="00902FE6" w:rsidRDefault="00CA68B9" w:rsidP="00536E06">
            <w:pPr>
              <w:adjustRightInd w:val="0"/>
              <w:spacing w:after="0" w:line="480" w:lineRule="auto"/>
              <w:rPr>
                <w:rFonts w:ascii="Times New Roman" w:hAnsi="Times New Roman" w:cs="Times New Roman"/>
                <w:color w:val="000000"/>
              </w:rPr>
            </w:pPr>
          </w:p>
        </w:tc>
        <w:tc>
          <w:tcPr>
            <w:tcW w:w="713" w:type="pct"/>
            <w:vMerge w:val="restart"/>
            <w:tcMar>
              <w:top w:w="0" w:type="dxa"/>
              <w:left w:w="10" w:type="dxa"/>
              <w:bottom w:w="0" w:type="dxa"/>
              <w:right w:w="10" w:type="dxa"/>
            </w:tcMar>
            <w:vAlign w:val="bottom"/>
          </w:tcPr>
          <w:p w14:paraId="6F58FD15" w14:textId="3FCD37C3" w:rsidR="00CA68B9" w:rsidRPr="00C74988" w:rsidRDefault="00CA68B9" w:rsidP="00536E06">
            <w:pPr>
              <w:adjustRightInd w:val="0"/>
              <w:spacing w:after="0" w:line="480" w:lineRule="auto"/>
              <w:jc w:val="center"/>
              <w:rPr>
                <w:rFonts w:ascii="Times New Roman" w:eastAsia="Times New Roman" w:hAnsi="Times New Roman" w:cs="Times New Roman"/>
                <w:b/>
                <w:bCs/>
                <w:color w:val="000000"/>
                <w:kern w:val="24"/>
                <w:sz w:val="20"/>
                <w:szCs w:val="20"/>
              </w:rPr>
            </w:pPr>
            <w:r w:rsidRPr="00C74988">
              <w:rPr>
                <w:rFonts w:ascii="Times New Roman" w:eastAsia="Times New Roman" w:hAnsi="Times New Roman" w:cs="Times New Roman"/>
                <w:b/>
                <w:bCs/>
                <w:color w:val="000000"/>
                <w:kern w:val="24"/>
                <w:sz w:val="20"/>
                <w:szCs w:val="20"/>
              </w:rPr>
              <w:t>Pooled</w:t>
            </w:r>
            <w:r w:rsidRPr="00C74988">
              <w:rPr>
                <w:rFonts w:ascii="Times New Roman" w:eastAsia="Times New Roman" w:hAnsi="Times New Roman" w:cs="Times New Roman"/>
                <w:b/>
                <w:bCs/>
                <w:color w:val="000000"/>
                <w:kern w:val="24"/>
                <w:sz w:val="20"/>
                <w:szCs w:val="20"/>
              </w:rPr>
              <w:br/>
              <w:t>Placebo</w:t>
            </w:r>
            <w:r w:rsidRPr="00C74988">
              <w:rPr>
                <w:rFonts w:ascii="Times New Roman" w:eastAsia="Times New Roman" w:hAnsi="Times New Roman" w:cs="Times New Roman"/>
                <w:b/>
                <w:bCs/>
                <w:color w:val="000000"/>
                <w:kern w:val="24"/>
                <w:sz w:val="20"/>
                <w:szCs w:val="20"/>
              </w:rPr>
              <w:br/>
              <w:t>(N=24)</w:t>
            </w:r>
          </w:p>
        </w:tc>
        <w:tc>
          <w:tcPr>
            <w:tcW w:w="3021" w:type="pct"/>
            <w:gridSpan w:val="4"/>
            <w:tcMar>
              <w:top w:w="0" w:type="dxa"/>
              <w:left w:w="10" w:type="dxa"/>
              <w:bottom w:w="0" w:type="dxa"/>
              <w:right w:w="10" w:type="dxa"/>
            </w:tcMar>
            <w:vAlign w:val="bottom"/>
          </w:tcPr>
          <w:p w14:paraId="4868D7DC" w14:textId="33CF51E6" w:rsidR="00CA68B9" w:rsidRPr="006063A0" w:rsidRDefault="00CA68B9" w:rsidP="00536E06">
            <w:pPr>
              <w:adjustRightInd w:val="0"/>
              <w:spacing w:after="0" w:line="480" w:lineRule="auto"/>
              <w:jc w:val="center"/>
              <w:rPr>
                <w:rFonts w:ascii="Times New Roman" w:hAnsi="Times New Roman" w:cs="Times New Roman"/>
                <w:color w:val="000000"/>
              </w:rPr>
            </w:pPr>
            <w:r w:rsidRPr="00D01408">
              <w:rPr>
                <w:rFonts w:ascii="Times New Roman" w:eastAsia="Times New Roman" w:hAnsi="Times New Roman" w:cs="Times New Roman"/>
                <w:b/>
                <w:bCs/>
                <w:color w:val="000000"/>
                <w:kern w:val="24"/>
                <w:sz w:val="20"/>
                <w:szCs w:val="20"/>
              </w:rPr>
              <w:t>APOCIII-L</w:t>
            </w:r>
            <w:r w:rsidRPr="00D01408">
              <w:rPr>
                <w:rFonts w:ascii="Times New Roman" w:eastAsia="Times New Roman" w:hAnsi="Times New Roman" w:cs="Times New Roman"/>
                <w:b/>
                <w:bCs/>
                <w:color w:val="000000"/>
                <w:kern w:val="24"/>
                <w:sz w:val="20"/>
                <w:szCs w:val="20"/>
                <w:vertAlign w:val="subscript"/>
              </w:rPr>
              <w:t>RX</w:t>
            </w:r>
          </w:p>
        </w:tc>
      </w:tr>
      <w:tr w:rsidR="00CA68B9" w:rsidRPr="006063A0" w14:paraId="5AB208A7" w14:textId="77777777" w:rsidTr="00116F64">
        <w:trPr>
          <w:cantSplit/>
          <w:trHeight w:val="917"/>
        </w:trPr>
        <w:tc>
          <w:tcPr>
            <w:tcW w:w="1266" w:type="pct"/>
            <w:vMerge/>
            <w:tcMar>
              <w:top w:w="0" w:type="dxa"/>
              <w:left w:w="10" w:type="dxa"/>
              <w:bottom w:w="0" w:type="dxa"/>
              <w:right w:w="10" w:type="dxa"/>
            </w:tcMar>
          </w:tcPr>
          <w:p w14:paraId="645B70B2" w14:textId="77777777" w:rsidR="00CA68B9" w:rsidRPr="00902FE6" w:rsidRDefault="00CA68B9" w:rsidP="00755CE3">
            <w:pPr>
              <w:adjustRightInd w:val="0"/>
              <w:spacing w:after="0" w:line="480" w:lineRule="auto"/>
              <w:rPr>
                <w:rFonts w:ascii="Times New Roman" w:hAnsi="Times New Roman" w:cs="Times New Roman"/>
                <w:color w:val="000000"/>
              </w:rPr>
            </w:pPr>
          </w:p>
        </w:tc>
        <w:tc>
          <w:tcPr>
            <w:tcW w:w="713" w:type="pct"/>
            <w:vMerge/>
            <w:tcMar>
              <w:top w:w="0" w:type="dxa"/>
              <w:left w:w="10" w:type="dxa"/>
              <w:bottom w:w="0" w:type="dxa"/>
              <w:right w:w="10" w:type="dxa"/>
            </w:tcMar>
            <w:vAlign w:val="bottom"/>
          </w:tcPr>
          <w:p w14:paraId="22FF44F7" w14:textId="7A9E9B62" w:rsidR="00CA68B9" w:rsidRPr="006063A0" w:rsidRDefault="00CA68B9" w:rsidP="00755CE3">
            <w:pPr>
              <w:adjustRightInd w:val="0"/>
              <w:spacing w:after="0" w:line="480" w:lineRule="auto"/>
              <w:jc w:val="center"/>
              <w:rPr>
                <w:rFonts w:ascii="Times New Roman" w:hAnsi="Times New Roman" w:cs="Times New Roman"/>
                <w:color w:val="000000"/>
              </w:rPr>
            </w:pPr>
          </w:p>
        </w:tc>
        <w:tc>
          <w:tcPr>
            <w:tcW w:w="730" w:type="pct"/>
            <w:tcMar>
              <w:top w:w="0" w:type="dxa"/>
              <w:left w:w="10" w:type="dxa"/>
              <w:bottom w:w="0" w:type="dxa"/>
              <w:right w:w="10" w:type="dxa"/>
            </w:tcMar>
            <w:vAlign w:val="bottom"/>
          </w:tcPr>
          <w:p w14:paraId="0208A101" w14:textId="77777777" w:rsidR="00CA68B9" w:rsidRDefault="00CA68B9" w:rsidP="00755CE3">
            <w:pPr>
              <w:keepNext/>
              <w:adjustRightInd w:val="0"/>
              <w:spacing w:after="0" w:line="480" w:lineRule="auto"/>
              <w:jc w:val="center"/>
              <w:rPr>
                <w:rFonts w:ascii="Times New Roman" w:eastAsia="Times New Roman" w:hAnsi="Times New Roman" w:cs="Times New Roman"/>
                <w:b/>
                <w:bCs/>
                <w:color w:val="000000"/>
                <w:kern w:val="24"/>
                <w:sz w:val="20"/>
                <w:szCs w:val="20"/>
              </w:rPr>
            </w:pPr>
            <w:r w:rsidRPr="00C74988">
              <w:rPr>
                <w:rFonts w:ascii="Times New Roman" w:eastAsia="Times New Roman" w:hAnsi="Times New Roman" w:cs="Times New Roman"/>
                <w:b/>
                <w:bCs/>
                <w:color w:val="000000"/>
                <w:kern w:val="24"/>
                <w:sz w:val="20"/>
                <w:szCs w:val="20"/>
              </w:rPr>
              <w:t xml:space="preserve">10 mg </w:t>
            </w:r>
          </w:p>
          <w:p w14:paraId="36058B93" w14:textId="2015521F" w:rsidR="00CA68B9" w:rsidRPr="006063A0" w:rsidRDefault="00CA68B9" w:rsidP="00755CE3">
            <w:pPr>
              <w:adjustRightInd w:val="0"/>
              <w:spacing w:after="0" w:line="480" w:lineRule="auto"/>
              <w:jc w:val="center"/>
              <w:rPr>
                <w:rFonts w:ascii="Times New Roman" w:hAnsi="Times New Roman" w:cs="Times New Roman"/>
                <w:color w:val="000000"/>
              </w:rPr>
            </w:pPr>
            <w:r>
              <w:rPr>
                <w:rFonts w:ascii="Times New Roman" w:eastAsia="Times New Roman" w:hAnsi="Times New Roman" w:cs="Times New Roman"/>
                <w:b/>
                <w:bCs/>
                <w:color w:val="000000"/>
                <w:kern w:val="24"/>
                <w:sz w:val="20"/>
                <w:szCs w:val="20"/>
              </w:rPr>
              <w:t xml:space="preserve">every 4 </w:t>
            </w:r>
            <w:proofErr w:type="spellStart"/>
            <w:r>
              <w:rPr>
                <w:rFonts w:ascii="Times New Roman" w:eastAsia="Times New Roman" w:hAnsi="Times New Roman" w:cs="Times New Roman"/>
                <w:b/>
                <w:bCs/>
                <w:color w:val="000000"/>
                <w:kern w:val="24"/>
                <w:sz w:val="20"/>
                <w:szCs w:val="20"/>
              </w:rPr>
              <w:t>Wk</w:t>
            </w:r>
            <w:proofErr w:type="spellEnd"/>
            <w:r w:rsidRPr="00C74988">
              <w:rPr>
                <w:rFonts w:ascii="Times New Roman" w:eastAsia="Times New Roman" w:hAnsi="Times New Roman" w:cs="Times New Roman"/>
                <w:b/>
                <w:bCs/>
                <w:color w:val="000000"/>
                <w:kern w:val="24"/>
                <w:sz w:val="20"/>
                <w:szCs w:val="20"/>
              </w:rPr>
              <w:br/>
              <w:t>(N=22)</w:t>
            </w:r>
          </w:p>
        </w:tc>
        <w:tc>
          <w:tcPr>
            <w:tcW w:w="729" w:type="pct"/>
            <w:tcMar>
              <w:top w:w="0" w:type="dxa"/>
              <w:left w:w="10" w:type="dxa"/>
              <w:bottom w:w="0" w:type="dxa"/>
              <w:right w:w="10" w:type="dxa"/>
            </w:tcMar>
            <w:vAlign w:val="bottom"/>
          </w:tcPr>
          <w:p w14:paraId="6CFC2FED" w14:textId="77777777" w:rsidR="00CA68B9" w:rsidRDefault="00CA68B9" w:rsidP="00755CE3">
            <w:pPr>
              <w:keepNext/>
              <w:adjustRightInd w:val="0"/>
              <w:spacing w:after="0" w:line="480" w:lineRule="auto"/>
              <w:jc w:val="center"/>
              <w:rPr>
                <w:rFonts w:ascii="Times New Roman" w:eastAsia="Times New Roman" w:hAnsi="Times New Roman" w:cs="Times New Roman"/>
                <w:b/>
                <w:bCs/>
                <w:color w:val="000000"/>
                <w:kern w:val="24"/>
                <w:sz w:val="20"/>
                <w:szCs w:val="20"/>
              </w:rPr>
            </w:pPr>
            <w:r w:rsidRPr="00C74988">
              <w:rPr>
                <w:rFonts w:ascii="Times New Roman" w:eastAsia="Times New Roman" w:hAnsi="Times New Roman" w:cs="Times New Roman"/>
                <w:b/>
                <w:bCs/>
                <w:color w:val="000000"/>
                <w:kern w:val="24"/>
                <w:sz w:val="20"/>
                <w:szCs w:val="20"/>
              </w:rPr>
              <w:br/>
              <w:t xml:space="preserve">15 mg </w:t>
            </w:r>
          </w:p>
          <w:p w14:paraId="0DC86A0F" w14:textId="21C77E93" w:rsidR="00CA68B9" w:rsidRPr="006063A0" w:rsidRDefault="00CA68B9" w:rsidP="00755CE3">
            <w:pPr>
              <w:adjustRightInd w:val="0"/>
              <w:spacing w:after="0" w:line="480" w:lineRule="auto"/>
              <w:jc w:val="center"/>
              <w:rPr>
                <w:rFonts w:ascii="Times New Roman" w:hAnsi="Times New Roman" w:cs="Times New Roman"/>
                <w:color w:val="000000"/>
              </w:rPr>
            </w:pPr>
            <w:r>
              <w:rPr>
                <w:rFonts w:ascii="Times New Roman" w:eastAsia="Times New Roman" w:hAnsi="Times New Roman" w:cs="Times New Roman"/>
                <w:b/>
                <w:bCs/>
                <w:color w:val="000000"/>
                <w:kern w:val="24"/>
                <w:sz w:val="20"/>
                <w:szCs w:val="20"/>
              </w:rPr>
              <w:t xml:space="preserve">every 2 </w:t>
            </w:r>
            <w:proofErr w:type="spellStart"/>
            <w:r>
              <w:rPr>
                <w:rFonts w:ascii="Times New Roman" w:eastAsia="Times New Roman" w:hAnsi="Times New Roman" w:cs="Times New Roman"/>
                <w:b/>
                <w:bCs/>
                <w:color w:val="000000"/>
                <w:kern w:val="24"/>
                <w:sz w:val="20"/>
                <w:szCs w:val="20"/>
              </w:rPr>
              <w:t>Wk</w:t>
            </w:r>
            <w:proofErr w:type="spellEnd"/>
            <w:r w:rsidRPr="00C74988">
              <w:rPr>
                <w:rFonts w:ascii="Times New Roman" w:eastAsia="Times New Roman" w:hAnsi="Times New Roman" w:cs="Times New Roman"/>
                <w:b/>
                <w:bCs/>
                <w:color w:val="000000"/>
                <w:kern w:val="24"/>
                <w:sz w:val="20"/>
                <w:szCs w:val="20"/>
              </w:rPr>
              <w:br/>
              <w:t>(N=23)</w:t>
            </w:r>
          </w:p>
        </w:tc>
        <w:tc>
          <w:tcPr>
            <w:tcW w:w="730" w:type="pct"/>
            <w:tcMar>
              <w:top w:w="0" w:type="dxa"/>
              <w:left w:w="10" w:type="dxa"/>
              <w:bottom w:w="0" w:type="dxa"/>
              <w:right w:w="10" w:type="dxa"/>
            </w:tcMar>
            <w:vAlign w:val="bottom"/>
          </w:tcPr>
          <w:p w14:paraId="7D4FA165" w14:textId="77777777" w:rsidR="00CA68B9" w:rsidRDefault="00CA68B9" w:rsidP="00755CE3">
            <w:pPr>
              <w:keepNext/>
              <w:adjustRightInd w:val="0"/>
              <w:spacing w:after="0" w:line="480" w:lineRule="auto"/>
              <w:jc w:val="center"/>
              <w:rPr>
                <w:rFonts w:ascii="Times New Roman" w:eastAsia="Times New Roman" w:hAnsi="Times New Roman" w:cs="Times New Roman"/>
                <w:b/>
                <w:bCs/>
                <w:color w:val="000000"/>
                <w:kern w:val="24"/>
                <w:sz w:val="20"/>
                <w:szCs w:val="20"/>
              </w:rPr>
            </w:pPr>
            <w:r w:rsidRPr="00C74988">
              <w:rPr>
                <w:rFonts w:ascii="Times New Roman" w:eastAsia="Times New Roman" w:hAnsi="Times New Roman" w:cs="Times New Roman"/>
                <w:b/>
                <w:bCs/>
                <w:color w:val="000000"/>
                <w:kern w:val="24"/>
                <w:sz w:val="20"/>
                <w:szCs w:val="20"/>
              </w:rPr>
              <w:br/>
              <w:t xml:space="preserve">10 mg </w:t>
            </w:r>
          </w:p>
          <w:p w14:paraId="5C998B41" w14:textId="72EF9148" w:rsidR="00CA68B9" w:rsidRPr="006063A0" w:rsidRDefault="00CA68B9" w:rsidP="00755CE3">
            <w:pPr>
              <w:adjustRightInd w:val="0"/>
              <w:spacing w:after="0" w:line="480" w:lineRule="auto"/>
              <w:jc w:val="center"/>
              <w:rPr>
                <w:rFonts w:ascii="Times New Roman" w:hAnsi="Times New Roman" w:cs="Times New Roman"/>
                <w:color w:val="000000"/>
              </w:rPr>
            </w:pPr>
            <w:r>
              <w:rPr>
                <w:rFonts w:ascii="Times New Roman" w:eastAsia="Times New Roman" w:hAnsi="Times New Roman" w:cs="Times New Roman"/>
                <w:b/>
                <w:bCs/>
                <w:color w:val="000000"/>
                <w:kern w:val="24"/>
                <w:sz w:val="20"/>
                <w:szCs w:val="20"/>
              </w:rPr>
              <w:t xml:space="preserve">every </w:t>
            </w:r>
            <w:proofErr w:type="spellStart"/>
            <w:r>
              <w:rPr>
                <w:rFonts w:ascii="Times New Roman" w:eastAsia="Times New Roman" w:hAnsi="Times New Roman" w:cs="Times New Roman"/>
                <w:b/>
                <w:bCs/>
                <w:color w:val="000000"/>
                <w:kern w:val="24"/>
                <w:sz w:val="20"/>
                <w:szCs w:val="20"/>
              </w:rPr>
              <w:t>Wk</w:t>
            </w:r>
            <w:proofErr w:type="spellEnd"/>
            <w:r w:rsidRPr="00C74988">
              <w:rPr>
                <w:rFonts w:ascii="Times New Roman" w:eastAsia="Times New Roman" w:hAnsi="Times New Roman" w:cs="Times New Roman"/>
                <w:b/>
                <w:bCs/>
                <w:color w:val="000000"/>
                <w:kern w:val="24"/>
                <w:sz w:val="20"/>
                <w:szCs w:val="20"/>
              </w:rPr>
              <w:br/>
              <w:t>(N=23)</w:t>
            </w:r>
          </w:p>
        </w:tc>
        <w:tc>
          <w:tcPr>
            <w:tcW w:w="832" w:type="pct"/>
            <w:tcMar>
              <w:top w:w="0" w:type="dxa"/>
              <w:left w:w="10" w:type="dxa"/>
              <w:bottom w:w="0" w:type="dxa"/>
              <w:right w:w="10" w:type="dxa"/>
            </w:tcMar>
            <w:vAlign w:val="bottom"/>
          </w:tcPr>
          <w:p w14:paraId="6BA55F14" w14:textId="77777777" w:rsidR="00CA68B9" w:rsidRDefault="00CA68B9" w:rsidP="00755CE3">
            <w:pPr>
              <w:keepNext/>
              <w:adjustRightInd w:val="0"/>
              <w:spacing w:after="0" w:line="480" w:lineRule="auto"/>
              <w:jc w:val="center"/>
              <w:rPr>
                <w:rFonts w:ascii="Times New Roman" w:eastAsia="Times New Roman" w:hAnsi="Times New Roman" w:cs="Times New Roman"/>
                <w:b/>
                <w:bCs/>
                <w:color w:val="000000"/>
                <w:kern w:val="24"/>
                <w:sz w:val="20"/>
                <w:szCs w:val="20"/>
              </w:rPr>
            </w:pPr>
            <w:r w:rsidRPr="00C74988">
              <w:rPr>
                <w:rFonts w:ascii="Times New Roman" w:eastAsia="Times New Roman" w:hAnsi="Times New Roman" w:cs="Times New Roman"/>
                <w:b/>
                <w:bCs/>
                <w:color w:val="000000"/>
                <w:kern w:val="24"/>
                <w:sz w:val="20"/>
                <w:szCs w:val="20"/>
              </w:rPr>
              <w:br/>
              <w:t xml:space="preserve">50 mg </w:t>
            </w:r>
          </w:p>
          <w:p w14:paraId="423D8012" w14:textId="77777777" w:rsidR="00CA68B9" w:rsidRDefault="00CA68B9" w:rsidP="00755CE3">
            <w:pPr>
              <w:keepNext/>
              <w:adjustRightInd w:val="0"/>
              <w:spacing w:after="0" w:line="480" w:lineRule="auto"/>
              <w:jc w:val="center"/>
              <w:rPr>
                <w:rFonts w:ascii="Times New Roman" w:eastAsia="Times New Roman" w:hAnsi="Times New Roman" w:cs="Times New Roman"/>
                <w:b/>
                <w:bCs/>
                <w:color w:val="000000"/>
                <w:kern w:val="24"/>
                <w:sz w:val="20"/>
                <w:szCs w:val="20"/>
              </w:rPr>
            </w:pPr>
            <w:r>
              <w:rPr>
                <w:rFonts w:ascii="Times New Roman" w:eastAsia="Times New Roman" w:hAnsi="Times New Roman" w:cs="Times New Roman"/>
                <w:b/>
                <w:bCs/>
                <w:color w:val="000000"/>
                <w:kern w:val="24"/>
                <w:sz w:val="20"/>
                <w:szCs w:val="20"/>
              </w:rPr>
              <w:t xml:space="preserve">every 4 </w:t>
            </w:r>
            <w:proofErr w:type="spellStart"/>
            <w:r>
              <w:rPr>
                <w:rFonts w:ascii="Times New Roman" w:eastAsia="Times New Roman" w:hAnsi="Times New Roman" w:cs="Times New Roman"/>
                <w:b/>
                <w:bCs/>
                <w:color w:val="000000"/>
                <w:kern w:val="24"/>
                <w:sz w:val="20"/>
                <w:szCs w:val="20"/>
              </w:rPr>
              <w:t>Wk</w:t>
            </w:r>
            <w:proofErr w:type="spellEnd"/>
          </w:p>
          <w:p w14:paraId="0980133C" w14:textId="4C670B7A" w:rsidR="00CA68B9" w:rsidRPr="006063A0" w:rsidRDefault="00CA68B9" w:rsidP="00755CE3">
            <w:pPr>
              <w:adjustRightInd w:val="0"/>
              <w:spacing w:after="0" w:line="480" w:lineRule="auto"/>
              <w:jc w:val="center"/>
              <w:rPr>
                <w:rFonts w:ascii="Times New Roman" w:hAnsi="Times New Roman" w:cs="Times New Roman"/>
                <w:color w:val="000000"/>
              </w:rPr>
            </w:pPr>
            <w:r w:rsidRPr="00C74988">
              <w:rPr>
                <w:rFonts w:ascii="Times New Roman" w:eastAsia="Times New Roman" w:hAnsi="Times New Roman" w:cs="Times New Roman"/>
                <w:b/>
                <w:bCs/>
                <w:color w:val="000000"/>
                <w:kern w:val="24"/>
                <w:sz w:val="20"/>
                <w:szCs w:val="20"/>
              </w:rPr>
              <w:t>(N=22)</w:t>
            </w:r>
          </w:p>
        </w:tc>
      </w:tr>
      <w:tr w:rsidR="00CA68B9" w:rsidRPr="006063A0" w14:paraId="512639C0" w14:textId="77777777" w:rsidTr="00116F64">
        <w:trPr>
          <w:cantSplit/>
        </w:trPr>
        <w:tc>
          <w:tcPr>
            <w:tcW w:w="1266" w:type="pct"/>
            <w:tcMar>
              <w:top w:w="0" w:type="dxa"/>
              <w:left w:w="10" w:type="dxa"/>
              <w:bottom w:w="0" w:type="dxa"/>
              <w:right w:w="10" w:type="dxa"/>
            </w:tcMar>
          </w:tcPr>
          <w:p w14:paraId="0490AC82" w14:textId="236B11F4" w:rsidR="00CA68B9" w:rsidRDefault="00CA68B9" w:rsidP="00EE0A39">
            <w:pPr>
              <w:spacing w:after="0" w:line="480" w:lineRule="auto"/>
              <w:rPr>
                <w:rFonts w:ascii="Times New Roman" w:hAnsi="Times New Roman" w:cs="Times New Roman"/>
                <w:b/>
                <w:bCs/>
                <w:color w:val="000000"/>
              </w:rPr>
            </w:pPr>
            <w:r w:rsidRPr="00CD194C">
              <w:rPr>
                <w:rFonts w:ascii="Times New Roman" w:hAnsi="Times New Roman" w:cs="Times New Roman"/>
                <w:b/>
                <w:bCs/>
                <w:color w:val="000000"/>
              </w:rPr>
              <w:t>Lipoprotein(a)</w:t>
            </w:r>
          </w:p>
          <w:p w14:paraId="34D68DBC" w14:textId="5661E4BB" w:rsidR="00CA68B9" w:rsidRPr="0077019A" w:rsidRDefault="00CA68B9" w:rsidP="00EE0A39">
            <w:pPr>
              <w:spacing w:after="0" w:line="480" w:lineRule="auto"/>
              <w:rPr>
                <w:rFonts w:ascii="Times New Roman" w:eastAsia="Calibri" w:hAnsi="Times New Roman" w:cs="Times New Roman"/>
              </w:rPr>
            </w:pPr>
            <w:r w:rsidRPr="0077019A">
              <w:rPr>
                <w:rFonts w:ascii="Times New Roman" w:eastAsia="Calibri" w:hAnsi="Times New Roman" w:cs="Times New Roman"/>
              </w:rPr>
              <w:t>n</w:t>
            </w:r>
          </w:p>
          <w:p w14:paraId="260825BD" w14:textId="77777777" w:rsidR="00CA68B9" w:rsidRPr="0077019A" w:rsidRDefault="00CA68B9" w:rsidP="00EE0A39">
            <w:pPr>
              <w:spacing w:after="0" w:line="480" w:lineRule="auto"/>
              <w:rPr>
                <w:rFonts w:ascii="Times New Roman" w:eastAsia="Calibri" w:hAnsi="Times New Roman" w:cs="Times New Roman"/>
              </w:rPr>
            </w:pPr>
            <w:r w:rsidRPr="0077019A">
              <w:rPr>
                <w:rFonts w:ascii="Times New Roman" w:eastAsia="Calibri" w:hAnsi="Times New Roman" w:cs="Times New Roman"/>
              </w:rPr>
              <w:t>PAT/baseline, LSM (95% CI)</w:t>
            </w:r>
          </w:p>
          <w:p w14:paraId="219C7F3B" w14:textId="77777777" w:rsidR="00CA68B9" w:rsidRPr="0077019A" w:rsidRDefault="00CA68B9" w:rsidP="00EE0A39">
            <w:pPr>
              <w:spacing w:after="0" w:line="480" w:lineRule="auto"/>
              <w:rPr>
                <w:rFonts w:ascii="Times New Roman" w:eastAsia="Calibri" w:hAnsi="Times New Roman" w:cs="Times New Roman"/>
              </w:rPr>
            </w:pPr>
            <w:r w:rsidRPr="0077019A">
              <w:rPr>
                <w:rFonts w:ascii="Times New Roman" w:eastAsia="Calibri" w:hAnsi="Times New Roman" w:cs="Times New Roman"/>
              </w:rPr>
              <w:t xml:space="preserve">% Change from baseline </w:t>
            </w:r>
          </w:p>
          <w:p w14:paraId="0BC9BD6C" w14:textId="77777777" w:rsidR="00CA68B9" w:rsidRPr="0077019A" w:rsidRDefault="00CA68B9" w:rsidP="00EE0A39">
            <w:pPr>
              <w:spacing w:after="0" w:line="480" w:lineRule="auto"/>
              <w:rPr>
                <w:rFonts w:ascii="Times New Roman" w:eastAsia="Calibri" w:hAnsi="Times New Roman" w:cs="Times New Roman"/>
              </w:rPr>
            </w:pPr>
            <w:r w:rsidRPr="0077019A">
              <w:rPr>
                <w:rFonts w:ascii="Times New Roman" w:eastAsia="Calibri" w:hAnsi="Times New Roman" w:cs="Times New Roman"/>
              </w:rPr>
              <w:t>PAT/baseline, LSM (95% CI) vs placebo</w:t>
            </w:r>
          </w:p>
          <w:p w14:paraId="55749A8C" w14:textId="77777777" w:rsidR="00CA68B9" w:rsidRDefault="00CA68B9" w:rsidP="00EE0A39">
            <w:pPr>
              <w:spacing w:after="0" w:line="480" w:lineRule="auto"/>
              <w:rPr>
                <w:rFonts w:ascii="Times New Roman" w:eastAsia="Calibri" w:hAnsi="Times New Roman" w:cs="Times New Roman"/>
              </w:rPr>
            </w:pPr>
            <w:r w:rsidRPr="0077019A">
              <w:rPr>
                <w:rFonts w:ascii="Times New Roman" w:eastAsia="Calibri" w:hAnsi="Times New Roman" w:cs="Times New Roman"/>
              </w:rPr>
              <w:t>% Change from baseline vs placebo</w:t>
            </w:r>
          </w:p>
          <w:p w14:paraId="1332E47F" w14:textId="7559BD2E" w:rsidR="00CA68B9" w:rsidRPr="005513E5" w:rsidRDefault="00CA68B9" w:rsidP="00EE0A39">
            <w:pPr>
              <w:adjustRightInd w:val="0"/>
              <w:spacing w:after="0" w:line="480" w:lineRule="auto"/>
              <w:rPr>
                <w:rFonts w:ascii="Times New Roman" w:hAnsi="Times New Roman" w:cs="Times New Roman"/>
                <w:color w:val="000000"/>
              </w:rPr>
            </w:pPr>
            <w:r>
              <w:rPr>
                <w:rFonts w:ascii="Times New Roman" w:eastAsia="Calibri" w:hAnsi="Times New Roman" w:cs="Times New Roman"/>
              </w:rPr>
              <w:t xml:space="preserve">P- value </w:t>
            </w:r>
          </w:p>
        </w:tc>
        <w:tc>
          <w:tcPr>
            <w:tcW w:w="713" w:type="pct"/>
            <w:tcMar>
              <w:top w:w="0" w:type="dxa"/>
              <w:left w:w="10" w:type="dxa"/>
              <w:bottom w:w="0" w:type="dxa"/>
              <w:right w:w="10" w:type="dxa"/>
            </w:tcMar>
          </w:tcPr>
          <w:p w14:paraId="0EBB8320" w14:textId="77777777" w:rsidR="00CA68B9" w:rsidRPr="0077019A" w:rsidRDefault="00CA68B9" w:rsidP="00EE0A39">
            <w:pPr>
              <w:spacing w:after="0" w:line="480" w:lineRule="auto"/>
              <w:jc w:val="center"/>
              <w:rPr>
                <w:rFonts w:ascii="Times New Roman" w:eastAsia="Calibri" w:hAnsi="Times New Roman" w:cs="Times New Roman"/>
              </w:rPr>
            </w:pPr>
          </w:p>
          <w:p w14:paraId="4AA22E61" w14:textId="77777777" w:rsidR="00CA68B9" w:rsidRPr="0077019A" w:rsidRDefault="00CA68B9" w:rsidP="00EE0A39">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20</w:t>
            </w:r>
          </w:p>
          <w:p w14:paraId="4ADA0B37" w14:textId="19C94C75" w:rsidR="00CA68B9" w:rsidRPr="0077019A" w:rsidRDefault="00E21A99" w:rsidP="00EE0A39">
            <w:pPr>
              <w:spacing w:after="0" w:line="480" w:lineRule="auto"/>
              <w:jc w:val="center"/>
              <w:rPr>
                <w:rFonts w:ascii="Times New Roman" w:eastAsia="Calibri" w:hAnsi="Times New Roman" w:cs="Times New Roman"/>
              </w:rPr>
            </w:pPr>
            <w:r>
              <w:rPr>
                <w:rFonts w:ascii="Times New Roman" w:eastAsia="Calibri" w:hAnsi="Times New Roman" w:cs="Times New Roman"/>
              </w:rPr>
              <w:t>0.99</w:t>
            </w:r>
            <w:r w:rsidR="00CA68B9" w:rsidRPr="0077019A">
              <w:rPr>
                <w:rFonts w:ascii="Times New Roman" w:eastAsia="Calibri" w:hAnsi="Times New Roman" w:cs="Times New Roman"/>
              </w:rPr>
              <w:t xml:space="preserve"> (</w:t>
            </w:r>
            <w:r w:rsidR="000B3DE7">
              <w:rPr>
                <w:rFonts w:ascii="Times New Roman" w:eastAsia="Calibri" w:hAnsi="Times New Roman" w:cs="Times New Roman"/>
              </w:rPr>
              <w:t>0.</w:t>
            </w:r>
            <w:r>
              <w:rPr>
                <w:rFonts w:ascii="Times New Roman" w:eastAsia="Calibri" w:hAnsi="Times New Roman" w:cs="Times New Roman"/>
              </w:rPr>
              <w:t>86</w:t>
            </w:r>
            <w:r w:rsidR="000B3DE7">
              <w:rPr>
                <w:rFonts w:ascii="Times New Roman" w:eastAsia="Calibri" w:hAnsi="Times New Roman" w:cs="Times New Roman"/>
              </w:rPr>
              <w:t>, 1.13</w:t>
            </w:r>
            <w:r w:rsidR="00CA68B9" w:rsidRPr="0077019A">
              <w:rPr>
                <w:rFonts w:ascii="Times New Roman" w:eastAsia="Calibri" w:hAnsi="Times New Roman" w:cs="Times New Roman"/>
              </w:rPr>
              <w:t>)</w:t>
            </w:r>
          </w:p>
          <w:p w14:paraId="6E7C8E46" w14:textId="57EBA68D" w:rsidR="00CA68B9" w:rsidRPr="006063A0" w:rsidRDefault="00347CA9" w:rsidP="00EE0A39">
            <w:pPr>
              <w:adjustRightInd w:val="0"/>
              <w:spacing w:after="0" w:line="480" w:lineRule="auto"/>
              <w:jc w:val="center"/>
              <w:rPr>
                <w:rFonts w:ascii="Times New Roman" w:hAnsi="Times New Roman" w:cs="Times New Roman"/>
                <w:color w:val="000000"/>
              </w:rPr>
            </w:pPr>
            <w:r>
              <w:rPr>
                <w:rFonts w:ascii="Times New Roman" w:eastAsia="Calibri" w:hAnsi="Times New Roman" w:cs="Times New Roman"/>
              </w:rPr>
              <w:t>-1</w:t>
            </w:r>
            <w:r w:rsidR="00CA68B9" w:rsidRPr="0077019A">
              <w:rPr>
                <w:rFonts w:ascii="Times New Roman" w:eastAsia="Calibri" w:hAnsi="Times New Roman" w:cs="Times New Roman"/>
              </w:rPr>
              <w:t>%</w:t>
            </w:r>
          </w:p>
        </w:tc>
        <w:tc>
          <w:tcPr>
            <w:tcW w:w="730" w:type="pct"/>
            <w:tcMar>
              <w:top w:w="0" w:type="dxa"/>
              <w:left w:w="10" w:type="dxa"/>
              <w:bottom w:w="0" w:type="dxa"/>
              <w:right w:w="10" w:type="dxa"/>
            </w:tcMar>
          </w:tcPr>
          <w:p w14:paraId="089F7BCF" w14:textId="77777777" w:rsidR="00CA68B9" w:rsidRPr="0077019A" w:rsidRDefault="00CA68B9" w:rsidP="00EE0A39">
            <w:pPr>
              <w:spacing w:after="0" w:line="480" w:lineRule="auto"/>
              <w:jc w:val="center"/>
              <w:rPr>
                <w:rFonts w:ascii="Times New Roman" w:eastAsia="Calibri" w:hAnsi="Times New Roman" w:cs="Times New Roman"/>
              </w:rPr>
            </w:pPr>
          </w:p>
          <w:p w14:paraId="695D637A" w14:textId="77777777" w:rsidR="00CA68B9" w:rsidRPr="0077019A" w:rsidRDefault="00CA68B9" w:rsidP="00EE0A39">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18</w:t>
            </w:r>
          </w:p>
          <w:p w14:paraId="3EBE30C3" w14:textId="32311F0F" w:rsidR="00CA68B9" w:rsidRPr="0077019A" w:rsidRDefault="00E21A99" w:rsidP="00EE0A39">
            <w:pPr>
              <w:spacing w:after="0" w:line="480" w:lineRule="auto"/>
              <w:jc w:val="center"/>
              <w:rPr>
                <w:rFonts w:ascii="Times New Roman" w:eastAsia="Calibri" w:hAnsi="Times New Roman" w:cs="Times New Roman"/>
              </w:rPr>
            </w:pPr>
            <w:r>
              <w:rPr>
                <w:rFonts w:ascii="Times New Roman" w:eastAsia="Calibri" w:hAnsi="Times New Roman" w:cs="Times New Roman"/>
              </w:rPr>
              <w:t>0.89</w:t>
            </w:r>
            <w:r w:rsidR="00CA68B9" w:rsidRPr="0077019A">
              <w:rPr>
                <w:rFonts w:ascii="Times New Roman" w:eastAsia="Calibri" w:hAnsi="Times New Roman" w:cs="Times New Roman"/>
              </w:rPr>
              <w:t xml:space="preserve"> (0.</w:t>
            </w:r>
            <w:r>
              <w:rPr>
                <w:rFonts w:ascii="Times New Roman" w:eastAsia="Calibri" w:hAnsi="Times New Roman" w:cs="Times New Roman"/>
              </w:rPr>
              <w:t>76</w:t>
            </w:r>
            <w:r w:rsidR="00CA68B9" w:rsidRPr="0077019A">
              <w:rPr>
                <w:rFonts w:ascii="Times New Roman" w:eastAsia="Calibri" w:hAnsi="Times New Roman" w:cs="Times New Roman"/>
              </w:rPr>
              <w:t xml:space="preserve">, </w:t>
            </w:r>
            <w:r w:rsidR="00B04A16">
              <w:rPr>
                <w:rFonts w:ascii="Times New Roman" w:eastAsia="Calibri" w:hAnsi="Times New Roman" w:cs="Times New Roman"/>
              </w:rPr>
              <w:t>1.03</w:t>
            </w:r>
            <w:r w:rsidR="00CA68B9" w:rsidRPr="0077019A">
              <w:rPr>
                <w:rFonts w:ascii="Times New Roman" w:eastAsia="Calibri" w:hAnsi="Times New Roman" w:cs="Times New Roman"/>
              </w:rPr>
              <w:t>)</w:t>
            </w:r>
          </w:p>
          <w:p w14:paraId="216182D5" w14:textId="18F66D8C" w:rsidR="00CA68B9" w:rsidRPr="0077019A" w:rsidRDefault="00CA68B9" w:rsidP="00EE0A39">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w:t>
            </w:r>
            <w:r w:rsidR="00347CA9">
              <w:rPr>
                <w:rFonts w:ascii="Times New Roman" w:eastAsia="Calibri" w:hAnsi="Times New Roman" w:cs="Times New Roman"/>
              </w:rPr>
              <w:t>11</w:t>
            </w:r>
            <w:r w:rsidRPr="0077019A">
              <w:rPr>
                <w:rFonts w:ascii="Times New Roman" w:eastAsia="Calibri" w:hAnsi="Times New Roman" w:cs="Times New Roman"/>
              </w:rPr>
              <w:t>%</w:t>
            </w:r>
          </w:p>
          <w:p w14:paraId="63FBE9E3" w14:textId="77777777" w:rsidR="00116F64" w:rsidRDefault="00116F64" w:rsidP="00EE0A39">
            <w:pPr>
              <w:spacing w:after="0" w:line="480" w:lineRule="auto"/>
              <w:jc w:val="center"/>
              <w:rPr>
                <w:rFonts w:ascii="Times New Roman" w:eastAsia="Calibri" w:hAnsi="Times New Roman" w:cs="Times New Roman"/>
              </w:rPr>
            </w:pPr>
          </w:p>
          <w:p w14:paraId="34E4DEA0" w14:textId="6073A889" w:rsidR="00CA68B9" w:rsidRPr="0077019A" w:rsidRDefault="00CA68B9" w:rsidP="00EE0A39">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0.</w:t>
            </w:r>
            <w:r w:rsidR="007B3BA9">
              <w:rPr>
                <w:rFonts w:ascii="Times New Roman" w:eastAsia="Calibri" w:hAnsi="Times New Roman" w:cs="Times New Roman"/>
              </w:rPr>
              <w:t>9</w:t>
            </w:r>
            <w:r w:rsidRPr="0077019A">
              <w:rPr>
                <w:rFonts w:ascii="Times New Roman" w:eastAsia="Calibri" w:hAnsi="Times New Roman" w:cs="Times New Roman"/>
              </w:rPr>
              <w:t>0 (0.</w:t>
            </w:r>
            <w:r w:rsidR="007B3BA9">
              <w:rPr>
                <w:rFonts w:ascii="Times New Roman" w:eastAsia="Calibri" w:hAnsi="Times New Roman" w:cs="Times New Roman"/>
              </w:rPr>
              <w:t>7</w:t>
            </w:r>
            <w:r w:rsidRPr="0077019A">
              <w:rPr>
                <w:rFonts w:ascii="Times New Roman" w:eastAsia="Calibri" w:hAnsi="Times New Roman" w:cs="Times New Roman"/>
              </w:rPr>
              <w:t xml:space="preserve">3, </w:t>
            </w:r>
            <w:r w:rsidR="007B3BA9">
              <w:rPr>
                <w:rFonts w:ascii="Times New Roman" w:eastAsia="Calibri" w:hAnsi="Times New Roman" w:cs="Times New Roman"/>
              </w:rPr>
              <w:t>1.10</w:t>
            </w:r>
            <w:r w:rsidRPr="0077019A">
              <w:rPr>
                <w:rFonts w:ascii="Times New Roman" w:eastAsia="Calibri" w:hAnsi="Times New Roman" w:cs="Times New Roman"/>
              </w:rPr>
              <w:t>)</w:t>
            </w:r>
          </w:p>
          <w:p w14:paraId="4B3D7146" w14:textId="752F97DE" w:rsidR="00CA68B9" w:rsidRDefault="00CA68B9" w:rsidP="00EE0A39">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w:t>
            </w:r>
            <w:r w:rsidR="0053477F">
              <w:rPr>
                <w:rFonts w:ascii="Times New Roman" w:eastAsia="Calibri" w:hAnsi="Times New Roman" w:cs="Times New Roman"/>
              </w:rPr>
              <w:t>1</w:t>
            </w:r>
            <w:r w:rsidRPr="0077019A">
              <w:rPr>
                <w:rFonts w:ascii="Times New Roman" w:eastAsia="Calibri" w:hAnsi="Times New Roman" w:cs="Times New Roman"/>
              </w:rPr>
              <w:t>0%</w:t>
            </w:r>
          </w:p>
          <w:p w14:paraId="14982E4A" w14:textId="4D4E0D6D" w:rsidR="00CA68B9" w:rsidRPr="006063A0" w:rsidRDefault="00CA68B9" w:rsidP="00EE0A39">
            <w:pPr>
              <w:adjustRightInd w:val="0"/>
              <w:spacing w:after="0" w:line="480" w:lineRule="auto"/>
              <w:jc w:val="center"/>
              <w:rPr>
                <w:rFonts w:ascii="Times New Roman" w:hAnsi="Times New Roman" w:cs="Times New Roman"/>
                <w:color w:val="000000"/>
              </w:rPr>
            </w:pPr>
            <w:r>
              <w:rPr>
                <w:rFonts w:ascii="Times New Roman" w:eastAsia="Calibri" w:hAnsi="Times New Roman" w:cs="Times New Roman"/>
              </w:rPr>
              <w:t>0.</w:t>
            </w:r>
            <w:r w:rsidR="00C30A4F">
              <w:rPr>
                <w:rFonts w:ascii="Times New Roman" w:eastAsia="Calibri" w:hAnsi="Times New Roman" w:cs="Times New Roman"/>
              </w:rPr>
              <w:t>2981</w:t>
            </w:r>
          </w:p>
        </w:tc>
        <w:tc>
          <w:tcPr>
            <w:tcW w:w="729" w:type="pct"/>
            <w:tcMar>
              <w:top w:w="0" w:type="dxa"/>
              <w:left w:w="10" w:type="dxa"/>
              <w:bottom w:w="0" w:type="dxa"/>
              <w:right w:w="10" w:type="dxa"/>
            </w:tcMar>
          </w:tcPr>
          <w:p w14:paraId="2685AF7E" w14:textId="77777777" w:rsidR="00CA68B9" w:rsidRPr="0077019A" w:rsidRDefault="00CA68B9" w:rsidP="00EE0A39">
            <w:pPr>
              <w:spacing w:after="0" w:line="480" w:lineRule="auto"/>
              <w:jc w:val="center"/>
              <w:rPr>
                <w:rFonts w:ascii="Times New Roman" w:eastAsia="Calibri" w:hAnsi="Times New Roman" w:cs="Times New Roman"/>
              </w:rPr>
            </w:pPr>
          </w:p>
          <w:p w14:paraId="71AA3DE7" w14:textId="2C6983B9" w:rsidR="00CA68B9" w:rsidRPr="0077019A" w:rsidRDefault="00CA68B9" w:rsidP="00EE0A39">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1</w:t>
            </w:r>
            <w:r w:rsidR="004B4249">
              <w:rPr>
                <w:rFonts w:ascii="Times New Roman" w:eastAsia="Calibri" w:hAnsi="Times New Roman" w:cs="Times New Roman"/>
              </w:rPr>
              <w:t>9</w:t>
            </w:r>
          </w:p>
          <w:p w14:paraId="2B15AB8C" w14:textId="13D825D1" w:rsidR="00CA68B9" w:rsidRPr="0077019A" w:rsidRDefault="00CA68B9" w:rsidP="00EE0A39">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0.</w:t>
            </w:r>
            <w:r w:rsidR="00B04A16">
              <w:rPr>
                <w:rFonts w:ascii="Times New Roman" w:eastAsia="Calibri" w:hAnsi="Times New Roman" w:cs="Times New Roman"/>
              </w:rPr>
              <w:t>98</w:t>
            </w:r>
            <w:r w:rsidRPr="0077019A">
              <w:rPr>
                <w:rFonts w:ascii="Times New Roman" w:eastAsia="Calibri" w:hAnsi="Times New Roman" w:cs="Times New Roman"/>
              </w:rPr>
              <w:t xml:space="preserve"> (0.</w:t>
            </w:r>
            <w:r w:rsidR="00B04A16">
              <w:rPr>
                <w:rFonts w:ascii="Times New Roman" w:eastAsia="Calibri" w:hAnsi="Times New Roman" w:cs="Times New Roman"/>
              </w:rPr>
              <w:t>85</w:t>
            </w:r>
            <w:r w:rsidRPr="0077019A">
              <w:rPr>
                <w:rFonts w:ascii="Times New Roman" w:eastAsia="Calibri" w:hAnsi="Times New Roman" w:cs="Times New Roman"/>
              </w:rPr>
              <w:t xml:space="preserve">, </w:t>
            </w:r>
            <w:r w:rsidR="00E45AFE">
              <w:rPr>
                <w:rFonts w:ascii="Times New Roman" w:eastAsia="Calibri" w:hAnsi="Times New Roman" w:cs="Times New Roman"/>
              </w:rPr>
              <w:t>1</w:t>
            </w:r>
            <w:r w:rsidR="00B04A16">
              <w:rPr>
                <w:rFonts w:ascii="Times New Roman" w:eastAsia="Calibri" w:hAnsi="Times New Roman" w:cs="Times New Roman"/>
              </w:rPr>
              <w:t>.12</w:t>
            </w:r>
            <w:r w:rsidRPr="0077019A">
              <w:rPr>
                <w:rFonts w:ascii="Times New Roman" w:eastAsia="Calibri" w:hAnsi="Times New Roman" w:cs="Times New Roman"/>
              </w:rPr>
              <w:t>)</w:t>
            </w:r>
          </w:p>
          <w:p w14:paraId="7962F199" w14:textId="199F2EBD" w:rsidR="00CA68B9" w:rsidRPr="0077019A" w:rsidRDefault="00CA68B9" w:rsidP="00EE0A39">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w:t>
            </w:r>
            <w:r w:rsidR="007B3BA9">
              <w:rPr>
                <w:rFonts w:ascii="Times New Roman" w:eastAsia="Calibri" w:hAnsi="Times New Roman" w:cs="Times New Roman"/>
              </w:rPr>
              <w:t>2</w:t>
            </w:r>
            <w:r w:rsidRPr="0077019A">
              <w:rPr>
                <w:rFonts w:ascii="Times New Roman" w:eastAsia="Calibri" w:hAnsi="Times New Roman" w:cs="Times New Roman"/>
              </w:rPr>
              <w:t>%</w:t>
            </w:r>
          </w:p>
          <w:p w14:paraId="4651B16F" w14:textId="77777777" w:rsidR="00116F64" w:rsidRDefault="00116F64" w:rsidP="00EE0A39">
            <w:pPr>
              <w:spacing w:after="0" w:line="480" w:lineRule="auto"/>
              <w:jc w:val="center"/>
              <w:rPr>
                <w:rFonts w:ascii="Times New Roman" w:eastAsia="Calibri" w:hAnsi="Times New Roman" w:cs="Times New Roman"/>
              </w:rPr>
            </w:pPr>
          </w:p>
          <w:p w14:paraId="63DB6F52" w14:textId="4ADDFCF7" w:rsidR="00CA68B9" w:rsidRPr="0077019A" w:rsidRDefault="00CA68B9" w:rsidP="00EE0A39">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0.</w:t>
            </w:r>
            <w:r w:rsidR="00984781">
              <w:rPr>
                <w:rFonts w:ascii="Times New Roman" w:eastAsia="Calibri" w:hAnsi="Times New Roman" w:cs="Times New Roman"/>
              </w:rPr>
              <w:t>99</w:t>
            </w:r>
            <w:r w:rsidRPr="0077019A">
              <w:rPr>
                <w:rFonts w:ascii="Times New Roman" w:eastAsia="Calibri" w:hAnsi="Times New Roman" w:cs="Times New Roman"/>
              </w:rPr>
              <w:t xml:space="preserve"> (0.</w:t>
            </w:r>
            <w:r w:rsidR="00984781">
              <w:rPr>
                <w:rFonts w:ascii="Times New Roman" w:eastAsia="Calibri" w:hAnsi="Times New Roman" w:cs="Times New Roman"/>
              </w:rPr>
              <w:t>81</w:t>
            </w:r>
            <w:r w:rsidRPr="0077019A">
              <w:rPr>
                <w:rFonts w:ascii="Times New Roman" w:eastAsia="Calibri" w:hAnsi="Times New Roman" w:cs="Times New Roman"/>
              </w:rPr>
              <w:t xml:space="preserve">, </w:t>
            </w:r>
            <w:r w:rsidR="00984781">
              <w:rPr>
                <w:rFonts w:ascii="Times New Roman" w:eastAsia="Calibri" w:hAnsi="Times New Roman" w:cs="Times New Roman"/>
              </w:rPr>
              <w:t>1.21</w:t>
            </w:r>
            <w:r w:rsidRPr="0077019A">
              <w:rPr>
                <w:rFonts w:ascii="Times New Roman" w:eastAsia="Calibri" w:hAnsi="Times New Roman" w:cs="Times New Roman"/>
              </w:rPr>
              <w:t>)</w:t>
            </w:r>
          </w:p>
          <w:p w14:paraId="744A76A0" w14:textId="67F89A70" w:rsidR="00CA68B9" w:rsidRDefault="00CA68B9" w:rsidP="00EE0A39">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w:t>
            </w:r>
            <w:r w:rsidR="0053477F">
              <w:rPr>
                <w:rFonts w:ascii="Times New Roman" w:eastAsia="Calibri" w:hAnsi="Times New Roman" w:cs="Times New Roman"/>
              </w:rPr>
              <w:t>1</w:t>
            </w:r>
            <w:r w:rsidRPr="0077019A">
              <w:rPr>
                <w:rFonts w:ascii="Times New Roman" w:eastAsia="Calibri" w:hAnsi="Times New Roman" w:cs="Times New Roman"/>
              </w:rPr>
              <w:t>%</w:t>
            </w:r>
          </w:p>
          <w:p w14:paraId="54FE9AA2" w14:textId="56003EC8" w:rsidR="00CA68B9" w:rsidRPr="006063A0" w:rsidRDefault="00C30A4F" w:rsidP="00EE0A39">
            <w:pPr>
              <w:adjustRightInd w:val="0"/>
              <w:spacing w:after="0" w:line="480" w:lineRule="auto"/>
              <w:jc w:val="center"/>
              <w:rPr>
                <w:rFonts w:ascii="Times New Roman" w:hAnsi="Times New Roman" w:cs="Times New Roman"/>
                <w:color w:val="000000"/>
              </w:rPr>
            </w:pPr>
            <w:r>
              <w:rPr>
                <w:rFonts w:ascii="Times New Roman" w:eastAsia="Calibri" w:hAnsi="Times New Roman" w:cs="Times New Roman"/>
              </w:rPr>
              <w:t>0.9238</w:t>
            </w:r>
          </w:p>
        </w:tc>
        <w:tc>
          <w:tcPr>
            <w:tcW w:w="730" w:type="pct"/>
            <w:tcMar>
              <w:top w:w="0" w:type="dxa"/>
              <w:left w:w="10" w:type="dxa"/>
              <w:bottom w:w="0" w:type="dxa"/>
              <w:right w:w="10" w:type="dxa"/>
            </w:tcMar>
          </w:tcPr>
          <w:p w14:paraId="44FF8E6F" w14:textId="77777777" w:rsidR="00CA68B9" w:rsidRPr="0077019A" w:rsidRDefault="00CA68B9" w:rsidP="00EE0A39">
            <w:pPr>
              <w:spacing w:after="0" w:line="480" w:lineRule="auto"/>
              <w:jc w:val="center"/>
              <w:rPr>
                <w:rFonts w:ascii="Times New Roman" w:eastAsia="Calibri" w:hAnsi="Times New Roman" w:cs="Times New Roman"/>
              </w:rPr>
            </w:pPr>
          </w:p>
          <w:p w14:paraId="1B08147D" w14:textId="77777777" w:rsidR="00CA68B9" w:rsidRPr="0077019A" w:rsidRDefault="00CA68B9" w:rsidP="00EE0A39">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18</w:t>
            </w:r>
          </w:p>
          <w:p w14:paraId="2006C2EC" w14:textId="220FF1E1" w:rsidR="00CA68B9" w:rsidRPr="0077019A" w:rsidRDefault="00E45AFE" w:rsidP="00EE0A39">
            <w:pPr>
              <w:spacing w:after="0" w:line="480" w:lineRule="auto"/>
              <w:jc w:val="center"/>
              <w:rPr>
                <w:rFonts w:ascii="Times New Roman" w:eastAsia="Calibri" w:hAnsi="Times New Roman" w:cs="Times New Roman"/>
              </w:rPr>
            </w:pPr>
            <w:r>
              <w:rPr>
                <w:rFonts w:ascii="Times New Roman" w:eastAsia="Calibri" w:hAnsi="Times New Roman" w:cs="Times New Roman"/>
              </w:rPr>
              <w:t>1.22</w:t>
            </w:r>
            <w:r w:rsidR="00CA68B9" w:rsidRPr="0077019A">
              <w:rPr>
                <w:rFonts w:ascii="Times New Roman" w:eastAsia="Calibri" w:hAnsi="Times New Roman" w:cs="Times New Roman"/>
              </w:rPr>
              <w:t xml:space="preserve"> (</w:t>
            </w:r>
            <w:r>
              <w:rPr>
                <w:rFonts w:ascii="Times New Roman" w:eastAsia="Calibri" w:hAnsi="Times New Roman" w:cs="Times New Roman"/>
              </w:rPr>
              <w:t>1.05</w:t>
            </w:r>
            <w:r w:rsidR="00CA68B9" w:rsidRPr="0077019A">
              <w:rPr>
                <w:rFonts w:ascii="Times New Roman" w:eastAsia="Calibri" w:hAnsi="Times New Roman" w:cs="Times New Roman"/>
              </w:rPr>
              <w:t xml:space="preserve">, </w:t>
            </w:r>
            <w:r w:rsidR="00724D67">
              <w:rPr>
                <w:rFonts w:ascii="Times New Roman" w:eastAsia="Calibri" w:hAnsi="Times New Roman" w:cs="Times New Roman"/>
              </w:rPr>
              <w:t>1.41</w:t>
            </w:r>
            <w:r w:rsidR="00CA68B9" w:rsidRPr="0077019A">
              <w:rPr>
                <w:rFonts w:ascii="Times New Roman" w:eastAsia="Calibri" w:hAnsi="Times New Roman" w:cs="Times New Roman"/>
              </w:rPr>
              <w:t>)</w:t>
            </w:r>
          </w:p>
          <w:p w14:paraId="3E70A476" w14:textId="75B09A37" w:rsidR="00CA68B9" w:rsidRPr="0077019A" w:rsidRDefault="007B3BA9" w:rsidP="00EE0A39">
            <w:pPr>
              <w:spacing w:after="0" w:line="480" w:lineRule="auto"/>
              <w:jc w:val="center"/>
              <w:rPr>
                <w:rFonts w:ascii="Times New Roman" w:eastAsia="Calibri" w:hAnsi="Times New Roman" w:cs="Times New Roman"/>
              </w:rPr>
            </w:pPr>
            <w:r>
              <w:rPr>
                <w:rFonts w:ascii="Times New Roman" w:eastAsia="Calibri" w:hAnsi="Times New Roman" w:cs="Times New Roman"/>
              </w:rPr>
              <w:t>+22</w:t>
            </w:r>
            <w:r w:rsidR="00CA68B9" w:rsidRPr="0077019A">
              <w:rPr>
                <w:rFonts w:ascii="Times New Roman" w:eastAsia="Calibri" w:hAnsi="Times New Roman" w:cs="Times New Roman"/>
              </w:rPr>
              <w:t>%</w:t>
            </w:r>
          </w:p>
          <w:p w14:paraId="6AAE9A2B" w14:textId="77777777" w:rsidR="00116F64" w:rsidRDefault="00116F64" w:rsidP="00EE0A39">
            <w:pPr>
              <w:spacing w:after="0" w:line="480" w:lineRule="auto"/>
              <w:jc w:val="center"/>
              <w:rPr>
                <w:rFonts w:ascii="Times New Roman" w:eastAsia="Calibri" w:hAnsi="Times New Roman" w:cs="Times New Roman"/>
              </w:rPr>
            </w:pPr>
          </w:p>
          <w:p w14:paraId="02621CB6" w14:textId="52B5CF1C" w:rsidR="00CA68B9" w:rsidRPr="0077019A" w:rsidRDefault="00984781" w:rsidP="00EE0A39">
            <w:pPr>
              <w:spacing w:after="0" w:line="480" w:lineRule="auto"/>
              <w:jc w:val="center"/>
              <w:rPr>
                <w:rFonts w:ascii="Times New Roman" w:eastAsia="Calibri" w:hAnsi="Times New Roman" w:cs="Times New Roman"/>
              </w:rPr>
            </w:pPr>
            <w:r>
              <w:rPr>
                <w:rFonts w:ascii="Times New Roman" w:eastAsia="Calibri" w:hAnsi="Times New Roman" w:cs="Times New Roman"/>
              </w:rPr>
              <w:t>1.23</w:t>
            </w:r>
            <w:r w:rsidR="00CA68B9" w:rsidRPr="0077019A">
              <w:rPr>
                <w:rFonts w:ascii="Times New Roman" w:eastAsia="Calibri" w:hAnsi="Times New Roman" w:cs="Times New Roman"/>
              </w:rPr>
              <w:t xml:space="preserve"> (</w:t>
            </w:r>
            <w:r>
              <w:rPr>
                <w:rFonts w:ascii="Times New Roman" w:eastAsia="Calibri" w:hAnsi="Times New Roman" w:cs="Times New Roman"/>
              </w:rPr>
              <w:t>1.0</w:t>
            </w:r>
            <w:r w:rsidR="0053477F">
              <w:rPr>
                <w:rFonts w:ascii="Times New Roman" w:eastAsia="Calibri" w:hAnsi="Times New Roman" w:cs="Times New Roman"/>
              </w:rPr>
              <w:t>1</w:t>
            </w:r>
            <w:r w:rsidR="00CA68B9" w:rsidRPr="0077019A">
              <w:rPr>
                <w:rFonts w:ascii="Times New Roman" w:eastAsia="Calibri" w:hAnsi="Times New Roman" w:cs="Times New Roman"/>
              </w:rPr>
              <w:t xml:space="preserve">, </w:t>
            </w:r>
            <w:r w:rsidR="0053477F">
              <w:rPr>
                <w:rFonts w:ascii="Times New Roman" w:eastAsia="Calibri" w:hAnsi="Times New Roman" w:cs="Times New Roman"/>
              </w:rPr>
              <w:t>1.51</w:t>
            </w:r>
            <w:r w:rsidR="00CA68B9" w:rsidRPr="0077019A">
              <w:rPr>
                <w:rFonts w:ascii="Times New Roman" w:eastAsia="Calibri" w:hAnsi="Times New Roman" w:cs="Times New Roman"/>
              </w:rPr>
              <w:t>)</w:t>
            </w:r>
          </w:p>
          <w:p w14:paraId="08F41D6E" w14:textId="2255E359" w:rsidR="00CA68B9" w:rsidRDefault="0053477F" w:rsidP="00EE0A39">
            <w:pPr>
              <w:spacing w:after="0" w:line="480" w:lineRule="auto"/>
              <w:jc w:val="center"/>
              <w:rPr>
                <w:rFonts w:ascii="Times New Roman" w:eastAsia="Calibri" w:hAnsi="Times New Roman" w:cs="Times New Roman"/>
              </w:rPr>
            </w:pPr>
            <w:r>
              <w:rPr>
                <w:rFonts w:ascii="Times New Roman" w:eastAsia="Calibri" w:hAnsi="Times New Roman" w:cs="Times New Roman"/>
              </w:rPr>
              <w:t>+23</w:t>
            </w:r>
            <w:r w:rsidR="00CA68B9" w:rsidRPr="0077019A">
              <w:rPr>
                <w:rFonts w:ascii="Times New Roman" w:eastAsia="Calibri" w:hAnsi="Times New Roman" w:cs="Times New Roman"/>
              </w:rPr>
              <w:t>%</w:t>
            </w:r>
          </w:p>
          <w:p w14:paraId="1422404B" w14:textId="55FEB8D8" w:rsidR="00CA68B9" w:rsidRPr="006063A0" w:rsidRDefault="00C30A4F" w:rsidP="00EE0A39">
            <w:pPr>
              <w:adjustRightInd w:val="0"/>
              <w:spacing w:after="0" w:line="480" w:lineRule="auto"/>
              <w:jc w:val="center"/>
              <w:rPr>
                <w:rFonts w:ascii="Times New Roman" w:hAnsi="Times New Roman" w:cs="Times New Roman"/>
                <w:color w:val="000000"/>
              </w:rPr>
            </w:pPr>
            <w:r>
              <w:rPr>
                <w:rFonts w:ascii="Times New Roman" w:eastAsia="Calibri" w:hAnsi="Times New Roman" w:cs="Times New Roman"/>
              </w:rPr>
              <w:t>0.0396</w:t>
            </w:r>
          </w:p>
        </w:tc>
        <w:tc>
          <w:tcPr>
            <w:tcW w:w="832" w:type="pct"/>
            <w:tcMar>
              <w:top w:w="0" w:type="dxa"/>
              <w:left w:w="10" w:type="dxa"/>
              <w:bottom w:w="0" w:type="dxa"/>
              <w:right w:w="10" w:type="dxa"/>
            </w:tcMar>
          </w:tcPr>
          <w:p w14:paraId="2DB44A21" w14:textId="77777777" w:rsidR="00CA68B9" w:rsidRPr="0077019A" w:rsidRDefault="00CA68B9" w:rsidP="00EE0A39">
            <w:pPr>
              <w:spacing w:after="0" w:line="480" w:lineRule="auto"/>
              <w:jc w:val="center"/>
              <w:rPr>
                <w:rFonts w:ascii="Times New Roman" w:eastAsia="Calibri" w:hAnsi="Times New Roman" w:cs="Times New Roman"/>
              </w:rPr>
            </w:pPr>
          </w:p>
          <w:p w14:paraId="788CADC9" w14:textId="77777777" w:rsidR="00CA68B9" w:rsidRPr="0077019A" w:rsidRDefault="00CA68B9" w:rsidP="00EE0A39">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21</w:t>
            </w:r>
          </w:p>
          <w:p w14:paraId="47F3FFC1" w14:textId="69B72A0B" w:rsidR="00CA68B9" w:rsidRPr="0077019A" w:rsidRDefault="00724D67" w:rsidP="00EE0A39">
            <w:pPr>
              <w:spacing w:after="0" w:line="480" w:lineRule="auto"/>
              <w:jc w:val="center"/>
              <w:rPr>
                <w:rFonts w:ascii="Times New Roman" w:eastAsia="Calibri" w:hAnsi="Times New Roman" w:cs="Times New Roman"/>
              </w:rPr>
            </w:pPr>
            <w:r>
              <w:rPr>
                <w:rFonts w:ascii="Times New Roman" w:eastAsia="Calibri" w:hAnsi="Times New Roman" w:cs="Times New Roman"/>
              </w:rPr>
              <w:t>1.00</w:t>
            </w:r>
            <w:r w:rsidR="00CA68B9" w:rsidRPr="0077019A">
              <w:rPr>
                <w:rFonts w:ascii="Times New Roman" w:eastAsia="Calibri" w:hAnsi="Times New Roman" w:cs="Times New Roman"/>
              </w:rPr>
              <w:t xml:space="preserve"> (0.</w:t>
            </w:r>
            <w:r>
              <w:rPr>
                <w:rFonts w:ascii="Times New Roman" w:eastAsia="Calibri" w:hAnsi="Times New Roman" w:cs="Times New Roman"/>
              </w:rPr>
              <w:t>87</w:t>
            </w:r>
            <w:r w:rsidR="00CA68B9" w:rsidRPr="0077019A">
              <w:rPr>
                <w:rFonts w:ascii="Times New Roman" w:eastAsia="Calibri" w:hAnsi="Times New Roman" w:cs="Times New Roman"/>
              </w:rPr>
              <w:t xml:space="preserve">, </w:t>
            </w:r>
            <w:r>
              <w:rPr>
                <w:rFonts w:ascii="Times New Roman" w:eastAsia="Calibri" w:hAnsi="Times New Roman" w:cs="Times New Roman"/>
              </w:rPr>
              <w:t>1.14</w:t>
            </w:r>
            <w:r w:rsidR="00CA68B9" w:rsidRPr="0077019A">
              <w:rPr>
                <w:rFonts w:ascii="Times New Roman" w:eastAsia="Calibri" w:hAnsi="Times New Roman" w:cs="Times New Roman"/>
              </w:rPr>
              <w:t>)</w:t>
            </w:r>
          </w:p>
          <w:p w14:paraId="76A7576B" w14:textId="4920A3D3" w:rsidR="00CA68B9" w:rsidRPr="0077019A" w:rsidRDefault="007B3BA9" w:rsidP="00EE0A39">
            <w:pPr>
              <w:spacing w:after="0" w:line="480" w:lineRule="auto"/>
              <w:jc w:val="center"/>
              <w:rPr>
                <w:rFonts w:ascii="Times New Roman" w:eastAsia="Calibri" w:hAnsi="Times New Roman" w:cs="Times New Roman"/>
              </w:rPr>
            </w:pPr>
            <w:r>
              <w:rPr>
                <w:rFonts w:ascii="Times New Roman" w:eastAsia="Calibri" w:hAnsi="Times New Roman" w:cs="Times New Roman"/>
              </w:rPr>
              <w:t>0</w:t>
            </w:r>
            <w:r w:rsidR="00CA68B9" w:rsidRPr="0077019A">
              <w:rPr>
                <w:rFonts w:ascii="Times New Roman" w:eastAsia="Calibri" w:hAnsi="Times New Roman" w:cs="Times New Roman"/>
              </w:rPr>
              <w:t>%</w:t>
            </w:r>
          </w:p>
          <w:p w14:paraId="622AC596" w14:textId="77777777" w:rsidR="00116F64" w:rsidRDefault="00116F64" w:rsidP="00EE0A39">
            <w:pPr>
              <w:spacing w:after="0" w:line="480" w:lineRule="auto"/>
              <w:jc w:val="center"/>
              <w:rPr>
                <w:rFonts w:ascii="Times New Roman" w:eastAsia="Calibri" w:hAnsi="Times New Roman" w:cs="Times New Roman"/>
              </w:rPr>
            </w:pPr>
          </w:p>
          <w:p w14:paraId="0CD18894" w14:textId="7AA13D65" w:rsidR="00CA68B9" w:rsidRPr="0077019A" w:rsidRDefault="0053477F" w:rsidP="00EE0A39">
            <w:pPr>
              <w:spacing w:after="0" w:line="480" w:lineRule="auto"/>
              <w:jc w:val="center"/>
              <w:rPr>
                <w:rFonts w:ascii="Times New Roman" w:eastAsia="Calibri" w:hAnsi="Times New Roman" w:cs="Times New Roman"/>
              </w:rPr>
            </w:pPr>
            <w:r>
              <w:rPr>
                <w:rFonts w:ascii="Times New Roman" w:eastAsia="Calibri" w:hAnsi="Times New Roman" w:cs="Times New Roman"/>
              </w:rPr>
              <w:t>1.01</w:t>
            </w:r>
            <w:r w:rsidR="00CA68B9" w:rsidRPr="0077019A">
              <w:rPr>
                <w:rFonts w:ascii="Times New Roman" w:eastAsia="Calibri" w:hAnsi="Times New Roman" w:cs="Times New Roman"/>
              </w:rPr>
              <w:t xml:space="preserve"> (0.</w:t>
            </w:r>
            <w:r>
              <w:rPr>
                <w:rFonts w:ascii="Times New Roman" w:eastAsia="Calibri" w:hAnsi="Times New Roman" w:cs="Times New Roman"/>
              </w:rPr>
              <w:t>83</w:t>
            </w:r>
            <w:r w:rsidR="00CA68B9" w:rsidRPr="0077019A">
              <w:rPr>
                <w:rFonts w:ascii="Times New Roman" w:eastAsia="Calibri" w:hAnsi="Times New Roman" w:cs="Times New Roman"/>
              </w:rPr>
              <w:t xml:space="preserve">, </w:t>
            </w:r>
            <w:r>
              <w:rPr>
                <w:rFonts w:ascii="Times New Roman" w:eastAsia="Calibri" w:hAnsi="Times New Roman" w:cs="Times New Roman"/>
              </w:rPr>
              <w:t>1.23</w:t>
            </w:r>
            <w:r w:rsidR="00CA68B9" w:rsidRPr="0077019A">
              <w:rPr>
                <w:rFonts w:ascii="Times New Roman" w:eastAsia="Calibri" w:hAnsi="Times New Roman" w:cs="Times New Roman"/>
              </w:rPr>
              <w:t>)</w:t>
            </w:r>
          </w:p>
          <w:p w14:paraId="5D714E09" w14:textId="381C59A4" w:rsidR="00CA68B9" w:rsidRDefault="0053477F" w:rsidP="00EE0A39">
            <w:pPr>
              <w:spacing w:after="0" w:line="480" w:lineRule="auto"/>
              <w:jc w:val="center"/>
              <w:rPr>
                <w:rFonts w:ascii="Times New Roman" w:eastAsia="Calibri" w:hAnsi="Times New Roman" w:cs="Times New Roman"/>
              </w:rPr>
            </w:pPr>
            <w:r>
              <w:rPr>
                <w:rFonts w:ascii="Times New Roman" w:eastAsia="Calibri" w:hAnsi="Times New Roman" w:cs="Times New Roman"/>
              </w:rPr>
              <w:t>+1</w:t>
            </w:r>
            <w:r w:rsidR="00CA68B9" w:rsidRPr="0077019A">
              <w:rPr>
                <w:rFonts w:ascii="Times New Roman" w:eastAsia="Calibri" w:hAnsi="Times New Roman" w:cs="Times New Roman"/>
              </w:rPr>
              <w:t>%</w:t>
            </w:r>
          </w:p>
          <w:p w14:paraId="5C05F3B1" w14:textId="2A2ADE2C" w:rsidR="00CA68B9" w:rsidRPr="006063A0" w:rsidRDefault="00C30A4F" w:rsidP="00EE0A39">
            <w:pPr>
              <w:adjustRightInd w:val="0"/>
              <w:spacing w:after="0" w:line="480" w:lineRule="auto"/>
              <w:jc w:val="center"/>
              <w:rPr>
                <w:rFonts w:ascii="Times New Roman" w:hAnsi="Times New Roman" w:cs="Times New Roman"/>
                <w:color w:val="000000"/>
              </w:rPr>
            </w:pPr>
            <w:r>
              <w:rPr>
                <w:rFonts w:ascii="Times New Roman" w:eastAsia="Calibri" w:hAnsi="Times New Roman" w:cs="Times New Roman"/>
              </w:rPr>
              <w:t>0.9099</w:t>
            </w:r>
          </w:p>
        </w:tc>
      </w:tr>
      <w:tr w:rsidR="000E6DFC" w:rsidRPr="006063A0" w14:paraId="6DDC484D" w14:textId="77777777" w:rsidTr="00116F64">
        <w:trPr>
          <w:cantSplit/>
        </w:trPr>
        <w:tc>
          <w:tcPr>
            <w:tcW w:w="1266" w:type="pct"/>
            <w:tcMar>
              <w:top w:w="0" w:type="dxa"/>
              <w:left w:w="10" w:type="dxa"/>
              <w:bottom w:w="0" w:type="dxa"/>
              <w:right w:w="10" w:type="dxa"/>
            </w:tcMar>
          </w:tcPr>
          <w:p w14:paraId="1D21109D" w14:textId="77777777" w:rsidR="003876CF" w:rsidRDefault="00284263" w:rsidP="000E6DFC">
            <w:pPr>
              <w:spacing w:after="0" w:line="480" w:lineRule="auto"/>
              <w:rPr>
                <w:rFonts w:ascii="Times New Roman" w:hAnsi="Times New Roman" w:cs="Times New Roman"/>
                <w:b/>
                <w:bCs/>
                <w:sz w:val="24"/>
                <w:szCs w:val="24"/>
              </w:rPr>
            </w:pPr>
            <w:r w:rsidRPr="003D2857">
              <w:rPr>
                <w:rFonts w:ascii="Times New Roman" w:hAnsi="Times New Roman" w:cs="Times New Roman"/>
                <w:b/>
                <w:bCs/>
                <w:sz w:val="24"/>
                <w:szCs w:val="24"/>
              </w:rPr>
              <w:t>Angiopoietin-like 3</w:t>
            </w:r>
          </w:p>
          <w:p w14:paraId="0A44C308" w14:textId="4704C5B2" w:rsidR="000E6DFC" w:rsidRPr="0077019A" w:rsidRDefault="000E6DFC" w:rsidP="000E6DFC">
            <w:pPr>
              <w:spacing w:after="0" w:line="480" w:lineRule="auto"/>
              <w:rPr>
                <w:rFonts w:ascii="Times New Roman" w:eastAsia="Calibri" w:hAnsi="Times New Roman" w:cs="Times New Roman"/>
              </w:rPr>
            </w:pPr>
            <w:r w:rsidRPr="0077019A">
              <w:rPr>
                <w:rFonts w:ascii="Times New Roman" w:eastAsia="Calibri" w:hAnsi="Times New Roman" w:cs="Times New Roman"/>
              </w:rPr>
              <w:t>n</w:t>
            </w:r>
          </w:p>
          <w:p w14:paraId="0AFAB179" w14:textId="77777777" w:rsidR="000E6DFC" w:rsidRPr="0077019A" w:rsidRDefault="000E6DFC" w:rsidP="000E6DFC">
            <w:pPr>
              <w:spacing w:after="0" w:line="480" w:lineRule="auto"/>
              <w:rPr>
                <w:rFonts w:ascii="Times New Roman" w:eastAsia="Calibri" w:hAnsi="Times New Roman" w:cs="Times New Roman"/>
              </w:rPr>
            </w:pPr>
            <w:r w:rsidRPr="0077019A">
              <w:rPr>
                <w:rFonts w:ascii="Times New Roman" w:eastAsia="Calibri" w:hAnsi="Times New Roman" w:cs="Times New Roman"/>
              </w:rPr>
              <w:t>PAT/baseline, LSM (95% CI)</w:t>
            </w:r>
          </w:p>
          <w:p w14:paraId="4E771ED6" w14:textId="77777777" w:rsidR="000E6DFC" w:rsidRPr="0077019A" w:rsidRDefault="000E6DFC" w:rsidP="000E6DFC">
            <w:pPr>
              <w:spacing w:after="0" w:line="480" w:lineRule="auto"/>
              <w:rPr>
                <w:rFonts w:ascii="Times New Roman" w:eastAsia="Calibri" w:hAnsi="Times New Roman" w:cs="Times New Roman"/>
              </w:rPr>
            </w:pPr>
            <w:r w:rsidRPr="0077019A">
              <w:rPr>
                <w:rFonts w:ascii="Times New Roman" w:eastAsia="Calibri" w:hAnsi="Times New Roman" w:cs="Times New Roman"/>
              </w:rPr>
              <w:t xml:space="preserve">% Change from baseline </w:t>
            </w:r>
          </w:p>
          <w:p w14:paraId="4AE6D434" w14:textId="77777777" w:rsidR="000E6DFC" w:rsidRPr="0077019A" w:rsidRDefault="000E6DFC" w:rsidP="000E6DFC">
            <w:pPr>
              <w:spacing w:after="0" w:line="480" w:lineRule="auto"/>
              <w:rPr>
                <w:rFonts w:ascii="Times New Roman" w:eastAsia="Calibri" w:hAnsi="Times New Roman" w:cs="Times New Roman"/>
              </w:rPr>
            </w:pPr>
            <w:r w:rsidRPr="0077019A">
              <w:rPr>
                <w:rFonts w:ascii="Times New Roman" w:eastAsia="Calibri" w:hAnsi="Times New Roman" w:cs="Times New Roman"/>
              </w:rPr>
              <w:t>PAT/baseline, LSM (95% CI) vs placebo</w:t>
            </w:r>
          </w:p>
          <w:p w14:paraId="1467AE47" w14:textId="77777777" w:rsidR="000E6DFC" w:rsidRDefault="000E6DFC" w:rsidP="000E6DFC">
            <w:pPr>
              <w:spacing w:after="0" w:line="480" w:lineRule="auto"/>
              <w:rPr>
                <w:rFonts w:ascii="Times New Roman" w:eastAsia="Calibri" w:hAnsi="Times New Roman" w:cs="Times New Roman"/>
              </w:rPr>
            </w:pPr>
            <w:r w:rsidRPr="0077019A">
              <w:rPr>
                <w:rFonts w:ascii="Times New Roman" w:eastAsia="Calibri" w:hAnsi="Times New Roman" w:cs="Times New Roman"/>
              </w:rPr>
              <w:t>% Change from baseline vs placebo</w:t>
            </w:r>
          </w:p>
          <w:p w14:paraId="270F90DD" w14:textId="68959608" w:rsidR="000E6DFC" w:rsidRDefault="000E6DFC" w:rsidP="000E6DFC">
            <w:pPr>
              <w:adjustRightInd w:val="0"/>
              <w:spacing w:after="0" w:line="480" w:lineRule="auto"/>
              <w:rPr>
                <w:rFonts w:ascii="Times New Roman" w:hAnsi="Times New Roman" w:cs="Times New Roman"/>
                <w:color w:val="000000"/>
              </w:rPr>
            </w:pPr>
            <w:r>
              <w:rPr>
                <w:rFonts w:ascii="Times New Roman" w:eastAsia="Calibri" w:hAnsi="Times New Roman" w:cs="Times New Roman"/>
              </w:rPr>
              <w:t xml:space="preserve">P- value </w:t>
            </w:r>
          </w:p>
        </w:tc>
        <w:tc>
          <w:tcPr>
            <w:tcW w:w="713" w:type="pct"/>
            <w:tcMar>
              <w:top w:w="0" w:type="dxa"/>
              <w:left w:w="10" w:type="dxa"/>
              <w:bottom w:w="0" w:type="dxa"/>
              <w:right w:w="10" w:type="dxa"/>
            </w:tcMar>
          </w:tcPr>
          <w:p w14:paraId="4DA9B29B" w14:textId="77777777" w:rsidR="000E6DFC" w:rsidRPr="0077019A" w:rsidRDefault="000E6DFC" w:rsidP="000E6DFC">
            <w:pPr>
              <w:spacing w:after="0" w:line="480" w:lineRule="auto"/>
              <w:jc w:val="center"/>
              <w:rPr>
                <w:rFonts w:ascii="Times New Roman" w:eastAsia="Calibri" w:hAnsi="Times New Roman" w:cs="Times New Roman"/>
              </w:rPr>
            </w:pPr>
          </w:p>
          <w:p w14:paraId="5C9DDC6F" w14:textId="7976568E" w:rsidR="00EF463C" w:rsidRDefault="000E6DFC" w:rsidP="00372BAE">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20</w:t>
            </w:r>
          </w:p>
          <w:p w14:paraId="65368DAB" w14:textId="2749FDE4" w:rsidR="000E6DFC" w:rsidRPr="0077019A" w:rsidRDefault="000E6DFC" w:rsidP="000E6DFC">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1.02 (0.</w:t>
            </w:r>
            <w:r w:rsidR="00F77F0E">
              <w:rPr>
                <w:rFonts w:ascii="Times New Roman" w:eastAsia="Calibri" w:hAnsi="Times New Roman" w:cs="Times New Roman"/>
              </w:rPr>
              <w:t>92</w:t>
            </w:r>
            <w:r w:rsidRPr="0077019A">
              <w:rPr>
                <w:rFonts w:ascii="Times New Roman" w:eastAsia="Calibri" w:hAnsi="Times New Roman" w:cs="Times New Roman"/>
              </w:rPr>
              <w:t>, 1.</w:t>
            </w:r>
            <w:r w:rsidR="00F77F0E">
              <w:rPr>
                <w:rFonts w:ascii="Times New Roman" w:eastAsia="Calibri" w:hAnsi="Times New Roman" w:cs="Times New Roman"/>
              </w:rPr>
              <w:t>1</w:t>
            </w:r>
            <w:r w:rsidRPr="0077019A">
              <w:rPr>
                <w:rFonts w:ascii="Times New Roman" w:eastAsia="Calibri" w:hAnsi="Times New Roman" w:cs="Times New Roman"/>
              </w:rPr>
              <w:t>3)</w:t>
            </w:r>
          </w:p>
          <w:p w14:paraId="1B3523B6" w14:textId="6A84C7AC" w:rsidR="000E6DFC" w:rsidRPr="007135FA" w:rsidRDefault="00C35C79" w:rsidP="000E6DFC">
            <w:pPr>
              <w:adjustRightInd w:val="0"/>
              <w:spacing w:after="0" w:line="480" w:lineRule="auto"/>
              <w:jc w:val="center"/>
              <w:rPr>
                <w:rFonts w:ascii="Times New Roman" w:hAnsi="Times New Roman" w:cs="Times New Roman"/>
                <w:color w:val="000000"/>
              </w:rPr>
            </w:pPr>
            <w:r>
              <w:rPr>
                <w:rFonts w:ascii="Times New Roman" w:eastAsia="Calibri" w:hAnsi="Times New Roman" w:cs="Times New Roman"/>
              </w:rPr>
              <w:t>+</w:t>
            </w:r>
            <w:r w:rsidR="000E6DFC" w:rsidRPr="0077019A">
              <w:rPr>
                <w:rFonts w:ascii="Times New Roman" w:eastAsia="Calibri" w:hAnsi="Times New Roman" w:cs="Times New Roman"/>
              </w:rPr>
              <w:t>2%</w:t>
            </w:r>
          </w:p>
        </w:tc>
        <w:tc>
          <w:tcPr>
            <w:tcW w:w="730" w:type="pct"/>
            <w:tcMar>
              <w:top w:w="0" w:type="dxa"/>
              <w:left w:w="10" w:type="dxa"/>
              <w:bottom w:w="0" w:type="dxa"/>
              <w:right w:w="10" w:type="dxa"/>
            </w:tcMar>
          </w:tcPr>
          <w:p w14:paraId="243114F1" w14:textId="77777777" w:rsidR="000E6DFC" w:rsidRPr="0077019A" w:rsidRDefault="000E6DFC" w:rsidP="000E6DFC">
            <w:pPr>
              <w:spacing w:after="0" w:line="480" w:lineRule="auto"/>
              <w:jc w:val="center"/>
              <w:rPr>
                <w:rFonts w:ascii="Times New Roman" w:eastAsia="Calibri" w:hAnsi="Times New Roman" w:cs="Times New Roman"/>
              </w:rPr>
            </w:pPr>
          </w:p>
          <w:p w14:paraId="3C9D4449" w14:textId="074F14F5" w:rsidR="00EF463C" w:rsidRDefault="000E6DFC" w:rsidP="00372BAE">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18</w:t>
            </w:r>
          </w:p>
          <w:p w14:paraId="50EDD33E" w14:textId="2F1E688A" w:rsidR="000E6DFC" w:rsidRPr="0077019A" w:rsidRDefault="00F77F0E" w:rsidP="000E6DFC">
            <w:pPr>
              <w:spacing w:after="0" w:line="480" w:lineRule="auto"/>
              <w:jc w:val="center"/>
              <w:rPr>
                <w:rFonts w:ascii="Times New Roman" w:eastAsia="Calibri" w:hAnsi="Times New Roman" w:cs="Times New Roman"/>
              </w:rPr>
            </w:pPr>
            <w:r>
              <w:rPr>
                <w:rFonts w:ascii="Times New Roman" w:eastAsia="Calibri" w:hAnsi="Times New Roman" w:cs="Times New Roman"/>
              </w:rPr>
              <w:t>1.08</w:t>
            </w:r>
            <w:r w:rsidR="000E6DFC" w:rsidRPr="0077019A">
              <w:rPr>
                <w:rFonts w:ascii="Times New Roman" w:eastAsia="Calibri" w:hAnsi="Times New Roman" w:cs="Times New Roman"/>
              </w:rPr>
              <w:t xml:space="preserve"> (0.</w:t>
            </w:r>
            <w:r>
              <w:rPr>
                <w:rFonts w:ascii="Times New Roman" w:eastAsia="Calibri" w:hAnsi="Times New Roman" w:cs="Times New Roman"/>
              </w:rPr>
              <w:t>97</w:t>
            </w:r>
            <w:r w:rsidR="000E6DFC" w:rsidRPr="0077019A">
              <w:rPr>
                <w:rFonts w:ascii="Times New Roman" w:eastAsia="Calibri" w:hAnsi="Times New Roman" w:cs="Times New Roman"/>
              </w:rPr>
              <w:t xml:space="preserve">, </w:t>
            </w:r>
            <w:r>
              <w:rPr>
                <w:rFonts w:ascii="Times New Roman" w:eastAsia="Calibri" w:hAnsi="Times New Roman" w:cs="Times New Roman"/>
              </w:rPr>
              <w:t>1.20</w:t>
            </w:r>
            <w:r w:rsidR="000E6DFC" w:rsidRPr="0077019A">
              <w:rPr>
                <w:rFonts w:ascii="Times New Roman" w:eastAsia="Calibri" w:hAnsi="Times New Roman" w:cs="Times New Roman"/>
              </w:rPr>
              <w:t>)</w:t>
            </w:r>
          </w:p>
          <w:p w14:paraId="4ECDDD32" w14:textId="02ED1344" w:rsidR="000E6DFC" w:rsidRPr="0077019A" w:rsidRDefault="00C35C79" w:rsidP="000E6DFC">
            <w:pPr>
              <w:spacing w:after="0" w:line="480" w:lineRule="auto"/>
              <w:jc w:val="center"/>
              <w:rPr>
                <w:rFonts w:ascii="Times New Roman" w:eastAsia="Calibri" w:hAnsi="Times New Roman" w:cs="Times New Roman"/>
              </w:rPr>
            </w:pPr>
            <w:r>
              <w:rPr>
                <w:rFonts w:ascii="Times New Roman" w:eastAsia="Calibri" w:hAnsi="Times New Roman" w:cs="Times New Roman"/>
              </w:rPr>
              <w:t>+</w:t>
            </w:r>
            <w:r w:rsidR="00C92EF1">
              <w:rPr>
                <w:rFonts w:ascii="Times New Roman" w:eastAsia="Calibri" w:hAnsi="Times New Roman" w:cs="Times New Roman"/>
              </w:rPr>
              <w:t>8</w:t>
            </w:r>
            <w:r w:rsidR="000E6DFC" w:rsidRPr="0077019A">
              <w:rPr>
                <w:rFonts w:ascii="Times New Roman" w:eastAsia="Calibri" w:hAnsi="Times New Roman" w:cs="Times New Roman"/>
              </w:rPr>
              <w:t>%</w:t>
            </w:r>
          </w:p>
          <w:p w14:paraId="17D36EE0" w14:textId="77777777" w:rsidR="00B472EE" w:rsidRDefault="00B472EE" w:rsidP="00AA7C18">
            <w:pPr>
              <w:spacing w:after="0" w:line="480" w:lineRule="auto"/>
              <w:rPr>
                <w:rFonts w:ascii="Times New Roman" w:eastAsia="Calibri" w:hAnsi="Times New Roman" w:cs="Times New Roman"/>
              </w:rPr>
            </w:pPr>
          </w:p>
          <w:p w14:paraId="4AABA1AD" w14:textId="767F9711" w:rsidR="000E6DFC" w:rsidRPr="0077019A" w:rsidRDefault="009369CF" w:rsidP="000E6DFC">
            <w:pPr>
              <w:spacing w:after="0" w:line="480" w:lineRule="auto"/>
              <w:jc w:val="center"/>
              <w:rPr>
                <w:rFonts w:ascii="Times New Roman" w:eastAsia="Calibri" w:hAnsi="Times New Roman" w:cs="Times New Roman"/>
              </w:rPr>
            </w:pPr>
            <w:r>
              <w:rPr>
                <w:rFonts w:ascii="Times New Roman" w:eastAsia="Calibri" w:hAnsi="Times New Roman" w:cs="Times New Roman"/>
              </w:rPr>
              <w:t>1.06</w:t>
            </w:r>
            <w:r w:rsidR="000E6DFC" w:rsidRPr="0077019A">
              <w:rPr>
                <w:rFonts w:ascii="Times New Roman" w:eastAsia="Calibri" w:hAnsi="Times New Roman" w:cs="Times New Roman"/>
              </w:rPr>
              <w:t xml:space="preserve"> (0.</w:t>
            </w:r>
            <w:r>
              <w:rPr>
                <w:rFonts w:ascii="Times New Roman" w:eastAsia="Calibri" w:hAnsi="Times New Roman" w:cs="Times New Roman"/>
              </w:rPr>
              <w:t>91</w:t>
            </w:r>
            <w:r w:rsidR="000E6DFC" w:rsidRPr="0077019A">
              <w:rPr>
                <w:rFonts w:ascii="Times New Roman" w:eastAsia="Calibri" w:hAnsi="Times New Roman" w:cs="Times New Roman"/>
              </w:rPr>
              <w:t xml:space="preserve">, </w:t>
            </w:r>
            <w:r w:rsidR="00187B2A">
              <w:rPr>
                <w:rFonts w:ascii="Times New Roman" w:eastAsia="Calibri" w:hAnsi="Times New Roman" w:cs="Times New Roman"/>
              </w:rPr>
              <w:t>1.22</w:t>
            </w:r>
            <w:r w:rsidR="000E6DFC" w:rsidRPr="0077019A">
              <w:rPr>
                <w:rFonts w:ascii="Times New Roman" w:eastAsia="Calibri" w:hAnsi="Times New Roman" w:cs="Times New Roman"/>
              </w:rPr>
              <w:t>)</w:t>
            </w:r>
          </w:p>
          <w:p w14:paraId="356653DF" w14:textId="02A1B26F" w:rsidR="000E6DFC" w:rsidRDefault="00C35C79" w:rsidP="000E6DFC">
            <w:pPr>
              <w:spacing w:after="0" w:line="480" w:lineRule="auto"/>
              <w:jc w:val="center"/>
              <w:rPr>
                <w:rFonts w:ascii="Times New Roman" w:eastAsia="Calibri" w:hAnsi="Times New Roman" w:cs="Times New Roman"/>
              </w:rPr>
            </w:pPr>
            <w:r>
              <w:rPr>
                <w:rFonts w:ascii="Times New Roman" w:eastAsia="Calibri" w:hAnsi="Times New Roman" w:cs="Times New Roman"/>
              </w:rPr>
              <w:t>+</w:t>
            </w:r>
            <w:r w:rsidR="00187B2A">
              <w:rPr>
                <w:rFonts w:ascii="Times New Roman" w:eastAsia="Calibri" w:hAnsi="Times New Roman" w:cs="Times New Roman"/>
              </w:rPr>
              <w:t>6</w:t>
            </w:r>
            <w:r w:rsidR="000E6DFC" w:rsidRPr="0077019A">
              <w:rPr>
                <w:rFonts w:ascii="Times New Roman" w:eastAsia="Calibri" w:hAnsi="Times New Roman" w:cs="Times New Roman"/>
              </w:rPr>
              <w:t>%</w:t>
            </w:r>
          </w:p>
          <w:p w14:paraId="60A7C426" w14:textId="25A6837E" w:rsidR="000E6DFC" w:rsidRPr="007135FA" w:rsidRDefault="000E6DFC" w:rsidP="000E6DFC">
            <w:pPr>
              <w:adjustRightInd w:val="0"/>
              <w:spacing w:after="0" w:line="480" w:lineRule="auto"/>
              <w:jc w:val="center"/>
              <w:rPr>
                <w:rFonts w:ascii="Times New Roman" w:hAnsi="Times New Roman" w:cs="Times New Roman"/>
                <w:color w:val="000000"/>
              </w:rPr>
            </w:pPr>
            <w:r>
              <w:rPr>
                <w:rFonts w:ascii="Times New Roman" w:eastAsia="Calibri" w:hAnsi="Times New Roman" w:cs="Times New Roman"/>
              </w:rPr>
              <w:t>0.</w:t>
            </w:r>
            <w:r w:rsidR="00187B2A">
              <w:rPr>
                <w:rFonts w:ascii="Times New Roman" w:eastAsia="Calibri" w:hAnsi="Times New Roman" w:cs="Times New Roman"/>
              </w:rPr>
              <w:t>4533</w:t>
            </w:r>
          </w:p>
        </w:tc>
        <w:tc>
          <w:tcPr>
            <w:tcW w:w="729" w:type="pct"/>
            <w:tcMar>
              <w:top w:w="0" w:type="dxa"/>
              <w:left w:w="10" w:type="dxa"/>
              <w:bottom w:w="0" w:type="dxa"/>
              <w:right w:w="10" w:type="dxa"/>
            </w:tcMar>
          </w:tcPr>
          <w:p w14:paraId="3ED1FA72" w14:textId="77777777" w:rsidR="000E6DFC" w:rsidRPr="0077019A" w:rsidRDefault="000E6DFC" w:rsidP="000E6DFC">
            <w:pPr>
              <w:spacing w:after="0" w:line="480" w:lineRule="auto"/>
              <w:jc w:val="center"/>
              <w:rPr>
                <w:rFonts w:ascii="Times New Roman" w:eastAsia="Calibri" w:hAnsi="Times New Roman" w:cs="Times New Roman"/>
              </w:rPr>
            </w:pPr>
          </w:p>
          <w:p w14:paraId="6641A56F" w14:textId="797E970B" w:rsidR="00EF463C" w:rsidRDefault="000E6DFC" w:rsidP="00372BAE">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1</w:t>
            </w:r>
            <w:r w:rsidR="009E7A40">
              <w:rPr>
                <w:rFonts w:ascii="Times New Roman" w:eastAsia="Calibri" w:hAnsi="Times New Roman" w:cs="Times New Roman"/>
              </w:rPr>
              <w:t>9</w:t>
            </w:r>
          </w:p>
          <w:p w14:paraId="43C31917" w14:textId="7851694D" w:rsidR="000E6DFC" w:rsidRPr="0077019A" w:rsidRDefault="00C92EF1" w:rsidP="000E6DFC">
            <w:pPr>
              <w:spacing w:after="0" w:line="480" w:lineRule="auto"/>
              <w:jc w:val="center"/>
              <w:rPr>
                <w:rFonts w:ascii="Times New Roman" w:eastAsia="Calibri" w:hAnsi="Times New Roman" w:cs="Times New Roman"/>
              </w:rPr>
            </w:pPr>
            <w:r>
              <w:rPr>
                <w:rFonts w:ascii="Times New Roman" w:eastAsia="Calibri" w:hAnsi="Times New Roman" w:cs="Times New Roman"/>
              </w:rPr>
              <w:t>1.06</w:t>
            </w:r>
            <w:r w:rsidR="000E6DFC" w:rsidRPr="0077019A">
              <w:rPr>
                <w:rFonts w:ascii="Times New Roman" w:eastAsia="Calibri" w:hAnsi="Times New Roman" w:cs="Times New Roman"/>
              </w:rPr>
              <w:t xml:space="preserve"> (0.</w:t>
            </w:r>
            <w:r>
              <w:rPr>
                <w:rFonts w:ascii="Times New Roman" w:eastAsia="Calibri" w:hAnsi="Times New Roman" w:cs="Times New Roman"/>
              </w:rPr>
              <w:t>95</w:t>
            </w:r>
            <w:r w:rsidR="000E6DFC" w:rsidRPr="0077019A">
              <w:rPr>
                <w:rFonts w:ascii="Times New Roman" w:eastAsia="Calibri" w:hAnsi="Times New Roman" w:cs="Times New Roman"/>
              </w:rPr>
              <w:t xml:space="preserve">, </w:t>
            </w:r>
            <w:r>
              <w:rPr>
                <w:rFonts w:ascii="Times New Roman" w:eastAsia="Calibri" w:hAnsi="Times New Roman" w:cs="Times New Roman"/>
              </w:rPr>
              <w:t>1.17</w:t>
            </w:r>
            <w:r w:rsidR="000E6DFC" w:rsidRPr="0077019A">
              <w:rPr>
                <w:rFonts w:ascii="Times New Roman" w:eastAsia="Calibri" w:hAnsi="Times New Roman" w:cs="Times New Roman"/>
              </w:rPr>
              <w:t>)</w:t>
            </w:r>
          </w:p>
          <w:p w14:paraId="2EA652BC" w14:textId="5C08BBE4" w:rsidR="000E6DFC" w:rsidRPr="0077019A" w:rsidRDefault="00C35C79" w:rsidP="000E6DFC">
            <w:pPr>
              <w:spacing w:after="0" w:line="480" w:lineRule="auto"/>
              <w:jc w:val="center"/>
              <w:rPr>
                <w:rFonts w:ascii="Times New Roman" w:eastAsia="Calibri" w:hAnsi="Times New Roman" w:cs="Times New Roman"/>
              </w:rPr>
            </w:pPr>
            <w:r>
              <w:rPr>
                <w:rFonts w:ascii="Times New Roman" w:eastAsia="Calibri" w:hAnsi="Times New Roman" w:cs="Times New Roman"/>
              </w:rPr>
              <w:t>+</w:t>
            </w:r>
            <w:r w:rsidR="00C92EF1">
              <w:rPr>
                <w:rFonts w:ascii="Times New Roman" w:eastAsia="Calibri" w:hAnsi="Times New Roman" w:cs="Times New Roman"/>
              </w:rPr>
              <w:t>6</w:t>
            </w:r>
            <w:r w:rsidR="000E6DFC" w:rsidRPr="0077019A">
              <w:rPr>
                <w:rFonts w:ascii="Times New Roman" w:eastAsia="Calibri" w:hAnsi="Times New Roman" w:cs="Times New Roman"/>
              </w:rPr>
              <w:t>%</w:t>
            </w:r>
          </w:p>
          <w:p w14:paraId="380691F9" w14:textId="77777777" w:rsidR="00B472EE" w:rsidRDefault="00B472EE" w:rsidP="00116F64">
            <w:pPr>
              <w:spacing w:after="0" w:line="480" w:lineRule="auto"/>
              <w:rPr>
                <w:rFonts w:ascii="Times New Roman" w:eastAsia="Calibri" w:hAnsi="Times New Roman" w:cs="Times New Roman"/>
              </w:rPr>
            </w:pPr>
          </w:p>
          <w:p w14:paraId="3DC0C5CC" w14:textId="2551390E" w:rsidR="000E6DFC" w:rsidRPr="0077019A" w:rsidRDefault="00187B2A" w:rsidP="000E6DFC">
            <w:pPr>
              <w:spacing w:after="0" w:line="480" w:lineRule="auto"/>
              <w:jc w:val="center"/>
              <w:rPr>
                <w:rFonts w:ascii="Times New Roman" w:eastAsia="Calibri" w:hAnsi="Times New Roman" w:cs="Times New Roman"/>
              </w:rPr>
            </w:pPr>
            <w:r>
              <w:rPr>
                <w:rFonts w:ascii="Times New Roman" w:eastAsia="Calibri" w:hAnsi="Times New Roman" w:cs="Times New Roman"/>
              </w:rPr>
              <w:t>1</w:t>
            </w:r>
            <w:r w:rsidR="000E6DFC" w:rsidRPr="0077019A">
              <w:rPr>
                <w:rFonts w:ascii="Times New Roman" w:eastAsia="Calibri" w:hAnsi="Times New Roman" w:cs="Times New Roman"/>
              </w:rPr>
              <w:t>.</w:t>
            </w:r>
            <w:r>
              <w:rPr>
                <w:rFonts w:ascii="Times New Roman" w:eastAsia="Calibri" w:hAnsi="Times New Roman" w:cs="Times New Roman"/>
              </w:rPr>
              <w:t>03</w:t>
            </w:r>
            <w:r w:rsidR="000E6DFC" w:rsidRPr="0077019A">
              <w:rPr>
                <w:rFonts w:ascii="Times New Roman" w:eastAsia="Calibri" w:hAnsi="Times New Roman" w:cs="Times New Roman"/>
              </w:rPr>
              <w:t xml:space="preserve"> (0.</w:t>
            </w:r>
            <w:r>
              <w:rPr>
                <w:rFonts w:ascii="Times New Roman" w:eastAsia="Calibri" w:hAnsi="Times New Roman" w:cs="Times New Roman"/>
              </w:rPr>
              <w:t>89</w:t>
            </w:r>
            <w:r w:rsidR="000E6DFC" w:rsidRPr="0077019A">
              <w:rPr>
                <w:rFonts w:ascii="Times New Roman" w:eastAsia="Calibri" w:hAnsi="Times New Roman" w:cs="Times New Roman"/>
              </w:rPr>
              <w:t xml:space="preserve">, </w:t>
            </w:r>
            <w:r>
              <w:rPr>
                <w:rFonts w:ascii="Times New Roman" w:eastAsia="Calibri" w:hAnsi="Times New Roman" w:cs="Times New Roman"/>
              </w:rPr>
              <w:t>1.20</w:t>
            </w:r>
            <w:r w:rsidR="000E6DFC" w:rsidRPr="0077019A">
              <w:rPr>
                <w:rFonts w:ascii="Times New Roman" w:eastAsia="Calibri" w:hAnsi="Times New Roman" w:cs="Times New Roman"/>
              </w:rPr>
              <w:t>)</w:t>
            </w:r>
          </w:p>
          <w:p w14:paraId="2770F23C" w14:textId="2FCA383E" w:rsidR="000E6DFC" w:rsidRDefault="00EE2927" w:rsidP="000E6DFC">
            <w:pPr>
              <w:spacing w:after="0" w:line="480" w:lineRule="auto"/>
              <w:jc w:val="center"/>
              <w:rPr>
                <w:rFonts w:ascii="Times New Roman" w:eastAsia="Calibri" w:hAnsi="Times New Roman" w:cs="Times New Roman"/>
              </w:rPr>
            </w:pPr>
            <w:r>
              <w:rPr>
                <w:rFonts w:ascii="Times New Roman" w:eastAsia="Calibri" w:hAnsi="Times New Roman" w:cs="Times New Roman"/>
              </w:rPr>
              <w:t>+3</w:t>
            </w:r>
            <w:r w:rsidR="000E6DFC" w:rsidRPr="0077019A">
              <w:rPr>
                <w:rFonts w:ascii="Times New Roman" w:eastAsia="Calibri" w:hAnsi="Times New Roman" w:cs="Times New Roman"/>
              </w:rPr>
              <w:t>%</w:t>
            </w:r>
          </w:p>
          <w:p w14:paraId="1F1CC724" w14:textId="7A634571" w:rsidR="000E6DFC" w:rsidRPr="007135FA" w:rsidRDefault="00F61EF6" w:rsidP="000E6DFC">
            <w:pPr>
              <w:adjustRightInd w:val="0"/>
              <w:spacing w:after="0" w:line="480" w:lineRule="auto"/>
              <w:jc w:val="center"/>
              <w:rPr>
                <w:rFonts w:ascii="Times New Roman" w:hAnsi="Times New Roman" w:cs="Times New Roman"/>
                <w:color w:val="000000"/>
              </w:rPr>
            </w:pPr>
            <w:r>
              <w:rPr>
                <w:rFonts w:ascii="Times New Roman" w:eastAsia="Calibri" w:hAnsi="Times New Roman" w:cs="Times New Roman"/>
              </w:rPr>
              <w:t>0.6627</w:t>
            </w:r>
          </w:p>
        </w:tc>
        <w:tc>
          <w:tcPr>
            <w:tcW w:w="730" w:type="pct"/>
            <w:tcMar>
              <w:top w:w="0" w:type="dxa"/>
              <w:left w:w="10" w:type="dxa"/>
              <w:bottom w:w="0" w:type="dxa"/>
              <w:right w:w="10" w:type="dxa"/>
            </w:tcMar>
          </w:tcPr>
          <w:p w14:paraId="1742684E" w14:textId="77777777" w:rsidR="000E6DFC" w:rsidRPr="0077019A" w:rsidRDefault="000E6DFC" w:rsidP="000E6DFC">
            <w:pPr>
              <w:spacing w:after="0" w:line="480" w:lineRule="auto"/>
              <w:jc w:val="center"/>
              <w:rPr>
                <w:rFonts w:ascii="Times New Roman" w:eastAsia="Calibri" w:hAnsi="Times New Roman" w:cs="Times New Roman"/>
              </w:rPr>
            </w:pPr>
          </w:p>
          <w:p w14:paraId="318F6A4B" w14:textId="15290D73" w:rsidR="00EF463C" w:rsidRDefault="000E6DFC" w:rsidP="00372BAE">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18</w:t>
            </w:r>
          </w:p>
          <w:p w14:paraId="75604851" w14:textId="7F7473E7" w:rsidR="000E6DFC" w:rsidRPr="0077019A" w:rsidRDefault="00C92EF1" w:rsidP="000E6DFC">
            <w:pPr>
              <w:spacing w:after="0" w:line="480" w:lineRule="auto"/>
              <w:jc w:val="center"/>
              <w:rPr>
                <w:rFonts w:ascii="Times New Roman" w:eastAsia="Calibri" w:hAnsi="Times New Roman" w:cs="Times New Roman"/>
              </w:rPr>
            </w:pPr>
            <w:r>
              <w:rPr>
                <w:rFonts w:ascii="Times New Roman" w:eastAsia="Calibri" w:hAnsi="Times New Roman" w:cs="Times New Roman"/>
              </w:rPr>
              <w:t>1.00</w:t>
            </w:r>
            <w:r w:rsidR="000E6DFC" w:rsidRPr="0077019A">
              <w:rPr>
                <w:rFonts w:ascii="Times New Roman" w:eastAsia="Calibri" w:hAnsi="Times New Roman" w:cs="Times New Roman"/>
              </w:rPr>
              <w:t xml:space="preserve"> (0.</w:t>
            </w:r>
            <w:r>
              <w:rPr>
                <w:rFonts w:ascii="Times New Roman" w:eastAsia="Calibri" w:hAnsi="Times New Roman" w:cs="Times New Roman"/>
              </w:rPr>
              <w:t>90</w:t>
            </w:r>
            <w:r w:rsidR="000E6DFC" w:rsidRPr="0077019A">
              <w:rPr>
                <w:rFonts w:ascii="Times New Roman" w:eastAsia="Calibri" w:hAnsi="Times New Roman" w:cs="Times New Roman"/>
              </w:rPr>
              <w:t xml:space="preserve">, </w:t>
            </w:r>
            <w:r>
              <w:rPr>
                <w:rFonts w:ascii="Times New Roman" w:eastAsia="Calibri" w:hAnsi="Times New Roman" w:cs="Times New Roman"/>
              </w:rPr>
              <w:t>1.12</w:t>
            </w:r>
            <w:r w:rsidR="000E6DFC" w:rsidRPr="0077019A">
              <w:rPr>
                <w:rFonts w:ascii="Times New Roman" w:eastAsia="Calibri" w:hAnsi="Times New Roman" w:cs="Times New Roman"/>
              </w:rPr>
              <w:t>)</w:t>
            </w:r>
          </w:p>
          <w:p w14:paraId="09C3365A" w14:textId="0FE36623" w:rsidR="000E6DFC" w:rsidRPr="0077019A" w:rsidRDefault="002B3E80" w:rsidP="000E6DFC">
            <w:pPr>
              <w:spacing w:after="0" w:line="480" w:lineRule="auto"/>
              <w:jc w:val="center"/>
              <w:rPr>
                <w:rFonts w:ascii="Times New Roman" w:eastAsia="Calibri" w:hAnsi="Times New Roman" w:cs="Times New Roman"/>
              </w:rPr>
            </w:pPr>
            <w:r>
              <w:rPr>
                <w:rFonts w:ascii="Times New Roman" w:eastAsia="Calibri" w:hAnsi="Times New Roman" w:cs="Times New Roman"/>
              </w:rPr>
              <w:t>0</w:t>
            </w:r>
            <w:r w:rsidR="000E6DFC" w:rsidRPr="0077019A">
              <w:rPr>
                <w:rFonts w:ascii="Times New Roman" w:eastAsia="Calibri" w:hAnsi="Times New Roman" w:cs="Times New Roman"/>
              </w:rPr>
              <w:t>%</w:t>
            </w:r>
          </w:p>
          <w:p w14:paraId="71442CFD" w14:textId="77777777" w:rsidR="00B472EE" w:rsidRDefault="00B472EE" w:rsidP="00116F64">
            <w:pPr>
              <w:spacing w:after="0" w:line="480" w:lineRule="auto"/>
              <w:rPr>
                <w:rFonts w:ascii="Times New Roman" w:eastAsia="Calibri" w:hAnsi="Times New Roman" w:cs="Times New Roman"/>
              </w:rPr>
            </w:pPr>
          </w:p>
          <w:p w14:paraId="2108D5F7" w14:textId="6F1AC6A9" w:rsidR="000E6DFC" w:rsidRPr="0077019A" w:rsidRDefault="000E6DFC" w:rsidP="000E6DFC">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0.</w:t>
            </w:r>
            <w:r w:rsidR="00F61EF6">
              <w:rPr>
                <w:rFonts w:ascii="Times New Roman" w:eastAsia="Calibri" w:hAnsi="Times New Roman" w:cs="Times New Roman"/>
              </w:rPr>
              <w:t>98</w:t>
            </w:r>
            <w:r w:rsidRPr="0077019A">
              <w:rPr>
                <w:rFonts w:ascii="Times New Roman" w:eastAsia="Calibri" w:hAnsi="Times New Roman" w:cs="Times New Roman"/>
              </w:rPr>
              <w:t xml:space="preserve"> (0.</w:t>
            </w:r>
            <w:r w:rsidR="00F61EF6">
              <w:rPr>
                <w:rFonts w:ascii="Times New Roman" w:eastAsia="Calibri" w:hAnsi="Times New Roman" w:cs="Times New Roman"/>
              </w:rPr>
              <w:t>85</w:t>
            </w:r>
            <w:r w:rsidRPr="0077019A">
              <w:rPr>
                <w:rFonts w:ascii="Times New Roman" w:eastAsia="Calibri" w:hAnsi="Times New Roman" w:cs="Times New Roman"/>
              </w:rPr>
              <w:t xml:space="preserve">, </w:t>
            </w:r>
            <w:r w:rsidR="00E46584">
              <w:rPr>
                <w:rFonts w:ascii="Times New Roman" w:eastAsia="Calibri" w:hAnsi="Times New Roman" w:cs="Times New Roman"/>
              </w:rPr>
              <w:t>1.14</w:t>
            </w:r>
            <w:r w:rsidRPr="0077019A">
              <w:rPr>
                <w:rFonts w:ascii="Times New Roman" w:eastAsia="Calibri" w:hAnsi="Times New Roman" w:cs="Times New Roman"/>
              </w:rPr>
              <w:t>)</w:t>
            </w:r>
          </w:p>
          <w:p w14:paraId="6B053234" w14:textId="325E7406" w:rsidR="000E6DFC" w:rsidRDefault="000E6DFC" w:rsidP="000E6DFC">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w:t>
            </w:r>
            <w:r w:rsidR="00E46584">
              <w:rPr>
                <w:rFonts w:ascii="Times New Roman" w:eastAsia="Calibri" w:hAnsi="Times New Roman" w:cs="Times New Roman"/>
              </w:rPr>
              <w:t>2</w:t>
            </w:r>
            <w:r w:rsidRPr="0077019A">
              <w:rPr>
                <w:rFonts w:ascii="Times New Roman" w:eastAsia="Calibri" w:hAnsi="Times New Roman" w:cs="Times New Roman"/>
              </w:rPr>
              <w:t>%</w:t>
            </w:r>
          </w:p>
          <w:p w14:paraId="2E1061AF" w14:textId="06BAD072" w:rsidR="000E6DFC" w:rsidRPr="007135FA" w:rsidRDefault="00E46584" w:rsidP="000E6DFC">
            <w:pPr>
              <w:adjustRightInd w:val="0"/>
              <w:spacing w:after="0" w:line="480" w:lineRule="auto"/>
              <w:jc w:val="center"/>
              <w:rPr>
                <w:rFonts w:ascii="Times New Roman" w:hAnsi="Times New Roman" w:cs="Times New Roman"/>
                <w:color w:val="000000"/>
              </w:rPr>
            </w:pPr>
            <w:r>
              <w:rPr>
                <w:rFonts w:ascii="Times New Roman" w:eastAsia="Calibri" w:hAnsi="Times New Roman" w:cs="Times New Roman"/>
              </w:rPr>
              <w:t>0.8112</w:t>
            </w:r>
          </w:p>
        </w:tc>
        <w:tc>
          <w:tcPr>
            <w:tcW w:w="832" w:type="pct"/>
            <w:tcMar>
              <w:top w:w="0" w:type="dxa"/>
              <w:left w:w="10" w:type="dxa"/>
              <w:bottom w:w="0" w:type="dxa"/>
              <w:right w:w="10" w:type="dxa"/>
            </w:tcMar>
          </w:tcPr>
          <w:p w14:paraId="31B037A0" w14:textId="77777777" w:rsidR="000E6DFC" w:rsidRPr="0077019A" w:rsidRDefault="000E6DFC" w:rsidP="000E6DFC">
            <w:pPr>
              <w:spacing w:after="0" w:line="480" w:lineRule="auto"/>
              <w:jc w:val="center"/>
              <w:rPr>
                <w:rFonts w:ascii="Times New Roman" w:eastAsia="Calibri" w:hAnsi="Times New Roman" w:cs="Times New Roman"/>
              </w:rPr>
            </w:pPr>
          </w:p>
          <w:p w14:paraId="632E5FAB" w14:textId="0413ABE2" w:rsidR="00EF463C" w:rsidRDefault="000E6DFC" w:rsidP="00372BAE">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21</w:t>
            </w:r>
          </w:p>
          <w:p w14:paraId="0FA4BBE7" w14:textId="65ED7F02" w:rsidR="000E6DFC" w:rsidRPr="0077019A" w:rsidRDefault="002B3E80" w:rsidP="000E6DFC">
            <w:pPr>
              <w:spacing w:after="0" w:line="480" w:lineRule="auto"/>
              <w:jc w:val="center"/>
              <w:rPr>
                <w:rFonts w:ascii="Times New Roman" w:eastAsia="Calibri" w:hAnsi="Times New Roman" w:cs="Times New Roman"/>
              </w:rPr>
            </w:pPr>
            <w:r>
              <w:rPr>
                <w:rFonts w:ascii="Times New Roman" w:eastAsia="Calibri" w:hAnsi="Times New Roman" w:cs="Times New Roman"/>
              </w:rPr>
              <w:t>1.01</w:t>
            </w:r>
            <w:r w:rsidR="000E6DFC" w:rsidRPr="0077019A">
              <w:rPr>
                <w:rFonts w:ascii="Times New Roman" w:eastAsia="Calibri" w:hAnsi="Times New Roman" w:cs="Times New Roman"/>
              </w:rPr>
              <w:t xml:space="preserve"> (0.</w:t>
            </w:r>
            <w:r>
              <w:rPr>
                <w:rFonts w:ascii="Times New Roman" w:eastAsia="Calibri" w:hAnsi="Times New Roman" w:cs="Times New Roman"/>
              </w:rPr>
              <w:t>9</w:t>
            </w:r>
            <w:r w:rsidR="000E6DFC" w:rsidRPr="0077019A">
              <w:rPr>
                <w:rFonts w:ascii="Times New Roman" w:eastAsia="Calibri" w:hAnsi="Times New Roman" w:cs="Times New Roman"/>
              </w:rPr>
              <w:t xml:space="preserve">2, </w:t>
            </w:r>
            <w:r>
              <w:rPr>
                <w:rFonts w:ascii="Times New Roman" w:eastAsia="Calibri" w:hAnsi="Times New Roman" w:cs="Times New Roman"/>
              </w:rPr>
              <w:t>1.12</w:t>
            </w:r>
            <w:r w:rsidR="000E6DFC" w:rsidRPr="0077019A">
              <w:rPr>
                <w:rFonts w:ascii="Times New Roman" w:eastAsia="Calibri" w:hAnsi="Times New Roman" w:cs="Times New Roman"/>
              </w:rPr>
              <w:t>)</w:t>
            </w:r>
          </w:p>
          <w:p w14:paraId="3DC94ACF" w14:textId="561D0FC4" w:rsidR="000E6DFC" w:rsidRPr="0077019A" w:rsidRDefault="00C35C79" w:rsidP="000E6DFC">
            <w:pPr>
              <w:spacing w:after="0" w:line="480" w:lineRule="auto"/>
              <w:jc w:val="center"/>
              <w:rPr>
                <w:rFonts w:ascii="Times New Roman" w:eastAsia="Calibri" w:hAnsi="Times New Roman" w:cs="Times New Roman"/>
              </w:rPr>
            </w:pPr>
            <w:r>
              <w:rPr>
                <w:rFonts w:ascii="Times New Roman" w:eastAsia="Calibri" w:hAnsi="Times New Roman" w:cs="Times New Roman"/>
              </w:rPr>
              <w:t>+</w:t>
            </w:r>
            <w:r w:rsidR="002B3E80">
              <w:rPr>
                <w:rFonts w:ascii="Times New Roman" w:eastAsia="Calibri" w:hAnsi="Times New Roman" w:cs="Times New Roman"/>
              </w:rPr>
              <w:t>1</w:t>
            </w:r>
            <w:r w:rsidR="000E6DFC" w:rsidRPr="0077019A">
              <w:rPr>
                <w:rFonts w:ascii="Times New Roman" w:eastAsia="Calibri" w:hAnsi="Times New Roman" w:cs="Times New Roman"/>
              </w:rPr>
              <w:t>%</w:t>
            </w:r>
          </w:p>
          <w:p w14:paraId="215D4326" w14:textId="77777777" w:rsidR="00B472EE" w:rsidRDefault="00B472EE" w:rsidP="00116F64">
            <w:pPr>
              <w:spacing w:after="0" w:line="480" w:lineRule="auto"/>
              <w:rPr>
                <w:rFonts w:ascii="Times New Roman" w:eastAsia="Calibri" w:hAnsi="Times New Roman" w:cs="Times New Roman"/>
              </w:rPr>
            </w:pPr>
          </w:p>
          <w:p w14:paraId="6E47C262" w14:textId="5F7EDFD1" w:rsidR="000E6DFC" w:rsidRPr="0077019A" w:rsidRDefault="000E6DFC" w:rsidP="000E6DFC">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0.</w:t>
            </w:r>
            <w:r w:rsidR="00E46584">
              <w:rPr>
                <w:rFonts w:ascii="Times New Roman" w:eastAsia="Calibri" w:hAnsi="Times New Roman" w:cs="Times New Roman"/>
              </w:rPr>
              <w:t>99</w:t>
            </w:r>
            <w:r w:rsidRPr="0077019A">
              <w:rPr>
                <w:rFonts w:ascii="Times New Roman" w:eastAsia="Calibri" w:hAnsi="Times New Roman" w:cs="Times New Roman"/>
              </w:rPr>
              <w:t xml:space="preserve"> (0.</w:t>
            </w:r>
            <w:r w:rsidR="00E46584">
              <w:rPr>
                <w:rFonts w:ascii="Times New Roman" w:eastAsia="Calibri" w:hAnsi="Times New Roman" w:cs="Times New Roman"/>
              </w:rPr>
              <w:t>86</w:t>
            </w:r>
            <w:r w:rsidR="00707489">
              <w:rPr>
                <w:rFonts w:ascii="Times New Roman" w:eastAsia="Calibri" w:hAnsi="Times New Roman" w:cs="Times New Roman"/>
              </w:rPr>
              <w:t>, 1.14</w:t>
            </w:r>
            <w:r w:rsidRPr="0077019A">
              <w:rPr>
                <w:rFonts w:ascii="Times New Roman" w:eastAsia="Calibri" w:hAnsi="Times New Roman" w:cs="Times New Roman"/>
              </w:rPr>
              <w:t>)</w:t>
            </w:r>
          </w:p>
          <w:p w14:paraId="51F92BFA" w14:textId="27B264DD" w:rsidR="000E6DFC" w:rsidRDefault="000E6DFC" w:rsidP="000E6DFC">
            <w:pPr>
              <w:spacing w:after="0" w:line="480" w:lineRule="auto"/>
              <w:jc w:val="center"/>
              <w:rPr>
                <w:rFonts w:ascii="Times New Roman" w:eastAsia="Calibri" w:hAnsi="Times New Roman" w:cs="Times New Roman"/>
              </w:rPr>
            </w:pPr>
            <w:r w:rsidRPr="0077019A">
              <w:rPr>
                <w:rFonts w:ascii="Times New Roman" w:eastAsia="Calibri" w:hAnsi="Times New Roman" w:cs="Times New Roman"/>
              </w:rPr>
              <w:t>-</w:t>
            </w:r>
            <w:r w:rsidR="00707489">
              <w:rPr>
                <w:rFonts w:ascii="Times New Roman" w:eastAsia="Calibri" w:hAnsi="Times New Roman" w:cs="Times New Roman"/>
              </w:rPr>
              <w:t>1</w:t>
            </w:r>
            <w:r w:rsidRPr="0077019A">
              <w:rPr>
                <w:rFonts w:ascii="Times New Roman" w:eastAsia="Calibri" w:hAnsi="Times New Roman" w:cs="Times New Roman"/>
              </w:rPr>
              <w:t>%</w:t>
            </w:r>
          </w:p>
          <w:p w14:paraId="4580337E" w14:textId="6263254F" w:rsidR="000E6DFC" w:rsidRPr="007135FA" w:rsidRDefault="00707489" w:rsidP="000E6DFC">
            <w:pPr>
              <w:adjustRightInd w:val="0"/>
              <w:spacing w:after="0" w:line="480" w:lineRule="auto"/>
              <w:jc w:val="center"/>
              <w:rPr>
                <w:rFonts w:ascii="Times New Roman" w:hAnsi="Times New Roman" w:cs="Times New Roman"/>
                <w:color w:val="000000"/>
              </w:rPr>
            </w:pPr>
            <w:r>
              <w:rPr>
                <w:rFonts w:ascii="Times New Roman" w:eastAsia="Calibri" w:hAnsi="Times New Roman" w:cs="Times New Roman"/>
              </w:rPr>
              <w:t>0.8831</w:t>
            </w:r>
          </w:p>
        </w:tc>
      </w:tr>
    </w:tbl>
    <w:p w14:paraId="021FA613" w14:textId="7BEBB948" w:rsidR="00734E89" w:rsidRPr="00EC4ADD" w:rsidRDefault="00B472EE" w:rsidP="00EC4ADD">
      <w:pPr>
        <w:rPr>
          <w:rFonts w:ascii="Times New Roman" w:hAnsi="Times New Roman" w:cs="Times New Roman"/>
          <w:sz w:val="24"/>
          <w:szCs w:val="24"/>
        </w:rPr>
      </w:pPr>
      <w:r>
        <w:rPr>
          <w:rFonts w:ascii="Times New Roman" w:hAnsi="Times New Roman" w:cs="Times New Roman"/>
        </w:rPr>
        <w:t>CI</w:t>
      </w:r>
      <w:r w:rsidR="009D72AD">
        <w:rPr>
          <w:rFonts w:ascii="Times New Roman" w:hAnsi="Times New Roman" w:cs="Times New Roman"/>
        </w:rPr>
        <w:t xml:space="preserve"> </w:t>
      </w:r>
      <w:r w:rsidR="00E00995">
        <w:rPr>
          <w:rFonts w:ascii="Times New Roman" w:hAnsi="Times New Roman" w:cs="Times New Roman"/>
        </w:rPr>
        <w:t xml:space="preserve">denotes </w:t>
      </w:r>
      <w:r>
        <w:rPr>
          <w:rFonts w:ascii="Times New Roman" w:hAnsi="Times New Roman" w:cs="Times New Roman"/>
        </w:rPr>
        <w:t>confidence interval</w:t>
      </w:r>
      <w:r w:rsidR="00E00995">
        <w:rPr>
          <w:rFonts w:ascii="Times New Roman" w:hAnsi="Times New Roman" w:cs="Times New Roman"/>
        </w:rPr>
        <w:t>,</w:t>
      </w:r>
      <w:r w:rsidR="009D72AD">
        <w:rPr>
          <w:rFonts w:ascii="Times New Roman" w:hAnsi="Times New Roman" w:cs="Times New Roman"/>
        </w:rPr>
        <w:t xml:space="preserve"> </w:t>
      </w:r>
      <w:r>
        <w:rPr>
          <w:rFonts w:ascii="Times New Roman" w:hAnsi="Times New Roman" w:cs="Times New Roman"/>
        </w:rPr>
        <w:t>LSM least squares mean</w:t>
      </w:r>
      <w:r w:rsidR="00406B56">
        <w:rPr>
          <w:rFonts w:ascii="Times New Roman" w:hAnsi="Times New Roman" w:cs="Times New Roman"/>
        </w:rPr>
        <w:t xml:space="preserve">, </w:t>
      </w:r>
      <w:r w:rsidR="003833CA">
        <w:rPr>
          <w:rFonts w:ascii="Times New Roman" w:hAnsi="Times New Roman" w:cs="Times New Roman"/>
        </w:rPr>
        <w:t>PAT primary analysis timepoint</w:t>
      </w:r>
      <w:r w:rsidR="00E00995">
        <w:rPr>
          <w:rFonts w:ascii="Times New Roman" w:hAnsi="Times New Roman" w:cs="Times New Roman"/>
        </w:rPr>
        <w:t>.</w:t>
      </w:r>
    </w:p>
    <w:sectPr w:rsidR="00734E89" w:rsidRPr="00EC4ADD" w:rsidSect="00527A0B">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8EB0" w14:textId="77777777" w:rsidR="00D23780" w:rsidRDefault="00D23780" w:rsidP="001E2145">
      <w:pPr>
        <w:spacing w:after="0" w:line="240" w:lineRule="auto"/>
      </w:pPr>
      <w:r>
        <w:separator/>
      </w:r>
    </w:p>
  </w:endnote>
  <w:endnote w:type="continuationSeparator" w:id="0">
    <w:p w14:paraId="79DDBAE3" w14:textId="77777777" w:rsidR="00D23780" w:rsidRDefault="00D23780" w:rsidP="001E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335464"/>
      <w:docPartObj>
        <w:docPartGallery w:val="Page Numbers (Bottom of Page)"/>
        <w:docPartUnique/>
      </w:docPartObj>
    </w:sdtPr>
    <w:sdtEndPr/>
    <w:sdtContent>
      <w:sdt>
        <w:sdtPr>
          <w:id w:val="1728636285"/>
          <w:docPartObj>
            <w:docPartGallery w:val="Page Numbers (Top of Page)"/>
            <w:docPartUnique/>
          </w:docPartObj>
        </w:sdtPr>
        <w:sdtEndPr/>
        <w:sdtContent>
          <w:p w14:paraId="2B933CB0" w14:textId="746E0703" w:rsidR="0047482B" w:rsidRDefault="0047482B">
            <w:pPr>
              <w:pStyle w:val="Footer"/>
              <w:jc w:val="center"/>
            </w:pPr>
            <w:r w:rsidRPr="001E2145">
              <w:rPr>
                <w:rFonts w:ascii="Times New Roman" w:hAnsi="Times New Roman" w:cs="Times New Roman"/>
              </w:rPr>
              <w:t xml:space="preserve">Page </w:t>
            </w:r>
            <w:r w:rsidRPr="001E2145">
              <w:rPr>
                <w:rFonts w:ascii="Times New Roman" w:hAnsi="Times New Roman" w:cs="Times New Roman"/>
                <w:sz w:val="24"/>
                <w:szCs w:val="24"/>
              </w:rPr>
              <w:fldChar w:fldCharType="begin"/>
            </w:r>
            <w:r w:rsidRPr="001E2145">
              <w:rPr>
                <w:rFonts w:ascii="Times New Roman" w:hAnsi="Times New Roman" w:cs="Times New Roman"/>
              </w:rPr>
              <w:instrText xml:space="preserve"> PAGE </w:instrText>
            </w:r>
            <w:r w:rsidRPr="001E2145">
              <w:rPr>
                <w:rFonts w:ascii="Times New Roman" w:hAnsi="Times New Roman" w:cs="Times New Roman"/>
                <w:sz w:val="24"/>
                <w:szCs w:val="24"/>
              </w:rPr>
              <w:fldChar w:fldCharType="separate"/>
            </w:r>
            <w:r w:rsidRPr="001E2145">
              <w:rPr>
                <w:rFonts w:ascii="Times New Roman" w:hAnsi="Times New Roman" w:cs="Times New Roman"/>
                <w:noProof/>
              </w:rPr>
              <w:t>2</w:t>
            </w:r>
            <w:r w:rsidRPr="001E2145">
              <w:rPr>
                <w:rFonts w:ascii="Times New Roman" w:hAnsi="Times New Roman" w:cs="Times New Roman"/>
                <w:sz w:val="24"/>
                <w:szCs w:val="24"/>
              </w:rPr>
              <w:fldChar w:fldCharType="end"/>
            </w:r>
            <w:r w:rsidRPr="001E2145">
              <w:rPr>
                <w:rFonts w:ascii="Times New Roman" w:hAnsi="Times New Roman" w:cs="Times New Roman"/>
              </w:rPr>
              <w:t xml:space="preserve"> of </w:t>
            </w:r>
            <w:r w:rsidRPr="001E2145">
              <w:rPr>
                <w:rFonts w:ascii="Times New Roman" w:hAnsi="Times New Roman" w:cs="Times New Roman"/>
                <w:sz w:val="24"/>
                <w:szCs w:val="24"/>
              </w:rPr>
              <w:fldChar w:fldCharType="begin"/>
            </w:r>
            <w:r w:rsidRPr="001E2145">
              <w:rPr>
                <w:rFonts w:ascii="Times New Roman" w:hAnsi="Times New Roman" w:cs="Times New Roman"/>
              </w:rPr>
              <w:instrText xml:space="preserve"> NUMPAGES  </w:instrText>
            </w:r>
            <w:r w:rsidRPr="001E2145">
              <w:rPr>
                <w:rFonts w:ascii="Times New Roman" w:hAnsi="Times New Roman" w:cs="Times New Roman"/>
                <w:sz w:val="24"/>
                <w:szCs w:val="24"/>
              </w:rPr>
              <w:fldChar w:fldCharType="separate"/>
            </w:r>
            <w:r w:rsidRPr="001E2145">
              <w:rPr>
                <w:rFonts w:ascii="Times New Roman" w:hAnsi="Times New Roman" w:cs="Times New Roman"/>
                <w:noProof/>
              </w:rPr>
              <w:t>2</w:t>
            </w:r>
            <w:r w:rsidRPr="001E2145">
              <w:rPr>
                <w:rFonts w:ascii="Times New Roman" w:hAnsi="Times New Roman" w:cs="Times New Roman"/>
                <w:sz w:val="24"/>
                <w:szCs w:val="24"/>
              </w:rPr>
              <w:fldChar w:fldCharType="end"/>
            </w:r>
          </w:p>
        </w:sdtContent>
      </w:sdt>
    </w:sdtContent>
  </w:sdt>
  <w:p w14:paraId="242D2948" w14:textId="77777777" w:rsidR="0047482B" w:rsidRDefault="00474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F5D1" w14:textId="77777777" w:rsidR="00D23780" w:rsidRDefault="00D23780" w:rsidP="001E2145">
      <w:pPr>
        <w:spacing w:after="0" w:line="240" w:lineRule="auto"/>
      </w:pPr>
      <w:r>
        <w:separator/>
      </w:r>
    </w:p>
  </w:footnote>
  <w:footnote w:type="continuationSeparator" w:id="0">
    <w:p w14:paraId="01259292" w14:textId="77777777" w:rsidR="00D23780" w:rsidRDefault="00D23780" w:rsidP="001E2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391"/>
    <w:multiLevelType w:val="hybridMultilevel"/>
    <w:tmpl w:val="5B32DF48"/>
    <w:lvl w:ilvl="0" w:tplc="FF4E01C8">
      <w:start w:val="1"/>
      <w:numFmt w:val="bullet"/>
      <w:lvlText w:val="o"/>
      <w:lvlJc w:val="left"/>
      <w:pPr>
        <w:ind w:left="1800" w:hanging="360"/>
      </w:pPr>
      <w:rPr>
        <w:rFonts w:ascii="Courier New" w:hAnsi="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71C272A"/>
    <w:multiLevelType w:val="hybridMultilevel"/>
    <w:tmpl w:val="BEA8B134"/>
    <w:lvl w:ilvl="0" w:tplc="56243616">
      <w:start w:val="1"/>
      <w:numFmt w:val="decimal"/>
      <w:lvlText w:val="%1."/>
      <w:lvlJc w:val="left"/>
      <w:pPr>
        <w:ind w:left="720" w:hanging="360"/>
      </w:pPr>
    </w:lvl>
    <w:lvl w:ilvl="1" w:tplc="83E0CAE6">
      <w:start w:val="1"/>
      <w:numFmt w:val="lowerLetter"/>
      <w:lvlText w:val="%2."/>
      <w:lvlJc w:val="left"/>
      <w:pPr>
        <w:ind w:left="1440" w:hanging="360"/>
      </w:pPr>
    </w:lvl>
    <w:lvl w:ilvl="2" w:tplc="F28211F4">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053D5"/>
    <w:multiLevelType w:val="hybridMultilevel"/>
    <w:tmpl w:val="B79E966E"/>
    <w:lvl w:ilvl="0" w:tplc="E69C7CD4">
      <w:start w:val="1"/>
      <w:numFmt w:val="decimal"/>
      <w:lvlText w:val="%1."/>
      <w:lvlJc w:val="left"/>
      <w:pPr>
        <w:ind w:left="1080" w:hanging="360"/>
      </w:pPr>
      <w:rPr>
        <w:rFonts w:hint="default"/>
      </w:rPr>
    </w:lvl>
    <w:lvl w:ilvl="1" w:tplc="367477D6">
      <w:start w:val="1"/>
      <w:numFmt w:val="bullet"/>
      <w:lvlText w:val="-"/>
      <w:lvlJc w:val="left"/>
      <w:pPr>
        <w:ind w:left="1800" w:hanging="360"/>
      </w:pPr>
      <w:rPr>
        <w:rFonts w:ascii="Courier New" w:hAnsi="Courier New" w:hint="default"/>
      </w:rPr>
    </w:lvl>
    <w:lvl w:ilvl="2" w:tplc="C2A48494">
      <w:start w:val="1"/>
      <w:numFmt w:val="bullet"/>
      <w:lvlText w:val="o"/>
      <w:lvlJc w:val="left"/>
      <w:pPr>
        <w:ind w:left="2520" w:hanging="360"/>
      </w:pPr>
      <w:rPr>
        <w:rFonts w:ascii="Courier New" w:hAnsi="Courier New" w:hint="default"/>
      </w:rPr>
    </w:lvl>
    <w:lvl w:ilvl="3" w:tplc="9ED6FE40">
      <w:start w:val="1"/>
      <w:numFmt w:val="bullet"/>
      <w:lvlText w:val=""/>
      <w:lvlJc w:val="left"/>
      <w:pPr>
        <w:ind w:left="3240" w:hanging="360"/>
      </w:pPr>
      <w:rPr>
        <w:rFonts w:ascii="Symbol" w:hAnsi="Symbol" w:hint="default"/>
      </w:rPr>
    </w:lvl>
    <w:lvl w:ilvl="4" w:tplc="A23C60BC">
      <w:start w:val="1"/>
      <w:numFmt w:val="bullet"/>
      <w:lvlText w:val="o"/>
      <w:lvlJc w:val="left"/>
      <w:pPr>
        <w:ind w:left="3960" w:hanging="360"/>
      </w:pPr>
      <w:rPr>
        <w:rFonts w:ascii="Courier New" w:hAnsi="Courier New" w:cs="Courier New" w:hint="default"/>
      </w:rPr>
    </w:lvl>
    <w:lvl w:ilvl="5" w:tplc="7D92BDC4">
      <w:start w:val="1"/>
      <w:numFmt w:val="bullet"/>
      <w:lvlText w:val=""/>
      <w:lvlJc w:val="left"/>
      <w:pPr>
        <w:ind w:left="4680" w:hanging="360"/>
      </w:pPr>
      <w:rPr>
        <w:rFonts w:ascii="Wingdings" w:hAnsi="Wingdings" w:hint="default"/>
      </w:rPr>
    </w:lvl>
    <w:lvl w:ilvl="6" w:tplc="AAB219A4">
      <w:start w:val="1"/>
      <w:numFmt w:val="bullet"/>
      <w:lvlText w:val=""/>
      <w:lvlJc w:val="left"/>
      <w:pPr>
        <w:ind w:left="5400" w:hanging="360"/>
      </w:pPr>
      <w:rPr>
        <w:rFonts w:ascii="Symbol" w:hAnsi="Symbol" w:hint="default"/>
      </w:rPr>
    </w:lvl>
    <w:lvl w:ilvl="7" w:tplc="EA2893D0">
      <w:start w:val="1"/>
      <w:numFmt w:val="bullet"/>
      <w:lvlText w:val="o"/>
      <w:lvlJc w:val="left"/>
      <w:pPr>
        <w:ind w:left="6120" w:hanging="360"/>
      </w:pPr>
      <w:rPr>
        <w:rFonts w:ascii="Courier New" w:hAnsi="Courier New" w:cs="Courier New" w:hint="default"/>
      </w:rPr>
    </w:lvl>
    <w:lvl w:ilvl="8" w:tplc="346A359E">
      <w:start w:val="1"/>
      <w:numFmt w:val="bullet"/>
      <w:lvlText w:val=""/>
      <w:lvlJc w:val="left"/>
      <w:pPr>
        <w:ind w:left="6840" w:hanging="360"/>
      </w:pPr>
      <w:rPr>
        <w:rFonts w:ascii="Wingdings" w:hAnsi="Wingdings" w:hint="default"/>
      </w:rPr>
    </w:lvl>
  </w:abstractNum>
  <w:abstractNum w:abstractNumId="3" w15:restartNumberingAfterBreak="0">
    <w:nsid w:val="32DF4B46"/>
    <w:multiLevelType w:val="hybridMultilevel"/>
    <w:tmpl w:val="AE5E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E0323"/>
    <w:multiLevelType w:val="hybridMultilevel"/>
    <w:tmpl w:val="164000E4"/>
    <w:lvl w:ilvl="0" w:tplc="9C202382">
      <w:start w:val="1"/>
      <w:numFmt w:val="bullet"/>
      <w:pStyle w:val="CSR-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7641A9"/>
    <w:multiLevelType w:val="multilevel"/>
    <w:tmpl w:val="77127BBC"/>
    <w:lvl w:ilvl="0">
      <w:start w:val="5"/>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441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170"/>
        </w:tabs>
        <w:ind w:left="117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 w15:restartNumberingAfterBreak="0">
    <w:nsid w:val="43D20E7E"/>
    <w:multiLevelType w:val="hybridMultilevel"/>
    <w:tmpl w:val="A1E452A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03427"/>
    <w:multiLevelType w:val="hybridMultilevel"/>
    <w:tmpl w:val="03D8B0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DF3E30"/>
    <w:multiLevelType w:val="hybridMultilevel"/>
    <w:tmpl w:val="09BA7E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027F1"/>
    <w:multiLevelType w:val="hybridMultilevel"/>
    <w:tmpl w:val="1C4E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B58CB"/>
    <w:multiLevelType w:val="hybridMultilevel"/>
    <w:tmpl w:val="BEA8B134"/>
    <w:lvl w:ilvl="0" w:tplc="56243616">
      <w:start w:val="1"/>
      <w:numFmt w:val="decimal"/>
      <w:lvlText w:val="%1."/>
      <w:lvlJc w:val="left"/>
      <w:pPr>
        <w:ind w:left="720" w:hanging="360"/>
      </w:pPr>
    </w:lvl>
    <w:lvl w:ilvl="1" w:tplc="83E0CAE6">
      <w:start w:val="1"/>
      <w:numFmt w:val="lowerLetter"/>
      <w:pStyle w:val="CSR-NumberedList2"/>
      <w:lvlText w:val="%2."/>
      <w:lvlJc w:val="left"/>
      <w:pPr>
        <w:ind w:left="1440" w:hanging="360"/>
      </w:pPr>
    </w:lvl>
    <w:lvl w:ilvl="2" w:tplc="F28211F4">
      <w:start w:val="1"/>
      <w:numFmt w:val="lowerRoman"/>
      <w:pStyle w:val="CSR-NumberedList1"/>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num>
  <w:num w:numId="2">
    <w:abstractNumId w:val="4"/>
  </w:num>
  <w:num w:numId="3">
    <w:abstractNumId w:val="0"/>
  </w:num>
  <w:num w:numId="4">
    <w:abstractNumId w:val="1"/>
  </w:num>
  <w:num w:numId="5">
    <w:abstractNumId w:val="5"/>
  </w:num>
  <w:num w:numId="6">
    <w:abstractNumId w:val="7"/>
  </w:num>
  <w:num w:numId="7">
    <w:abstractNumId w:val="2"/>
  </w:num>
  <w:num w:numId="8">
    <w:abstractNumId w:val="6"/>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DD"/>
    <w:rsid w:val="0000360F"/>
    <w:rsid w:val="00006DC4"/>
    <w:rsid w:val="00013777"/>
    <w:rsid w:val="00023ACF"/>
    <w:rsid w:val="000376E6"/>
    <w:rsid w:val="00046DBB"/>
    <w:rsid w:val="0005583F"/>
    <w:rsid w:val="00080921"/>
    <w:rsid w:val="00092B43"/>
    <w:rsid w:val="000B3DE7"/>
    <w:rsid w:val="000C4107"/>
    <w:rsid w:val="000D78F4"/>
    <w:rsid w:val="000E6DFC"/>
    <w:rsid w:val="000F293F"/>
    <w:rsid w:val="0011314F"/>
    <w:rsid w:val="00116F64"/>
    <w:rsid w:val="001766C4"/>
    <w:rsid w:val="00187B2A"/>
    <w:rsid w:val="001D34D5"/>
    <w:rsid w:val="001D5D84"/>
    <w:rsid w:val="001D6BFD"/>
    <w:rsid w:val="001E2145"/>
    <w:rsid w:val="001E745B"/>
    <w:rsid w:val="0020069B"/>
    <w:rsid w:val="002152D2"/>
    <w:rsid w:val="00227089"/>
    <w:rsid w:val="002276B8"/>
    <w:rsid w:val="00234656"/>
    <w:rsid w:val="0023652D"/>
    <w:rsid w:val="00250DE0"/>
    <w:rsid w:val="0025753C"/>
    <w:rsid w:val="002824AA"/>
    <w:rsid w:val="00284263"/>
    <w:rsid w:val="0029176A"/>
    <w:rsid w:val="0029636B"/>
    <w:rsid w:val="002B0DCC"/>
    <w:rsid w:val="002B2382"/>
    <w:rsid w:val="002B3E80"/>
    <w:rsid w:val="002D0005"/>
    <w:rsid w:val="002D26A5"/>
    <w:rsid w:val="002D59E9"/>
    <w:rsid w:val="002D6A4F"/>
    <w:rsid w:val="002E1AEA"/>
    <w:rsid w:val="002F62D1"/>
    <w:rsid w:val="003047B2"/>
    <w:rsid w:val="003240BF"/>
    <w:rsid w:val="00330FDA"/>
    <w:rsid w:val="00347CA9"/>
    <w:rsid w:val="00352FD7"/>
    <w:rsid w:val="0036375B"/>
    <w:rsid w:val="00372BAE"/>
    <w:rsid w:val="00381CEE"/>
    <w:rsid w:val="003833CA"/>
    <w:rsid w:val="003871C8"/>
    <w:rsid w:val="003876CF"/>
    <w:rsid w:val="00395E75"/>
    <w:rsid w:val="003A0B58"/>
    <w:rsid w:val="003A6B18"/>
    <w:rsid w:val="003B657B"/>
    <w:rsid w:val="003D2857"/>
    <w:rsid w:val="003E2C75"/>
    <w:rsid w:val="00404A7C"/>
    <w:rsid w:val="00406B56"/>
    <w:rsid w:val="00415DB1"/>
    <w:rsid w:val="0041754E"/>
    <w:rsid w:val="0042376D"/>
    <w:rsid w:val="00426644"/>
    <w:rsid w:val="004420B5"/>
    <w:rsid w:val="00451EF9"/>
    <w:rsid w:val="0047482B"/>
    <w:rsid w:val="00477809"/>
    <w:rsid w:val="00477994"/>
    <w:rsid w:val="00480842"/>
    <w:rsid w:val="004A30C5"/>
    <w:rsid w:val="004A48FD"/>
    <w:rsid w:val="004A55AC"/>
    <w:rsid w:val="004A6E9D"/>
    <w:rsid w:val="004B4249"/>
    <w:rsid w:val="004C67A6"/>
    <w:rsid w:val="004E590F"/>
    <w:rsid w:val="0050255B"/>
    <w:rsid w:val="00502783"/>
    <w:rsid w:val="00514454"/>
    <w:rsid w:val="00527A0B"/>
    <w:rsid w:val="0053477F"/>
    <w:rsid w:val="00536E06"/>
    <w:rsid w:val="00572910"/>
    <w:rsid w:val="00583FD5"/>
    <w:rsid w:val="00592BED"/>
    <w:rsid w:val="0059356E"/>
    <w:rsid w:val="005956C0"/>
    <w:rsid w:val="005A0897"/>
    <w:rsid w:val="005B0FE2"/>
    <w:rsid w:val="005B1B31"/>
    <w:rsid w:val="005D20D3"/>
    <w:rsid w:val="005D6AFE"/>
    <w:rsid w:val="005F02C9"/>
    <w:rsid w:val="00600B7E"/>
    <w:rsid w:val="006011DA"/>
    <w:rsid w:val="0060365F"/>
    <w:rsid w:val="00606CD6"/>
    <w:rsid w:val="00635A14"/>
    <w:rsid w:val="00641C83"/>
    <w:rsid w:val="006429DB"/>
    <w:rsid w:val="00657AEE"/>
    <w:rsid w:val="00660833"/>
    <w:rsid w:val="00663BDE"/>
    <w:rsid w:val="0068079C"/>
    <w:rsid w:val="00683E82"/>
    <w:rsid w:val="00693107"/>
    <w:rsid w:val="00697450"/>
    <w:rsid w:val="006B6EEB"/>
    <w:rsid w:val="006E2A91"/>
    <w:rsid w:val="00707489"/>
    <w:rsid w:val="00711DF1"/>
    <w:rsid w:val="007135FA"/>
    <w:rsid w:val="00716737"/>
    <w:rsid w:val="00724D67"/>
    <w:rsid w:val="00730A70"/>
    <w:rsid w:val="00734E89"/>
    <w:rsid w:val="00747395"/>
    <w:rsid w:val="00752C06"/>
    <w:rsid w:val="007541FF"/>
    <w:rsid w:val="007557DC"/>
    <w:rsid w:val="00755CE3"/>
    <w:rsid w:val="00773893"/>
    <w:rsid w:val="00784685"/>
    <w:rsid w:val="00787286"/>
    <w:rsid w:val="007B3BA9"/>
    <w:rsid w:val="007C4E14"/>
    <w:rsid w:val="007D53AF"/>
    <w:rsid w:val="007D5E2C"/>
    <w:rsid w:val="007E4545"/>
    <w:rsid w:val="007F11A6"/>
    <w:rsid w:val="007F17FB"/>
    <w:rsid w:val="00816575"/>
    <w:rsid w:val="008172E9"/>
    <w:rsid w:val="00837557"/>
    <w:rsid w:val="00837C12"/>
    <w:rsid w:val="00867BF8"/>
    <w:rsid w:val="00870F13"/>
    <w:rsid w:val="00873D95"/>
    <w:rsid w:val="00882202"/>
    <w:rsid w:val="008B4804"/>
    <w:rsid w:val="008B4E3D"/>
    <w:rsid w:val="008C1DFA"/>
    <w:rsid w:val="008E75C0"/>
    <w:rsid w:val="00912CD1"/>
    <w:rsid w:val="00914838"/>
    <w:rsid w:val="00915B8A"/>
    <w:rsid w:val="00921207"/>
    <w:rsid w:val="00923427"/>
    <w:rsid w:val="00932536"/>
    <w:rsid w:val="00936542"/>
    <w:rsid w:val="009369CF"/>
    <w:rsid w:val="00945931"/>
    <w:rsid w:val="00950F70"/>
    <w:rsid w:val="00984781"/>
    <w:rsid w:val="0098539B"/>
    <w:rsid w:val="009B1036"/>
    <w:rsid w:val="009C70E6"/>
    <w:rsid w:val="009D4106"/>
    <w:rsid w:val="009D4BF5"/>
    <w:rsid w:val="009D72AD"/>
    <w:rsid w:val="009E7A40"/>
    <w:rsid w:val="009F4C48"/>
    <w:rsid w:val="00A03021"/>
    <w:rsid w:val="00A71EA8"/>
    <w:rsid w:val="00A741F2"/>
    <w:rsid w:val="00A76D25"/>
    <w:rsid w:val="00AA7C18"/>
    <w:rsid w:val="00AB01AB"/>
    <w:rsid w:val="00AB4911"/>
    <w:rsid w:val="00AB7DC7"/>
    <w:rsid w:val="00AC5C18"/>
    <w:rsid w:val="00AC6E3C"/>
    <w:rsid w:val="00AD32BE"/>
    <w:rsid w:val="00AE52AC"/>
    <w:rsid w:val="00AE62CC"/>
    <w:rsid w:val="00AF4B94"/>
    <w:rsid w:val="00B04A16"/>
    <w:rsid w:val="00B234EF"/>
    <w:rsid w:val="00B331E0"/>
    <w:rsid w:val="00B3543E"/>
    <w:rsid w:val="00B37D96"/>
    <w:rsid w:val="00B472EE"/>
    <w:rsid w:val="00B65EC4"/>
    <w:rsid w:val="00B723FB"/>
    <w:rsid w:val="00B72F7C"/>
    <w:rsid w:val="00B731BC"/>
    <w:rsid w:val="00B736EE"/>
    <w:rsid w:val="00B75FDE"/>
    <w:rsid w:val="00B76934"/>
    <w:rsid w:val="00B90797"/>
    <w:rsid w:val="00B9519C"/>
    <w:rsid w:val="00BB0609"/>
    <w:rsid w:val="00BC2E9A"/>
    <w:rsid w:val="00BC365D"/>
    <w:rsid w:val="00BC4BC2"/>
    <w:rsid w:val="00BC5740"/>
    <w:rsid w:val="00BD0C9E"/>
    <w:rsid w:val="00BE383B"/>
    <w:rsid w:val="00BE4D81"/>
    <w:rsid w:val="00BE5152"/>
    <w:rsid w:val="00BE6141"/>
    <w:rsid w:val="00BF21F3"/>
    <w:rsid w:val="00BF2F60"/>
    <w:rsid w:val="00C137A3"/>
    <w:rsid w:val="00C20AD5"/>
    <w:rsid w:val="00C2173A"/>
    <w:rsid w:val="00C2278E"/>
    <w:rsid w:val="00C30A4F"/>
    <w:rsid w:val="00C35C79"/>
    <w:rsid w:val="00C4216B"/>
    <w:rsid w:val="00C55012"/>
    <w:rsid w:val="00C618F2"/>
    <w:rsid w:val="00C718F4"/>
    <w:rsid w:val="00C80F08"/>
    <w:rsid w:val="00C81073"/>
    <w:rsid w:val="00C85EFB"/>
    <w:rsid w:val="00C92EF1"/>
    <w:rsid w:val="00CA68B9"/>
    <w:rsid w:val="00CA7EF3"/>
    <w:rsid w:val="00CC5E0A"/>
    <w:rsid w:val="00CD194C"/>
    <w:rsid w:val="00CD55F3"/>
    <w:rsid w:val="00CE1044"/>
    <w:rsid w:val="00CE1B13"/>
    <w:rsid w:val="00CF0A6C"/>
    <w:rsid w:val="00CF3592"/>
    <w:rsid w:val="00CF52EB"/>
    <w:rsid w:val="00D11357"/>
    <w:rsid w:val="00D23780"/>
    <w:rsid w:val="00D23D73"/>
    <w:rsid w:val="00D332F7"/>
    <w:rsid w:val="00D33566"/>
    <w:rsid w:val="00D36758"/>
    <w:rsid w:val="00D5320D"/>
    <w:rsid w:val="00D67D5B"/>
    <w:rsid w:val="00D937A6"/>
    <w:rsid w:val="00DC3DB8"/>
    <w:rsid w:val="00DD61CA"/>
    <w:rsid w:val="00DF6171"/>
    <w:rsid w:val="00DF7B12"/>
    <w:rsid w:val="00E00995"/>
    <w:rsid w:val="00E21A99"/>
    <w:rsid w:val="00E42011"/>
    <w:rsid w:val="00E45AFE"/>
    <w:rsid w:val="00E46567"/>
    <w:rsid w:val="00E46584"/>
    <w:rsid w:val="00E55E28"/>
    <w:rsid w:val="00E67496"/>
    <w:rsid w:val="00E7339E"/>
    <w:rsid w:val="00EA5323"/>
    <w:rsid w:val="00EB439E"/>
    <w:rsid w:val="00EC4ADD"/>
    <w:rsid w:val="00ED6583"/>
    <w:rsid w:val="00EE0A39"/>
    <w:rsid w:val="00EE2927"/>
    <w:rsid w:val="00EE65E3"/>
    <w:rsid w:val="00EF463C"/>
    <w:rsid w:val="00F10C95"/>
    <w:rsid w:val="00F11D3A"/>
    <w:rsid w:val="00F14D4E"/>
    <w:rsid w:val="00F55F80"/>
    <w:rsid w:val="00F61EF6"/>
    <w:rsid w:val="00F65629"/>
    <w:rsid w:val="00F77F0E"/>
    <w:rsid w:val="00F90AA7"/>
    <w:rsid w:val="00FB1109"/>
    <w:rsid w:val="00FB5BFF"/>
    <w:rsid w:val="00FD4710"/>
    <w:rsid w:val="00FF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F0E3"/>
  <w15:chartTrackingRefBased/>
  <w15:docId w15:val="{6A1F2495-0C97-47C3-8F7E-D0C85D67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3AF"/>
    <w:pPr>
      <w:keepNext/>
      <w:keepLines/>
      <w:spacing w:before="240" w:after="0"/>
      <w:outlineLvl w:val="0"/>
    </w:pPr>
    <w:rPr>
      <w:rFonts w:ascii="Times New Roman Bold" w:eastAsiaTheme="majorEastAsia" w:hAnsi="Times New Roman Bold" w:cstheme="majorBidi"/>
      <w:b/>
      <w:caps/>
      <w:sz w:val="24"/>
      <w:szCs w:val="32"/>
    </w:rPr>
  </w:style>
  <w:style w:type="paragraph" w:styleId="Heading2">
    <w:name w:val="heading 2"/>
    <w:basedOn w:val="Normal"/>
    <w:next w:val="Normal"/>
    <w:link w:val="Heading2Char"/>
    <w:uiPriority w:val="9"/>
    <w:unhideWhenUsed/>
    <w:qFormat/>
    <w:rsid w:val="007D53AF"/>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ADD"/>
    <w:rPr>
      <w:rFonts w:ascii="Segoe UI" w:hAnsi="Segoe UI" w:cs="Segoe UI"/>
      <w:sz w:val="18"/>
      <w:szCs w:val="18"/>
    </w:rPr>
  </w:style>
  <w:style w:type="paragraph" w:styleId="Title">
    <w:name w:val="Title"/>
    <w:basedOn w:val="Normal"/>
    <w:next w:val="Normal"/>
    <w:link w:val="TitleChar"/>
    <w:uiPriority w:val="10"/>
    <w:qFormat/>
    <w:rsid w:val="00EC4ADD"/>
    <w:pPr>
      <w:spacing w:after="0" w:line="240" w:lineRule="auto"/>
      <w:contextualSpacing/>
    </w:pPr>
    <w:rPr>
      <w:rFonts w:ascii="Times New Roman" w:eastAsiaTheme="majorEastAsia" w:hAnsi="Times New Roman" w:cstheme="majorBidi"/>
      <w:spacing w:val="-10"/>
      <w:kern w:val="28"/>
      <w:sz w:val="24"/>
      <w:szCs w:val="56"/>
    </w:rPr>
  </w:style>
  <w:style w:type="character" w:customStyle="1" w:styleId="TitleChar">
    <w:name w:val="Title Char"/>
    <w:basedOn w:val="DefaultParagraphFont"/>
    <w:link w:val="Title"/>
    <w:uiPriority w:val="10"/>
    <w:rsid w:val="00EC4ADD"/>
    <w:rPr>
      <w:rFonts w:ascii="Times New Roman" w:eastAsiaTheme="majorEastAsia" w:hAnsi="Times New Roman" w:cstheme="majorBidi"/>
      <w:spacing w:val="-10"/>
      <w:kern w:val="28"/>
      <w:sz w:val="24"/>
      <w:szCs w:val="56"/>
    </w:rPr>
  </w:style>
  <w:style w:type="character" w:customStyle="1" w:styleId="Heading1Char">
    <w:name w:val="Heading 1 Char"/>
    <w:basedOn w:val="DefaultParagraphFont"/>
    <w:link w:val="Heading1"/>
    <w:uiPriority w:val="9"/>
    <w:rsid w:val="007D53AF"/>
    <w:rPr>
      <w:rFonts w:ascii="Times New Roman Bold" w:eastAsiaTheme="majorEastAsia" w:hAnsi="Times New Roman Bold" w:cstheme="majorBidi"/>
      <w:b/>
      <w:caps/>
      <w:sz w:val="24"/>
      <w:szCs w:val="32"/>
    </w:rPr>
  </w:style>
  <w:style w:type="paragraph" w:styleId="Header">
    <w:name w:val="header"/>
    <w:basedOn w:val="Normal"/>
    <w:link w:val="HeaderChar"/>
    <w:uiPriority w:val="99"/>
    <w:unhideWhenUsed/>
    <w:rsid w:val="001E2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145"/>
  </w:style>
  <w:style w:type="paragraph" w:styleId="Footer">
    <w:name w:val="footer"/>
    <w:basedOn w:val="Normal"/>
    <w:link w:val="FooterChar"/>
    <w:uiPriority w:val="99"/>
    <w:unhideWhenUsed/>
    <w:rsid w:val="001E2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45"/>
  </w:style>
  <w:style w:type="character" w:customStyle="1" w:styleId="Heading2Char">
    <w:name w:val="Heading 2 Char"/>
    <w:basedOn w:val="DefaultParagraphFont"/>
    <w:link w:val="Heading2"/>
    <w:uiPriority w:val="9"/>
    <w:rsid w:val="007D53AF"/>
    <w:rPr>
      <w:rFonts w:ascii="Times New Roman" w:eastAsiaTheme="majorEastAsia" w:hAnsi="Times New Roman" w:cstheme="majorBidi"/>
      <w:b/>
      <w:sz w:val="24"/>
      <w:szCs w:val="26"/>
    </w:rPr>
  </w:style>
  <w:style w:type="table" w:styleId="TableGrid">
    <w:name w:val="Table Grid"/>
    <w:basedOn w:val="TableNormal"/>
    <w:uiPriority w:val="39"/>
    <w:rsid w:val="007D5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RBodyText">
    <w:name w:val="CSR Body Text"/>
    <w:link w:val="CSRBodyTextChar"/>
    <w:rsid w:val="007D53AF"/>
    <w:pPr>
      <w:spacing w:before="120" w:after="120" w:line="280" w:lineRule="exact"/>
    </w:pPr>
    <w:rPr>
      <w:rFonts w:ascii="Times New Roman" w:eastAsia="Calibri" w:hAnsi="Times New Roman" w:cs="Times New Roman"/>
      <w:sz w:val="24"/>
    </w:rPr>
  </w:style>
  <w:style w:type="character" w:customStyle="1" w:styleId="CSRBodyTextChar">
    <w:name w:val="CSR Body Text Char"/>
    <w:link w:val="CSRBodyText"/>
    <w:rsid w:val="007D53AF"/>
    <w:rPr>
      <w:rFonts w:ascii="Times New Roman" w:eastAsia="Calibri" w:hAnsi="Times New Roman" w:cs="Times New Roman"/>
      <w:sz w:val="24"/>
    </w:rPr>
  </w:style>
  <w:style w:type="paragraph" w:customStyle="1" w:styleId="CSR-Bullet1">
    <w:name w:val="CSR-Bullet 1"/>
    <w:rsid w:val="007D53AF"/>
    <w:pPr>
      <w:numPr>
        <w:numId w:val="2"/>
      </w:numPr>
      <w:spacing w:before="120" w:after="120" w:line="240" w:lineRule="atLeast"/>
    </w:pPr>
    <w:rPr>
      <w:rFonts w:ascii="Times New Roman" w:eastAsia="Calibri" w:hAnsi="Times New Roman" w:cs="Times New Roman"/>
      <w:noProof/>
      <w:sz w:val="24"/>
    </w:rPr>
  </w:style>
  <w:style w:type="paragraph" w:customStyle="1" w:styleId="CSR-NumberedList1">
    <w:name w:val="CSR-Numbered List 1"/>
    <w:basedOn w:val="CSRBodyText"/>
    <w:rsid w:val="007D53AF"/>
    <w:pPr>
      <w:numPr>
        <w:ilvl w:val="2"/>
        <w:numId w:val="1"/>
      </w:numPr>
      <w:tabs>
        <w:tab w:val="num" w:pos="360"/>
        <w:tab w:val="left" w:pos="720"/>
      </w:tabs>
      <w:ind w:left="720" w:hanging="720"/>
    </w:pPr>
  </w:style>
  <w:style w:type="paragraph" w:customStyle="1" w:styleId="CSR-NumberedList2">
    <w:name w:val="CSR-Numbered List 2"/>
    <w:basedOn w:val="CSRBodyText"/>
    <w:rsid w:val="007D53AF"/>
    <w:pPr>
      <w:numPr>
        <w:ilvl w:val="1"/>
        <w:numId w:val="1"/>
      </w:numPr>
      <w:tabs>
        <w:tab w:val="num" w:pos="360"/>
        <w:tab w:val="num" w:pos="576"/>
        <w:tab w:val="left" w:pos="1080"/>
      </w:tabs>
      <w:ind w:left="576" w:hanging="576"/>
    </w:pPr>
  </w:style>
  <w:style w:type="paragraph" w:customStyle="1" w:styleId="C-Heading1">
    <w:name w:val="C-Heading 1"/>
    <w:next w:val="Normal"/>
    <w:rsid w:val="007D53AF"/>
    <w:pPr>
      <w:keepNext/>
      <w:pageBreakBefore/>
      <w:numPr>
        <w:numId w:val="5"/>
      </w:numPr>
      <w:spacing w:before="120" w:after="240" w:line="240" w:lineRule="auto"/>
      <w:outlineLvl w:val="0"/>
    </w:pPr>
    <w:rPr>
      <w:rFonts w:ascii="Times New Roman" w:eastAsia="Times New Roman" w:hAnsi="Times New Roman" w:cs="Times New Roman"/>
      <w:b/>
      <w:caps/>
      <w:sz w:val="28"/>
      <w:szCs w:val="20"/>
    </w:rPr>
  </w:style>
  <w:style w:type="paragraph" w:customStyle="1" w:styleId="C-Heading2">
    <w:name w:val="C-Heading 2"/>
    <w:next w:val="Normal"/>
    <w:rsid w:val="007D53AF"/>
    <w:pPr>
      <w:keepNext/>
      <w:numPr>
        <w:ilvl w:val="1"/>
        <w:numId w:val="5"/>
      </w:numPr>
      <w:spacing w:before="240" w:after="0" w:line="240" w:lineRule="auto"/>
      <w:outlineLvl w:val="1"/>
    </w:pPr>
    <w:rPr>
      <w:rFonts w:ascii="Times New Roman" w:eastAsia="Times New Roman" w:hAnsi="Times New Roman" w:cs="Times New Roman"/>
      <w:b/>
      <w:sz w:val="28"/>
      <w:szCs w:val="20"/>
    </w:rPr>
  </w:style>
  <w:style w:type="paragraph" w:customStyle="1" w:styleId="C-Heading3">
    <w:name w:val="C-Heading 3"/>
    <w:next w:val="Normal"/>
    <w:rsid w:val="007D53AF"/>
    <w:pPr>
      <w:keepNext/>
      <w:numPr>
        <w:ilvl w:val="2"/>
        <w:numId w:val="5"/>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Normal"/>
    <w:rsid w:val="007D53AF"/>
    <w:pPr>
      <w:keepNext/>
      <w:numPr>
        <w:ilvl w:val="3"/>
        <w:numId w:val="5"/>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Normal"/>
    <w:rsid w:val="007D53AF"/>
    <w:pPr>
      <w:keepNext/>
      <w:numPr>
        <w:ilvl w:val="4"/>
        <w:numId w:val="5"/>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Normal"/>
    <w:rsid w:val="007D53AF"/>
    <w:pPr>
      <w:keepNext/>
      <w:numPr>
        <w:ilvl w:val="5"/>
        <w:numId w:val="5"/>
      </w:numPr>
      <w:spacing w:before="240" w:after="0" w:line="240" w:lineRule="auto"/>
      <w:outlineLvl w:val="5"/>
    </w:pPr>
    <w:rPr>
      <w:rFonts w:ascii="Times New Roman" w:eastAsia="Times New Roman" w:hAnsi="Times New Roman" w:cs="Times New Roman"/>
      <w:b/>
      <w:sz w:val="24"/>
      <w:szCs w:val="20"/>
    </w:rPr>
  </w:style>
  <w:style w:type="paragraph" w:styleId="ListParagraph">
    <w:name w:val="List Paragraph"/>
    <w:basedOn w:val="Normal"/>
    <w:uiPriority w:val="34"/>
    <w:qFormat/>
    <w:rsid w:val="0059356E"/>
    <w:pPr>
      <w:ind w:left="720"/>
      <w:contextualSpacing/>
    </w:pPr>
  </w:style>
  <w:style w:type="paragraph" w:styleId="TOCHeading">
    <w:name w:val="TOC Heading"/>
    <w:basedOn w:val="Heading1"/>
    <w:next w:val="Normal"/>
    <w:uiPriority w:val="39"/>
    <w:unhideWhenUsed/>
    <w:qFormat/>
    <w:rsid w:val="00DF7B12"/>
    <w:pPr>
      <w:outlineLvl w:val="9"/>
    </w:pPr>
    <w:rPr>
      <w:rFonts w:asciiTheme="majorHAnsi" w:hAnsiTheme="majorHAnsi"/>
      <w:b w:val="0"/>
      <w:caps w:val="0"/>
      <w:color w:val="2F5496" w:themeColor="accent1" w:themeShade="BF"/>
      <w:sz w:val="32"/>
    </w:rPr>
  </w:style>
  <w:style w:type="paragraph" w:styleId="TOC1">
    <w:name w:val="toc 1"/>
    <w:basedOn w:val="Normal"/>
    <w:next w:val="Normal"/>
    <w:autoRedefine/>
    <w:uiPriority w:val="39"/>
    <w:unhideWhenUsed/>
    <w:rsid w:val="005B1B31"/>
    <w:pPr>
      <w:tabs>
        <w:tab w:val="right" w:leader="dot" w:pos="9350"/>
      </w:tabs>
      <w:spacing w:after="100"/>
      <w:ind w:left="270" w:hanging="270"/>
    </w:pPr>
    <w:rPr>
      <w:rFonts w:ascii="Times New Roman" w:hAnsi="Times New Roman"/>
      <w:noProof/>
    </w:rPr>
  </w:style>
  <w:style w:type="paragraph" w:styleId="TOC2">
    <w:name w:val="toc 2"/>
    <w:basedOn w:val="Normal"/>
    <w:next w:val="Normal"/>
    <w:autoRedefine/>
    <w:uiPriority w:val="39"/>
    <w:unhideWhenUsed/>
    <w:rsid w:val="00DF7B12"/>
    <w:pPr>
      <w:spacing w:after="100"/>
      <w:ind w:left="220"/>
    </w:pPr>
  </w:style>
  <w:style w:type="character" w:styleId="Hyperlink">
    <w:name w:val="Hyperlink"/>
    <w:basedOn w:val="DefaultParagraphFont"/>
    <w:uiPriority w:val="99"/>
    <w:unhideWhenUsed/>
    <w:rsid w:val="00DF7B12"/>
    <w:rPr>
      <w:color w:val="0563C1" w:themeColor="hyperlink"/>
      <w:u w:val="single"/>
    </w:rPr>
  </w:style>
  <w:style w:type="character" w:styleId="CommentReference">
    <w:name w:val="annotation reference"/>
    <w:basedOn w:val="DefaultParagraphFont"/>
    <w:uiPriority w:val="99"/>
    <w:semiHidden/>
    <w:unhideWhenUsed/>
    <w:rsid w:val="002152D2"/>
    <w:rPr>
      <w:sz w:val="16"/>
      <w:szCs w:val="16"/>
    </w:rPr>
  </w:style>
  <w:style w:type="paragraph" w:customStyle="1" w:styleId="CommentText1">
    <w:name w:val="Comment Text1"/>
    <w:basedOn w:val="Normal"/>
    <w:next w:val="CommentText"/>
    <w:link w:val="CommentTextChar"/>
    <w:uiPriority w:val="99"/>
    <w:semiHidden/>
    <w:unhideWhenUsed/>
    <w:rsid w:val="002152D2"/>
    <w:pPr>
      <w:spacing w:after="0" w:line="240" w:lineRule="auto"/>
    </w:pPr>
    <w:rPr>
      <w:sz w:val="20"/>
      <w:szCs w:val="20"/>
      <w:lang w:val="en-GB"/>
    </w:rPr>
  </w:style>
  <w:style w:type="character" w:customStyle="1" w:styleId="CommentTextChar">
    <w:name w:val="Comment Text Char"/>
    <w:basedOn w:val="DefaultParagraphFont"/>
    <w:link w:val="CommentText1"/>
    <w:uiPriority w:val="99"/>
    <w:semiHidden/>
    <w:rsid w:val="002152D2"/>
    <w:rPr>
      <w:sz w:val="20"/>
      <w:szCs w:val="20"/>
      <w:lang w:val="en-GB"/>
    </w:rPr>
  </w:style>
  <w:style w:type="table" w:customStyle="1" w:styleId="TableGrid3">
    <w:name w:val="Table Grid3"/>
    <w:basedOn w:val="TableNormal"/>
    <w:next w:val="TableGrid"/>
    <w:uiPriority w:val="39"/>
    <w:rsid w:val="00215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2152D2"/>
    <w:pPr>
      <w:spacing w:line="240" w:lineRule="auto"/>
    </w:pPr>
    <w:rPr>
      <w:sz w:val="20"/>
      <w:szCs w:val="20"/>
    </w:rPr>
  </w:style>
  <w:style w:type="character" w:customStyle="1" w:styleId="CommentTextChar1">
    <w:name w:val="Comment Text Char1"/>
    <w:basedOn w:val="DefaultParagraphFont"/>
    <w:link w:val="CommentText"/>
    <w:uiPriority w:val="99"/>
    <w:semiHidden/>
    <w:rsid w:val="002152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0BDBD58C551346B3DFAFB4493BED68" ma:contentTypeVersion="16" ma:contentTypeDescription="Create a new document." ma:contentTypeScope="" ma:versionID="a86ce43c99e230864fad202a0c3f0a40">
  <xsd:schema xmlns:xsd="http://www.w3.org/2001/XMLSchema" xmlns:xs="http://www.w3.org/2001/XMLSchema" xmlns:p="http://schemas.microsoft.com/office/2006/metadata/properties" xmlns:ns2="9697b3f4-9371-4ccd-95dc-7a0575d30977" xmlns:ns3="c9f4a41e-adb0-46c4-8718-3a798958ffed" targetNamespace="http://schemas.microsoft.com/office/2006/metadata/properties" ma:root="true" ma:fieldsID="bb6adbecf5d83b8a37fe026b3b6167d0" ns2:_="" ns3:_="">
    <xsd:import namespace="9697b3f4-9371-4ccd-95dc-7a0575d30977"/>
    <xsd:import namespace="c9f4a41e-adb0-46c4-8718-3a798958ff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7b3f4-9371-4ccd-95dc-7a0575d309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4a41e-adb0-46c4-8718-3a798958ff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E9425-5350-4F25-86A6-8A9BC3099659}">
  <ds:schemaRefs>
    <ds:schemaRef ds:uri="http://schemas.microsoft.com/sharepoint/v3/contenttype/forms"/>
  </ds:schemaRefs>
</ds:datastoreItem>
</file>

<file path=customXml/itemProps2.xml><?xml version="1.0" encoding="utf-8"?>
<ds:datastoreItem xmlns:ds="http://schemas.openxmlformats.org/officeDocument/2006/customXml" ds:itemID="{70ABFC35-6A22-4158-8BF0-B602218E8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5B0B1-68E6-47E2-B21E-F4BA9EB293B5}">
  <ds:schemaRefs>
    <ds:schemaRef ds:uri="http://schemas.openxmlformats.org/officeDocument/2006/bibliography"/>
  </ds:schemaRefs>
</ds:datastoreItem>
</file>

<file path=customXml/itemProps4.xml><?xml version="1.0" encoding="utf-8"?>
<ds:datastoreItem xmlns:ds="http://schemas.openxmlformats.org/officeDocument/2006/customXml" ds:itemID="{0673AE6B-37C5-46AD-9A86-6AD48AD6C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7b3f4-9371-4ccd-95dc-7a0575d30977"/>
    <ds:schemaRef ds:uri="c9f4a41e-adb0-46c4-8718-3a798958f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3915</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 Figueroa</dc:creator>
  <cp:keywords/>
  <dc:description/>
  <cp:lastModifiedBy>Sotirios Tsimikas, MD</cp:lastModifiedBy>
  <cp:revision>3</cp:revision>
  <dcterms:created xsi:type="dcterms:W3CDTF">2022-01-06T18:24:00Z</dcterms:created>
  <dcterms:modified xsi:type="dcterms:W3CDTF">2022-01-06T18:25:00Z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0x010100280BDBD58C551346B3DFAFB4493BED68</vt:lpwstr>
  </property>
</Properties>
</file>