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181C" w14:textId="77777777" w:rsidR="00A75417" w:rsidRPr="00BA1E67" w:rsidRDefault="00A75417" w:rsidP="00A75417">
      <w:pPr>
        <w:spacing w:after="240"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BA1E67">
        <w:rPr>
          <w:b/>
          <w:bCs/>
          <w:color w:val="000000" w:themeColor="text1"/>
          <w:sz w:val="24"/>
          <w:szCs w:val="24"/>
        </w:rPr>
        <w:t xml:space="preserve">Supplementary Figures </w:t>
      </w:r>
    </w:p>
    <w:p w14:paraId="6455A61D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</w:p>
    <w:p w14:paraId="44D28C5D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S1. </w:t>
      </w:r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color w:val="000000" w:themeColor="text1"/>
          <w:sz w:val="24"/>
          <w:szCs w:val="24"/>
        </w:rPr>
        <w:t xml:space="preserve"> transcripts express at similar levels in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WT</w:t>
      </w:r>
      <w:proofErr w:type="spellEnd"/>
      <w:r w:rsidRPr="00BA1E67">
        <w:rPr>
          <w:color w:val="000000" w:themeColor="text1"/>
          <w:sz w:val="24"/>
          <w:szCs w:val="24"/>
        </w:rPr>
        <w:t xml:space="preserve"> and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i/>
          <w:iCs/>
          <w:color w:val="000000" w:themeColor="text1"/>
          <w:sz w:val="24"/>
          <w:szCs w:val="24"/>
        </w:rPr>
        <w:t>.</w:t>
      </w:r>
    </w:p>
    <w:p w14:paraId="5C5F9FDA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S2. Haplo-sufficiency of the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color w:val="000000" w:themeColor="text1"/>
          <w:sz w:val="24"/>
          <w:szCs w:val="24"/>
        </w:rPr>
        <w:t xml:space="preserve"> allele.</w:t>
      </w:r>
    </w:p>
    <w:p w14:paraId="5B8466C1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S3. The DL gradient visualized with a DL antibody in WT,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WT</w:t>
      </w:r>
      <w:proofErr w:type="spellEnd"/>
      <w:r w:rsidRPr="00BA1E67">
        <w:rPr>
          <w:i/>
          <w:iCs/>
          <w:color w:val="000000" w:themeColor="text1"/>
          <w:sz w:val="24"/>
          <w:szCs w:val="24"/>
        </w:rPr>
        <w:t>/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Df</w:t>
      </w:r>
      <w:proofErr w:type="spellEnd"/>
      <w:r w:rsidRPr="00BA1E67">
        <w:rPr>
          <w:color w:val="000000" w:themeColor="text1"/>
          <w:sz w:val="24"/>
          <w:szCs w:val="24"/>
        </w:rPr>
        <w:t xml:space="preserve">, and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i/>
          <w:iCs/>
          <w:color w:val="000000" w:themeColor="text1"/>
          <w:sz w:val="24"/>
          <w:szCs w:val="24"/>
        </w:rPr>
        <w:t>/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Df</w:t>
      </w:r>
      <w:proofErr w:type="spellEnd"/>
      <w:r w:rsidRPr="00BA1E67">
        <w:rPr>
          <w:color w:val="000000" w:themeColor="text1"/>
          <w:sz w:val="24"/>
          <w:szCs w:val="24"/>
        </w:rPr>
        <w:t xml:space="preserve"> embryos.</w:t>
      </w:r>
    </w:p>
    <w:p w14:paraId="0166DDEC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S4. Quantitative changes in the transcriptome of embryos laid by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color w:val="000000" w:themeColor="text1"/>
          <w:sz w:val="24"/>
          <w:szCs w:val="24"/>
        </w:rPr>
        <w:t xml:space="preserve"> mothers.</w:t>
      </w:r>
    </w:p>
    <w:p w14:paraId="625C581C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S5. </w:t>
      </w:r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1</w:t>
      </w:r>
      <w:r w:rsidRPr="00BA1E67">
        <w:rPr>
          <w:color w:val="000000" w:themeColor="text1"/>
          <w:sz w:val="24"/>
          <w:szCs w:val="24"/>
        </w:rPr>
        <w:t xml:space="preserve"> is a S317N mutant and is resistant to Toll signaling.</w:t>
      </w:r>
    </w:p>
    <w:p w14:paraId="0BAD1EEA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S6. Crystal cells in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color w:val="000000" w:themeColor="text1"/>
          <w:sz w:val="24"/>
          <w:szCs w:val="24"/>
        </w:rPr>
        <w:t xml:space="preserve">, </w:t>
      </w:r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1</w:t>
      </w:r>
      <w:r w:rsidRPr="00BA1E67">
        <w:rPr>
          <w:i/>
          <w:iCs/>
          <w:color w:val="000000" w:themeColor="text1"/>
          <w:sz w:val="24"/>
          <w:szCs w:val="24"/>
        </w:rPr>
        <w:t>/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color w:val="000000" w:themeColor="text1"/>
          <w:sz w:val="24"/>
          <w:szCs w:val="24"/>
        </w:rPr>
        <w:t xml:space="preserve">, and </w:t>
      </w:r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4</w:t>
      </w:r>
      <w:r w:rsidRPr="00BA1E67">
        <w:rPr>
          <w:i/>
          <w:iCs/>
          <w:color w:val="000000" w:themeColor="text1"/>
          <w:sz w:val="24"/>
          <w:szCs w:val="24"/>
        </w:rPr>
        <w:t>/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color w:val="000000" w:themeColor="text1"/>
          <w:sz w:val="24"/>
          <w:szCs w:val="24"/>
        </w:rPr>
        <w:t xml:space="preserve"> larvae.</w:t>
      </w:r>
    </w:p>
    <w:p w14:paraId="0B87B5CD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>Fig. S7. Simulating the effect of DL SUMOylation.</w:t>
      </w:r>
    </w:p>
    <w:p w14:paraId="70563530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>Fig. S8. Summary of known physical interactors of DL.</w:t>
      </w:r>
    </w:p>
    <w:p w14:paraId="364369B9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>Fig. S9. Simulating the effect of a lower fraction of SUMOylated DL.</w:t>
      </w:r>
    </w:p>
    <w:p w14:paraId="533BBEA4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>Fig. S10. Simulating the effect of a higher fraction of SUMOylated DL.</w:t>
      </w:r>
    </w:p>
    <w:p w14:paraId="360D6AA7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S11. Simulating the effect of increase in cytosolic </w:t>
      </w:r>
      <w:proofErr w:type="spellStart"/>
      <w:r w:rsidRPr="00BA1E67">
        <w:rPr>
          <w:color w:val="000000" w:themeColor="text1"/>
          <w:sz w:val="24"/>
          <w:szCs w:val="24"/>
        </w:rPr>
        <w:t>Cact</w:t>
      </w:r>
      <w:proofErr w:type="spellEnd"/>
      <w:r w:rsidRPr="00BA1E67">
        <w:rPr>
          <w:color w:val="000000" w:themeColor="text1"/>
          <w:sz w:val="24"/>
          <w:szCs w:val="24"/>
        </w:rPr>
        <w:t xml:space="preserve"> levels.</w:t>
      </w:r>
    </w:p>
    <w:p w14:paraId="3BC150AD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S12. Simulating the effect of 10X lower cytosolic </w:t>
      </w:r>
      <w:proofErr w:type="spellStart"/>
      <w:r w:rsidRPr="00BA1E67">
        <w:rPr>
          <w:color w:val="000000" w:themeColor="text1"/>
          <w:sz w:val="24"/>
          <w:szCs w:val="24"/>
        </w:rPr>
        <w:t>Cact</w:t>
      </w:r>
      <w:proofErr w:type="spellEnd"/>
      <w:r w:rsidRPr="00BA1E67">
        <w:rPr>
          <w:color w:val="000000" w:themeColor="text1"/>
          <w:sz w:val="24"/>
          <w:szCs w:val="24"/>
        </w:rPr>
        <w:t xml:space="preserve"> levels.</w:t>
      </w:r>
    </w:p>
    <w:p w14:paraId="0240C5AF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 xml:space="preserve">Fig. S13. Simulating the effect of 100X lower cytosolic </w:t>
      </w:r>
      <w:proofErr w:type="spellStart"/>
      <w:r w:rsidRPr="00BA1E67">
        <w:rPr>
          <w:color w:val="000000" w:themeColor="text1"/>
          <w:sz w:val="24"/>
          <w:szCs w:val="24"/>
        </w:rPr>
        <w:t>Cact</w:t>
      </w:r>
      <w:proofErr w:type="spellEnd"/>
      <w:r w:rsidRPr="00BA1E67">
        <w:rPr>
          <w:color w:val="000000" w:themeColor="text1"/>
          <w:sz w:val="24"/>
          <w:szCs w:val="24"/>
        </w:rPr>
        <w:t xml:space="preserve"> levels.</w:t>
      </w:r>
    </w:p>
    <w:p w14:paraId="09EC6CF8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</w:p>
    <w:p w14:paraId="4E1D27E2" w14:textId="77777777" w:rsidR="00A75417" w:rsidRPr="00BA1E67" w:rsidRDefault="00A75417" w:rsidP="00A75417">
      <w:pPr>
        <w:spacing w:after="240"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BA1E67">
        <w:rPr>
          <w:b/>
          <w:bCs/>
          <w:color w:val="000000" w:themeColor="text1"/>
          <w:sz w:val="24"/>
          <w:szCs w:val="24"/>
        </w:rPr>
        <w:t xml:space="preserve">Supplementary Text </w:t>
      </w:r>
    </w:p>
    <w:p w14:paraId="4F8FE601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>SI-1. Mathematical model.</w:t>
      </w:r>
    </w:p>
    <w:p w14:paraId="5E7787E8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t>SI-2. Parameter table.</w:t>
      </w:r>
    </w:p>
    <w:p w14:paraId="2AA5BD6D" w14:textId="77777777" w:rsidR="00A75417" w:rsidRPr="00BA1E67" w:rsidRDefault="00A75417" w:rsidP="00A75417">
      <w:pPr>
        <w:spacing w:after="240" w:line="360" w:lineRule="auto"/>
        <w:contextualSpacing/>
        <w:rPr>
          <w:b/>
          <w:bCs/>
          <w:color w:val="000000" w:themeColor="text1"/>
          <w:sz w:val="24"/>
          <w:szCs w:val="24"/>
        </w:rPr>
      </w:pPr>
      <w:r w:rsidRPr="00BA1E67">
        <w:rPr>
          <w:b/>
          <w:bCs/>
          <w:color w:val="000000" w:themeColor="text1"/>
          <w:sz w:val="24"/>
          <w:szCs w:val="24"/>
        </w:rPr>
        <w:t>Supplementary Tables</w:t>
      </w:r>
    </w:p>
    <w:p w14:paraId="3360D8E3" w14:textId="77777777" w:rsidR="00A75417" w:rsidRPr="00BA1E67" w:rsidRDefault="00A75417" w:rsidP="00A75417">
      <w:pPr>
        <w:spacing w:before="240" w:after="240" w:line="360" w:lineRule="auto"/>
        <w:jc w:val="both"/>
        <w:rPr>
          <w:color w:val="000000" w:themeColor="text1"/>
          <w:sz w:val="24"/>
          <w:szCs w:val="24"/>
        </w:rPr>
      </w:pPr>
      <w:r w:rsidRPr="00BA1E67">
        <w:rPr>
          <w:color w:val="000000" w:themeColor="text1"/>
          <w:sz w:val="24"/>
          <w:szCs w:val="24"/>
        </w:rPr>
        <w:lastRenderedPageBreak/>
        <w:t xml:space="preserve">ST-1. Differentially expressed genes in the </w:t>
      </w:r>
      <w:proofErr w:type="gramStart"/>
      <w:r w:rsidRPr="00BA1E67">
        <w:rPr>
          <w:color w:val="000000" w:themeColor="text1"/>
          <w:sz w:val="24"/>
          <w:szCs w:val="24"/>
        </w:rPr>
        <w:t>0-2 hour</w:t>
      </w:r>
      <w:proofErr w:type="gramEnd"/>
      <w:r w:rsidRPr="00BA1E67">
        <w:rPr>
          <w:color w:val="000000" w:themeColor="text1"/>
          <w:sz w:val="24"/>
          <w:szCs w:val="24"/>
        </w:rPr>
        <w:t xml:space="preserve"> embryo across all four genotypes studied,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WT</w:t>
      </w:r>
      <w:proofErr w:type="spellEnd"/>
      <w:r w:rsidRPr="00BA1E67">
        <w:rPr>
          <w:color w:val="000000" w:themeColor="text1"/>
          <w:sz w:val="24"/>
          <w:szCs w:val="24"/>
        </w:rPr>
        <w:t xml:space="preserve">,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color w:val="000000" w:themeColor="text1"/>
          <w:sz w:val="24"/>
          <w:szCs w:val="24"/>
        </w:rPr>
        <w:t xml:space="preserve">,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WT</w:t>
      </w:r>
      <w:proofErr w:type="spellEnd"/>
      <w:r w:rsidRPr="00BA1E67">
        <w:rPr>
          <w:color w:val="000000" w:themeColor="text1"/>
          <w:sz w:val="24"/>
          <w:szCs w:val="24"/>
        </w:rPr>
        <w:t>/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Df</w:t>
      </w:r>
      <w:proofErr w:type="spellEnd"/>
      <w:r w:rsidRPr="00BA1E67">
        <w:rPr>
          <w:i/>
          <w:iCs/>
          <w:color w:val="000000" w:themeColor="text1"/>
          <w:sz w:val="24"/>
          <w:szCs w:val="24"/>
        </w:rPr>
        <w:t>,</w:t>
      </w:r>
      <w:r w:rsidRPr="00BA1E67">
        <w:rPr>
          <w:color w:val="000000" w:themeColor="text1"/>
          <w:sz w:val="24"/>
          <w:szCs w:val="24"/>
        </w:rPr>
        <w:t xml:space="preserve"> 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dl</w:t>
      </w:r>
      <w:r w:rsidRPr="00BA1E67">
        <w:rPr>
          <w:i/>
          <w:iCs/>
          <w:color w:val="000000" w:themeColor="text1"/>
          <w:sz w:val="24"/>
          <w:szCs w:val="24"/>
          <w:vertAlign w:val="superscript"/>
        </w:rPr>
        <w:t>SCR</w:t>
      </w:r>
      <w:proofErr w:type="spellEnd"/>
      <w:r w:rsidRPr="00BA1E67">
        <w:rPr>
          <w:color w:val="000000" w:themeColor="text1"/>
          <w:sz w:val="24"/>
          <w:szCs w:val="24"/>
        </w:rPr>
        <w:t>/</w:t>
      </w:r>
      <w:proofErr w:type="spellStart"/>
      <w:r w:rsidRPr="00BA1E67">
        <w:rPr>
          <w:i/>
          <w:iCs/>
          <w:color w:val="000000" w:themeColor="text1"/>
          <w:sz w:val="24"/>
          <w:szCs w:val="24"/>
        </w:rPr>
        <w:t>Df</w:t>
      </w:r>
      <w:proofErr w:type="spellEnd"/>
      <w:r w:rsidRPr="00BA1E67">
        <w:rPr>
          <w:color w:val="000000" w:themeColor="text1"/>
          <w:sz w:val="24"/>
          <w:szCs w:val="24"/>
        </w:rPr>
        <w:t>.</w:t>
      </w:r>
    </w:p>
    <w:p w14:paraId="37428DCB" w14:textId="77777777" w:rsidR="00A75417" w:rsidRDefault="00A75417"/>
    <w:sectPr w:rsidR="00A7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17"/>
    <w:rsid w:val="00A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0180"/>
  <w15:chartTrackingRefBased/>
  <w15:docId w15:val="{7069AAA8-374F-4358-9826-ABF0EEEE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5417"/>
    <w:pPr>
      <w:spacing w:after="0" w:line="276" w:lineRule="auto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Matt</dc:creator>
  <cp:keywords/>
  <dc:description/>
  <cp:lastModifiedBy>Lyles, Matt</cp:lastModifiedBy>
  <cp:revision>1</cp:revision>
  <dcterms:created xsi:type="dcterms:W3CDTF">2022-05-10T14:06:00Z</dcterms:created>
  <dcterms:modified xsi:type="dcterms:W3CDTF">2022-05-10T14:08:00Z</dcterms:modified>
</cp:coreProperties>
</file>