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8E065" w14:textId="77777777" w:rsidR="004531CA" w:rsidRDefault="004531CA" w:rsidP="00DB59E0">
      <w:pPr>
        <w:pStyle w:val="Heading1"/>
      </w:pPr>
    </w:p>
    <w:p w14:paraId="4E17BDC7" w14:textId="011E6506" w:rsidR="0000666E" w:rsidRPr="00DB59E0" w:rsidRDefault="00040CBD" w:rsidP="00DB59E0">
      <w:pPr>
        <w:pStyle w:val="Heading1"/>
      </w:pPr>
      <w:r>
        <w:t>SI</w:t>
      </w:r>
      <w:r w:rsidR="003C13D4">
        <w:t>-</w:t>
      </w:r>
      <w:r>
        <w:t xml:space="preserve">2: </w:t>
      </w:r>
      <w:r w:rsidR="0000666E" w:rsidRPr="003C13D4">
        <w:rPr>
          <w:b w:val="0"/>
          <w:bCs/>
          <w:u w:val="single"/>
        </w:rPr>
        <w:t>Parameter</w:t>
      </w:r>
      <w:r w:rsidR="003C13D4">
        <w:rPr>
          <w:b w:val="0"/>
          <w:bCs/>
          <w:u w:val="single"/>
        </w:rPr>
        <w:t xml:space="preserve"> Table</w:t>
      </w:r>
      <w:r w:rsidR="003C13D4" w:rsidRPr="003C13D4">
        <w:rPr>
          <w:b w:val="0"/>
          <w:bCs/>
          <w:u w:val="single"/>
        </w:rPr>
        <w:t>.</w:t>
      </w:r>
      <w:r w:rsidR="00DB59E0">
        <w:t xml:space="preserve"> </w:t>
      </w:r>
      <w:r w:rsidR="0000666E" w:rsidRPr="00DB59E0">
        <w:rPr>
          <w:b w:val="0"/>
          <w:bCs/>
        </w:rPr>
        <w:t>Parameter values used for simulations are summarized in the following table. Parameter values for SUMOylated homodimer and heterodimers are initially kept same as the values shown below, and were then varied as explained in the Methods section.</w:t>
      </w:r>
    </w:p>
    <w:p w14:paraId="0CF3D286" w14:textId="65ED51D9" w:rsidR="000A61DE" w:rsidRPr="000A61DE" w:rsidRDefault="000A61DE" w:rsidP="000A61DE">
      <w:pPr>
        <w:pStyle w:val="Caption"/>
        <w:keepNext/>
        <w:rPr>
          <w:rFonts w:ascii="Arial" w:hAnsi="Arial" w:cs="Arial"/>
          <w:i w:val="0"/>
          <w:sz w:val="22"/>
        </w:rPr>
      </w:pPr>
    </w:p>
    <w:tbl>
      <w:tblPr>
        <w:tblStyle w:val="TableGrid"/>
        <w:tblW w:w="5000" w:type="pct"/>
        <w:jc w:val="center"/>
        <w:tblLook w:val="0400" w:firstRow="0" w:lastRow="0" w:firstColumn="0" w:lastColumn="0" w:noHBand="0" w:noVBand="1"/>
      </w:tblPr>
      <w:tblGrid>
        <w:gridCol w:w="4926"/>
        <w:gridCol w:w="2868"/>
        <w:gridCol w:w="2662"/>
      </w:tblGrid>
      <w:tr w:rsidR="0000666E" w:rsidRPr="002018FD" w14:paraId="2BE20586" w14:textId="77777777" w:rsidTr="000A61DE">
        <w:trPr>
          <w:trHeight w:val="567"/>
          <w:jc w:val="center"/>
        </w:trPr>
        <w:tc>
          <w:tcPr>
            <w:tcW w:w="4926" w:type="dxa"/>
            <w:vAlign w:val="center"/>
          </w:tcPr>
          <w:p w14:paraId="7FD866F6" w14:textId="77777777" w:rsidR="0000666E" w:rsidRPr="002018FD" w:rsidRDefault="0000666E" w:rsidP="009A0626">
            <w:pPr>
              <w:jc w:val="center"/>
              <w:rPr>
                <w:rFonts w:ascii="Arial" w:hAnsi="Arial" w:cs="Arial"/>
                <w:b/>
                <w:color w:val="000000" w:themeColor="text1"/>
              </w:rPr>
            </w:pPr>
            <w:r w:rsidRPr="002018FD">
              <w:rPr>
                <w:rFonts w:ascii="Arial" w:hAnsi="Arial" w:cs="Arial"/>
                <w:b/>
                <w:color w:val="000000" w:themeColor="text1"/>
              </w:rPr>
              <w:t>Model parameter</w:t>
            </w:r>
          </w:p>
        </w:tc>
        <w:tc>
          <w:tcPr>
            <w:tcW w:w="2868" w:type="dxa"/>
            <w:vAlign w:val="center"/>
          </w:tcPr>
          <w:p w14:paraId="2BF2EC3F" w14:textId="77777777" w:rsidR="0000666E" w:rsidRPr="002018FD" w:rsidRDefault="0000666E" w:rsidP="009A0626">
            <w:pPr>
              <w:jc w:val="center"/>
              <w:rPr>
                <w:rFonts w:ascii="Arial" w:hAnsi="Arial" w:cs="Arial"/>
                <w:b/>
                <w:iCs/>
                <w:color w:val="000000" w:themeColor="text1"/>
              </w:rPr>
            </w:pPr>
            <w:r w:rsidRPr="002018FD">
              <w:rPr>
                <w:rFonts w:ascii="Arial" w:hAnsi="Arial" w:cs="Arial"/>
                <w:b/>
                <w:iCs/>
                <w:color w:val="000000" w:themeColor="text1"/>
              </w:rPr>
              <w:t>Value</w:t>
            </w:r>
          </w:p>
        </w:tc>
        <w:tc>
          <w:tcPr>
            <w:tcW w:w="2662" w:type="dxa"/>
            <w:vAlign w:val="center"/>
          </w:tcPr>
          <w:p w14:paraId="215DF08D" w14:textId="77777777" w:rsidR="0000666E" w:rsidRPr="002018FD" w:rsidRDefault="0000666E" w:rsidP="009A0626">
            <w:pPr>
              <w:jc w:val="center"/>
              <w:rPr>
                <w:rFonts w:ascii="Arial" w:hAnsi="Arial" w:cs="Arial"/>
                <w:b/>
                <w:iCs/>
                <w:color w:val="000000" w:themeColor="text1"/>
              </w:rPr>
            </w:pPr>
            <w:r w:rsidRPr="002018FD">
              <w:rPr>
                <w:rFonts w:ascii="Arial" w:hAnsi="Arial" w:cs="Arial"/>
                <w:b/>
                <w:iCs/>
                <w:color w:val="000000" w:themeColor="text1"/>
              </w:rPr>
              <w:t>Reference</w:t>
            </w:r>
          </w:p>
        </w:tc>
      </w:tr>
      <w:tr w:rsidR="0000666E" w:rsidRPr="002018FD" w14:paraId="64876AE4" w14:textId="77777777" w:rsidTr="000A61DE">
        <w:trPr>
          <w:trHeight w:val="567"/>
          <w:jc w:val="center"/>
        </w:trPr>
        <w:tc>
          <w:tcPr>
            <w:tcW w:w="4926" w:type="dxa"/>
            <w:vAlign w:val="center"/>
          </w:tcPr>
          <w:p w14:paraId="18FAB748" w14:textId="02F88C97" w:rsidR="0000666E" w:rsidRPr="00DE4C27" w:rsidRDefault="0000666E" w:rsidP="009A0626">
            <w:pPr>
              <w:rPr>
                <w:rFonts w:ascii="Arial" w:hAnsi="Arial" w:cs="Arial"/>
                <w:b/>
                <w:color w:val="000000" w:themeColor="text1"/>
                <w:sz w:val="20"/>
              </w:rPr>
            </w:pPr>
            <w:r w:rsidRPr="00DE4C27">
              <w:rPr>
                <w:rFonts w:ascii="Arial" w:hAnsi="Arial" w:cs="Arial"/>
                <w:color w:val="000000" w:themeColor="text1"/>
                <w:sz w:val="20"/>
              </w:rPr>
              <w:t>Total number of DL monomers (</w:t>
            </w:r>
            <m:oMath>
              <m:sSubSup>
                <m:sSubSupPr>
                  <m:ctrlPr>
                    <w:rPr>
                      <w:rFonts w:ascii="Cambria Math" w:hAnsi="Cambria Math" w:cs="Arial"/>
                      <w:i/>
                      <w:color w:val="000000" w:themeColor="text1"/>
                      <w:sz w:val="20"/>
                    </w:rPr>
                  </m:ctrlPr>
                </m:sSubSupPr>
                <m:e>
                  <m:r>
                    <w:rPr>
                      <w:rFonts w:ascii="Cambria Math" w:hAnsi="Cambria Math" w:cs="Arial"/>
                      <w:color w:val="000000" w:themeColor="text1"/>
                      <w:sz w:val="20"/>
                    </w:rPr>
                    <m:t>DL</m:t>
                  </m:r>
                </m:e>
                <m:sub>
                  <m:r>
                    <w:rPr>
                      <w:rFonts w:ascii="Cambria Math" w:hAnsi="Cambria Math" w:cs="Arial"/>
                      <w:color w:val="000000" w:themeColor="text1"/>
                      <w:sz w:val="20"/>
                    </w:rPr>
                    <m:t>Total</m:t>
                  </m:r>
                </m:sub>
                <m:sup>
                  <m:r>
                    <w:rPr>
                      <w:rFonts w:ascii="Cambria Math" w:hAnsi="Cambria Math" w:cs="Arial"/>
                      <w:color w:val="000000" w:themeColor="text1"/>
                      <w:sz w:val="20"/>
                    </w:rPr>
                    <m:t>u</m:t>
                  </m:r>
                </m:sup>
              </m:sSubSup>
              <m:r>
                <w:rPr>
                  <w:rFonts w:ascii="Cambria Math" w:hAnsi="Cambria Math" w:cs="Arial"/>
                  <w:color w:val="000000" w:themeColor="text1"/>
                  <w:sz w:val="20"/>
                </w:rPr>
                <m:t>+</m:t>
              </m:r>
              <m:sSubSup>
                <m:sSubSupPr>
                  <m:ctrlPr>
                    <w:rPr>
                      <w:rFonts w:ascii="Cambria Math" w:hAnsi="Cambria Math" w:cs="Arial"/>
                      <w:i/>
                      <w:color w:val="000000" w:themeColor="text1"/>
                      <w:sz w:val="20"/>
                    </w:rPr>
                  </m:ctrlPr>
                </m:sSubSupPr>
                <m:e>
                  <m:r>
                    <w:rPr>
                      <w:rFonts w:ascii="Cambria Math" w:hAnsi="Cambria Math" w:cs="Arial"/>
                      <w:color w:val="000000" w:themeColor="text1"/>
                      <w:sz w:val="20"/>
                    </w:rPr>
                    <m:t>DL</m:t>
                  </m:r>
                </m:e>
                <m:sub>
                  <m:r>
                    <w:rPr>
                      <w:rFonts w:ascii="Cambria Math" w:hAnsi="Cambria Math" w:cs="Arial"/>
                      <w:color w:val="000000" w:themeColor="text1"/>
                      <w:sz w:val="20"/>
                    </w:rPr>
                    <m:t>Total</m:t>
                  </m:r>
                </m:sub>
                <m:sup>
                  <m:r>
                    <w:rPr>
                      <w:rFonts w:ascii="Cambria Math" w:hAnsi="Cambria Math" w:cs="Arial"/>
                      <w:color w:val="000000" w:themeColor="text1"/>
                      <w:sz w:val="20"/>
                    </w:rPr>
                    <m:t>s</m:t>
                  </m:r>
                </m:sup>
              </m:sSubSup>
            </m:oMath>
            <w:r w:rsidRPr="00DE4C27">
              <w:rPr>
                <w:rFonts w:ascii="Arial" w:hAnsi="Arial" w:cs="Arial"/>
                <w:color w:val="000000" w:themeColor="text1"/>
                <w:sz w:val="20"/>
              </w:rPr>
              <w:t>)</w:t>
            </w:r>
          </w:p>
        </w:tc>
        <w:tc>
          <w:tcPr>
            <w:tcW w:w="2868" w:type="dxa"/>
            <w:vAlign w:val="center"/>
          </w:tcPr>
          <w:p w14:paraId="6555F136" w14:textId="4A11AB9F" w:rsidR="0000666E" w:rsidRPr="002018FD" w:rsidRDefault="002165B5" w:rsidP="009A0626">
            <w:pPr>
              <w:ind w:firstLine="720"/>
              <w:rPr>
                <w:rFonts w:ascii="Arial" w:hAnsi="Arial" w:cs="Arial"/>
                <w:iCs/>
                <w:color w:val="000000" w:themeColor="text1"/>
              </w:rPr>
            </w:pPr>
            <m:oMathPara>
              <m:oMathParaPr>
                <m:jc m:val="left"/>
              </m:oMathParaPr>
              <m:oMath>
                <m:sSup>
                  <m:sSupPr>
                    <m:ctrlPr>
                      <w:rPr>
                        <w:rFonts w:ascii="Cambria Math" w:hAnsi="Cambria Math" w:cs="Arial"/>
                        <w:i/>
                        <w:iCs/>
                        <w:color w:val="000000" w:themeColor="text1"/>
                      </w:rPr>
                    </m:ctrlPr>
                  </m:sSupPr>
                  <m:e>
                    <m:r>
                      <m:rPr>
                        <m:sty m:val="p"/>
                      </m:rPr>
                      <w:rPr>
                        <w:rFonts w:ascii="Cambria Math" w:hAnsi="Cambria Math" w:cs="Arial"/>
                        <w:color w:val="000000" w:themeColor="text1"/>
                      </w:rPr>
                      <m:t>10</m:t>
                    </m:r>
                  </m:e>
                  <m:sup>
                    <m:r>
                      <m:rPr>
                        <m:sty m:val="p"/>
                      </m:rPr>
                      <w:rPr>
                        <w:rFonts w:ascii="Cambria Math" w:hAnsi="Cambria Math" w:cs="Arial"/>
                        <w:color w:val="000000" w:themeColor="text1"/>
                      </w:rPr>
                      <m:t>5</m:t>
                    </m:r>
                  </m:sup>
                </m:sSup>
              </m:oMath>
            </m:oMathPara>
          </w:p>
        </w:tc>
        <w:tc>
          <w:tcPr>
            <w:tcW w:w="2662" w:type="dxa"/>
            <w:vAlign w:val="center"/>
          </w:tcPr>
          <w:p w14:paraId="2D139D54" w14:textId="77777777" w:rsidR="0000666E" w:rsidRPr="003C13D4" w:rsidRDefault="0000666E" w:rsidP="009A0626">
            <w:pPr>
              <w:rPr>
                <w:rFonts w:ascii="Arial" w:hAnsi="Arial" w:cs="Arial"/>
                <w:i/>
                <w:color w:val="000000" w:themeColor="text1"/>
                <w:sz w:val="20"/>
              </w:rPr>
            </w:pPr>
            <w:r w:rsidRPr="003C13D4">
              <w:rPr>
                <w:rFonts w:ascii="Arial" w:hAnsi="Arial" w:cs="Arial"/>
                <w:i/>
                <w:color w:val="000000" w:themeColor="text1"/>
                <w:sz w:val="20"/>
              </w:rPr>
              <w:t>Tay et al. 2010</w:t>
            </w:r>
          </w:p>
        </w:tc>
      </w:tr>
      <w:tr w:rsidR="0000666E" w:rsidRPr="002018FD" w14:paraId="165FA0DA" w14:textId="77777777" w:rsidTr="0006341D">
        <w:trPr>
          <w:trHeight w:val="794"/>
          <w:jc w:val="center"/>
        </w:trPr>
        <w:tc>
          <w:tcPr>
            <w:tcW w:w="4926" w:type="dxa"/>
            <w:vAlign w:val="center"/>
          </w:tcPr>
          <w:p w14:paraId="3A1CA2B1" w14:textId="17490EB9" w:rsidR="0000666E" w:rsidRPr="00DE4C27" w:rsidRDefault="0000666E" w:rsidP="009A0626">
            <w:pPr>
              <w:rPr>
                <w:rFonts w:ascii="Arial" w:hAnsi="Arial" w:cs="Arial"/>
                <w:b/>
                <w:color w:val="000000" w:themeColor="text1"/>
                <w:sz w:val="20"/>
              </w:rPr>
            </w:pPr>
            <w:r w:rsidRPr="00DE4C27">
              <w:rPr>
                <w:rFonts w:ascii="Arial" w:hAnsi="Arial" w:cs="Arial"/>
                <w:color w:val="000000" w:themeColor="text1"/>
                <w:sz w:val="20"/>
              </w:rPr>
              <w:t xml:space="preserve">Number of </w:t>
            </w:r>
            <w:proofErr w:type="spellStart"/>
            <w:r w:rsidRPr="00DE4C27">
              <w:rPr>
                <w:rFonts w:ascii="Arial" w:hAnsi="Arial" w:cs="Arial"/>
                <w:color w:val="000000" w:themeColor="text1"/>
                <w:sz w:val="20"/>
              </w:rPr>
              <w:t>Cact</w:t>
            </w:r>
            <w:proofErr w:type="spellEnd"/>
            <w:r w:rsidRPr="00DE4C27">
              <w:rPr>
                <w:rFonts w:ascii="Arial" w:hAnsi="Arial" w:cs="Arial"/>
                <w:color w:val="000000" w:themeColor="text1"/>
                <w:sz w:val="20"/>
              </w:rPr>
              <w:t xml:space="preserve"> molecules (</w:t>
            </w:r>
            <m:oMath>
              <m:sSub>
                <m:sSubPr>
                  <m:ctrlPr>
                    <w:rPr>
                      <w:rFonts w:ascii="Cambria Math" w:hAnsi="Cambria Math" w:cs="Arial"/>
                      <w:i/>
                      <w:color w:val="000000" w:themeColor="text1"/>
                      <w:sz w:val="20"/>
                    </w:rPr>
                  </m:ctrlPr>
                </m:sSubPr>
                <m:e>
                  <m:r>
                    <w:rPr>
                      <w:rFonts w:ascii="Cambria Math" w:hAnsi="Cambria Math" w:cs="Arial"/>
                      <w:color w:val="000000" w:themeColor="text1"/>
                      <w:sz w:val="20"/>
                    </w:rPr>
                    <m:t>Cact</m:t>
                  </m:r>
                </m:e>
                <m:sub>
                  <m:r>
                    <w:rPr>
                      <w:rFonts w:ascii="Cambria Math" w:hAnsi="Cambria Math" w:cs="Arial"/>
                      <w:color w:val="000000" w:themeColor="text1"/>
                      <w:sz w:val="20"/>
                    </w:rPr>
                    <m:t>Total</m:t>
                  </m:r>
                </m:sub>
              </m:sSub>
            </m:oMath>
            <w:r w:rsidRPr="00DE4C27">
              <w:rPr>
                <w:rFonts w:ascii="Arial" w:hAnsi="Arial" w:cs="Arial"/>
                <w:color w:val="000000" w:themeColor="text1"/>
                <w:sz w:val="20"/>
              </w:rPr>
              <w:t>)</w:t>
            </w:r>
          </w:p>
        </w:tc>
        <w:tc>
          <w:tcPr>
            <w:tcW w:w="2868" w:type="dxa"/>
            <w:vAlign w:val="center"/>
          </w:tcPr>
          <w:p w14:paraId="779A2F6C" w14:textId="27A61547" w:rsidR="0000666E" w:rsidRPr="002018FD" w:rsidRDefault="002165B5" w:rsidP="009A0626">
            <w:pPr>
              <w:rPr>
                <w:rFonts w:ascii="Arial" w:hAnsi="Arial" w:cs="Arial"/>
                <w:i/>
                <w:iCs/>
                <w:color w:val="000000" w:themeColor="text1"/>
              </w:rPr>
            </w:pPr>
            <m:oMath>
              <m:sSup>
                <m:sSupPr>
                  <m:ctrlPr>
                    <w:rPr>
                      <w:rFonts w:ascii="Cambria Math" w:hAnsi="Cambria Math" w:cs="Arial"/>
                      <w:i/>
                      <w:iCs/>
                      <w:color w:val="000000" w:themeColor="text1"/>
                    </w:rPr>
                  </m:ctrlPr>
                </m:sSupPr>
                <m:e>
                  <m:r>
                    <m:rPr>
                      <m:sty m:val="p"/>
                    </m:rPr>
                    <w:rPr>
                      <w:rFonts w:ascii="Cambria Math" w:hAnsi="Cambria Math" w:cs="Arial"/>
                      <w:color w:val="000000" w:themeColor="text1"/>
                    </w:rPr>
                    <m:t>10</m:t>
                  </m:r>
                </m:e>
                <m:sup>
                  <m:r>
                    <m:rPr>
                      <m:sty m:val="p"/>
                    </m:rPr>
                    <w:rPr>
                      <w:rFonts w:ascii="Cambria Math" w:hAnsi="Cambria Math" w:cs="Arial"/>
                      <w:color w:val="000000" w:themeColor="text1"/>
                    </w:rPr>
                    <m:t>5</m:t>
                  </m:r>
                </m:sup>
              </m:sSup>
            </m:oMath>
            <w:r w:rsidR="0000666E" w:rsidRPr="002018FD">
              <w:rPr>
                <w:rFonts w:ascii="Arial" w:hAnsi="Arial" w:cs="Arial"/>
                <w:iCs/>
                <w:color w:val="000000" w:themeColor="text1"/>
                <w:vertAlign w:val="superscript"/>
              </w:rPr>
              <w:t>†</w:t>
            </w:r>
          </w:p>
        </w:tc>
        <w:tc>
          <w:tcPr>
            <w:tcW w:w="2662" w:type="dxa"/>
            <w:vAlign w:val="center"/>
          </w:tcPr>
          <w:p w14:paraId="711A3B3E" w14:textId="77777777" w:rsidR="0000666E" w:rsidRPr="003C13D4" w:rsidRDefault="0000666E" w:rsidP="0006341D">
            <w:pPr>
              <w:spacing w:line="276" w:lineRule="auto"/>
              <w:rPr>
                <w:rFonts w:ascii="Arial" w:hAnsi="Arial" w:cs="Arial"/>
                <w:i/>
                <w:color w:val="000000" w:themeColor="text1"/>
                <w:sz w:val="20"/>
              </w:rPr>
            </w:pPr>
            <w:r w:rsidRPr="003C13D4">
              <w:rPr>
                <w:rFonts w:ascii="Arial" w:hAnsi="Arial" w:cs="Arial"/>
                <w:i/>
                <w:color w:val="000000" w:themeColor="text1"/>
                <w:sz w:val="20"/>
              </w:rPr>
              <w:t xml:space="preserve">Kanodia et al. 2009, </w:t>
            </w:r>
            <w:r w:rsidRPr="003C13D4">
              <w:rPr>
                <w:rFonts w:ascii="Arial" w:hAnsi="Arial" w:cs="Arial"/>
                <w:i/>
                <w:color w:val="000000" w:themeColor="text1"/>
                <w:sz w:val="20"/>
              </w:rPr>
              <w:br/>
              <w:t>Tay et al. 2010</w:t>
            </w:r>
          </w:p>
        </w:tc>
      </w:tr>
      <w:tr w:rsidR="0000666E" w:rsidRPr="002018FD" w14:paraId="572F86FC" w14:textId="77777777" w:rsidTr="000A61DE">
        <w:trPr>
          <w:trHeight w:val="567"/>
          <w:jc w:val="center"/>
        </w:trPr>
        <w:tc>
          <w:tcPr>
            <w:tcW w:w="4926" w:type="dxa"/>
            <w:vAlign w:val="center"/>
          </w:tcPr>
          <w:p w14:paraId="6DAA9140" w14:textId="3B561626" w:rsidR="0000666E" w:rsidRPr="00DE4C27" w:rsidRDefault="0000666E" w:rsidP="009A0626">
            <w:pPr>
              <w:rPr>
                <w:rFonts w:ascii="Arial" w:hAnsi="Arial" w:cs="Arial"/>
                <w:color w:val="000000" w:themeColor="text1"/>
                <w:sz w:val="20"/>
              </w:rPr>
            </w:pPr>
            <w:r w:rsidRPr="00DE4C27">
              <w:rPr>
                <w:rFonts w:ascii="Arial" w:hAnsi="Arial" w:cs="Arial"/>
                <w:color w:val="000000" w:themeColor="text1"/>
                <w:sz w:val="20"/>
              </w:rPr>
              <w:t>Number of promoter sites (</w:t>
            </w:r>
            <m:oMath>
              <m:sSub>
                <m:sSubPr>
                  <m:ctrlPr>
                    <w:rPr>
                      <w:rFonts w:ascii="Cambria Math" w:hAnsi="Cambria Math" w:cs="Arial"/>
                      <w:i/>
                      <w:color w:val="000000" w:themeColor="text1"/>
                      <w:sz w:val="20"/>
                    </w:rPr>
                  </m:ctrlPr>
                </m:sSubPr>
                <m:e>
                  <m:r>
                    <w:rPr>
                      <w:rFonts w:ascii="Cambria Math" w:hAnsi="Cambria Math" w:cs="Arial"/>
                      <w:color w:val="000000" w:themeColor="text1"/>
                      <w:sz w:val="20"/>
                    </w:rPr>
                    <m:t>P</m:t>
                  </m:r>
                </m:e>
                <m:sub>
                  <m:r>
                    <w:rPr>
                      <w:rFonts w:ascii="Cambria Math" w:hAnsi="Cambria Math" w:cs="Arial"/>
                      <w:color w:val="000000" w:themeColor="text1"/>
                      <w:sz w:val="20"/>
                    </w:rPr>
                    <m:t>Total</m:t>
                  </m:r>
                </m:sub>
              </m:sSub>
            </m:oMath>
            <w:r w:rsidRPr="00DE4C27">
              <w:rPr>
                <w:rFonts w:ascii="Arial" w:hAnsi="Arial" w:cs="Arial"/>
                <w:color w:val="000000" w:themeColor="text1"/>
                <w:sz w:val="20"/>
              </w:rPr>
              <w:t>)</w:t>
            </w:r>
          </w:p>
        </w:tc>
        <w:tc>
          <w:tcPr>
            <w:tcW w:w="2868" w:type="dxa"/>
            <w:vAlign w:val="center"/>
          </w:tcPr>
          <w:p w14:paraId="43933E15" w14:textId="2D918F2E" w:rsidR="0000666E" w:rsidRPr="002018FD" w:rsidRDefault="002165B5" w:rsidP="009A0626">
            <w:pPr>
              <w:rPr>
                <w:rFonts w:ascii="Arial" w:eastAsia="DengXian" w:hAnsi="Arial" w:cs="Arial"/>
                <w:iCs/>
                <w:color w:val="000000" w:themeColor="text1"/>
              </w:rPr>
            </w:pPr>
            <m:oMathPara>
              <m:oMathParaPr>
                <m:jc m:val="left"/>
              </m:oMathParaPr>
              <m:oMath>
                <m:sSup>
                  <m:sSupPr>
                    <m:ctrlPr>
                      <w:rPr>
                        <w:rFonts w:ascii="Cambria Math" w:eastAsia="DengXian" w:hAnsi="Cambria Math" w:cs="Arial"/>
                        <w:i/>
                        <w:iCs/>
                        <w:color w:val="000000" w:themeColor="text1"/>
                      </w:rPr>
                    </m:ctrlPr>
                  </m:sSupPr>
                  <m:e>
                    <m:r>
                      <w:rPr>
                        <w:rFonts w:ascii="Cambria Math" w:eastAsia="DengXian" w:hAnsi="Cambria Math" w:cs="Arial"/>
                        <w:color w:val="000000" w:themeColor="text1"/>
                      </w:rPr>
                      <m:t>10</m:t>
                    </m:r>
                  </m:e>
                  <m:sup>
                    <m:r>
                      <w:rPr>
                        <w:rFonts w:ascii="Cambria Math" w:eastAsia="DengXian" w:hAnsi="Cambria Math" w:cs="Arial"/>
                        <w:color w:val="000000" w:themeColor="text1"/>
                      </w:rPr>
                      <m:t>2</m:t>
                    </m:r>
                  </m:sup>
                </m:sSup>
              </m:oMath>
            </m:oMathPara>
          </w:p>
        </w:tc>
        <w:tc>
          <w:tcPr>
            <w:tcW w:w="2662" w:type="dxa"/>
            <w:vAlign w:val="center"/>
          </w:tcPr>
          <w:p w14:paraId="02C192F6" w14:textId="77777777" w:rsidR="0000666E" w:rsidRPr="003C13D4" w:rsidRDefault="0000666E" w:rsidP="009A0626">
            <w:pPr>
              <w:rPr>
                <w:rFonts w:ascii="Arial" w:hAnsi="Arial" w:cs="Arial"/>
                <w:i/>
                <w:color w:val="000000" w:themeColor="text1"/>
                <w:sz w:val="20"/>
              </w:rPr>
            </w:pPr>
            <w:r w:rsidRPr="003C13D4">
              <w:rPr>
                <w:rFonts w:ascii="Arial" w:hAnsi="Arial" w:cs="Arial"/>
                <w:i/>
                <w:color w:val="000000" w:themeColor="text1"/>
                <w:sz w:val="20"/>
              </w:rPr>
              <w:t>Assumed</w:t>
            </w:r>
          </w:p>
        </w:tc>
      </w:tr>
      <w:tr w:rsidR="0000666E" w:rsidRPr="002018FD" w14:paraId="5E70ACB1" w14:textId="77777777" w:rsidTr="0006341D">
        <w:trPr>
          <w:trHeight w:val="794"/>
          <w:jc w:val="center"/>
        </w:trPr>
        <w:tc>
          <w:tcPr>
            <w:tcW w:w="4926" w:type="dxa"/>
            <w:vAlign w:val="center"/>
          </w:tcPr>
          <w:p w14:paraId="555A646A" w14:textId="77777777" w:rsidR="0000666E" w:rsidRPr="00DE4C27" w:rsidRDefault="0000666E" w:rsidP="009A0626">
            <w:pPr>
              <w:rPr>
                <w:rFonts w:ascii="Arial" w:hAnsi="Arial" w:cs="Arial"/>
                <w:color w:val="000000" w:themeColor="text1"/>
                <w:sz w:val="20"/>
              </w:rPr>
            </w:pPr>
            <w:r w:rsidRPr="00DE4C27">
              <w:rPr>
                <w:rFonts w:ascii="Arial" w:hAnsi="Arial" w:cs="Arial"/>
                <w:color w:val="000000" w:themeColor="text1"/>
                <w:sz w:val="20"/>
              </w:rPr>
              <w:t>DL dimerization</w:t>
            </w:r>
          </w:p>
        </w:tc>
        <w:tc>
          <w:tcPr>
            <w:tcW w:w="2868" w:type="dxa"/>
            <w:vAlign w:val="center"/>
          </w:tcPr>
          <w:p w14:paraId="07CB1273" w14:textId="0CB00DE4" w:rsidR="0000666E" w:rsidRPr="002018FD" w:rsidRDefault="002165B5" w:rsidP="009A0626">
            <w:pPr>
              <w:rPr>
                <w:rFonts w:ascii="Arial" w:hAnsi="Arial" w:cs="Arial"/>
                <w:color w:val="000000" w:themeColor="text1"/>
              </w:rPr>
            </w:pPr>
            <m:oMathPara>
              <m:oMathParaPr>
                <m:jc m:val="left"/>
              </m:oMathParaPr>
              <m:oMath>
                <m:sSub>
                  <m:sSubPr>
                    <m:ctrlPr>
                      <w:rPr>
                        <w:rFonts w:ascii="Cambria Math" w:hAnsi="Cambria Math" w:cs="Arial"/>
                        <w:i/>
                        <w:color w:val="000000" w:themeColor="text1"/>
                      </w:rPr>
                    </m:ctrlPr>
                  </m:sSubPr>
                  <m:e>
                    <m:r>
                      <w:rPr>
                        <w:rFonts w:ascii="Cambria Math" w:hAnsi="Cambria Math" w:cs="Arial"/>
                        <w:color w:val="000000" w:themeColor="text1"/>
                      </w:rPr>
                      <m:t>K</m:t>
                    </m:r>
                  </m:e>
                  <m:sub>
                    <m:r>
                      <w:rPr>
                        <w:rFonts w:ascii="Cambria Math" w:hAnsi="Cambria Math" w:cs="Arial"/>
                        <w:color w:val="000000" w:themeColor="text1"/>
                      </w:rPr>
                      <m:t>D</m:t>
                    </m:r>
                  </m:sub>
                </m:sSub>
                <m:r>
                  <w:rPr>
                    <w:rFonts w:ascii="Cambria Math" w:hAnsi="Cambria Math" w:cs="Arial"/>
                    <w:color w:val="000000" w:themeColor="text1"/>
                  </w:rPr>
                  <m:t>=</m:t>
                </m:r>
                <m:f>
                  <m:fPr>
                    <m:ctrlPr>
                      <w:rPr>
                        <w:rFonts w:ascii="Cambria Math" w:hAnsi="Cambria Math" w:cs="Arial"/>
                        <w:i/>
                        <w:color w:val="000000" w:themeColor="text1"/>
                      </w:rPr>
                    </m:ctrlPr>
                  </m:fPr>
                  <m:num>
                    <m:sSub>
                      <m:sSubPr>
                        <m:ctrlPr>
                          <w:rPr>
                            <w:rFonts w:ascii="Cambria Math" w:hAnsi="Cambria Math" w:cs="Arial"/>
                            <w:i/>
                            <w:color w:val="000000" w:themeColor="text1"/>
                          </w:rPr>
                        </m:ctrlPr>
                      </m:sSubPr>
                      <m:e>
                        <m:r>
                          <w:rPr>
                            <w:rFonts w:ascii="Cambria Math" w:hAnsi="Cambria Math" w:cs="Arial"/>
                            <w:color w:val="000000" w:themeColor="text1"/>
                          </w:rPr>
                          <m:t>k</m:t>
                        </m:r>
                      </m:e>
                      <m:sub>
                        <m:r>
                          <w:rPr>
                            <w:rFonts w:ascii="Cambria Math" w:hAnsi="Cambria Math" w:cs="Arial"/>
                            <w:color w:val="000000" w:themeColor="text1"/>
                          </w:rPr>
                          <m:t>D+</m:t>
                        </m:r>
                      </m:sub>
                    </m:sSub>
                  </m:num>
                  <m:den>
                    <m:sSub>
                      <m:sSubPr>
                        <m:ctrlPr>
                          <w:rPr>
                            <w:rFonts w:ascii="Cambria Math" w:hAnsi="Cambria Math" w:cs="Arial"/>
                            <w:i/>
                            <w:color w:val="000000" w:themeColor="text1"/>
                          </w:rPr>
                        </m:ctrlPr>
                      </m:sSubPr>
                      <m:e>
                        <m:r>
                          <w:rPr>
                            <w:rFonts w:ascii="Cambria Math" w:hAnsi="Cambria Math" w:cs="Arial"/>
                            <w:color w:val="000000" w:themeColor="text1"/>
                          </w:rPr>
                          <m:t>k</m:t>
                        </m:r>
                      </m:e>
                      <m:sub>
                        <m:r>
                          <w:rPr>
                            <w:rFonts w:ascii="Cambria Math" w:hAnsi="Cambria Math" w:cs="Arial"/>
                            <w:color w:val="000000" w:themeColor="text1"/>
                          </w:rPr>
                          <m:t>D-</m:t>
                        </m:r>
                      </m:sub>
                    </m:sSub>
                  </m:den>
                </m:f>
                <m:r>
                  <w:rPr>
                    <w:rFonts w:ascii="Cambria Math" w:hAnsi="Cambria Math" w:cs="Arial"/>
                    <w:color w:val="000000" w:themeColor="text1"/>
                  </w:rPr>
                  <m:t>=4.06×</m:t>
                </m:r>
                <m:sSup>
                  <m:sSupPr>
                    <m:ctrlPr>
                      <w:rPr>
                        <w:rFonts w:ascii="Cambria Math" w:hAnsi="Cambria Math" w:cs="Arial"/>
                        <w:i/>
                        <w:color w:val="000000" w:themeColor="text1"/>
                      </w:rPr>
                    </m:ctrlPr>
                  </m:sSupPr>
                  <m:e>
                    <m:r>
                      <w:rPr>
                        <w:rFonts w:ascii="Cambria Math" w:hAnsi="Cambria Math" w:cs="Arial"/>
                        <w:color w:val="000000" w:themeColor="text1"/>
                      </w:rPr>
                      <m:t>10</m:t>
                    </m:r>
                  </m:e>
                  <m:sup>
                    <m:r>
                      <w:rPr>
                        <w:rFonts w:ascii="Cambria Math" w:hAnsi="Cambria Math" w:cs="Arial"/>
                        <w:color w:val="000000" w:themeColor="text1"/>
                      </w:rPr>
                      <m:t>4</m:t>
                    </m:r>
                  </m:sup>
                </m:sSup>
              </m:oMath>
            </m:oMathPara>
          </w:p>
        </w:tc>
        <w:tc>
          <w:tcPr>
            <w:tcW w:w="2662" w:type="dxa"/>
            <w:vAlign w:val="center"/>
          </w:tcPr>
          <w:p w14:paraId="148F7463" w14:textId="77777777" w:rsidR="0000666E" w:rsidRPr="003C13D4" w:rsidRDefault="0000666E" w:rsidP="009A0626">
            <w:pPr>
              <w:rPr>
                <w:rFonts w:ascii="Arial" w:hAnsi="Arial" w:cs="Arial"/>
                <w:i/>
                <w:color w:val="000000" w:themeColor="text1"/>
                <w:sz w:val="20"/>
              </w:rPr>
            </w:pPr>
            <w:r w:rsidRPr="003C13D4">
              <w:rPr>
                <w:rFonts w:ascii="Arial" w:hAnsi="Arial" w:cs="Arial"/>
                <w:i/>
                <w:color w:val="000000" w:themeColor="text1"/>
                <w:sz w:val="20"/>
              </w:rPr>
              <w:t>Ramsey et al. 2019</w:t>
            </w:r>
            <w:r w:rsidRPr="003C13D4">
              <w:rPr>
                <w:rFonts w:ascii="Arial" w:hAnsi="Arial" w:cs="Arial"/>
                <w:i/>
                <w:color w:val="000000" w:themeColor="text1"/>
                <w:sz w:val="20"/>
                <w:vertAlign w:val="superscript"/>
              </w:rPr>
              <w:t>‡</w:t>
            </w:r>
          </w:p>
        </w:tc>
      </w:tr>
      <w:tr w:rsidR="0000666E" w:rsidRPr="002018FD" w14:paraId="4C71F569" w14:textId="77777777" w:rsidTr="0006341D">
        <w:trPr>
          <w:trHeight w:val="794"/>
          <w:jc w:val="center"/>
        </w:trPr>
        <w:tc>
          <w:tcPr>
            <w:tcW w:w="4926" w:type="dxa"/>
            <w:vAlign w:val="center"/>
          </w:tcPr>
          <w:p w14:paraId="239DDB05" w14:textId="77777777" w:rsidR="0000666E" w:rsidRPr="00DE4C27" w:rsidRDefault="0000666E" w:rsidP="009A0626">
            <w:pPr>
              <w:rPr>
                <w:rFonts w:ascii="Arial" w:hAnsi="Arial" w:cs="Arial"/>
                <w:color w:val="000000" w:themeColor="text1"/>
                <w:sz w:val="20"/>
              </w:rPr>
            </w:pPr>
            <w:proofErr w:type="spellStart"/>
            <w:r w:rsidRPr="00DE4C27">
              <w:rPr>
                <w:rFonts w:ascii="Arial" w:hAnsi="Arial" w:cs="Arial"/>
                <w:color w:val="000000" w:themeColor="text1"/>
                <w:sz w:val="20"/>
              </w:rPr>
              <w:t>Cact</w:t>
            </w:r>
            <w:proofErr w:type="spellEnd"/>
            <w:r w:rsidRPr="00DE4C27">
              <w:rPr>
                <w:rFonts w:ascii="Arial" w:hAnsi="Arial" w:cs="Arial"/>
                <w:color w:val="000000" w:themeColor="text1"/>
                <w:sz w:val="20"/>
              </w:rPr>
              <w:t xml:space="preserve"> inhibition of DL dimers</w:t>
            </w:r>
          </w:p>
        </w:tc>
        <w:tc>
          <w:tcPr>
            <w:tcW w:w="2868" w:type="dxa"/>
            <w:vAlign w:val="center"/>
          </w:tcPr>
          <w:p w14:paraId="79E804B0" w14:textId="7500A25A" w:rsidR="0000666E" w:rsidRPr="002018FD" w:rsidRDefault="002165B5" w:rsidP="009A0626">
            <w:pPr>
              <w:rPr>
                <w:rFonts w:ascii="Arial" w:hAnsi="Arial" w:cs="Arial"/>
                <w:color w:val="000000" w:themeColor="text1"/>
              </w:rPr>
            </w:pPr>
            <m:oMathPara>
              <m:oMathParaPr>
                <m:jc m:val="left"/>
              </m:oMathParaPr>
              <m:oMath>
                <m:sSub>
                  <m:sSubPr>
                    <m:ctrlPr>
                      <w:rPr>
                        <w:rFonts w:ascii="Cambria Math" w:hAnsi="Cambria Math" w:cs="Arial"/>
                        <w:i/>
                        <w:color w:val="000000" w:themeColor="text1"/>
                      </w:rPr>
                    </m:ctrlPr>
                  </m:sSubPr>
                  <m:e>
                    <m:r>
                      <w:rPr>
                        <w:rFonts w:ascii="Cambria Math" w:hAnsi="Cambria Math" w:cs="Arial"/>
                        <w:color w:val="000000" w:themeColor="text1"/>
                      </w:rPr>
                      <m:t>K</m:t>
                    </m:r>
                  </m:e>
                  <m:sub>
                    <m:r>
                      <w:rPr>
                        <w:rFonts w:ascii="Cambria Math" w:hAnsi="Cambria Math" w:cs="Arial"/>
                        <w:color w:val="000000" w:themeColor="text1"/>
                      </w:rPr>
                      <m:t>i</m:t>
                    </m:r>
                  </m:sub>
                </m:sSub>
                <m:r>
                  <w:rPr>
                    <w:rFonts w:ascii="Cambria Math" w:hAnsi="Cambria Math" w:cs="Arial"/>
                    <w:color w:val="000000" w:themeColor="text1"/>
                  </w:rPr>
                  <m:t>=</m:t>
                </m:r>
                <m:f>
                  <m:fPr>
                    <m:ctrlPr>
                      <w:rPr>
                        <w:rFonts w:ascii="Cambria Math" w:hAnsi="Cambria Math" w:cs="Arial"/>
                        <w:i/>
                        <w:color w:val="000000" w:themeColor="text1"/>
                      </w:rPr>
                    </m:ctrlPr>
                  </m:fPr>
                  <m:num>
                    <m:sSub>
                      <m:sSubPr>
                        <m:ctrlPr>
                          <w:rPr>
                            <w:rFonts w:ascii="Cambria Math" w:hAnsi="Cambria Math" w:cs="Arial"/>
                            <w:i/>
                            <w:color w:val="000000" w:themeColor="text1"/>
                          </w:rPr>
                        </m:ctrlPr>
                      </m:sSubPr>
                      <m:e>
                        <m:r>
                          <w:rPr>
                            <w:rFonts w:ascii="Cambria Math" w:hAnsi="Cambria Math" w:cs="Arial"/>
                            <w:color w:val="000000" w:themeColor="text1"/>
                          </w:rPr>
                          <m:t>k</m:t>
                        </m:r>
                      </m:e>
                      <m:sub>
                        <m:r>
                          <w:rPr>
                            <w:rFonts w:ascii="Cambria Math" w:hAnsi="Cambria Math" w:cs="Arial"/>
                            <w:color w:val="000000" w:themeColor="text1"/>
                          </w:rPr>
                          <m:t>i+</m:t>
                        </m:r>
                      </m:sub>
                    </m:sSub>
                  </m:num>
                  <m:den>
                    <m:sSub>
                      <m:sSubPr>
                        <m:ctrlPr>
                          <w:rPr>
                            <w:rFonts w:ascii="Cambria Math" w:hAnsi="Cambria Math" w:cs="Arial"/>
                            <w:i/>
                            <w:color w:val="000000" w:themeColor="text1"/>
                          </w:rPr>
                        </m:ctrlPr>
                      </m:sSubPr>
                      <m:e>
                        <m:r>
                          <w:rPr>
                            <w:rFonts w:ascii="Cambria Math" w:hAnsi="Cambria Math" w:cs="Arial"/>
                            <w:color w:val="000000" w:themeColor="text1"/>
                          </w:rPr>
                          <m:t>k</m:t>
                        </m:r>
                      </m:e>
                      <m:sub>
                        <m:r>
                          <w:rPr>
                            <w:rFonts w:ascii="Cambria Math" w:hAnsi="Cambria Math" w:cs="Arial"/>
                            <w:color w:val="000000" w:themeColor="text1"/>
                          </w:rPr>
                          <m:t>i-</m:t>
                        </m:r>
                      </m:sub>
                    </m:sSub>
                  </m:den>
                </m:f>
                <m:r>
                  <w:rPr>
                    <w:rFonts w:ascii="Cambria Math" w:hAnsi="Cambria Math" w:cs="Arial"/>
                    <w:color w:val="000000" w:themeColor="text1"/>
                  </w:rPr>
                  <m:t>=0.025</m:t>
                </m:r>
              </m:oMath>
            </m:oMathPara>
          </w:p>
        </w:tc>
        <w:tc>
          <w:tcPr>
            <w:tcW w:w="2662" w:type="dxa"/>
            <w:vAlign w:val="center"/>
          </w:tcPr>
          <w:p w14:paraId="5508C4C7" w14:textId="77777777" w:rsidR="0000666E" w:rsidRPr="003C13D4" w:rsidRDefault="0000666E" w:rsidP="009A0626">
            <w:pPr>
              <w:rPr>
                <w:rFonts w:ascii="Arial" w:hAnsi="Arial" w:cs="Arial"/>
                <w:i/>
                <w:color w:val="000000" w:themeColor="text1"/>
                <w:sz w:val="20"/>
              </w:rPr>
            </w:pPr>
            <w:r w:rsidRPr="003C13D4">
              <w:rPr>
                <w:rFonts w:ascii="Arial" w:hAnsi="Arial" w:cs="Arial"/>
                <w:i/>
                <w:color w:val="000000" w:themeColor="text1"/>
                <w:sz w:val="20"/>
              </w:rPr>
              <w:t>Tay et al. 2010</w:t>
            </w:r>
          </w:p>
        </w:tc>
      </w:tr>
      <w:tr w:rsidR="0000666E" w:rsidRPr="002018FD" w14:paraId="7A28E53F" w14:textId="77777777" w:rsidTr="0006341D">
        <w:trPr>
          <w:trHeight w:val="794"/>
          <w:jc w:val="center"/>
        </w:trPr>
        <w:tc>
          <w:tcPr>
            <w:tcW w:w="4926" w:type="dxa"/>
            <w:vAlign w:val="center"/>
          </w:tcPr>
          <w:p w14:paraId="4AE0A54B" w14:textId="77777777" w:rsidR="0000666E" w:rsidRPr="00DE4C27" w:rsidRDefault="0000666E" w:rsidP="009A0626">
            <w:pPr>
              <w:rPr>
                <w:rFonts w:ascii="Arial" w:hAnsi="Arial" w:cs="Arial"/>
                <w:color w:val="000000" w:themeColor="text1"/>
                <w:sz w:val="20"/>
              </w:rPr>
            </w:pPr>
            <w:r w:rsidRPr="00DE4C27">
              <w:rPr>
                <w:rFonts w:ascii="Arial" w:hAnsi="Arial" w:cs="Arial"/>
                <w:color w:val="000000" w:themeColor="text1"/>
                <w:sz w:val="20"/>
              </w:rPr>
              <w:t>Transport of DL dimers into nucleus</w:t>
            </w:r>
          </w:p>
        </w:tc>
        <w:tc>
          <w:tcPr>
            <w:tcW w:w="2868" w:type="dxa"/>
            <w:vAlign w:val="center"/>
          </w:tcPr>
          <w:p w14:paraId="27321A85" w14:textId="0E609630" w:rsidR="0000666E" w:rsidRPr="002018FD" w:rsidRDefault="002165B5" w:rsidP="009A0626">
            <w:pPr>
              <w:rPr>
                <w:rFonts w:ascii="Arial" w:hAnsi="Arial" w:cs="Arial"/>
                <w:color w:val="000000" w:themeColor="text1"/>
              </w:rPr>
            </w:pPr>
            <m:oMathPara>
              <m:oMathParaPr>
                <m:jc m:val="left"/>
              </m:oMathParaPr>
              <m:oMath>
                <m:sSub>
                  <m:sSubPr>
                    <m:ctrlPr>
                      <w:rPr>
                        <w:rFonts w:ascii="Cambria Math" w:hAnsi="Cambria Math" w:cs="Arial"/>
                        <w:i/>
                        <w:iCs/>
                        <w:color w:val="000000" w:themeColor="text1"/>
                      </w:rPr>
                    </m:ctrlPr>
                  </m:sSubPr>
                  <m:e>
                    <m:r>
                      <w:rPr>
                        <w:rFonts w:ascii="Cambria Math" w:hAnsi="Cambria Math" w:cs="Arial"/>
                        <w:color w:val="000000" w:themeColor="text1"/>
                      </w:rPr>
                      <m:t>K</m:t>
                    </m:r>
                  </m:e>
                  <m:sub>
                    <m:r>
                      <w:rPr>
                        <w:rFonts w:ascii="Cambria Math" w:hAnsi="Cambria Math" w:cs="Arial"/>
                        <w:color w:val="000000" w:themeColor="text1"/>
                      </w:rPr>
                      <m:t>t</m:t>
                    </m:r>
                  </m:sub>
                </m:sSub>
                <m:r>
                  <w:rPr>
                    <w:rFonts w:ascii="Cambria Math" w:hAnsi="Cambria Math" w:cs="Arial"/>
                    <w:color w:val="000000" w:themeColor="text1"/>
                  </w:rPr>
                  <m:t>=</m:t>
                </m:r>
                <m:f>
                  <m:fPr>
                    <m:ctrlPr>
                      <w:rPr>
                        <w:rFonts w:ascii="Cambria Math" w:hAnsi="Cambria Math" w:cs="Arial"/>
                        <w:i/>
                        <w:color w:val="000000" w:themeColor="text1"/>
                      </w:rPr>
                    </m:ctrlPr>
                  </m:fPr>
                  <m:num>
                    <m:sSub>
                      <m:sSubPr>
                        <m:ctrlPr>
                          <w:rPr>
                            <w:rFonts w:ascii="Cambria Math" w:hAnsi="Cambria Math" w:cs="Arial"/>
                            <w:i/>
                            <w:color w:val="000000" w:themeColor="text1"/>
                          </w:rPr>
                        </m:ctrlPr>
                      </m:sSubPr>
                      <m:e>
                        <m:r>
                          <w:rPr>
                            <w:rFonts w:ascii="Cambria Math" w:hAnsi="Cambria Math" w:cs="Arial"/>
                            <w:color w:val="000000" w:themeColor="text1"/>
                          </w:rPr>
                          <m:t>k</m:t>
                        </m:r>
                      </m:e>
                      <m:sub>
                        <m:r>
                          <w:rPr>
                            <w:rFonts w:ascii="Cambria Math" w:hAnsi="Cambria Math" w:cs="Arial"/>
                            <w:color w:val="000000" w:themeColor="text1"/>
                          </w:rPr>
                          <m:t>t+</m:t>
                        </m:r>
                      </m:sub>
                    </m:sSub>
                  </m:num>
                  <m:den>
                    <m:sSub>
                      <m:sSubPr>
                        <m:ctrlPr>
                          <w:rPr>
                            <w:rFonts w:ascii="Cambria Math" w:hAnsi="Cambria Math" w:cs="Arial"/>
                            <w:i/>
                            <w:color w:val="000000" w:themeColor="text1"/>
                          </w:rPr>
                        </m:ctrlPr>
                      </m:sSubPr>
                      <m:e>
                        <m:r>
                          <w:rPr>
                            <w:rFonts w:ascii="Cambria Math" w:hAnsi="Cambria Math" w:cs="Arial"/>
                            <w:color w:val="000000" w:themeColor="text1"/>
                          </w:rPr>
                          <m:t>k</m:t>
                        </m:r>
                      </m:e>
                      <m:sub>
                        <m:r>
                          <w:rPr>
                            <w:rFonts w:ascii="Cambria Math" w:hAnsi="Cambria Math" w:cs="Arial"/>
                            <w:color w:val="000000" w:themeColor="text1"/>
                          </w:rPr>
                          <m:t>t-</m:t>
                        </m:r>
                      </m:sub>
                    </m:sSub>
                  </m:den>
                </m:f>
                <m:r>
                  <w:rPr>
                    <w:rFonts w:ascii="Cambria Math" w:hAnsi="Cambria Math" w:cs="Arial"/>
                    <w:color w:val="000000" w:themeColor="text1"/>
                  </w:rPr>
                  <m:t>=4</m:t>
                </m:r>
              </m:oMath>
            </m:oMathPara>
          </w:p>
        </w:tc>
        <w:tc>
          <w:tcPr>
            <w:tcW w:w="2662" w:type="dxa"/>
            <w:vAlign w:val="center"/>
          </w:tcPr>
          <w:p w14:paraId="483025DA" w14:textId="77777777" w:rsidR="0000666E" w:rsidRPr="003C13D4" w:rsidRDefault="0000666E" w:rsidP="0006341D">
            <w:pPr>
              <w:spacing w:line="276" w:lineRule="auto"/>
              <w:rPr>
                <w:rFonts w:ascii="Arial" w:hAnsi="Arial" w:cs="Arial"/>
                <w:i/>
                <w:color w:val="000000" w:themeColor="text1"/>
                <w:sz w:val="20"/>
              </w:rPr>
            </w:pPr>
            <w:r w:rsidRPr="003C13D4">
              <w:rPr>
                <w:rFonts w:ascii="Arial" w:hAnsi="Arial" w:cs="Arial"/>
                <w:i/>
                <w:color w:val="000000" w:themeColor="text1"/>
                <w:sz w:val="20"/>
              </w:rPr>
              <w:t xml:space="preserve">Carrell et al. 2017, </w:t>
            </w:r>
            <w:r w:rsidRPr="003C13D4">
              <w:rPr>
                <w:rFonts w:ascii="Arial" w:hAnsi="Arial" w:cs="Arial"/>
                <w:i/>
                <w:color w:val="000000" w:themeColor="text1"/>
                <w:sz w:val="20"/>
              </w:rPr>
              <w:br/>
              <w:t xml:space="preserve">Al </w:t>
            </w:r>
            <w:proofErr w:type="spellStart"/>
            <w:r w:rsidRPr="003C13D4">
              <w:rPr>
                <w:rFonts w:ascii="Arial" w:hAnsi="Arial" w:cs="Arial"/>
                <w:i/>
                <w:color w:val="000000" w:themeColor="text1"/>
                <w:sz w:val="20"/>
              </w:rPr>
              <w:t>Asafen</w:t>
            </w:r>
            <w:proofErr w:type="spellEnd"/>
            <w:r w:rsidRPr="003C13D4">
              <w:rPr>
                <w:rFonts w:ascii="Arial" w:hAnsi="Arial" w:cs="Arial"/>
                <w:i/>
                <w:color w:val="000000" w:themeColor="text1"/>
                <w:sz w:val="20"/>
              </w:rPr>
              <w:t xml:space="preserve"> et al. 2020</w:t>
            </w:r>
          </w:p>
        </w:tc>
      </w:tr>
      <w:tr w:rsidR="0000666E" w:rsidRPr="002018FD" w14:paraId="04332C2D" w14:textId="77777777" w:rsidTr="0006341D">
        <w:trPr>
          <w:trHeight w:val="794"/>
          <w:jc w:val="center"/>
        </w:trPr>
        <w:tc>
          <w:tcPr>
            <w:tcW w:w="4926" w:type="dxa"/>
            <w:vAlign w:val="center"/>
          </w:tcPr>
          <w:p w14:paraId="0DEFA5EA" w14:textId="77777777" w:rsidR="0000666E" w:rsidRPr="00DE4C27" w:rsidRDefault="0000666E" w:rsidP="009A0626">
            <w:pPr>
              <w:rPr>
                <w:rFonts w:ascii="Arial" w:hAnsi="Arial" w:cs="Arial"/>
                <w:color w:val="000000" w:themeColor="text1"/>
                <w:sz w:val="20"/>
              </w:rPr>
            </w:pPr>
            <w:r w:rsidRPr="00DE4C27">
              <w:rPr>
                <w:rFonts w:ascii="Arial" w:hAnsi="Arial" w:cs="Arial"/>
                <w:color w:val="000000" w:themeColor="text1"/>
                <w:sz w:val="20"/>
              </w:rPr>
              <w:t>DL dimer binding to promoter region</w:t>
            </w:r>
          </w:p>
        </w:tc>
        <w:tc>
          <w:tcPr>
            <w:tcW w:w="2868" w:type="dxa"/>
            <w:vAlign w:val="center"/>
          </w:tcPr>
          <w:p w14:paraId="3DBCB795" w14:textId="7FA59D60" w:rsidR="0000666E" w:rsidRPr="002018FD" w:rsidRDefault="002165B5" w:rsidP="009A0626">
            <w:pPr>
              <w:rPr>
                <w:rFonts w:ascii="Arial" w:hAnsi="Arial" w:cs="Arial"/>
                <w:iCs/>
                <w:color w:val="000000" w:themeColor="text1"/>
              </w:rPr>
            </w:pPr>
            <m:oMathPara>
              <m:oMathParaPr>
                <m:jc m:val="left"/>
              </m:oMathParaPr>
              <m:oMath>
                <m:sSub>
                  <m:sSubPr>
                    <m:ctrlPr>
                      <w:rPr>
                        <w:rFonts w:ascii="Cambria Math" w:hAnsi="Cambria Math" w:cs="Arial"/>
                        <w:i/>
                        <w:color w:val="000000" w:themeColor="text1"/>
                      </w:rPr>
                    </m:ctrlPr>
                  </m:sSubPr>
                  <m:e>
                    <m:r>
                      <w:rPr>
                        <w:rFonts w:ascii="Cambria Math" w:hAnsi="Cambria Math" w:cs="Arial"/>
                        <w:color w:val="000000" w:themeColor="text1"/>
                      </w:rPr>
                      <m:t>K</m:t>
                    </m:r>
                  </m:e>
                  <m:sub>
                    <m:r>
                      <w:rPr>
                        <w:rFonts w:ascii="Cambria Math" w:hAnsi="Cambria Math" w:cs="Arial"/>
                        <w:color w:val="000000" w:themeColor="text1"/>
                      </w:rPr>
                      <m:t>p</m:t>
                    </m:r>
                  </m:sub>
                </m:sSub>
                <m:r>
                  <w:rPr>
                    <w:rFonts w:ascii="Cambria Math" w:hAnsi="Cambria Math" w:cs="Arial"/>
                    <w:color w:val="000000" w:themeColor="text1"/>
                  </w:rPr>
                  <m:t>=</m:t>
                </m:r>
                <m:f>
                  <m:fPr>
                    <m:ctrlPr>
                      <w:rPr>
                        <w:rFonts w:ascii="Cambria Math" w:hAnsi="Cambria Math" w:cs="Arial"/>
                        <w:i/>
                        <w:color w:val="000000" w:themeColor="text1"/>
                      </w:rPr>
                    </m:ctrlPr>
                  </m:fPr>
                  <m:num>
                    <m:sSub>
                      <m:sSubPr>
                        <m:ctrlPr>
                          <w:rPr>
                            <w:rFonts w:ascii="Cambria Math" w:hAnsi="Cambria Math" w:cs="Arial"/>
                            <w:i/>
                            <w:color w:val="000000" w:themeColor="text1"/>
                          </w:rPr>
                        </m:ctrlPr>
                      </m:sSubPr>
                      <m:e>
                        <m:r>
                          <w:rPr>
                            <w:rFonts w:ascii="Cambria Math" w:hAnsi="Cambria Math" w:cs="Arial"/>
                            <w:color w:val="000000" w:themeColor="text1"/>
                          </w:rPr>
                          <m:t>k</m:t>
                        </m:r>
                      </m:e>
                      <m:sub>
                        <m:r>
                          <w:rPr>
                            <w:rFonts w:ascii="Cambria Math" w:hAnsi="Cambria Math" w:cs="Arial"/>
                            <w:color w:val="000000" w:themeColor="text1"/>
                          </w:rPr>
                          <m:t>p+</m:t>
                        </m:r>
                      </m:sub>
                    </m:sSub>
                  </m:num>
                  <m:den>
                    <m:sSub>
                      <m:sSubPr>
                        <m:ctrlPr>
                          <w:rPr>
                            <w:rFonts w:ascii="Cambria Math" w:hAnsi="Cambria Math" w:cs="Arial"/>
                            <w:i/>
                            <w:color w:val="000000" w:themeColor="text1"/>
                          </w:rPr>
                        </m:ctrlPr>
                      </m:sSubPr>
                      <m:e>
                        <m:r>
                          <w:rPr>
                            <w:rFonts w:ascii="Cambria Math" w:hAnsi="Cambria Math" w:cs="Arial"/>
                            <w:color w:val="000000" w:themeColor="text1"/>
                          </w:rPr>
                          <m:t>k</m:t>
                        </m:r>
                      </m:e>
                      <m:sub>
                        <m:r>
                          <w:rPr>
                            <w:rFonts w:ascii="Cambria Math" w:hAnsi="Cambria Math" w:cs="Arial"/>
                            <w:color w:val="000000" w:themeColor="text1"/>
                          </w:rPr>
                          <m:t>p-</m:t>
                        </m:r>
                      </m:sub>
                    </m:sSub>
                  </m:den>
                </m:f>
                <m:r>
                  <w:rPr>
                    <w:rFonts w:ascii="Cambria Math" w:hAnsi="Cambria Math" w:cs="Arial"/>
                    <w:color w:val="000000" w:themeColor="text1"/>
                  </w:rPr>
                  <m:t>=0.4</m:t>
                </m:r>
              </m:oMath>
            </m:oMathPara>
          </w:p>
        </w:tc>
        <w:tc>
          <w:tcPr>
            <w:tcW w:w="2662" w:type="dxa"/>
            <w:vAlign w:val="center"/>
          </w:tcPr>
          <w:p w14:paraId="0BDBA41A" w14:textId="77777777" w:rsidR="0000666E" w:rsidRPr="003C13D4" w:rsidRDefault="0000666E" w:rsidP="009A0626">
            <w:pPr>
              <w:rPr>
                <w:rFonts w:ascii="Arial" w:hAnsi="Arial" w:cs="Arial"/>
                <w:i/>
                <w:color w:val="000000" w:themeColor="text1"/>
                <w:sz w:val="20"/>
              </w:rPr>
            </w:pPr>
            <w:r w:rsidRPr="003C13D4">
              <w:rPr>
                <w:rFonts w:ascii="Arial" w:hAnsi="Arial" w:cs="Arial"/>
                <w:i/>
                <w:color w:val="000000" w:themeColor="text1"/>
                <w:sz w:val="20"/>
              </w:rPr>
              <w:t>Tay et al. 2010</w:t>
            </w:r>
          </w:p>
        </w:tc>
      </w:tr>
      <w:tr w:rsidR="0000666E" w:rsidRPr="002018FD" w14:paraId="166685AF" w14:textId="77777777" w:rsidTr="000A61DE">
        <w:trPr>
          <w:trHeight w:val="567"/>
          <w:jc w:val="center"/>
        </w:trPr>
        <w:tc>
          <w:tcPr>
            <w:tcW w:w="4926" w:type="dxa"/>
            <w:vAlign w:val="center"/>
          </w:tcPr>
          <w:p w14:paraId="3A326CB3" w14:textId="77777777" w:rsidR="0000666E" w:rsidRPr="00DE4C27" w:rsidRDefault="0000666E" w:rsidP="009A0626">
            <w:pPr>
              <w:rPr>
                <w:rFonts w:ascii="Arial" w:hAnsi="Arial" w:cs="Arial"/>
                <w:color w:val="000000" w:themeColor="text1"/>
                <w:sz w:val="20"/>
              </w:rPr>
            </w:pPr>
            <w:r w:rsidRPr="00DE4C27">
              <w:rPr>
                <w:rFonts w:ascii="Arial" w:hAnsi="Arial" w:cs="Arial"/>
                <w:color w:val="000000" w:themeColor="text1"/>
                <w:sz w:val="20"/>
              </w:rPr>
              <w:t>Rate of reporter mRNA synthesis</w:t>
            </w:r>
          </w:p>
        </w:tc>
        <w:tc>
          <w:tcPr>
            <w:tcW w:w="2868" w:type="dxa"/>
            <w:vAlign w:val="center"/>
          </w:tcPr>
          <w:p w14:paraId="3B80EB44" w14:textId="14757199" w:rsidR="0000666E" w:rsidRPr="002018FD" w:rsidRDefault="003C13D4" w:rsidP="009A0626">
            <w:pPr>
              <w:rPr>
                <w:rFonts w:ascii="Arial" w:hAnsi="Arial" w:cs="Arial"/>
                <w:color w:val="000000" w:themeColor="text1"/>
              </w:rPr>
            </w:pPr>
            <m:oMathPara>
              <m:oMathParaPr>
                <m:jc m:val="left"/>
              </m:oMathParaPr>
              <m:oMath>
                <m:r>
                  <w:rPr>
                    <w:rFonts w:ascii="Cambria Math" w:eastAsiaTheme="minorEastAsia" w:hAnsi="Cambria Math" w:cs="Arial"/>
                    <w:color w:val="000000" w:themeColor="text1"/>
                  </w:rPr>
                  <m:t>k=</m:t>
                </m:r>
                <m:r>
                  <m:rPr>
                    <m:sty m:val="p"/>
                  </m:rPr>
                  <w:rPr>
                    <w:rFonts w:ascii="Cambria Math" w:hAnsi="Cambria Math" w:cs="Arial"/>
                    <w:color w:val="000000" w:themeColor="text1"/>
                  </w:rPr>
                  <m:t>0.5 </m:t>
                </m:r>
                <m:sSup>
                  <m:sSupPr>
                    <m:ctrlPr>
                      <w:rPr>
                        <w:rFonts w:ascii="Cambria Math" w:hAnsi="Cambria Math" w:cs="Arial"/>
                        <w:i/>
                        <w:iCs/>
                        <w:color w:val="000000" w:themeColor="text1"/>
                      </w:rPr>
                    </m:ctrlPr>
                  </m:sSupPr>
                  <m:e>
                    <m:r>
                      <w:rPr>
                        <w:rFonts w:ascii="Cambria Math" w:hAnsi="Cambria Math" w:cs="Arial"/>
                        <w:color w:val="000000" w:themeColor="text1"/>
                      </w:rPr>
                      <m:t>s</m:t>
                    </m:r>
                  </m:e>
                  <m:sup>
                    <m:r>
                      <m:rPr>
                        <m:sty m:val="p"/>
                      </m:rPr>
                      <w:rPr>
                        <w:rFonts w:ascii="Cambria Math" w:hAnsi="Cambria Math" w:cs="Arial"/>
                        <w:color w:val="000000" w:themeColor="text1"/>
                      </w:rPr>
                      <m:t>-1</m:t>
                    </m:r>
                  </m:sup>
                </m:sSup>
              </m:oMath>
            </m:oMathPara>
          </w:p>
        </w:tc>
        <w:tc>
          <w:tcPr>
            <w:tcW w:w="2662" w:type="dxa"/>
            <w:vAlign w:val="center"/>
          </w:tcPr>
          <w:p w14:paraId="5BCE5A2E" w14:textId="77777777" w:rsidR="0000666E" w:rsidRPr="003C13D4" w:rsidRDefault="0000666E" w:rsidP="009A0626">
            <w:pPr>
              <w:rPr>
                <w:rFonts w:ascii="Arial" w:hAnsi="Arial" w:cs="Arial"/>
                <w:i/>
                <w:color w:val="000000" w:themeColor="text1"/>
                <w:sz w:val="20"/>
              </w:rPr>
            </w:pPr>
            <w:r w:rsidRPr="003C13D4">
              <w:rPr>
                <w:rFonts w:ascii="Arial" w:hAnsi="Arial" w:cs="Arial"/>
                <w:i/>
                <w:color w:val="000000" w:themeColor="text1"/>
                <w:sz w:val="20"/>
              </w:rPr>
              <w:t>Tay et al. 2010</w:t>
            </w:r>
          </w:p>
        </w:tc>
      </w:tr>
    </w:tbl>
    <w:p w14:paraId="76233E6C" w14:textId="6837627B" w:rsidR="0000666E" w:rsidRPr="002018FD" w:rsidRDefault="0000666E" w:rsidP="0000666E">
      <w:pPr>
        <w:spacing w:before="240" w:line="360" w:lineRule="auto"/>
        <w:rPr>
          <w:rFonts w:ascii="Arial" w:hAnsi="Arial" w:cs="Arial"/>
          <w:color w:val="000000" w:themeColor="text1"/>
        </w:rPr>
      </w:pPr>
      <w:r w:rsidRPr="002018FD">
        <w:rPr>
          <w:rFonts w:ascii="Arial" w:hAnsi="Arial" w:cs="Arial"/>
          <w:iCs/>
          <w:color w:val="000000" w:themeColor="text1"/>
          <w:vertAlign w:val="superscript"/>
        </w:rPr>
        <w:t>†</w:t>
      </w:r>
      <w:r w:rsidRPr="002018FD">
        <w:rPr>
          <w:rFonts w:ascii="Arial" w:hAnsi="Arial" w:cs="Arial"/>
          <w:color w:val="000000" w:themeColor="text1"/>
        </w:rPr>
        <w:t xml:space="preserve"> The number of </w:t>
      </w:r>
      <w:proofErr w:type="spellStart"/>
      <w:r w:rsidRPr="002018FD">
        <w:rPr>
          <w:rFonts w:ascii="Arial" w:hAnsi="Arial" w:cs="Arial"/>
          <w:color w:val="000000" w:themeColor="text1"/>
        </w:rPr>
        <w:t>Cact</w:t>
      </w:r>
      <w:proofErr w:type="spellEnd"/>
      <w:r w:rsidRPr="002018FD">
        <w:rPr>
          <w:rFonts w:ascii="Arial" w:hAnsi="Arial" w:cs="Arial"/>
          <w:color w:val="000000" w:themeColor="text1"/>
        </w:rPr>
        <w:t xml:space="preserve"> molecules is not available. Approximate computations using the formation, degradation rates show that number of </w:t>
      </w:r>
      <w:proofErr w:type="spellStart"/>
      <w:r w:rsidRPr="002018FD">
        <w:rPr>
          <w:rFonts w:ascii="Arial" w:hAnsi="Arial" w:cs="Arial"/>
          <w:color w:val="000000" w:themeColor="text1"/>
        </w:rPr>
        <w:t>Cact</w:t>
      </w:r>
      <w:proofErr w:type="spellEnd"/>
      <w:r w:rsidRPr="002018FD">
        <w:rPr>
          <w:rFonts w:ascii="Arial" w:hAnsi="Arial" w:cs="Arial"/>
          <w:color w:val="000000" w:themeColor="text1"/>
        </w:rPr>
        <w:t xml:space="preserve"> molecules is ~ </w:t>
      </w:r>
      <m:oMath>
        <m:sSup>
          <m:sSupPr>
            <m:ctrlPr>
              <w:rPr>
                <w:rFonts w:ascii="Cambria Math" w:hAnsi="Cambria Math" w:cs="Arial"/>
                <w:i/>
                <w:color w:val="000000" w:themeColor="text1"/>
              </w:rPr>
            </m:ctrlPr>
          </m:sSupPr>
          <m:e>
            <m:r>
              <w:rPr>
                <w:rFonts w:ascii="Cambria Math" w:hAnsi="Cambria Math" w:cs="Arial"/>
                <w:color w:val="000000" w:themeColor="text1"/>
              </w:rPr>
              <m:t>10</m:t>
            </m:r>
          </m:e>
          <m:sup>
            <m:r>
              <w:rPr>
                <w:rFonts w:ascii="Cambria Math" w:hAnsi="Cambria Math" w:cs="Arial"/>
                <w:color w:val="000000" w:themeColor="text1"/>
              </w:rPr>
              <m:t>5</m:t>
            </m:r>
          </m:sup>
        </m:sSup>
      </m:oMath>
      <w:r w:rsidRPr="002018FD">
        <w:rPr>
          <w:rFonts w:ascii="Arial" w:hAnsi="Arial" w:cs="Arial"/>
          <w:color w:val="000000" w:themeColor="text1"/>
        </w:rPr>
        <w:t>. Kanodia et al. (2009) suggest that amounts of DL and Cact in the system should be comparable.</w:t>
      </w:r>
    </w:p>
    <w:p w14:paraId="411EA9C0" w14:textId="77777777" w:rsidR="0000666E" w:rsidRPr="002018FD" w:rsidRDefault="0000666E" w:rsidP="0000666E">
      <w:pPr>
        <w:spacing w:before="120" w:line="360" w:lineRule="auto"/>
        <w:rPr>
          <w:rFonts w:ascii="Arial" w:hAnsi="Arial" w:cs="Arial"/>
          <w:color w:val="000000" w:themeColor="text1"/>
        </w:rPr>
      </w:pPr>
      <w:r w:rsidRPr="002018FD">
        <w:rPr>
          <w:rFonts w:ascii="Arial" w:hAnsi="Arial" w:cs="Arial"/>
          <w:color w:val="000000" w:themeColor="text1"/>
          <w:vertAlign w:val="superscript"/>
        </w:rPr>
        <w:t>‡</w:t>
      </w:r>
      <w:r w:rsidRPr="002018FD">
        <w:rPr>
          <w:rFonts w:ascii="Arial" w:hAnsi="Arial" w:cs="Arial"/>
          <w:color w:val="000000" w:themeColor="text1"/>
        </w:rPr>
        <w:t xml:space="preserve"> Approximated assuming a cell volume of 1.5 </w:t>
      </w:r>
      <w:proofErr w:type="spellStart"/>
      <w:r w:rsidRPr="002018FD">
        <w:rPr>
          <w:rFonts w:ascii="Arial" w:hAnsi="Arial" w:cs="Arial"/>
          <w:color w:val="000000" w:themeColor="text1"/>
        </w:rPr>
        <w:t>pL.</w:t>
      </w:r>
      <w:proofErr w:type="spellEnd"/>
    </w:p>
    <w:p w14:paraId="5E7B1F87" w14:textId="77777777" w:rsidR="0000666E" w:rsidRPr="002018FD" w:rsidRDefault="0000666E" w:rsidP="002018FD">
      <w:pPr>
        <w:pStyle w:val="Heading1"/>
      </w:pPr>
      <w:r w:rsidRPr="002018FD">
        <w:t>References</w:t>
      </w:r>
    </w:p>
    <w:p w14:paraId="347554E3" w14:textId="77777777" w:rsidR="0000666E" w:rsidRPr="0006341D" w:rsidRDefault="0000666E" w:rsidP="0000666E">
      <w:pPr>
        <w:pStyle w:val="ListParagraph"/>
        <w:numPr>
          <w:ilvl w:val="0"/>
          <w:numId w:val="2"/>
        </w:numPr>
        <w:spacing w:after="0" w:line="360" w:lineRule="auto"/>
        <w:rPr>
          <w:rFonts w:ascii="Arial" w:hAnsi="Arial" w:cs="Arial"/>
          <w:sz w:val="20"/>
        </w:rPr>
      </w:pPr>
      <w:r w:rsidRPr="0006341D">
        <w:rPr>
          <w:rFonts w:ascii="Arial" w:hAnsi="Arial" w:cs="Arial"/>
          <w:sz w:val="20"/>
        </w:rPr>
        <w:t>Tay, S. et al. Single-cell NF-</w:t>
      </w:r>
      <w:proofErr w:type="spellStart"/>
      <w:r w:rsidRPr="0006341D">
        <w:rPr>
          <w:rFonts w:ascii="Arial" w:hAnsi="Arial" w:cs="Arial"/>
          <w:sz w:val="20"/>
        </w:rPr>
        <w:t>κB</w:t>
      </w:r>
      <w:proofErr w:type="spellEnd"/>
      <w:r w:rsidRPr="0006341D">
        <w:rPr>
          <w:rFonts w:ascii="Arial" w:hAnsi="Arial" w:cs="Arial"/>
          <w:sz w:val="20"/>
        </w:rPr>
        <w:t xml:space="preserve"> dynamics reveal digital activation and analogue information processing. </w:t>
      </w:r>
      <w:r w:rsidRPr="00040CBD">
        <w:rPr>
          <w:rFonts w:ascii="Arial" w:hAnsi="Arial" w:cs="Arial"/>
          <w:i/>
          <w:iCs/>
          <w:sz w:val="20"/>
        </w:rPr>
        <w:t xml:space="preserve">Nature </w:t>
      </w:r>
      <w:r w:rsidRPr="0006341D">
        <w:rPr>
          <w:rFonts w:ascii="Arial" w:hAnsi="Arial" w:cs="Arial"/>
          <w:sz w:val="20"/>
        </w:rPr>
        <w:t>vol. 466 267–271 (2010).</w:t>
      </w:r>
    </w:p>
    <w:p w14:paraId="14464FF3" w14:textId="77777777" w:rsidR="0000666E" w:rsidRPr="0006341D" w:rsidRDefault="0000666E" w:rsidP="0000666E">
      <w:pPr>
        <w:pStyle w:val="ListParagraph"/>
        <w:numPr>
          <w:ilvl w:val="0"/>
          <w:numId w:val="2"/>
        </w:numPr>
        <w:spacing w:after="0" w:line="360" w:lineRule="auto"/>
        <w:rPr>
          <w:rFonts w:ascii="Arial" w:hAnsi="Arial" w:cs="Arial"/>
          <w:sz w:val="20"/>
        </w:rPr>
      </w:pPr>
      <w:r w:rsidRPr="0006341D">
        <w:rPr>
          <w:rFonts w:ascii="Arial" w:hAnsi="Arial" w:cs="Arial"/>
          <w:sz w:val="20"/>
        </w:rPr>
        <w:t xml:space="preserve">Kanodia, J. S. et al. Dynamics of the Dorsal morphogen gradient. </w:t>
      </w:r>
      <w:r w:rsidRPr="00040CBD">
        <w:rPr>
          <w:rFonts w:ascii="Arial" w:hAnsi="Arial" w:cs="Arial"/>
          <w:i/>
          <w:iCs/>
          <w:sz w:val="20"/>
        </w:rPr>
        <w:t xml:space="preserve">Proceedings of the National Academy of Sciences </w:t>
      </w:r>
      <w:r w:rsidRPr="0006341D">
        <w:rPr>
          <w:rFonts w:ascii="Arial" w:hAnsi="Arial" w:cs="Arial"/>
          <w:sz w:val="20"/>
        </w:rPr>
        <w:t>vol. 106 21707–21712 (2009).</w:t>
      </w:r>
    </w:p>
    <w:p w14:paraId="6875DBB1" w14:textId="77777777" w:rsidR="0000666E" w:rsidRPr="0006341D" w:rsidRDefault="0000666E" w:rsidP="0000666E">
      <w:pPr>
        <w:pStyle w:val="ListParagraph"/>
        <w:numPr>
          <w:ilvl w:val="0"/>
          <w:numId w:val="2"/>
        </w:numPr>
        <w:spacing w:after="0" w:line="360" w:lineRule="auto"/>
        <w:rPr>
          <w:rFonts w:ascii="Arial" w:hAnsi="Arial" w:cs="Arial"/>
          <w:sz w:val="20"/>
        </w:rPr>
      </w:pPr>
      <w:r w:rsidRPr="0006341D">
        <w:rPr>
          <w:rFonts w:ascii="Arial" w:hAnsi="Arial" w:cs="Arial"/>
          <w:sz w:val="20"/>
        </w:rPr>
        <w:t xml:space="preserve">Ramsey, K. M., Chen, W., Marion, J. D., Bergqvist, S. &amp; Komives, E. A. </w:t>
      </w:r>
      <w:r w:rsidRPr="00040CBD">
        <w:rPr>
          <w:rFonts w:ascii="Arial" w:hAnsi="Arial" w:cs="Arial"/>
          <w:i/>
          <w:iCs/>
          <w:sz w:val="20"/>
        </w:rPr>
        <w:t xml:space="preserve">Exclusivity and Compensation in </w:t>
      </w:r>
      <w:proofErr w:type="spellStart"/>
      <w:r w:rsidRPr="00040CBD">
        <w:rPr>
          <w:rFonts w:ascii="Arial" w:hAnsi="Arial" w:cs="Arial"/>
          <w:i/>
          <w:iCs/>
          <w:sz w:val="20"/>
        </w:rPr>
        <w:t>NFκB</w:t>
      </w:r>
      <w:proofErr w:type="spellEnd"/>
      <w:r w:rsidRPr="00040CBD">
        <w:rPr>
          <w:rFonts w:ascii="Arial" w:hAnsi="Arial" w:cs="Arial"/>
          <w:i/>
          <w:iCs/>
          <w:sz w:val="20"/>
        </w:rPr>
        <w:t xml:space="preserve"> Dimer Distributions and </w:t>
      </w:r>
      <w:proofErr w:type="spellStart"/>
      <w:r w:rsidRPr="00040CBD">
        <w:rPr>
          <w:rFonts w:ascii="Arial" w:hAnsi="Arial" w:cs="Arial"/>
          <w:i/>
          <w:iCs/>
          <w:sz w:val="20"/>
        </w:rPr>
        <w:t>IκB</w:t>
      </w:r>
      <w:proofErr w:type="spellEnd"/>
      <w:r w:rsidRPr="00040CBD">
        <w:rPr>
          <w:rFonts w:ascii="Arial" w:hAnsi="Arial" w:cs="Arial"/>
          <w:i/>
          <w:iCs/>
          <w:sz w:val="20"/>
        </w:rPr>
        <w:t xml:space="preserve"> Inhibition</w:t>
      </w:r>
      <w:r w:rsidRPr="0006341D">
        <w:rPr>
          <w:rFonts w:ascii="Arial" w:hAnsi="Arial" w:cs="Arial"/>
          <w:sz w:val="20"/>
        </w:rPr>
        <w:t>. Biochemistry vol. 58 2555–2563 (2019).</w:t>
      </w:r>
    </w:p>
    <w:p w14:paraId="4D402DCD" w14:textId="77777777" w:rsidR="0000666E" w:rsidRPr="0006341D" w:rsidRDefault="0000666E" w:rsidP="0000666E">
      <w:pPr>
        <w:pStyle w:val="ListParagraph"/>
        <w:numPr>
          <w:ilvl w:val="0"/>
          <w:numId w:val="2"/>
        </w:numPr>
        <w:spacing w:after="0" w:line="360" w:lineRule="auto"/>
        <w:rPr>
          <w:rFonts w:ascii="Arial" w:hAnsi="Arial" w:cs="Arial"/>
          <w:sz w:val="20"/>
        </w:rPr>
      </w:pPr>
      <w:r w:rsidRPr="0006341D">
        <w:rPr>
          <w:rFonts w:ascii="Arial" w:hAnsi="Arial" w:cs="Arial"/>
          <w:sz w:val="20"/>
        </w:rPr>
        <w:t xml:space="preserve">Carrell, S. N. et al. A facilitated diffusion mechanism establishes the Drosophila Dorsal gradient. </w:t>
      </w:r>
      <w:r w:rsidRPr="00040CBD">
        <w:rPr>
          <w:rFonts w:ascii="Arial" w:hAnsi="Arial" w:cs="Arial"/>
          <w:i/>
          <w:iCs/>
          <w:sz w:val="20"/>
        </w:rPr>
        <w:t xml:space="preserve">Development </w:t>
      </w:r>
      <w:r w:rsidRPr="0006341D">
        <w:rPr>
          <w:rFonts w:ascii="Arial" w:hAnsi="Arial" w:cs="Arial"/>
          <w:sz w:val="20"/>
        </w:rPr>
        <w:t>(2017) doi:10.1242/dev.155549.</w:t>
      </w:r>
    </w:p>
    <w:p w14:paraId="42213BB2" w14:textId="477421C4" w:rsidR="0000666E" w:rsidRPr="0006341D" w:rsidRDefault="0000666E" w:rsidP="0000666E">
      <w:pPr>
        <w:pStyle w:val="ListParagraph"/>
        <w:numPr>
          <w:ilvl w:val="0"/>
          <w:numId w:val="2"/>
        </w:numPr>
        <w:spacing w:after="0" w:line="360" w:lineRule="auto"/>
        <w:rPr>
          <w:rFonts w:ascii="Arial" w:hAnsi="Arial" w:cs="Arial"/>
          <w:sz w:val="20"/>
        </w:rPr>
      </w:pPr>
      <w:r w:rsidRPr="0006341D">
        <w:rPr>
          <w:rFonts w:ascii="Arial" w:hAnsi="Arial" w:cs="Arial"/>
          <w:sz w:val="20"/>
        </w:rPr>
        <w:t xml:space="preserve">Al </w:t>
      </w:r>
      <w:proofErr w:type="spellStart"/>
      <w:r w:rsidRPr="0006341D">
        <w:rPr>
          <w:rFonts w:ascii="Arial" w:hAnsi="Arial" w:cs="Arial"/>
          <w:sz w:val="20"/>
        </w:rPr>
        <w:t>Asafen</w:t>
      </w:r>
      <w:proofErr w:type="spellEnd"/>
      <w:r w:rsidRPr="0006341D">
        <w:rPr>
          <w:rFonts w:ascii="Arial" w:hAnsi="Arial" w:cs="Arial"/>
          <w:sz w:val="20"/>
        </w:rPr>
        <w:t xml:space="preserve">, H. et al. Robustness of the Dorsal morphogen gradient with respect to morphogen dosage. </w:t>
      </w:r>
      <w:r w:rsidRPr="00040CBD">
        <w:rPr>
          <w:rFonts w:ascii="Arial" w:hAnsi="Arial" w:cs="Arial"/>
          <w:i/>
          <w:iCs/>
          <w:sz w:val="20"/>
        </w:rPr>
        <w:t>PLOS Computational Biology</w:t>
      </w:r>
      <w:r w:rsidRPr="0006341D">
        <w:rPr>
          <w:rFonts w:ascii="Arial" w:hAnsi="Arial" w:cs="Arial"/>
          <w:sz w:val="20"/>
        </w:rPr>
        <w:t xml:space="preserve"> vol. 16 e1007750 (2020).</w:t>
      </w:r>
    </w:p>
    <w:sectPr w:rsidR="0000666E" w:rsidRPr="0006341D" w:rsidSect="008570AB">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AE4F4" w14:textId="77777777" w:rsidR="002165B5" w:rsidRDefault="002165B5" w:rsidP="00F60198">
      <w:pPr>
        <w:spacing w:after="0" w:line="240" w:lineRule="auto"/>
      </w:pPr>
      <w:r>
        <w:separator/>
      </w:r>
    </w:p>
  </w:endnote>
  <w:endnote w:type="continuationSeparator" w:id="0">
    <w:p w14:paraId="6AB8F2E6" w14:textId="77777777" w:rsidR="002165B5" w:rsidRDefault="002165B5" w:rsidP="00F60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CE566" w14:textId="77777777" w:rsidR="002165B5" w:rsidRDefault="002165B5" w:rsidP="00F60198">
      <w:pPr>
        <w:spacing w:after="0" w:line="240" w:lineRule="auto"/>
      </w:pPr>
      <w:r>
        <w:separator/>
      </w:r>
    </w:p>
  </w:footnote>
  <w:footnote w:type="continuationSeparator" w:id="0">
    <w:p w14:paraId="32981E3E" w14:textId="77777777" w:rsidR="002165B5" w:rsidRDefault="002165B5" w:rsidP="00F601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EEEBD" w14:textId="5AD75679" w:rsidR="00F60198" w:rsidRPr="00F60198" w:rsidRDefault="00F60198" w:rsidP="00F60198">
    <w:pPr>
      <w:pStyle w:val="Header"/>
      <w:jc w:val="right"/>
      <w:rPr>
        <w:b/>
        <w:bCs/>
        <w:i/>
        <w:iCs/>
        <w:color w:val="A6A6A6" w:themeColor="background1" w:themeShade="A6"/>
        <w:lang w:val="en-US"/>
      </w:rPr>
    </w:pPr>
    <w:r w:rsidRPr="00F60198">
      <w:rPr>
        <w:b/>
        <w:bCs/>
        <w:i/>
        <w:iCs/>
        <w:color w:val="A6A6A6" w:themeColor="background1" w:themeShade="A6"/>
        <w:lang w:val="en-US"/>
      </w:rPr>
      <w:t>SI</w:t>
    </w:r>
    <w:r w:rsidR="003C13D4">
      <w:rPr>
        <w:b/>
        <w:bCs/>
        <w:i/>
        <w:iCs/>
        <w:color w:val="A6A6A6" w:themeColor="background1" w:themeShade="A6"/>
        <w:lang w:val="en-US"/>
      </w:rPr>
      <w:t>-2(</w:t>
    </w:r>
    <w:r w:rsidRPr="00F60198">
      <w:rPr>
        <w:b/>
        <w:bCs/>
        <w:i/>
        <w:iCs/>
        <w:color w:val="A6A6A6" w:themeColor="background1" w:themeShade="A6"/>
        <w:lang w:val="en-US"/>
      </w:rPr>
      <w:t>Parameters</w:t>
    </w:r>
    <w:r w:rsidR="003C13D4">
      <w:rPr>
        <w:b/>
        <w:bCs/>
        <w:i/>
        <w:iCs/>
        <w:color w:val="A6A6A6" w:themeColor="background1" w:themeShade="A6"/>
        <w:lang w:val="en-US"/>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B95517"/>
    <w:multiLevelType w:val="hybridMultilevel"/>
    <w:tmpl w:val="1166D2CA"/>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15:restartNumberingAfterBreak="0">
    <w:nsid w:val="77AA1549"/>
    <w:multiLevelType w:val="hybridMultilevel"/>
    <w:tmpl w:val="AA8EBAB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AwN7c0MDIyNDcwNjZU0lEKTi0uzszPAykwNKoFAFvr1CAtAAAA"/>
  </w:docVars>
  <w:rsids>
    <w:rsidRoot w:val="001233E6"/>
    <w:rsid w:val="000016A8"/>
    <w:rsid w:val="0000666E"/>
    <w:rsid w:val="000069BE"/>
    <w:rsid w:val="00010C07"/>
    <w:rsid w:val="00040CBD"/>
    <w:rsid w:val="000502B5"/>
    <w:rsid w:val="00051A85"/>
    <w:rsid w:val="0006341D"/>
    <w:rsid w:val="00074B34"/>
    <w:rsid w:val="0009315E"/>
    <w:rsid w:val="000A1C77"/>
    <w:rsid w:val="000A61DE"/>
    <w:rsid w:val="000A6A83"/>
    <w:rsid w:val="00110ED2"/>
    <w:rsid w:val="001233E6"/>
    <w:rsid w:val="00127AEB"/>
    <w:rsid w:val="00154C98"/>
    <w:rsid w:val="00161E62"/>
    <w:rsid w:val="00163149"/>
    <w:rsid w:val="0018729A"/>
    <w:rsid w:val="001D62F9"/>
    <w:rsid w:val="001E580D"/>
    <w:rsid w:val="002018FD"/>
    <w:rsid w:val="00215A47"/>
    <w:rsid w:val="00215E72"/>
    <w:rsid w:val="002165B5"/>
    <w:rsid w:val="00223D68"/>
    <w:rsid w:val="00237866"/>
    <w:rsid w:val="00244E8D"/>
    <w:rsid w:val="0025340A"/>
    <w:rsid w:val="00255F0C"/>
    <w:rsid w:val="00274418"/>
    <w:rsid w:val="0027488D"/>
    <w:rsid w:val="002772E5"/>
    <w:rsid w:val="002839B8"/>
    <w:rsid w:val="00291F36"/>
    <w:rsid w:val="002952CC"/>
    <w:rsid w:val="002A0FB8"/>
    <w:rsid w:val="002D2EA1"/>
    <w:rsid w:val="002E68A8"/>
    <w:rsid w:val="002F2FBE"/>
    <w:rsid w:val="00304B88"/>
    <w:rsid w:val="003060C8"/>
    <w:rsid w:val="003272F2"/>
    <w:rsid w:val="00327A98"/>
    <w:rsid w:val="00334A8B"/>
    <w:rsid w:val="0034144C"/>
    <w:rsid w:val="00350B5C"/>
    <w:rsid w:val="00364AA7"/>
    <w:rsid w:val="00365103"/>
    <w:rsid w:val="00367BFC"/>
    <w:rsid w:val="00370723"/>
    <w:rsid w:val="00384EF3"/>
    <w:rsid w:val="003A7851"/>
    <w:rsid w:val="003B3EBC"/>
    <w:rsid w:val="003C13D4"/>
    <w:rsid w:val="003C436B"/>
    <w:rsid w:val="003C568F"/>
    <w:rsid w:val="003C7F07"/>
    <w:rsid w:val="003D12DB"/>
    <w:rsid w:val="003E274F"/>
    <w:rsid w:val="00411A70"/>
    <w:rsid w:val="0041528D"/>
    <w:rsid w:val="0042103B"/>
    <w:rsid w:val="004342BA"/>
    <w:rsid w:val="00435FE3"/>
    <w:rsid w:val="004370DD"/>
    <w:rsid w:val="00446C02"/>
    <w:rsid w:val="004531CA"/>
    <w:rsid w:val="00455C64"/>
    <w:rsid w:val="00463153"/>
    <w:rsid w:val="00470778"/>
    <w:rsid w:val="00491FD8"/>
    <w:rsid w:val="004B09C7"/>
    <w:rsid w:val="004C0FDD"/>
    <w:rsid w:val="004D4EB2"/>
    <w:rsid w:val="004E759C"/>
    <w:rsid w:val="005118A7"/>
    <w:rsid w:val="00513D60"/>
    <w:rsid w:val="00555D43"/>
    <w:rsid w:val="00557565"/>
    <w:rsid w:val="00564E22"/>
    <w:rsid w:val="00572CB2"/>
    <w:rsid w:val="00574C0E"/>
    <w:rsid w:val="00585486"/>
    <w:rsid w:val="005A1557"/>
    <w:rsid w:val="005B0279"/>
    <w:rsid w:val="005B7D42"/>
    <w:rsid w:val="005F1784"/>
    <w:rsid w:val="005F3B6E"/>
    <w:rsid w:val="005F4121"/>
    <w:rsid w:val="00625EBE"/>
    <w:rsid w:val="006358BC"/>
    <w:rsid w:val="00644EFC"/>
    <w:rsid w:val="006453D5"/>
    <w:rsid w:val="00654C68"/>
    <w:rsid w:val="00655281"/>
    <w:rsid w:val="0066238C"/>
    <w:rsid w:val="006D3F66"/>
    <w:rsid w:val="006D68BA"/>
    <w:rsid w:val="006F0CDD"/>
    <w:rsid w:val="00702830"/>
    <w:rsid w:val="00717C92"/>
    <w:rsid w:val="00727BB9"/>
    <w:rsid w:val="00736EAB"/>
    <w:rsid w:val="00737C88"/>
    <w:rsid w:val="007605BC"/>
    <w:rsid w:val="00761315"/>
    <w:rsid w:val="007621D7"/>
    <w:rsid w:val="00764E6C"/>
    <w:rsid w:val="007B16EE"/>
    <w:rsid w:val="007B2C7A"/>
    <w:rsid w:val="007C4110"/>
    <w:rsid w:val="007E797E"/>
    <w:rsid w:val="00813D5B"/>
    <w:rsid w:val="00816BE8"/>
    <w:rsid w:val="00817699"/>
    <w:rsid w:val="008355AB"/>
    <w:rsid w:val="008511A6"/>
    <w:rsid w:val="00854F93"/>
    <w:rsid w:val="00856F84"/>
    <w:rsid w:val="008570AB"/>
    <w:rsid w:val="00870F10"/>
    <w:rsid w:val="00873900"/>
    <w:rsid w:val="00894141"/>
    <w:rsid w:val="008A6746"/>
    <w:rsid w:val="008C1D4D"/>
    <w:rsid w:val="008C2740"/>
    <w:rsid w:val="008D3968"/>
    <w:rsid w:val="00901D69"/>
    <w:rsid w:val="0091239C"/>
    <w:rsid w:val="00916976"/>
    <w:rsid w:val="0093404C"/>
    <w:rsid w:val="0093785D"/>
    <w:rsid w:val="00941384"/>
    <w:rsid w:val="009630FA"/>
    <w:rsid w:val="00963713"/>
    <w:rsid w:val="00966902"/>
    <w:rsid w:val="00983C22"/>
    <w:rsid w:val="00985A31"/>
    <w:rsid w:val="0098792A"/>
    <w:rsid w:val="009A0626"/>
    <w:rsid w:val="009A36F7"/>
    <w:rsid w:val="009A6A82"/>
    <w:rsid w:val="009D449E"/>
    <w:rsid w:val="009F3811"/>
    <w:rsid w:val="00A35C91"/>
    <w:rsid w:val="00A4129B"/>
    <w:rsid w:val="00A51697"/>
    <w:rsid w:val="00A70E49"/>
    <w:rsid w:val="00A71074"/>
    <w:rsid w:val="00A721EF"/>
    <w:rsid w:val="00A826E0"/>
    <w:rsid w:val="00A85D56"/>
    <w:rsid w:val="00A8796E"/>
    <w:rsid w:val="00A9291A"/>
    <w:rsid w:val="00AA1D5C"/>
    <w:rsid w:val="00AA3EB3"/>
    <w:rsid w:val="00AB5819"/>
    <w:rsid w:val="00AB6CBF"/>
    <w:rsid w:val="00AC247B"/>
    <w:rsid w:val="00AC7D75"/>
    <w:rsid w:val="00AD1EA4"/>
    <w:rsid w:val="00AD21BD"/>
    <w:rsid w:val="00AD453B"/>
    <w:rsid w:val="00AE5605"/>
    <w:rsid w:val="00AF0B39"/>
    <w:rsid w:val="00B17C62"/>
    <w:rsid w:val="00B2693C"/>
    <w:rsid w:val="00B55854"/>
    <w:rsid w:val="00B8558B"/>
    <w:rsid w:val="00B90802"/>
    <w:rsid w:val="00BB13B2"/>
    <w:rsid w:val="00BB2860"/>
    <w:rsid w:val="00BC2015"/>
    <w:rsid w:val="00BC228F"/>
    <w:rsid w:val="00BF4082"/>
    <w:rsid w:val="00C065AA"/>
    <w:rsid w:val="00C23830"/>
    <w:rsid w:val="00C34AA9"/>
    <w:rsid w:val="00C35A40"/>
    <w:rsid w:val="00C52467"/>
    <w:rsid w:val="00C56F05"/>
    <w:rsid w:val="00C80B5E"/>
    <w:rsid w:val="00C84070"/>
    <w:rsid w:val="00C916AD"/>
    <w:rsid w:val="00CA61E6"/>
    <w:rsid w:val="00CA7595"/>
    <w:rsid w:val="00CA7AC4"/>
    <w:rsid w:val="00CD67A6"/>
    <w:rsid w:val="00D04CDD"/>
    <w:rsid w:val="00D06655"/>
    <w:rsid w:val="00D070FC"/>
    <w:rsid w:val="00D14FF4"/>
    <w:rsid w:val="00D2705A"/>
    <w:rsid w:val="00D33272"/>
    <w:rsid w:val="00D64B71"/>
    <w:rsid w:val="00D7220B"/>
    <w:rsid w:val="00D96173"/>
    <w:rsid w:val="00D97D44"/>
    <w:rsid w:val="00DA7FF2"/>
    <w:rsid w:val="00DB200F"/>
    <w:rsid w:val="00DB59E0"/>
    <w:rsid w:val="00DB77A4"/>
    <w:rsid w:val="00DC6F6E"/>
    <w:rsid w:val="00DD20B3"/>
    <w:rsid w:val="00DD4352"/>
    <w:rsid w:val="00DE4C27"/>
    <w:rsid w:val="00DE57E1"/>
    <w:rsid w:val="00DF1512"/>
    <w:rsid w:val="00DF55DF"/>
    <w:rsid w:val="00DF75C6"/>
    <w:rsid w:val="00E0180D"/>
    <w:rsid w:val="00E15199"/>
    <w:rsid w:val="00E17AC6"/>
    <w:rsid w:val="00E20870"/>
    <w:rsid w:val="00E25091"/>
    <w:rsid w:val="00E27693"/>
    <w:rsid w:val="00E37CE8"/>
    <w:rsid w:val="00E4229C"/>
    <w:rsid w:val="00E471A2"/>
    <w:rsid w:val="00E8789B"/>
    <w:rsid w:val="00E87E8E"/>
    <w:rsid w:val="00E946A1"/>
    <w:rsid w:val="00EC0A7D"/>
    <w:rsid w:val="00ED497F"/>
    <w:rsid w:val="00ED76D0"/>
    <w:rsid w:val="00ED7D41"/>
    <w:rsid w:val="00EE40F4"/>
    <w:rsid w:val="00EF251E"/>
    <w:rsid w:val="00EF34E7"/>
    <w:rsid w:val="00F038FE"/>
    <w:rsid w:val="00F14BED"/>
    <w:rsid w:val="00F256C1"/>
    <w:rsid w:val="00F329C8"/>
    <w:rsid w:val="00F33527"/>
    <w:rsid w:val="00F36B18"/>
    <w:rsid w:val="00F418CD"/>
    <w:rsid w:val="00F46E24"/>
    <w:rsid w:val="00F60198"/>
    <w:rsid w:val="00F67269"/>
    <w:rsid w:val="00F86337"/>
    <w:rsid w:val="00FB7A1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CEDEF"/>
  <w15:chartTrackingRefBased/>
  <w15:docId w15:val="{9A78E41B-68E9-4C5C-A6F9-18B133340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3E6"/>
  </w:style>
  <w:style w:type="paragraph" w:styleId="Heading1">
    <w:name w:val="heading 1"/>
    <w:basedOn w:val="Heading2"/>
    <w:next w:val="Normal"/>
    <w:link w:val="Heading1Char"/>
    <w:uiPriority w:val="9"/>
    <w:qFormat/>
    <w:rsid w:val="00ED7D41"/>
    <w:pPr>
      <w:outlineLvl w:val="0"/>
    </w:pPr>
  </w:style>
  <w:style w:type="paragraph" w:styleId="Heading2">
    <w:name w:val="heading 2"/>
    <w:basedOn w:val="Normal"/>
    <w:next w:val="Normal"/>
    <w:link w:val="Heading2Char"/>
    <w:uiPriority w:val="9"/>
    <w:unhideWhenUsed/>
    <w:qFormat/>
    <w:rsid w:val="00ED7D41"/>
    <w:pPr>
      <w:spacing w:after="0" w:line="360" w:lineRule="auto"/>
      <w:outlineLvl w:val="1"/>
    </w:pPr>
    <w:rPr>
      <w:rFonts w:ascii="Arial" w:eastAsia="Arial" w:hAnsi="Arial" w:cs="Arial"/>
      <w:b/>
      <w:color w:val="000000" w:themeColor="text1"/>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qFormat/>
    <w:rsid w:val="001233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233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3E6"/>
    <w:rPr>
      <w:rFonts w:ascii="Segoe UI" w:hAnsi="Segoe UI" w:cs="Segoe UI"/>
      <w:sz w:val="18"/>
      <w:szCs w:val="18"/>
    </w:rPr>
  </w:style>
  <w:style w:type="paragraph" w:styleId="ListParagraph">
    <w:name w:val="List Paragraph"/>
    <w:basedOn w:val="Normal"/>
    <w:uiPriority w:val="34"/>
    <w:qFormat/>
    <w:rsid w:val="001233E6"/>
    <w:pPr>
      <w:ind w:left="720"/>
      <w:contextualSpacing/>
    </w:pPr>
  </w:style>
  <w:style w:type="table" w:customStyle="1" w:styleId="TableGrid1">
    <w:name w:val="Table Grid1"/>
    <w:basedOn w:val="TableNormal"/>
    <w:next w:val="TableGrid"/>
    <w:uiPriority w:val="39"/>
    <w:rsid w:val="001233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1233E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1233E6"/>
    <w:rPr>
      <w:sz w:val="16"/>
      <w:szCs w:val="16"/>
    </w:rPr>
  </w:style>
  <w:style w:type="paragraph" w:styleId="CommentText">
    <w:name w:val="annotation text"/>
    <w:basedOn w:val="Normal"/>
    <w:link w:val="CommentTextChar"/>
    <w:uiPriority w:val="99"/>
    <w:semiHidden/>
    <w:unhideWhenUsed/>
    <w:rsid w:val="001233E6"/>
    <w:pPr>
      <w:spacing w:line="240" w:lineRule="auto"/>
    </w:pPr>
    <w:rPr>
      <w:sz w:val="20"/>
      <w:szCs w:val="20"/>
    </w:rPr>
  </w:style>
  <w:style w:type="character" w:customStyle="1" w:styleId="CommentTextChar">
    <w:name w:val="Comment Text Char"/>
    <w:basedOn w:val="DefaultParagraphFont"/>
    <w:link w:val="CommentText"/>
    <w:uiPriority w:val="99"/>
    <w:semiHidden/>
    <w:rsid w:val="001233E6"/>
    <w:rPr>
      <w:sz w:val="20"/>
      <w:szCs w:val="20"/>
    </w:rPr>
  </w:style>
  <w:style w:type="paragraph" w:styleId="CommentSubject">
    <w:name w:val="annotation subject"/>
    <w:basedOn w:val="CommentText"/>
    <w:next w:val="CommentText"/>
    <w:link w:val="CommentSubjectChar"/>
    <w:uiPriority w:val="99"/>
    <w:semiHidden/>
    <w:unhideWhenUsed/>
    <w:rsid w:val="001233E6"/>
    <w:rPr>
      <w:b/>
      <w:bCs/>
    </w:rPr>
  </w:style>
  <w:style w:type="character" w:customStyle="1" w:styleId="CommentSubjectChar">
    <w:name w:val="Comment Subject Char"/>
    <w:basedOn w:val="CommentTextChar"/>
    <w:link w:val="CommentSubject"/>
    <w:uiPriority w:val="99"/>
    <w:semiHidden/>
    <w:rsid w:val="001233E6"/>
    <w:rPr>
      <w:b/>
      <w:bCs/>
      <w:sz w:val="20"/>
      <w:szCs w:val="20"/>
    </w:rPr>
  </w:style>
  <w:style w:type="character" w:styleId="PlaceholderText">
    <w:name w:val="Placeholder Text"/>
    <w:basedOn w:val="DefaultParagraphFont"/>
    <w:uiPriority w:val="99"/>
    <w:semiHidden/>
    <w:rsid w:val="00BF4082"/>
    <w:rPr>
      <w:color w:val="808080"/>
    </w:rPr>
  </w:style>
  <w:style w:type="table" w:styleId="PlainTable4">
    <w:name w:val="Plain Table 4"/>
    <w:basedOn w:val="TableNormal"/>
    <w:uiPriority w:val="44"/>
    <w:rsid w:val="0047077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stTable2">
    <w:name w:val="List Table 2"/>
    <w:basedOn w:val="TableNormal"/>
    <w:uiPriority w:val="47"/>
    <w:rsid w:val="00654C68"/>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3">
    <w:name w:val="List Table 2 Accent 3"/>
    <w:basedOn w:val="TableNormal"/>
    <w:uiPriority w:val="47"/>
    <w:rsid w:val="0066238C"/>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urful">
    <w:name w:val="List Table 6 Colorful"/>
    <w:basedOn w:val="TableNormal"/>
    <w:uiPriority w:val="51"/>
    <w:rsid w:val="00F46E2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7Colourful">
    <w:name w:val="List Table 7 Colorful"/>
    <w:basedOn w:val="TableNormal"/>
    <w:uiPriority w:val="52"/>
    <w:rsid w:val="00F46E24"/>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Heading2Char">
    <w:name w:val="Heading 2 Char"/>
    <w:basedOn w:val="DefaultParagraphFont"/>
    <w:link w:val="Heading2"/>
    <w:uiPriority w:val="9"/>
    <w:rsid w:val="00ED7D41"/>
    <w:rPr>
      <w:rFonts w:ascii="Arial" w:eastAsia="Arial" w:hAnsi="Arial" w:cs="Arial"/>
      <w:b/>
      <w:color w:val="000000" w:themeColor="text1"/>
      <w:sz w:val="24"/>
      <w:szCs w:val="24"/>
      <w:lang w:eastAsia="en-IN"/>
    </w:rPr>
  </w:style>
  <w:style w:type="character" w:customStyle="1" w:styleId="Heading1Char">
    <w:name w:val="Heading 1 Char"/>
    <w:basedOn w:val="DefaultParagraphFont"/>
    <w:link w:val="Heading1"/>
    <w:uiPriority w:val="9"/>
    <w:rsid w:val="00ED7D41"/>
    <w:rPr>
      <w:rFonts w:ascii="Arial" w:eastAsia="Arial" w:hAnsi="Arial" w:cs="Arial"/>
      <w:b/>
      <w:color w:val="000000" w:themeColor="text1"/>
      <w:sz w:val="24"/>
      <w:szCs w:val="24"/>
      <w:lang w:eastAsia="en-IN"/>
    </w:rPr>
  </w:style>
  <w:style w:type="paragraph" w:styleId="Caption">
    <w:name w:val="caption"/>
    <w:basedOn w:val="Normal"/>
    <w:next w:val="Normal"/>
    <w:uiPriority w:val="35"/>
    <w:unhideWhenUsed/>
    <w:qFormat/>
    <w:rsid w:val="000A61DE"/>
    <w:pPr>
      <w:spacing w:after="200" w:line="240" w:lineRule="auto"/>
    </w:pPr>
    <w:rPr>
      <w:i/>
      <w:iCs/>
      <w:color w:val="44546A" w:themeColor="text2"/>
      <w:sz w:val="18"/>
      <w:szCs w:val="18"/>
    </w:rPr>
  </w:style>
  <w:style w:type="paragraph" w:styleId="Header">
    <w:name w:val="header"/>
    <w:basedOn w:val="Normal"/>
    <w:link w:val="HeaderChar"/>
    <w:uiPriority w:val="99"/>
    <w:unhideWhenUsed/>
    <w:rsid w:val="00F601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0198"/>
  </w:style>
  <w:style w:type="paragraph" w:styleId="Footer">
    <w:name w:val="footer"/>
    <w:basedOn w:val="Normal"/>
    <w:link w:val="FooterChar"/>
    <w:uiPriority w:val="99"/>
    <w:unhideWhenUsed/>
    <w:rsid w:val="00F601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01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A20B3-0D5E-45FE-B231-E78977096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1</Pages>
  <Words>305</Words>
  <Characters>1741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dc:creator>
  <cp:keywords/>
  <dc:description/>
  <cp:lastModifiedBy>Girish Ratnaparkhi</cp:lastModifiedBy>
  <cp:revision>245</cp:revision>
  <cp:lastPrinted>2022-03-31T01:02:00Z</cp:lastPrinted>
  <dcterms:created xsi:type="dcterms:W3CDTF">2022-02-23T08:18:00Z</dcterms:created>
  <dcterms:modified xsi:type="dcterms:W3CDTF">2022-03-31T01:02:00Z</dcterms:modified>
</cp:coreProperties>
</file>