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0F8" w:rsidRPr="007720F8" w:rsidRDefault="007720F8" w:rsidP="007720F8">
      <w:pPr>
        <w:shd w:val="clear" w:color="auto" w:fill="FFFFFF"/>
        <w:spacing w:after="120" w:line="480" w:lineRule="auto"/>
        <w:jc w:val="center"/>
        <w:textAlignment w:val="baseline"/>
        <w:rPr>
          <w:rFonts w:ascii="Baskerville" w:eastAsia="Times New Roman" w:hAnsi="Baskerville" w:cs="Arial"/>
          <w:b/>
        </w:rPr>
      </w:pPr>
      <w:r w:rsidRPr="007720F8">
        <w:rPr>
          <w:rFonts w:ascii="Baskerville" w:hAnsi="Baskerville"/>
          <w:b/>
        </w:rPr>
        <w:t xml:space="preserve">Sala &amp; </w:t>
      </w:r>
      <w:proofErr w:type="spellStart"/>
      <w:r w:rsidRPr="007720F8">
        <w:rPr>
          <w:rFonts w:ascii="Baskerville" w:hAnsi="Baskerville"/>
          <w:b/>
        </w:rPr>
        <w:t>Giakoumi</w:t>
      </w:r>
      <w:proofErr w:type="spellEnd"/>
      <w:r w:rsidRPr="007720F8">
        <w:rPr>
          <w:rFonts w:ascii="Baskerville" w:hAnsi="Baskerville"/>
          <w:b/>
        </w:rPr>
        <w:t xml:space="preserve"> 2017 - </w:t>
      </w:r>
      <w:r w:rsidRPr="007720F8">
        <w:rPr>
          <w:rFonts w:ascii="Baskerville" w:eastAsia="Times New Roman" w:hAnsi="Baskerville" w:cs="Arial"/>
          <w:b/>
        </w:rPr>
        <w:t xml:space="preserve">No-take marine </w:t>
      </w:r>
      <w:r>
        <w:rPr>
          <w:rFonts w:ascii="Baskerville" w:eastAsia="Times New Roman" w:hAnsi="Baskerville" w:cs="Arial"/>
          <w:b/>
        </w:rPr>
        <w:t xml:space="preserve">reserves are the most effective </w:t>
      </w:r>
      <w:r w:rsidRPr="007720F8">
        <w:rPr>
          <w:rFonts w:ascii="Baskerville" w:eastAsia="Times New Roman" w:hAnsi="Baskerville" w:cs="Arial"/>
          <w:b/>
        </w:rPr>
        <w:t>protected areas in the ocean</w:t>
      </w:r>
    </w:p>
    <w:p w:rsidR="007720F8" w:rsidRDefault="007720F8" w:rsidP="007720F8">
      <w:pPr>
        <w:spacing w:after="120" w:line="480" w:lineRule="auto"/>
        <w:rPr>
          <w:rFonts w:ascii="Baskerville" w:hAnsi="Baskerville"/>
          <w:b/>
        </w:rPr>
      </w:pPr>
    </w:p>
    <w:p w:rsidR="007720F8" w:rsidRPr="00DD3B57" w:rsidRDefault="007720F8" w:rsidP="007720F8">
      <w:pPr>
        <w:spacing w:after="120" w:line="480" w:lineRule="auto"/>
        <w:rPr>
          <w:rFonts w:ascii="Baskerville" w:hAnsi="Baskerville"/>
          <w:b/>
        </w:rPr>
      </w:pPr>
      <w:r w:rsidRPr="00DD3B57">
        <w:rPr>
          <w:rFonts w:ascii="Baskerville" w:hAnsi="Baskerville"/>
          <w:b/>
        </w:rPr>
        <w:t>Supplemental Online Material</w:t>
      </w:r>
    </w:p>
    <w:p w:rsidR="007720F8" w:rsidRPr="00DD3B57" w:rsidRDefault="007720F8" w:rsidP="007720F8">
      <w:pPr>
        <w:spacing w:after="120" w:line="480" w:lineRule="auto"/>
        <w:rPr>
          <w:rFonts w:ascii="Baskerville" w:hAnsi="Baskerville"/>
          <w:b/>
        </w:rPr>
      </w:pPr>
      <w:r w:rsidRPr="00DD3B57">
        <w:rPr>
          <w:rFonts w:ascii="Baskerville" w:hAnsi="Baskerville"/>
          <w:b/>
        </w:rPr>
        <w:t>Methods</w:t>
      </w:r>
    </w:p>
    <w:p w:rsidR="007720F8" w:rsidRPr="00DD3B57" w:rsidRDefault="007720F8" w:rsidP="007720F8">
      <w:pPr>
        <w:spacing w:after="120" w:line="480" w:lineRule="auto"/>
        <w:rPr>
          <w:rFonts w:ascii="Baskerville" w:hAnsi="Baskerville"/>
        </w:rPr>
      </w:pPr>
      <w:bookmarkStart w:id="0" w:name="_GoBack"/>
      <w:bookmarkEnd w:id="0"/>
      <w:r w:rsidRPr="00DD3B57">
        <w:rPr>
          <w:rFonts w:ascii="Baskerville" w:hAnsi="Baskerville"/>
        </w:rPr>
        <w:t>Lester &amp; Halpern (2008) conducted a meta-analysis using data from studies where no-take marine reserves, partially protected MPAs and open access areas were in the vicinity. They pooled all 20 studies in a single</w:t>
      </w:r>
      <w:r>
        <w:rPr>
          <w:rFonts w:ascii="Baskerville" w:hAnsi="Baskerville"/>
        </w:rPr>
        <w:t xml:space="preserve"> meta-analysis. </w:t>
      </w:r>
      <w:proofErr w:type="spellStart"/>
      <w:r>
        <w:rPr>
          <w:rFonts w:ascii="Baskerville" w:hAnsi="Baskerville"/>
        </w:rPr>
        <w:t>Sciberras</w:t>
      </w:r>
      <w:proofErr w:type="spellEnd"/>
      <w:r>
        <w:rPr>
          <w:rFonts w:ascii="Baskerville" w:hAnsi="Baskerville"/>
        </w:rPr>
        <w:t xml:space="preserve"> and colleagues</w:t>
      </w:r>
      <w:r w:rsidRPr="00DD3B57">
        <w:rPr>
          <w:rFonts w:ascii="Baskerville" w:hAnsi="Baskerville"/>
        </w:rPr>
        <w:t xml:space="preserve"> </w:t>
      </w:r>
      <w:r>
        <w:rPr>
          <w:rFonts w:ascii="Baskerville" w:hAnsi="Baskerville"/>
        </w:rPr>
        <w:fldChar w:fldCharType="begin"/>
      </w:r>
      <w:r>
        <w:rPr>
          <w:rFonts w:ascii="Baskerville" w:hAnsi="Baskerville"/>
        </w:rPr>
        <w:instrText xml:space="preserve"> ADDIN EN.CITE &lt;EndNote&gt;&lt;Cite&gt;&lt;Author&gt;Sciberras&lt;/Author&gt;&lt;Year&gt;2013&lt;/Year&gt;&lt;RecNum&gt;1095&lt;/RecNum&gt;&lt;DisplayText&gt;(Sciberras et al., 2013; Sciberras et al., 2015)&lt;/DisplayText&gt;&lt;record&gt;&lt;rec-number&gt;1095&lt;/rec-number&gt;&lt;foreign-keys&gt;&lt;key app="EN" db-id="z22srzs0n22z0kexss85d2af9pste9ap5tzs" timestamp="1487251693"&gt;1095&lt;/key&gt;&lt;/foreign-keys&gt;&lt;ref-type name="Journal Article"&gt;17&lt;/ref-type&gt;&lt;contributors&gt;&lt;authors&gt;&lt;author&gt;Sciberras, Marija&lt;/author&gt;&lt;author&gt;Jenkins, Stuart R&lt;/author&gt;&lt;author&gt;Kaiser, Michel J&lt;/author&gt;&lt;author&gt;Hawkins, Stephen J&lt;/author&gt;&lt;author&gt;Pullin, Andrew S&lt;/author&gt;&lt;/authors&gt;&lt;/contributors&gt;&lt;titles&gt;&lt;title&gt;Evaluating the biological effectiveness of fully and partially protected marine areas&lt;/title&gt;&lt;secondary-title&gt;Environmental Evidence&lt;/secondary-title&gt;&lt;/titles&gt;&lt;periodical&gt;&lt;full-title&gt;Environmental Evidence&lt;/full-title&gt;&lt;/periodical&gt;&lt;pages&gt;4&lt;/pages&gt;&lt;volume&gt;2&lt;/volume&gt;&lt;number&gt;1&lt;/number&gt;&lt;dates&gt;&lt;year&gt;2013&lt;/year&gt;&lt;/dates&gt;&lt;isbn&gt;2047-2382&lt;/isbn&gt;&lt;urls&gt;&lt;/urls&gt;&lt;/record&gt;&lt;/Cite&gt;&lt;Cite&gt;&lt;Author&gt;Sciberras&lt;/Author&gt;&lt;Year&gt;2015&lt;/Year&gt;&lt;RecNum&gt;1096&lt;/RecNum&gt;&lt;record&gt;&lt;rec-number&gt;1096&lt;/rec-number&gt;&lt;foreign-keys&gt;&lt;key app="EN" db-id="z22srzs0n22z0kexss85d2af9pste9ap5tzs" timestamp="1487251699"&gt;1096&lt;/key&gt;&lt;/foreign-keys&gt;&lt;ref-type name="Journal Article"&gt;17&lt;/ref-type&gt;&lt;contributors&gt;&lt;authors&gt;&lt;author&gt;Sciberras, Marija&lt;/author&gt;&lt;author&gt;Jenkins, Stuart R&lt;/author&gt;&lt;author&gt;Mant, Rebecca&lt;/author&gt;&lt;author&gt;Kaiser, Michel J&lt;/author&gt;&lt;author&gt;Hawkins, Stephen J&lt;/author&gt;&lt;author&gt;Pullin, Andrew S&lt;/author&gt;&lt;/authors&gt;&lt;/contributors&gt;&lt;titles&gt;&lt;title&gt;Evaluating the relative conservation value of fully and partially protected marine areas&lt;/title&gt;&lt;secondary-title&gt;Fish and Fisheries&lt;/secondary-title&gt;&lt;/titles&gt;&lt;periodical&gt;&lt;full-title&gt;Fish and Fisheries&lt;/full-title&gt;&lt;/periodical&gt;&lt;pages&gt;58-77&lt;/pages&gt;&lt;volume&gt;16&lt;/volume&gt;&lt;number&gt;1&lt;/number&gt;&lt;dates&gt;&lt;year&gt;2015&lt;/year&gt;&lt;/dates&gt;&lt;isbn&gt;1467-2979&lt;/isbn&gt;&lt;urls&gt;&lt;/urls&gt;&lt;/record&gt;&lt;/Cite&gt;&lt;/EndNote&gt;</w:instrText>
      </w:r>
      <w:r>
        <w:rPr>
          <w:rFonts w:ascii="Baskerville" w:hAnsi="Baskerville"/>
        </w:rPr>
        <w:fldChar w:fldCharType="separate"/>
      </w:r>
      <w:r>
        <w:rPr>
          <w:rFonts w:ascii="Baskerville" w:hAnsi="Baskerville"/>
          <w:noProof/>
        </w:rPr>
        <w:t>(Sciberras et al., 2013; Sciberras et al., 2015)</w:t>
      </w:r>
      <w:r>
        <w:rPr>
          <w:rFonts w:ascii="Baskerville" w:hAnsi="Baskerville"/>
        </w:rPr>
        <w:fldChar w:fldCharType="end"/>
      </w:r>
      <w:r w:rsidRPr="00DD3B57">
        <w:rPr>
          <w:rFonts w:ascii="Baskerville" w:hAnsi="Baskerville"/>
        </w:rPr>
        <w:t xml:space="preserve"> conducted a more thorough meta-analysis considering many factors including taxonomic resolution of the data, size and age of the reserves at the time of surveys. However, disaggregation of the data resulted in low number of studies per case. For this essay, we conducted a comprehensive survey of peer-reviewed scientific literature to compile a database of studies documenting and comparing the biomass of whole fish assemblages of no-take marine reserves, </w:t>
      </w:r>
      <w:proofErr w:type="gramStart"/>
      <w:r w:rsidRPr="00DD3B57">
        <w:rPr>
          <w:rFonts w:ascii="Baskerville" w:hAnsi="Baskerville"/>
        </w:rPr>
        <w:t>partially-protected</w:t>
      </w:r>
      <w:proofErr w:type="gramEnd"/>
      <w:r w:rsidRPr="00DD3B57">
        <w:rPr>
          <w:rFonts w:ascii="Baskerville" w:hAnsi="Baskerville"/>
        </w:rPr>
        <w:t xml:space="preserve"> marine protected areas (MPAs), and open access areas, all within the same vicinity (to avoid biogeographic confounding). We chose total fish biomass because it is positively correlated to abundance of top predators, food chain length, and negatively correlated with turnover rate; hence it is the best single indicator of the successional state – mat</w:t>
      </w:r>
      <w:r>
        <w:rPr>
          <w:rFonts w:ascii="Baskerville" w:hAnsi="Baskerville"/>
        </w:rPr>
        <w:t>urity – of the fish assemblage [</w:t>
      </w:r>
      <w:r w:rsidRPr="00DD3B57">
        <w:rPr>
          <w:rFonts w:ascii="Baskerville" w:hAnsi="Baskerville"/>
        </w:rPr>
        <w:t xml:space="preserve">e.g., </w:t>
      </w:r>
      <w:r>
        <w:rPr>
          <w:rFonts w:ascii="Baskerville" w:hAnsi="Baskerville"/>
        </w:rPr>
        <w:fldChar w:fldCharType="begin"/>
      </w:r>
      <w:r>
        <w:rPr>
          <w:rFonts w:ascii="Baskerville" w:hAnsi="Baskerville"/>
        </w:rPr>
        <w:instrText xml:space="preserve"> ADDIN EN.CITE &lt;EndNote&gt;&lt;Cite&gt;&lt;Author&gt;Sandin&lt;/Author&gt;&lt;Year&gt;2011&lt;/Year&gt;&lt;RecNum&gt;909&lt;/RecNum&gt;&lt;DisplayText&gt;(Sandin et al., 2008; Sandin and Sala, 2011)&lt;/DisplayText&gt;&lt;record&gt;&lt;rec-number&gt;909&lt;/rec-number&gt;&lt;foreign-keys&gt;&lt;key app="EN" db-id="z22srzs0n22z0kexss85d2af9pste9ap5tzs" timestamp="0"&gt;909&lt;/key&gt;&lt;/foreign-keys&gt;&lt;ref-type name="Journal Article"&gt;17&lt;/ref-type&gt;&lt;contributors&gt;&lt;authors&gt;&lt;author&gt;Sandin, SA&lt;/author&gt;&lt;author&gt;Sala, E&lt;/author&gt;&lt;/authors&gt;&lt;/contributors&gt;&lt;titles&gt;&lt;title&gt;Using successional theory to measure marine ecosystem health&lt;/title&gt;&lt;secondary-title&gt;Evolutionary Ecology&lt;/secondary-title&gt;&lt;/titles&gt;&lt;periodical&gt;&lt;full-title&gt;Evolutionary Ecology&lt;/full-title&gt;&lt;/periodical&gt;&lt;pages&gt;435-448&lt;/pages&gt;&lt;volume&gt;26&lt;/volume&gt;&lt;dates&gt;&lt;year&gt;2011&lt;/year&gt;&lt;/dates&gt;&lt;urls&gt;&lt;/urls&gt;&lt;/record&gt;&lt;/Cite&gt;&lt;Cite&gt;&lt;Author&gt;Sandin&lt;/Author&gt;&lt;Year&gt;2008&lt;/Year&gt;&lt;RecNum&gt;626&lt;/RecNum&gt;&lt;record&gt;&lt;rec-number&gt;626&lt;/rec-number&gt;&lt;foreign-keys&gt;&lt;key app="EN" db-id="z22srzs0n22z0kexss85d2af9pste9ap5tzs" timestamp="0"&gt;626&lt;/key&gt;&lt;/foreign-keys&gt;&lt;ref-type name="Journal Article"&gt;17&lt;/ref-type&gt;&lt;contributors&gt;&lt;authors&gt;&lt;author&gt;Sandin, SA&lt;/author&gt;&lt;author&gt;Smith, JE&lt;/author&gt;&lt;author&gt;Demartini, EE&lt;/author&gt;&lt;author&gt;Dinsdale, EA&lt;/author&gt;&lt;author&gt;Donner, SD&lt;/author&gt;&lt;author&gt;Friedlander, AM&lt;/author&gt;&lt;author&gt;Konotchick, T&lt;/author&gt;&lt;author&gt;Malay, M&lt;/author&gt;&lt;author&gt;Maragos, JE&lt;/author&gt;&lt;author&gt;Obura, D&lt;/author&gt;&lt;author&gt;Pantos, O&lt;/author&gt;&lt;author&gt;Paulay, G&lt;/author&gt;&lt;author&gt;Richie, M&lt;/author&gt;&lt;author&gt;Rohwer, F&lt;/author&gt;&lt;author&gt;Schroeder, RE&lt;/author&gt;&lt;author&gt;Walsh, S&lt;/author&gt;&lt;author&gt;Jackson JBC&lt;/author&gt;&lt;author&gt;Knowlton, N&lt;/author&gt;&lt;author&gt;Sala, E&lt;/author&gt;&lt;/authors&gt;&lt;/contributors&gt;&lt;titles&gt;&lt;title&gt;Baselines and degradation of coral reefs in the northern Line Islands&lt;/title&gt;&lt;secondary-title&gt;PLoS One&lt;/secondary-title&gt;&lt;/titles&gt;&lt;periodical&gt;&lt;full-title&gt;PLoS ONE&lt;/full-title&gt;&lt;/periodical&gt;&lt;volume&gt;3:e1548&lt;/volume&gt;&lt;dates&gt;&lt;year&gt;2008&lt;/year&gt;&lt;/dates&gt;&lt;urls&gt;&lt;/urls&gt;&lt;/record&gt;&lt;/Cite&gt;&lt;/EndNote&gt;</w:instrText>
      </w:r>
      <w:r>
        <w:rPr>
          <w:rFonts w:ascii="Baskerville" w:hAnsi="Baskerville"/>
        </w:rPr>
        <w:fldChar w:fldCharType="separate"/>
      </w:r>
      <w:r>
        <w:rPr>
          <w:rFonts w:ascii="Baskerville" w:hAnsi="Baskerville"/>
          <w:noProof/>
        </w:rPr>
        <w:t>(Sandin et al., 2008; Sandin and Sala, 2011)</w:t>
      </w:r>
      <w:r>
        <w:rPr>
          <w:rFonts w:ascii="Baskerville" w:hAnsi="Baskerville"/>
        </w:rPr>
        <w:fldChar w:fldCharType="end"/>
      </w:r>
      <w:r>
        <w:rPr>
          <w:rFonts w:ascii="Baskerville" w:hAnsi="Baskerville"/>
        </w:rPr>
        <w:t>]</w:t>
      </w:r>
      <w:r w:rsidRPr="00DD3B57">
        <w:rPr>
          <w:rFonts w:ascii="Baskerville" w:hAnsi="Baskerville"/>
        </w:rPr>
        <w:t>.</w:t>
      </w:r>
    </w:p>
    <w:p w:rsidR="007720F8" w:rsidRPr="00DD3B57" w:rsidRDefault="007720F8" w:rsidP="007720F8">
      <w:pPr>
        <w:spacing w:after="120" w:line="480" w:lineRule="auto"/>
        <w:rPr>
          <w:rFonts w:ascii="Baskerville" w:hAnsi="Baskerville"/>
        </w:rPr>
      </w:pPr>
      <w:r w:rsidRPr="00DD3B57">
        <w:rPr>
          <w:rFonts w:ascii="Baskerville" w:hAnsi="Baskerville"/>
        </w:rPr>
        <w:t xml:space="preserve">Our dataset included only </w:t>
      </w:r>
      <w:proofErr w:type="gramStart"/>
      <w:r w:rsidRPr="00DD3B57">
        <w:rPr>
          <w:rFonts w:ascii="Baskerville" w:hAnsi="Baskerville"/>
        </w:rPr>
        <w:t>studies which</w:t>
      </w:r>
      <w:proofErr w:type="gramEnd"/>
      <w:r w:rsidRPr="00DD3B57">
        <w:rPr>
          <w:rFonts w:ascii="Baskerville" w:hAnsi="Baskerville"/>
        </w:rPr>
        <w:t xml:space="preserve"> provided data for the biomass of fish assemblages in fully protected areas, partially protected areas, and open access areas. We used data from </w:t>
      </w:r>
      <w:r w:rsidRPr="00DD3B57">
        <w:rPr>
          <w:rFonts w:ascii="Baskerville" w:hAnsi="Baskerville"/>
        </w:rPr>
        <w:fldChar w:fldCharType="begin"/>
      </w:r>
      <w:r>
        <w:rPr>
          <w:rFonts w:ascii="Baskerville" w:hAnsi="Baskerville"/>
        </w:rPr>
        <w:instrText xml:space="preserve"> ADDIN EN.CITE &lt;EndNote&gt;&lt;Cite&gt;&lt;Author&gt;Friedlander&lt;/Author&gt;&lt;Year&gt;2002&lt;/Year&gt;&lt;RecNum&gt;377&lt;/RecNum&gt;&lt;DisplayText&gt;(Friedlander and DeMartini, 2002)&lt;/DisplayText&gt;&lt;record&gt;&lt;rec-number&gt;377&lt;/rec-number&gt;&lt;foreign-keys&gt;&lt;key app="EN" db-id="z22srzs0n22z0kexss85d2af9pste9ap5tzs" timestamp="0"&gt;377&lt;/key&gt;&lt;/foreign-keys&gt;&lt;ref-type name="Journal Article"&gt;17&lt;/ref-type&gt;&lt;contributors&gt;&lt;authors&gt;&lt;author&gt;Friedlander, A. M.&lt;/author&gt;&lt;author&gt;DeMartini, E. E.&lt;/author&gt;&lt;/authors&gt;&lt;/contributors&gt;&lt;titles&gt;&lt;title&gt;Contrasts in density, size, and biomass of reef fishes between the northwestern and the main Hawaiian islands: the effects of fishing down apex predators&lt;/title&gt;&lt;secondary-title&gt;Marine Ecology-Progress Series&lt;/secondary-title&gt;&lt;/titles&gt;&lt;pages&gt;253-264&lt;/pages&gt;&lt;volume&gt;230&lt;/volume&gt;&lt;dates&gt;&lt;year&gt;2002&lt;/year&gt;&lt;/dates&gt;&lt;accession-num&gt;ISI:000175588600022&lt;/accession-num&gt;&lt;urls&gt;&lt;related-urls&gt;&lt;url&gt;&amp;lt;Go to ISI&amp;gt;://000175588600022&lt;/url&gt;&lt;/related-urls&gt;&lt;/urls&gt;&lt;/record&gt;&lt;/Cite&gt;&lt;/EndNote&gt;</w:instrText>
      </w:r>
      <w:r w:rsidRPr="00DD3B57">
        <w:rPr>
          <w:rFonts w:ascii="Baskerville" w:hAnsi="Baskerville"/>
        </w:rPr>
        <w:fldChar w:fldCharType="separate"/>
      </w:r>
      <w:r>
        <w:rPr>
          <w:rFonts w:ascii="Baskerville" w:hAnsi="Baskerville"/>
          <w:noProof/>
        </w:rPr>
        <w:t>(Friedlander and DeMartini, 2002)</w:t>
      </w:r>
      <w:r w:rsidRPr="00DD3B57">
        <w:rPr>
          <w:rFonts w:ascii="Baskerville" w:hAnsi="Baskerville"/>
        </w:rPr>
        <w:fldChar w:fldCharType="end"/>
      </w:r>
      <w:r w:rsidRPr="00DD3B57">
        <w:rPr>
          <w:rFonts w:ascii="Baskerville" w:hAnsi="Baskerville"/>
        </w:rPr>
        <w:t xml:space="preserve">, </w:t>
      </w:r>
      <w:r w:rsidRPr="00DD3B57">
        <w:rPr>
          <w:rFonts w:ascii="Baskerville" w:hAnsi="Baskerville"/>
        </w:rPr>
        <w:fldChar w:fldCharType="begin"/>
      </w:r>
      <w:r>
        <w:rPr>
          <w:rFonts w:ascii="Baskerville" w:hAnsi="Baskerville"/>
        </w:rPr>
        <w:instrText xml:space="preserve"> ADDIN EN.CITE &lt;EndNote&gt;&lt;Cite&gt;&lt;Author&gt;Claudet&lt;/Author&gt;&lt;Year&gt;2008&lt;/Year&gt;&lt;RecNum&gt;1093&lt;/RecNum&gt;&lt;DisplayText&gt;(Claudet et al., 2008)&lt;/DisplayText&gt;&lt;record&gt;&lt;rec-number&gt;1093&lt;/rec-number&gt;&lt;foreign-keys&gt;&lt;key app="EN" db-id="z22srzs0n22z0kexss85d2af9pste9ap5tzs" time</w:instrText>
      </w:r>
      <w:r>
        <w:rPr>
          <w:rFonts w:ascii="Baskerville" w:hAnsi="Baskerville" w:hint="eastAsia"/>
        </w:rPr>
        <w:instrText>stamp="1487250673"&gt;1093&lt;/key&gt;&lt;/foreign-keys&gt;&lt;ref-type name="Journal Article"&gt;17&lt;/ref-type&gt;&lt;contributors&gt;&lt;authors&gt;&lt;author&gt;Claudet, Joachim&lt;/author&gt;&lt;author&gt;Osenberg, Craig W&lt;/author&gt;&lt;author&gt;Benedetti</w:instrText>
      </w:r>
      <w:r>
        <w:rPr>
          <w:rFonts w:ascii="Baskerville" w:hAnsi="Baskerville" w:hint="eastAsia"/>
        </w:rPr>
        <w:instrText>‐</w:instrText>
      </w:r>
      <w:r>
        <w:rPr>
          <w:rFonts w:ascii="Baskerville" w:hAnsi="Baskerville" w:hint="eastAsia"/>
        </w:rPr>
        <w:instrText>Cecchi, Lisandro&lt;/author&gt;&lt;author&gt;Domenici, Paolo&lt;/author&gt;&lt;author&gt;García</w:instrText>
      </w:r>
      <w:r>
        <w:rPr>
          <w:rFonts w:ascii="Baskerville" w:hAnsi="Baskerville" w:hint="eastAsia"/>
        </w:rPr>
        <w:instrText>‐</w:instrText>
      </w:r>
      <w:r>
        <w:rPr>
          <w:rFonts w:ascii="Baskerville" w:hAnsi="Baskerville" w:hint="eastAsia"/>
        </w:rPr>
        <w:instrText>Charton, José</w:instrText>
      </w:r>
      <w:r>
        <w:rPr>
          <w:rFonts w:ascii="Baskerville" w:hAnsi="Baskerville" w:hint="eastAsia"/>
        </w:rPr>
        <w:instrText>‐</w:instrText>
      </w:r>
      <w:r>
        <w:rPr>
          <w:rFonts w:ascii="Baskerville" w:hAnsi="Baskerville" w:hint="eastAsia"/>
        </w:rPr>
        <w:instrText>Antonio&lt;/author&gt;&lt;author&gt;Pérez</w:instrText>
      </w:r>
      <w:r>
        <w:rPr>
          <w:rFonts w:ascii="Baskerville" w:hAnsi="Baskerville" w:hint="eastAsia"/>
        </w:rPr>
        <w:instrText>‐</w:instrText>
      </w:r>
      <w:r>
        <w:rPr>
          <w:rFonts w:ascii="Baskerville" w:hAnsi="Baskerville" w:hint="eastAsia"/>
        </w:rPr>
        <w:instrText>Ruzafa, Ángel&lt;/author&gt;&lt;author&gt;Badalamenti, Fabio&lt;/author&gt;&lt;author&gt;Bayle</w:instrText>
      </w:r>
      <w:r>
        <w:rPr>
          <w:rFonts w:ascii="Baskerville" w:hAnsi="Baskerville" w:hint="eastAsia"/>
        </w:rPr>
        <w:instrText>‐</w:instrText>
      </w:r>
      <w:r>
        <w:rPr>
          <w:rFonts w:ascii="Baskerville" w:hAnsi="Baskerville" w:hint="eastAsia"/>
        </w:rPr>
        <w:instrText>Sempere, Just&lt;/author&gt;&lt;author&gt;Brito, Alberto&lt;/author&gt;&lt;author&gt;Bulleri, Fabio&lt;/author&gt;&lt;/authors&gt;&lt;/contributors&gt;&lt;titles&gt;&lt;title&gt;M</w:instrText>
      </w:r>
      <w:r>
        <w:rPr>
          <w:rFonts w:ascii="Baskerville" w:hAnsi="Baskerville"/>
        </w:rPr>
        <w:instrText>arine reserves: size and age do matter&lt;/title&gt;&lt;secondary-title&gt;</w:instrText>
      </w:r>
      <w:r w:rsidRPr="00AE47C7">
        <w:rPr>
          <w:rFonts w:ascii="Baskerville" w:hAnsi="Baskerville"/>
          <w:lang w:val="fr-FR"/>
        </w:rPr>
        <w:instrText>Ecology letters&lt;/secondary-title&gt;&lt;/titles&gt;&lt;periodical&gt;&lt;full-title&gt;Ecology letters&lt;/full-title&gt;&lt;/periodical&gt;&lt;pages&gt;481-489&lt;/pages&gt;&lt;volume&gt;11&lt;/volume&gt;&lt;number&gt;5&lt;/number&gt;&lt;dates&gt;&lt;year&gt;2008&lt;/year&gt;&lt;/dates&gt;&lt;isbn&gt;1461-0248&lt;/isbn&gt;&lt;urls&gt;&lt;/urls&gt;&lt;/record&gt;&lt;/Cite&gt;&lt;/EndNote&gt;</w:instrText>
      </w:r>
      <w:r w:rsidRPr="00DD3B57">
        <w:rPr>
          <w:rFonts w:ascii="Baskerville" w:hAnsi="Baskerville"/>
        </w:rPr>
        <w:fldChar w:fldCharType="separate"/>
      </w:r>
      <w:r w:rsidRPr="00AE47C7">
        <w:rPr>
          <w:rFonts w:ascii="Baskerville" w:hAnsi="Baskerville"/>
          <w:noProof/>
          <w:lang w:val="fr-FR"/>
        </w:rPr>
        <w:t>(Claudet et al., 2008)</w:t>
      </w:r>
      <w:r w:rsidRPr="00DD3B57">
        <w:rPr>
          <w:rFonts w:ascii="Baskerville" w:hAnsi="Baskerville"/>
        </w:rPr>
        <w:fldChar w:fldCharType="end"/>
      </w:r>
      <w:r w:rsidRPr="00AE47C7">
        <w:rPr>
          <w:rFonts w:ascii="Baskerville" w:hAnsi="Baskerville"/>
          <w:lang w:val="fr-FR"/>
        </w:rPr>
        <w:t xml:space="preserve">, </w:t>
      </w:r>
      <w:r w:rsidRPr="00DD3B57">
        <w:rPr>
          <w:rFonts w:ascii="Baskerville" w:hAnsi="Baskerville"/>
        </w:rPr>
        <w:fldChar w:fldCharType="begin"/>
      </w:r>
      <w:r w:rsidRPr="00AE47C7">
        <w:rPr>
          <w:rFonts w:ascii="Baskerville" w:hAnsi="Baskerville"/>
          <w:lang w:val="fr-FR"/>
        </w:rPr>
        <w:instrText xml:space="preserve"> ADDIN EN.CITE &lt;EndNote&gt;&lt;Cite&gt;&lt;Author&gt;Harmelin-Vivien&lt;/Author&gt;&lt;Year&gt;2008&lt;/Year&gt;&lt;RecNum&gt;1075&lt;/RecNum&gt;&lt;DisplayText&gt;(Harmelin-Vivien et al., 2008)&lt;/DisplayText&gt;&lt;record&gt;&lt;rec-number&gt;1075&lt;/rec-number&gt;&lt;foreign-keys&gt;&lt;key app="EN" db-id="z22srzs0n22z0kexss85d2af9pste9ap5tzs" timestamp="1468507671"&gt;1075&lt;/key&gt;&lt;/foreign-keys&gt;&lt;ref-type name="Journal Article"&gt;17&lt;/ref-type&gt;&lt;contributors&gt;&lt;authors&gt;&lt;author&gt;Harmelin-Vivien, Mireille&lt;/author&gt;&lt;author&gt;Le Diréach, Laurence&lt;/author&gt;&lt;author&gt;Bayle-Sempere, Just&lt;/author&gt;&lt;author&gt;Charbonnel, Eric&lt;/author&gt;&lt;author&gt;García-Charton, José Antonio&lt;/author&gt;&lt;author&gt;Ody, Denis&lt;/author&gt;&lt;author&gt;Pérez-Ruzafa, Angel&lt;/author&gt;&lt;author&gt;Reñones, Olga&lt;/author&gt;&lt;author&gt;Sánchez-Jerez, Pablo&lt;/author&gt;&lt;author&gt;Valle, Carlos&lt;/author&gt;&lt;/authors&gt;&lt;/contributors&gt;&lt;titles&gt;&lt;title&gt;Gradients of abundance and biomass across reserve boundaries in six Mediterranean marine protected areas: Evidence of fish spillover?&lt;/title&gt;&lt;secondary-title&gt;Biological conservation&lt;/secondary-title&gt;&lt;/titles&gt;&lt;periodical&gt;&lt;full-title&gt;Biological Conservation&lt;/full-title&gt;&lt;/periodical&gt;&lt;pages&gt;1829-1839&lt;/pages&gt;&lt;volume&gt;141&lt;/volume&gt;&lt;number&gt;7&lt;/number&gt;&lt;dates&gt;&lt;year&gt;2008&lt;/year&gt;&lt;/dates&gt;&lt;isbn&gt;0006-3207&lt;/isbn&gt;&lt;urls&gt;&lt;/urls&gt;&lt;/record&gt;&lt;/Cite&gt;&lt;/EndNote&gt;</w:instrText>
      </w:r>
      <w:r w:rsidRPr="00DD3B57">
        <w:rPr>
          <w:rFonts w:ascii="Baskerville" w:hAnsi="Baskerville"/>
        </w:rPr>
        <w:fldChar w:fldCharType="separate"/>
      </w:r>
      <w:r w:rsidRPr="00AE47C7">
        <w:rPr>
          <w:rFonts w:ascii="Baskerville" w:hAnsi="Baskerville"/>
          <w:noProof/>
          <w:lang w:val="fr-FR"/>
        </w:rPr>
        <w:t xml:space="preserve">(Harmelin-Vivien et al., </w:t>
      </w:r>
      <w:r w:rsidRPr="00AE47C7">
        <w:rPr>
          <w:rFonts w:ascii="Baskerville" w:hAnsi="Baskerville"/>
          <w:noProof/>
          <w:lang w:val="fr-FR"/>
        </w:rPr>
        <w:lastRenderedPageBreak/>
        <w:t>2008)</w:t>
      </w:r>
      <w:r w:rsidRPr="00DD3B57">
        <w:rPr>
          <w:rFonts w:ascii="Baskerville" w:hAnsi="Baskerville"/>
        </w:rPr>
        <w:fldChar w:fldCharType="end"/>
      </w:r>
      <w:r w:rsidRPr="00AE47C7">
        <w:rPr>
          <w:rFonts w:ascii="Baskerville" w:hAnsi="Baskerville"/>
          <w:lang w:val="fr-FR"/>
        </w:rPr>
        <w:t xml:space="preserve">, </w:t>
      </w:r>
      <w:r w:rsidRPr="00DD3B57">
        <w:rPr>
          <w:rFonts w:ascii="Baskerville" w:hAnsi="Baskerville"/>
        </w:rPr>
        <w:fldChar w:fldCharType="begin"/>
      </w:r>
      <w:r w:rsidRPr="00AE47C7">
        <w:rPr>
          <w:rFonts w:ascii="Baskerville" w:hAnsi="Baskerville"/>
          <w:lang w:val="fr-FR"/>
        </w:rPr>
        <w:instrText xml:space="preserve"> ADDIN EN.CITE &lt;EndNote&gt;&lt;Cite&gt;&lt;Author&gt;Aburto-Oropeza&lt;/Author&gt;&lt;Year&gt;2011&lt;/Year&gt;&lt;RecNum&gt;795&lt;/RecNum&gt;&lt;DisplayText&gt;(Aburto-Oropeza et al., 2011)&lt;/DisplayText&gt;&lt;record&gt;&lt;rec-number&gt;795&lt;/rec-number&gt;&lt;foreign-keys&gt;&lt;key app="EN" db-id="z22srzs0n22z0kexss85d2af9pste9ap5tzs" timestamp="0"&gt;795&lt;/key&gt;&lt;/foreign-keys&gt;&lt;ref-type name="Journal Article"&gt;17&lt;/ref-type&gt;&lt;contributors&gt;&lt;authors&gt;&lt;author&gt;Aburto-Oropeza, Octavio&lt;/author&gt;&lt;author&gt;Erisman, Brad&lt;/author&gt;&lt;author&gt;Galland, Grantly R.&lt;/author&gt;&lt;author&gt;Mascarenas-Osorio, Ismael&lt;/author&gt;&lt;author&gt;Sala, Enric&lt;/author&gt;&lt;author&gt;Ezcurra, Exequiel&lt;/author&gt;&lt;/authors&gt;&lt;/contributors&gt;&lt;titles&gt;&lt;title&gt;Large Recovery of Fish Biomass in a No-Take Marine Reserve&lt;/title&gt;&lt;secondary-title&gt;PLoS ONE&lt;/secondary-title&gt;&lt;/titles&gt;&lt;periodical&gt;&lt;full-title&gt;PLoS ONE&lt;/full-title&gt;&lt;/periodical&gt;&lt;pages&gt;e23601&lt;/pages&gt;&lt;volume&gt;6&lt;/volume&gt;&lt;number&gt;8&lt;/number&gt;&lt;dates&gt;&lt;year&gt;2011&lt;/year&gt;&lt;/dates&gt;&lt;publisher&gt;Public Library of Science&lt;/publisher&gt;&lt;urls&gt;&lt;related-urls&gt;&lt;url&gt;http://dx.doi.org/10.1371%2Fjournal.pone.0023601&lt;/url&gt;&lt;/related-urls&gt;&lt;/urls&gt;&lt;electronic-resource-num&gt;10.1371/journal.pone.0023601&lt;/electronic-resource-num&gt;&lt;/record&gt;&lt;/Cite&gt;&lt;/EndNote&gt;</w:instrText>
      </w:r>
      <w:r w:rsidRPr="00DD3B57">
        <w:rPr>
          <w:rFonts w:ascii="Baskerville" w:hAnsi="Baskerville"/>
        </w:rPr>
        <w:fldChar w:fldCharType="separate"/>
      </w:r>
      <w:r w:rsidRPr="00AE47C7">
        <w:rPr>
          <w:rFonts w:ascii="Baskerville" w:hAnsi="Baskerville"/>
          <w:noProof/>
          <w:lang w:val="fr-FR"/>
        </w:rPr>
        <w:t>(Aburto-Oropeza et al., 2011)</w:t>
      </w:r>
      <w:r w:rsidRPr="00DD3B57">
        <w:rPr>
          <w:rFonts w:ascii="Baskerville" w:hAnsi="Baskerville"/>
        </w:rPr>
        <w:fldChar w:fldCharType="end"/>
      </w:r>
      <w:r w:rsidRPr="00AE47C7">
        <w:rPr>
          <w:rFonts w:ascii="Baskerville" w:hAnsi="Baskerville"/>
          <w:lang w:val="fr-FR"/>
        </w:rPr>
        <w:t xml:space="preserve">, </w:t>
      </w:r>
      <w:r w:rsidRPr="00DD3B57">
        <w:rPr>
          <w:rFonts w:ascii="Baskerville" w:hAnsi="Baskerville"/>
        </w:rPr>
        <w:fldChar w:fldCharType="begin"/>
      </w:r>
      <w:r w:rsidRPr="00AE47C7">
        <w:rPr>
          <w:rFonts w:ascii="Baskerville" w:hAnsi="Baskerville"/>
          <w:lang w:val="fr-FR"/>
        </w:rPr>
        <w:instrText xml:space="preserve"> ADDIN EN.CITE &lt;EndNote&gt;&lt;Cite&gt;&lt;Author&gt;Garcia-Rubies&lt;/Author&gt;&lt;Year&gt;2013&lt;/Year&gt;&lt;RecNum&gt;946&lt;/RecNum&gt;&lt;DisplayText&gt;(Garcia-Rubies et al., 2013)&lt;/DisplayText&gt;&lt;record&gt;&lt;rec-number&gt;946&lt;/rec-number&gt;&lt;foreign-keys&gt;&lt;key app="EN" db-id="z22srzs0n22z0kexss85d2af9pste9ap5tzs" timestamp="1379527790"&gt;946&lt;/key&gt;&lt;/foreign-keys&gt;&lt;ref-type name="Journal Article"&gt;17&lt;/ref-type&gt;&lt;contributors&gt;&lt;authors&gt;&lt;author&gt;Garcia-Rubies, A&lt;/author&gt;&lt;author&gt;Hereu, Bernat&lt;/author&gt;&lt;author&gt;Zabala, Mikel&lt;/author&gt;&lt;/authors&gt;&lt;/contributors&gt;&lt;titles&gt;&lt;title&gt;Long-term recovery patterns and limited spillover of large predatory fish in a Mediterranean MPA&lt;/title&gt;&lt;secondary-title&gt;PLOS ONE&lt;/secondary-title&gt;&lt;/titles&gt;&lt;periodical&gt;&lt;full-title&gt;PLoS ONE&lt;/full-title&gt;&lt;/periodical&gt;&lt;volume&gt;8(9): e73922. doi:10.371/journal.pone.0073922&lt;/volume&gt;&lt;dates&gt;&lt;year&gt;2013&lt;/year&gt;&lt;/dates&gt;&lt;urls&gt;&lt;/urls&gt;&lt;/record&gt;&lt;/Cite&gt;&lt;/EndNote&gt;</w:instrText>
      </w:r>
      <w:r w:rsidRPr="00DD3B57">
        <w:rPr>
          <w:rFonts w:ascii="Baskerville" w:hAnsi="Baskerville"/>
        </w:rPr>
        <w:fldChar w:fldCharType="separate"/>
      </w:r>
      <w:r w:rsidRPr="00AE47C7">
        <w:rPr>
          <w:rFonts w:ascii="Baskerville" w:hAnsi="Baskerville"/>
          <w:noProof/>
          <w:lang w:val="fr-FR"/>
        </w:rPr>
        <w:t>(Garcia-Rubies et al., 2013)</w:t>
      </w:r>
      <w:r w:rsidRPr="00DD3B57">
        <w:rPr>
          <w:rFonts w:ascii="Baskerville" w:hAnsi="Baskerville"/>
        </w:rPr>
        <w:fldChar w:fldCharType="end"/>
      </w:r>
      <w:r w:rsidRPr="00AE47C7">
        <w:rPr>
          <w:rFonts w:ascii="Baskerville" w:hAnsi="Baskerville"/>
          <w:lang w:val="fr-FR"/>
        </w:rPr>
        <w:t xml:space="preserve">, </w:t>
      </w:r>
      <w:r w:rsidRPr="00DD3B57">
        <w:rPr>
          <w:rFonts w:ascii="Baskerville" w:hAnsi="Baskerville"/>
        </w:rPr>
        <w:fldChar w:fldCharType="begin"/>
      </w:r>
      <w:r w:rsidRPr="00AE47C7">
        <w:rPr>
          <w:rFonts w:ascii="Baskerville" w:hAnsi="Baskerville"/>
          <w:lang w:val="fr-FR"/>
        </w:rPr>
        <w:instrText xml:space="preserve"> ADDIN EN.CITE &lt;EndNote&gt;&lt;Cite&gt;&lt;Author&gt;Rife&lt;/Author&gt;&lt;Year&gt;2013&lt;/Year&gt;&lt;RecNum&gt;1094&lt;/RecNum&gt;&lt;DisplayText&gt;(Rife et al., 2013)&lt;/DisplayText&gt;&lt;record&gt;&lt;rec-number&gt;1094&lt;/rec-number&gt;&lt;foreign-keys&gt;&lt;key app="EN" db-id="z22srzs0n22z0kexss85d2af9pste9ap5tzs" timestamp="1487250783"&gt;1094&lt;/key&gt;&lt;/foreign-keys&gt;&lt;ref-type name="Journal Article"&gt;17&lt;/ref-type&gt;&lt;contributors&gt;&lt;authors&gt;&lt;author&gt;Rife, Alexis N&lt;/author&gt;&lt;author&gt;Aburto-Oropeza, Octavio&lt;/author&gt;&lt;author&gt;Hastings, Philip A&lt;/author&gt;&lt;author&gt;Erisman, Brad&lt;/author&gt;&lt;author&gt;Ballantyne, Ford&lt;/author&gt;&lt;author&gt;Wielgus, Jeffrey&lt;/author&gt;&lt;author&gt;Sala, Enric&lt;/aut</w:instrText>
      </w:r>
      <w:r w:rsidRPr="00AE47C7">
        <w:rPr>
          <w:rFonts w:ascii="Baskerville" w:hAnsi="Baskerville"/>
          <w:lang w:val="en-GB"/>
        </w:rPr>
        <w:instrText>hor&gt;&lt;author&gt;Gerber, Leah&lt;/author&gt;&lt;/authors&gt;&lt;/contributors&gt;&lt;titles&gt;&lt;title&gt;Long-term effectiveness of a multi-use marine protected area on reef fish assemblages and fisheries landings&lt;/title&gt;&lt;secondary-title&gt;Journal of environmental management&lt;/secondary-title&gt;&lt;/titles&gt;&lt;periodical&gt;&lt;full-title&gt;Journal of environmental management&lt;/full-title&gt;&lt;/periodical&gt;&lt;pages&gt;276-283&lt;/pages&gt;&lt;volume&gt;117&lt;/volume&gt;&lt;dates&gt;&lt;year&gt;2013&lt;/year&gt;&lt;/dates&gt;&lt;isbn&gt;0301-4797&lt;/isbn&gt;&lt;urls&gt;&lt;/urls&gt;&lt;/record&gt;&lt;/Cite&gt;&lt;/EndNote&gt;</w:instrText>
      </w:r>
      <w:r w:rsidRPr="00DD3B57">
        <w:rPr>
          <w:rFonts w:ascii="Baskerville" w:hAnsi="Baskerville"/>
        </w:rPr>
        <w:fldChar w:fldCharType="separate"/>
      </w:r>
      <w:r w:rsidRPr="00AE47C7">
        <w:rPr>
          <w:rFonts w:ascii="Baskerville" w:hAnsi="Baskerville"/>
          <w:noProof/>
          <w:lang w:val="en-GB"/>
        </w:rPr>
        <w:t>(Rife et al., 2013)</w:t>
      </w:r>
      <w:r w:rsidRPr="00DD3B57">
        <w:rPr>
          <w:rFonts w:ascii="Baskerville" w:hAnsi="Baskerville"/>
        </w:rPr>
        <w:fldChar w:fldCharType="end"/>
      </w:r>
      <w:r w:rsidRPr="00AE47C7">
        <w:rPr>
          <w:rFonts w:ascii="Baskerville" w:hAnsi="Baskerville"/>
          <w:lang w:val="en-GB"/>
        </w:rPr>
        <w:t xml:space="preserve">, </w:t>
      </w:r>
      <w:r w:rsidRPr="00DD3B57">
        <w:rPr>
          <w:rFonts w:ascii="Baskerville" w:hAnsi="Baskerville"/>
        </w:rPr>
        <w:fldChar w:fldCharType="begin"/>
      </w:r>
      <w:r w:rsidRPr="00AE47C7">
        <w:rPr>
          <w:rFonts w:ascii="Baskerville" w:hAnsi="Baskerville"/>
          <w:lang w:val="en-GB"/>
        </w:rPr>
        <w:instrText xml:space="preserve"> ADDIN EN.CITE &lt;EndNote&gt;&lt;Cite&gt;&lt;Author&gt;Friedlander&lt;/Author&gt;&lt;Year&gt;2014&lt;/Year&gt;&lt;RecNum&gt;1008&lt;/RecNum&gt;&lt;DisplayText&gt;(Friedlander et al., 2014)&lt;/DisplayText&gt;&lt;record&gt;&lt;rec-number&gt;1008&lt;/rec-number&gt;&lt;foreign-keys&gt;&lt;key app="EN" db-id="z22srzs0n22z0kexss85d2af9pste9ap5tzs" timestamp="1398537130"&gt;1008&lt;/key&gt;&lt;/foreign-keys&gt;&lt;ref-type name="Journal Article"&gt;17&lt;/ref-type&gt;&lt;contributors&gt;&lt;</w:instrText>
      </w:r>
      <w:r>
        <w:rPr>
          <w:rFonts w:ascii="Baskerville" w:hAnsi="Baskerville"/>
        </w:rPr>
        <w:instrText>authors&gt;&lt;author&gt;Friedlander, Alan M&lt;/author&gt;&lt;author&gt;Obura, David&lt;/author&gt;&lt;author&gt;Aumeeruddy, Riaz&lt;/author&gt;&lt;author&gt;Ballesteros, Enric&lt;/author&gt;&lt;author&gt;Church, Julie&lt;/author&gt;&lt;author&gt;Cebrian, Emma&lt;/author&gt;&lt;author&gt;Sala, Enric&lt;/author&gt;&lt;/authors&gt;&lt;/contributors&gt;&lt;titles&gt;&lt;title&gt;Coexistence of Low Coral Cover and High Fish Biomass at Farquhar Atoll, Seychelles&lt;/title&gt;&lt;secondary-title&gt;PLOS ONE&lt;/secondary-title&gt;&lt;/titles&gt;&lt;periodical&gt;&lt;full-title&gt;PLoS ONE&lt;/full-title&gt;&lt;/periodical&gt;&lt;pages&gt;e87359&lt;/pages&gt;&lt;volume&gt;9&lt;/volume&gt;&lt;number&gt;1&lt;/number&gt;&lt;dates&gt;&lt;year&gt;2014&lt;/year&gt;&lt;/dates&gt;&lt;isbn&gt;1932-6203&lt;/isbn&gt;&lt;urls&gt;&lt;/urls&gt;&lt;/record&gt;&lt;/Cite&gt;&lt;/EndNote&gt;</w:instrText>
      </w:r>
      <w:r w:rsidRPr="00DD3B57">
        <w:rPr>
          <w:rFonts w:ascii="Baskerville" w:hAnsi="Baskerville"/>
        </w:rPr>
        <w:fldChar w:fldCharType="separate"/>
      </w:r>
      <w:r>
        <w:rPr>
          <w:rFonts w:ascii="Baskerville" w:hAnsi="Baskerville"/>
          <w:noProof/>
        </w:rPr>
        <w:t>(Friedlander et al., 2014)</w:t>
      </w:r>
      <w:r w:rsidRPr="00DD3B57">
        <w:rPr>
          <w:rFonts w:ascii="Baskerville" w:hAnsi="Baskerville"/>
        </w:rPr>
        <w:fldChar w:fldCharType="end"/>
      </w:r>
      <w:r w:rsidRPr="00DD3B57">
        <w:rPr>
          <w:rFonts w:ascii="Baskerville" w:hAnsi="Baskerville"/>
        </w:rPr>
        <w:t xml:space="preserve">, Friedlander et al. (unpublished data), and </w:t>
      </w:r>
      <w:proofErr w:type="spellStart"/>
      <w:r w:rsidRPr="00DD3B57">
        <w:rPr>
          <w:rFonts w:ascii="Baskerville" w:hAnsi="Baskerville"/>
        </w:rPr>
        <w:t>Giakoumi</w:t>
      </w:r>
      <w:proofErr w:type="spellEnd"/>
      <w:r w:rsidRPr="00DD3B57">
        <w:rPr>
          <w:rFonts w:ascii="Baskerville" w:hAnsi="Baskerville"/>
        </w:rPr>
        <w:t xml:space="preserve"> et al. (in review).</w:t>
      </w:r>
    </w:p>
    <w:p w:rsidR="007720F8" w:rsidRPr="00DD3B57" w:rsidRDefault="007720F8" w:rsidP="007720F8">
      <w:pPr>
        <w:spacing w:after="120" w:line="480" w:lineRule="auto"/>
        <w:rPr>
          <w:rFonts w:ascii="Baskerville" w:hAnsi="Baskerville"/>
          <w:b/>
        </w:rPr>
      </w:pPr>
      <w:r w:rsidRPr="00DD3B57">
        <w:rPr>
          <w:rFonts w:ascii="Baskerville" w:hAnsi="Baskerville"/>
        </w:rPr>
        <w:t xml:space="preserve">To quantify the effect of protection, we calculated the effect size using the log-response ratio </w:t>
      </w:r>
      <w:proofErr w:type="spellStart"/>
      <w:r w:rsidRPr="00DD3B57">
        <w:rPr>
          <w:rFonts w:ascii="Baskerville" w:hAnsi="Baskerville"/>
        </w:rPr>
        <w:t>ln</w:t>
      </w:r>
      <w:proofErr w:type="spellEnd"/>
      <w:r w:rsidRPr="00DD3B57">
        <w:rPr>
          <w:rFonts w:ascii="Baskerville" w:hAnsi="Baskerville"/>
        </w:rPr>
        <w:t xml:space="preserve"> (</w:t>
      </w:r>
      <w:r w:rsidRPr="00DD3B57">
        <w:rPr>
          <w:rFonts w:ascii="Baskerville" w:hAnsi="Baskerville"/>
          <w:i/>
        </w:rPr>
        <w:t>X</w:t>
      </w:r>
      <w:r w:rsidRPr="00DD3B57">
        <w:rPr>
          <w:rFonts w:ascii="Baskerville" w:hAnsi="Baskerville"/>
          <w:i/>
          <w:vertAlign w:val="subscript"/>
        </w:rPr>
        <w:t>T</w:t>
      </w:r>
      <w:r w:rsidRPr="00DD3B57">
        <w:rPr>
          <w:rFonts w:ascii="Baskerville" w:hAnsi="Baskerville"/>
          <w:i/>
        </w:rPr>
        <w:t>/</w:t>
      </w:r>
      <w:proofErr w:type="spellStart"/>
      <w:r w:rsidRPr="00DD3B57">
        <w:rPr>
          <w:rFonts w:ascii="Baskerville" w:hAnsi="Baskerville"/>
          <w:i/>
        </w:rPr>
        <w:t>X</w:t>
      </w:r>
      <w:r w:rsidRPr="00DD3B57">
        <w:rPr>
          <w:rFonts w:ascii="Baskerville" w:hAnsi="Baskerville"/>
          <w:i/>
          <w:vertAlign w:val="subscript"/>
        </w:rPr>
        <w:t>c</w:t>
      </w:r>
      <w:proofErr w:type="spellEnd"/>
      <w:r w:rsidRPr="00DD3B57">
        <w:rPr>
          <w:rFonts w:ascii="Baskerville" w:hAnsi="Baskerville"/>
        </w:rPr>
        <w:t xml:space="preserve">), where </w:t>
      </w:r>
      <w:r w:rsidRPr="00DD3B57">
        <w:rPr>
          <w:rFonts w:ascii="Baskerville" w:hAnsi="Baskerville"/>
          <w:i/>
        </w:rPr>
        <w:t>X</w:t>
      </w:r>
      <w:r w:rsidRPr="00DD3B57">
        <w:rPr>
          <w:rFonts w:ascii="Baskerville" w:hAnsi="Baskerville"/>
          <w:i/>
          <w:vertAlign w:val="subscript"/>
        </w:rPr>
        <w:t xml:space="preserve">T </w:t>
      </w:r>
      <w:r w:rsidRPr="00DD3B57">
        <w:rPr>
          <w:rFonts w:ascii="Baskerville" w:hAnsi="Baskerville"/>
        </w:rPr>
        <w:t xml:space="preserve">and </w:t>
      </w:r>
      <w:proofErr w:type="spellStart"/>
      <w:r w:rsidRPr="00DD3B57">
        <w:rPr>
          <w:rFonts w:ascii="Baskerville" w:hAnsi="Baskerville"/>
          <w:i/>
        </w:rPr>
        <w:t>X</w:t>
      </w:r>
      <w:r w:rsidRPr="00DD3B57">
        <w:rPr>
          <w:rFonts w:ascii="Baskerville" w:hAnsi="Baskerville"/>
          <w:i/>
          <w:vertAlign w:val="subscript"/>
        </w:rPr>
        <w:t>c</w:t>
      </w:r>
      <w:proofErr w:type="spellEnd"/>
      <w:r w:rsidRPr="00DD3B57">
        <w:rPr>
          <w:rFonts w:ascii="Baskerville" w:hAnsi="Baskerville"/>
          <w:i/>
          <w:vertAlign w:val="subscript"/>
        </w:rPr>
        <w:t xml:space="preserve"> </w:t>
      </w:r>
      <w:r w:rsidRPr="00DD3B57">
        <w:rPr>
          <w:rFonts w:ascii="Baskerville" w:hAnsi="Baskerville"/>
        </w:rPr>
        <w:t>are the mean values of biomass inside (treatment site) and outside the MPA (control site), respectively. The variance associated with the effect size (</w:t>
      </w:r>
      <w:proofErr w:type="spellStart"/>
      <w:r w:rsidRPr="00DD3B57">
        <w:rPr>
          <w:rFonts w:ascii="Baskerville" w:hAnsi="Baskerville"/>
          <w:i/>
        </w:rPr>
        <w:t>v</w:t>
      </w:r>
      <w:r w:rsidRPr="00DD3B57">
        <w:rPr>
          <w:rFonts w:ascii="Baskerville" w:hAnsi="Baskerville"/>
          <w:i/>
          <w:vertAlign w:val="subscript"/>
        </w:rPr>
        <w:t>e</w:t>
      </w:r>
      <w:proofErr w:type="spellEnd"/>
      <w:r w:rsidRPr="00DD3B57">
        <w:rPr>
          <w:rFonts w:ascii="Baskerville" w:hAnsi="Baskerville"/>
        </w:rPr>
        <w:t>) is:</w:t>
      </w:r>
    </w:p>
    <w:p w:rsidR="007720F8" w:rsidRPr="00DD3B57" w:rsidRDefault="007720F8" w:rsidP="007720F8">
      <w:pPr>
        <w:spacing w:after="120" w:line="480" w:lineRule="auto"/>
        <w:jc w:val="center"/>
        <w:rPr>
          <w:rFonts w:ascii="Baskerville" w:hAnsi="Baskerville"/>
        </w:rPr>
      </w:pPr>
      <w:proofErr w:type="spellStart"/>
      <w:proofErr w:type="gramStart"/>
      <w:r w:rsidRPr="00DD3B57">
        <w:rPr>
          <w:rFonts w:ascii="Baskerville" w:hAnsi="Baskerville"/>
          <w:i/>
        </w:rPr>
        <w:t>v</w:t>
      </w:r>
      <w:r w:rsidRPr="00DD3B57">
        <w:rPr>
          <w:rFonts w:ascii="Baskerville" w:hAnsi="Baskerville"/>
          <w:i/>
          <w:vertAlign w:val="subscript"/>
        </w:rPr>
        <w:t>e</w:t>
      </w:r>
      <w:proofErr w:type="spellEnd"/>
      <w:proofErr w:type="gramEnd"/>
      <w:r w:rsidRPr="00DD3B57">
        <w:rPr>
          <w:rFonts w:ascii="Baskerville" w:hAnsi="Baskerville"/>
        </w:rP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2</m:t>
            </m:r>
          </m:num>
          <m:den>
            <m:sSub>
              <m:sSubPr>
                <m:ctrlPr>
                  <w:rPr>
                    <w:rFonts w:ascii="Cambria Math" w:hAnsi="Cambria Math"/>
                    <w:i/>
                  </w:rPr>
                </m:ctrlPr>
              </m:sSubPr>
              <m:e>
                <m:r>
                  <w:rPr>
                    <w:rFonts w:ascii="Cambria Math" w:hAnsi="Cambria Math"/>
                  </w:rPr>
                  <m:t>N</m:t>
                </m:r>
              </m:e>
              <m:sub>
                <m:r>
                  <w:rPr>
                    <w:rFonts w:ascii="Cambria Math" w:hAnsi="Cambria Math"/>
                  </w:rPr>
                  <m:t xml:space="preserve">T </m:t>
                </m:r>
              </m:sub>
            </m:sSub>
            <m:sSubSup>
              <m:sSubSupPr>
                <m:ctrlPr>
                  <w:rPr>
                    <w:rFonts w:ascii="Cambria Math" w:hAnsi="Cambria Math"/>
                    <w:i/>
                  </w:rPr>
                </m:ctrlPr>
              </m:sSubSupPr>
              <m:e>
                <m:r>
                  <w:rPr>
                    <w:rFonts w:ascii="Cambria Math" w:hAnsi="Cambria Math"/>
                  </w:rPr>
                  <m:t>X</m:t>
                </m:r>
              </m:e>
              <m:sub>
                <m:r>
                  <w:rPr>
                    <w:rFonts w:ascii="Cambria Math" w:hAnsi="Cambria Math"/>
                  </w:rPr>
                  <m:t>T</m:t>
                </m:r>
              </m:sub>
              <m:sup>
                <m:r>
                  <w:rPr>
                    <w:rFonts w:ascii="Cambria Math" w:hAnsi="Cambria Math"/>
                  </w:rPr>
                  <m:t>2</m:t>
                </m:r>
              </m:sup>
            </m:sSubSup>
          </m:den>
        </m:f>
      </m:oMath>
      <w:r w:rsidRPr="00DD3B57">
        <w:rPr>
          <w:rFonts w:ascii="Baskerville" w:hAnsi="Baskerville"/>
        </w:rPr>
        <w:t xml:space="preserve"> + </w:t>
      </w:r>
      <m:oMath>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C</m:t>
                </m:r>
              </m:sub>
            </m:sSub>
            <m:r>
              <w:rPr>
                <w:rFonts w:ascii="Cambria Math" w:hAnsi="Cambria Math"/>
              </w:rPr>
              <m:t>2</m:t>
            </m:r>
          </m:num>
          <m:den>
            <m:sSub>
              <m:sSubPr>
                <m:ctrlPr>
                  <w:rPr>
                    <w:rFonts w:ascii="Cambria Math" w:hAnsi="Cambria Math"/>
                    <w:i/>
                  </w:rPr>
                </m:ctrlPr>
              </m:sSubPr>
              <m:e>
                <m:r>
                  <w:rPr>
                    <w:rFonts w:ascii="Cambria Math" w:hAnsi="Cambria Math"/>
                  </w:rPr>
                  <m:t>N</m:t>
                </m:r>
              </m:e>
              <m:sub>
                <m:r>
                  <w:rPr>
                    <w:rFonts w:ascii="Cambria Math" w:hAnsi="Cambria Math"/>
                  </w:rPr>
                  <m:t xml:space="preserve">C </m:t>
                </m:r>
              </m:sub>
            </m:sSub>
            <m:sSubSup>
              <m:sSubSupPr>
                <m:ctrlPr>
                  <w:rPr>
                    <w:rFonts w:ascii="Cambria Math" w:hAnsi="Cambria Math"/>
                    <w:i/>
                  </w:rPr>
                </m:ctrlPr>
              </m:sSubSupPr>
              <m:e>
                <m:r>
                  <w:rPr>
                    <w:rFonts w:ascii="Cambria Math" w:hAnsi="Cambria Math"/>
                  </w:rPr>
                  <m:t>X</m:t>
                </m:r>
              </m:e>
              <m:sub>
                <m:r>
                  <w:rPr>
                    <w:rFonts w:ascii="Cambria Math" w:hAnsi="Cambria Math"/>
                  </w:rPr>
                  <m:t>C</m:t>
                </m:r>
              </m:sub>
              <m:sup>
                <m:r>
                  <w:rPr>
                    <w:rFonts w:ascii="Cambria Math" w:hAnsi="Cambria Math"/>
                  </w:rPr>
                  <m:t>2</m:t>
                </m:r>
              </m:sup>
            </m:sSubSup>
          </m:den>
        </m:f>
      </m:oMath>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t xml:space="preserve">                                   (1)</w:t>
      </w:r>
    </w:p>
    <w:p w:rsidR="007720F8" w:rsidRPr="00DD3B57" w:rsidRDefault="007720F8" w:rsidP="007720F8">
      <w:pPr>
        <w:spacing w:after="120" w:line="480" w:lineRule="auto"/>
        <w:rPr>
          <w:rFonts w:ascii="Baskerville" w:hAnsi="Baskerville"/>
        </w:rPr>
      </w:pPr>
      <w:proofErr w:type="gramStart"/>
      <w:r w:rsidRPr="00DD3B57">
        <w:rPr>
          <w:rFonts w:ascii="Baskerville" w:hAnsi="Baskerville"/>
        </w:rPr>
        <w:t>where</w:t>
      </w:r>
      <w:proofErr w:type="gramEnd"/>
      <w:r w:rsidRPr="00DD3B57">
        <w:rPr>
          <w:rFonts w:ascii="Baskerville" w:hAnsi="Baskerville"/>
        </w:rPr>
        <w:t xml:space="preserve"> </w:t>
      </w:r>
      <w:r w:rsidRPr="00DD3B57">
        <w:rPr>
          <w:rFonts w:ascii="Baskerville" w:hAnsi="Baskerville"/>
          <w:i/>
        </w:rPr>
        <w:t>S</w:t>
      </w:r>
      <w:r w:rsidRPr="00DD3B57">
        <w:rPr>
          <w:rFonts w:ascii="Baskerville" w:hAnsi="Baskerville"/>
          <w:i/>
          <w:vertAlign w:val="subscript"/>
        </w:rPr>
        <w:t>T</w:t>
      </w:r>
      <w:r w:rsidRPr="00DD3B57">
        <w:rPr>
          <w:rFonts w:ascii="Baskerville" w:hAnsi="Baskerville"/>
        </w:rPr>
        <w:t xml:space="preserve"> and </w:t>
      </w:r>
      <w:r w:rsidRPr="00DD3B57">
        <w:rPr>
          <w:rFonts w:ascii="Baskerville" w:hAnsi="Baskerville"/>
          <w:i/>
        </w:rPr>
        <w:t>N</w:t>
      </w:r>
      <w:r w:rsidRPr="00DD3B57">
        <w:rPr>
          <w:rFonts w:ascii="Baskerville" w:hAnsi="Baskerville"/>
          <w:i/>
          <w:vertAlign w:val="subscript"/>
        </w:rPr>
        <w:t xml:space="preserve">T </w:t>
      </w:r>
      <w:r w:rsidRPr="00DD3B57">
        <w:rPr>
          <w:rFonts w:ascii="Baskerville" w:hAnsi="Baskerville"/>
        </w:rPr>
        <w:t xml:space="preserve">are the standard deviation and sample size of the variable estimated inside the MPA and </w:t>
      </w:r>
      <w:proofErr w:type="spellStart"/>
      <w:r w:rsidRPr="00DD3B57">
        <w:rPr>
          <w:rFonts w:ascii="Baskerville" w:hAnsi="Baskerville"/>
          <w:i/>
        </w:rPr>
        <w:t>S</w:t>
      </w:r>
      <w:r w:rsidRPr="00DD3B57">
        <w:rPr>
          <w:rFonts w:ascii="Baskerville" w:hAnsi="Baskerville"/>
          <w:i/>
          <w:vertAlign w:val="subscript"/>
        </w:rPr>
        <w:t>C</w:t>
      </w:r>
      <w:r w:rsidRPr="00DD3B57">
        <w:rPr>
          <w:rFonts w:ascii="Baskerville" w:hAnsi="Baskerville"/>
        </w:rPr>
        <w:t>and</w:t>
      </w:r>
      <w:proofErr w:type="spellEnd"/>
      <w:r w:rsidRPr="00DD3B57">
        <w:rPr>
          <w:rFonts w:ascii="Baskerville" w:hAnsi="Baskerville"/>
        </w:rPr>
        <w:t xml:space="preserve"> </w:t>
      </w:r>
      <w:proofErr w:type="spellStart"/>
      <w:r w:rsidRPr="00DD3B57">
        <w:rPr>
          <w:rFonts w:ascii="Baskerville" w:hAnsi="Baskerville"/>
          <w:i/>
        </w:rPr>
        <w:t>N</w:t>
      </w:r>
      <w:r w:rsidRPr="00DD3B57">
        <w:rPr>
          <w:rFonts w:ascii="Baskerville" w:hAnsi="Baskerville"/>
          <w:i/>
          <w:vertAlign w:val="subscript"/>
        </w:rPr>
        <w:t>C</w:t>
      </w:r>
      <w:r w:rsidRPr="00DD3B57">
        <w:rPr>
          <w:rFonts w:ascii="Baskerville" w:hAnsi="Baskerville"/>
        </w:rPr>
        <w:t>the</w:t>
      </w:r>
      <w:proofErr w:type="spellEnd"/>
      <w:r w:rsidRPr="00DD3B57">
        <w:rPr>
          <w:rFonts w:ascii="Baskerville" w:hAnsi="Baskerville"/>
        </w:rPr>
        <w:t xml:space="preserve"> standard deviation and sample size outside the MPA. </w:t>
      </w:r>
    </w:p>
    <w:p w:rsidR="007720F8" w:rsidRPr="00DD3B57" w:rsidRDefault="007720F8" w:rsidP="007720F8">
      <w:pPr>
        <w:spacing w:after="120" w:line="480" w:lineRule="auto"/>
        <w:rPr>
          <w:rFonts w:ascii="Baskerville" w:hAnsi="Baskerville"/>
        </w:rPr>
      </w:pPr>
      <w:r w:rsidRPr="00DD3B57">
        <w:rPr>
          <w:rFonts w:ascii="Baskerville" w:hAnsi="Baskerville"/>
        </w:rPr>
        <w:t>Effect sizes for fish assemblages were estimated both for no-take vs. fished areas, partially protected vs. fished areas, and no-take vs. partially protected.</w:t>
      </w:r>
    </w:p>
    <w:p w:rsidR="007720F8" w:rsidRPr="00DD3B57" w:rsidRDefault="007720F8" w:rsidP="007720F8">
      <w:pPr>
        <w:spacing w:after="120" w:line="480" w:lineRule="auto"/>
        <w:rPr>
          <w:rFonts w:ascii="Baskerville" w:hAnsi="Baskerville"/>
        </w:rPr>
      </w:pPr>
      <w:r w:rsidRPr="00DD3B57">
        <w:rPr>
          <w:rFonts w:ascii="Baskerville" w:hAnsi="Baskerville"/>
        </w:rPr>
        <w:t>Effect sizes were weighted to ensure greater contribution of the most robust studies. We used the inverse of the sum of the within study variances (</w:t>
      </w:r>
      <w:proofErr w:type="spellStart"/>
      <w:r w:rsidRPr="00DD3B57">
        <w:rPr>
          <w:rFonts w:ascii="Baskerville" w:hAnsi="Baskerville"/>
          <w:i/>
        </w:rPr>
        <w:t>w</w:t>
      </w:r>
      <w:r w:rsidRPr="00DD3B57">
        <w:rPr>
          <w:rFonts w:ascii="Baskerville" w:hAnsi="Baskerville"/>
          <w:i/>
          <w:vertAlign w:val="subscript"/>
        </w:rPr>
        <w:t>i</w:t>
      </w:r>
      <w:proofErr w:type="spellEnd"/>
      <w:r w:rsidRPr="00DD3B57">
        <w:rPr>
          <w:rFonts w:ascii="Baskerville" w:hAnsi="Baskerville"/>
        </w:rPr>
        <w:t>) with the among-study variance:</w:t>
      </w:r>
    </w:p>
    <w:p w:rsidR="007720F8" w:rsidRPr="00DD3B57" w:rsidRDefault="007720F8" w:rsidP="007720F8">
      <w:pPr>
        <w:spacing w:after="120" w:line="480" w:lineRule="auto"/>
        <w:rPr>
          <w:rFonts w:ascii="Baskerville" w:hAnsi="Baskerville"/>
        </w:rPr>
      </w:pPr>
      <m:oMath>
        <m:sSub>
          <m:sSubPr>
            <m:ctrlPr>
              <w:rPr>
                <w:rFonts w:ascii="Cambria Math" w:hAnsi="Cambria Math"/>
                <w:i/>
              </w:rPr>
            </m:ctrlPr>
          </m:sSubPr>
          <m:e>
            <m:r>
              <w:rPr>
                <w:rFonts w:ascii="Cambria Math" w:hAnsi="Cambria Math"/>
              </w:rPr>
              <m:t>w</m:t>
            </m:r>
          </m:e>
          <m:sub>
            <m:r>
              <w:rPr>
                <w:rFonts w:ascii="Cambria Math" w:hAnsi="Cambria Math"/>
              </w:rPr>
              <m:t xml:space="preserve">i </m:t>
            </m:r>
          </m:sub>
        </m:sSub>
        <m:r>
          <w:rPr>
            <w:rFonts w:ascii="Cambria Math" w:hAnsi="Cambria Math"/>
          </w:rPr>
          <m:t xml:space="preserve">= </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e</m:t>
                    </m:r>
                  </m:e>
                  <m:sub>
                    <m:r>
                      <w:rPr>
                        <w:rFonts w:ascii="Cambria Math" w:hAnsi="Cambria Math"/>
                      </w:rPr>
                      <m:t>i</m:t>
                    </m:r>
                  </m:sub>
                </m:sSub>
              </m:sub>
            </m:sSub>
          </m:den>
        </m:f>
      </m:oMath>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t xml:space="preserve">      (2)</w:t>
      </w:r>
    </w:p>
    <w:p w:rsidR="007720F8" w:rsidRPr="00DD3B57" w:rsidRDefault="007720F8" w:rsidP="007720F8">
      <w:pPr>
        <w:spacing w:after="120" w:line="480" w:lineRule="auto"/>
        <w:rPr>
          <w:rFonts w:ascii="Baskerville" w:hAnsi="Baskerville"/>
        </w:rPr>
      </w:pPr>
      <w:r w:rsidRPr="00DD3B57">
        <w:rPr>
          <w:rFonts w:ascii="Baskerville" w:hAnsi="Baskerville"/>
        </w:rPr>
        <w:t>The overall effect size (</w:t>
      </w:r>
      <w:r w:rsidRPr="00DD3B57">
        <w:rPr>
          <w:rFonts w:ascii="Baskerville" w:hAnsi="Baskerville"/>
          <w:i/>
        </w:rPr>
        <w:t>E</w:t>
      </w:r>
      <w:r w:rsidRPr="00DD3B57">
        <w:rPr>
          <w:rFonts w:ascii="Baskerville" w:hAnsi="Baskerville"/>
        </w:rPr>
        <w:t>) was calculated as:</w:t>
      </w:r>
    </w:p>
    <w:p w:rsidR="007720F8" w:rsidRPr="00DD3B57" w:rsidRDefault="007720F8" w:rsidP="007720F8">
      <w:pPr>
        <w:spacing w:after="120" w:line="480" w:lineRule="auto"/>
        <w:rPr>
          <w:rFonts w:ascii="Baskerville" w:hAnsi="Baskerville"/>
        </w:rPr>
      </w:pPr>
      <m:oMath>
        <m:r>
          <w:rPr>
            <w:rFonts w:ascii="Cambria Math" w:hAnsi="Cambria Math"/>
          </w:rPr>
          <m:t xml:space="preserve">E= </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e</m:t>
                    </m:r>
                  </m:e>
                  <m:sub>
                    <m:r>
                      <w:rPr>
                        <w:rFonts w:ascii="Cambria Math" w:hAnsi="Cambria Math"/>
                      </w:rPr>
                      <m:t>i</m:t>
                    </m:r>
                  </m:sub>
                </m:sSub>
              </m:e>
            </m:nary>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e>
            </m:nary>
          </m:den>
        </m:f>
      </m:oMath>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t xml:space="preserve">                    (3)</w:t>
      </w:r>
    </w:p>
    <w:p w:rsidR="007720F8" w:rsidRPr="00DD3B57" w:rsidRDefault="007720F8" w:rsidP="007720F8">
      <w:pPr>
        <w:spacing w:after="120" w:line="480" w:lineRule="auto"/>
        <w:rPr>
          <w:rFonts w:ascii="Baskerville" w:hAnsi="Baskerville"/>
        </w:rPr>
      </w:pPr>
      <w:r w:rsidRPr="00DD3B57">
        <w:rPr>
          <w:rFonts w:ascii="Baskerville" w:hAnsi="Baskerville"/>
        </w:rPr>
        <w:t xml:space="preserve">The variance of </w:t>
      </w:r>
      <w:r w:rsidRPr="00DD3B57">
        <w:rPr>
          <w:rFonts w:ascii="Baskerville" w:hAnsi="Baskerville"/>
          <w:i/>
        </w:rPr>
        <w:t>E</w:t>
      </w:r>
      <w:r w:rsidRPr="00DD3B57">
        <w:rPr>
          <w:rFonts w:ascii="Baskerville" w:hAnsi="Baskerville"/>
        </w:rPr>
        <w:t xml:space="preserve"> was calculated as </w:t>
      </w:r>
    </w:p>
    <w:p w:rsidR="007720F8" w:rsidRPr="00DD3B57" w:rsidRDefault="007720F8" w:rsidP="007720F8">
      <w:pPr>
        <w:spacing w:after="120" w:line="480" w:lineRule="auto"/>
        <w:rPr>
          <w:rFonts w:ascii="Baskerville" w:hAnsi="Baskerville"/>
        </w:rPr>
      </w:pPr>
      <m:oMath>
        <m:sSubSup>
          <m:sSubSupPr>
            <m:ctrlPr>
              <w:rPr>
                <w:rFonts w:ascii="Cambria Math" w:hAnsi="Cambria Math"/>
                <w:i/>
              </w:rPr>
            </m:ctrlPr>
          </m:sSubSupPr>
          <m:e>
            <m:r>
              <w:rPr>
                <w:rFonts w:ascii="Cambria Math" w:hAnsi="Cambria Math"/>
              </w:rPr>
              <m:t>S</m:t>
            </m:r>
          </m:e>
          <m:sub>
            <m:r>
              <w:rPr>
                <w:rFonts w:ascii="Cambria Math" w:hAnsi="Cambria Math"/>
              </w:rPr>
              <m:t>E</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1</m:t>
            </m:r>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e>
            </m:nary>
          </m:den>
        </m:f>
      </m:oMath>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t xml:space="preserve">     (4)</w:t>
      </w:r>
    </w:p>
    <w:p w:rsidR="007720F8" w:rsidRPr="00DD3B57" w:rsidRDefault="007720F8" w:rsidP="007720F8">
      <w:pPr>
        <w:spacing w:after="120" w:line="480" w:lineRule="auto"/>
        <w:rPr>
          <w:rFonts w:ascii="Baskerville" w:hAnsi="Baskerville"/>
        </w:rPr>
      </w:pPr>
      <w:proofErr w:type="gramStart"/>
      <w:r w:rsidRPr="00DD3B57">
        <w:rPr>
          <w:rFonts w:ascii="Baskerville" w:hAnsi="Baskerville"/>
        </w:rPr>
        <w:t>and</w:t>
      </w:r>
      <w:proofErr w:type="gramEnd"/>
      <w:r w:rsidRPr="00DD3B57">
        <w:rPr>
          <w:rFonts w:ascii="Baskerville" w:hAnsi="Baskerville"/>
        </w:rPr>
        <w:t xml:space="preserve"> its 95% confidence interval as </w:t>
      </w:r>
    </w:p>
    <w:p w:rsidR="007720F8" w:rsidRPr="00DD3B57" w:rsidRDefault="007720F8" w:rsidP="007720F8">
      <w:pPr>
        <w:spacing w:after="120" w:line="480" w:lineRule="auto"/>
        <w:rPr>
          <w:rFonts w:ascii="Baskerville" w:hAnsi="Baskerville"/>
        </w:rPr>
      </w:pPr>
      <m:oMath>
        <m:r>
          <w:rPr>
            <w:rFonts w:ascii="Cambria Math" w:hAnsi="Cambria Math"/>
          </w:rPr>
          <m:t>CI=E±</m:t>
        </m:r>
        <m:sSub>
          <m:sSubPr>
            <m:ctrlPr>
              <w:rPr>
                <w:rFonts w:ascii="Cambria Math" w:hAnsi="Cambria Math"/>
                <w:i/>
              </w:rPr>
            </m:ctrlPr>
          </m:sSubPr>
          <m:e>
            <m:r>
              <w:rPr>
                <w:rFonts w:ascii="Cambria Math" w:hAnsi="Cambria Math"/>
              </w:rPr>
              <m:t>t</m:t>
            </m:r>
          </m:e>
          <m:sub>
            <m:r>
              <w:rPr>
                <w:rFonts w:ascii="Cambria Math" w:hAnsi="Cambria Math"/>
              </w:rPr>
              <m:t>a/2</m:t>
            </m:r>
            <m:d>
              <m:dPr>
                <m:ctrlPr>
                  <w:rPr>
                    <w:rFonts w:ascii="Cambria Math" w:hAnsi="Cambria Math"/>
                    <w:i/>
                  </w:rPr>
                </m:ctrlPr>
              </m:dPr>
              <m:e>
                <m:r>
                  <w:rPr>
                    <w:rFonts w:ascii="Cambria Math" w:hAnsi="Cambria Math"/>
                  </w:rPr>
                  <m:t>n-1</m:t>
                </m:r>
              </m:e>
            </m:d>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E</m:t>
            </m:r>
          </m:sub>
        </m:sSub>
      </m:oMath>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t xml:space="preserve">     (5)</w:t>
      </w:r>
    </w:p>
    <w:p w:rsidR="007720F8" w:rsidRPr="00DD3B57" w:rsidRDefault="007720F8" w:rsidP="007720F8">
      <w:pPr>
        <w:spacing w:after="120" w:line="480" w:lineRule="auto"/>
        <w:rPr>
          <w:rFonts w:ascii="Baskerville" w:hAnsi="Baskerville"/>
        </w:rPr>
      </w:pPr>
      <w:proofErr w:type="gramStart"/>
      <w:r w:rsidRPr="00DD3B57">
        <w:rPr>
          <w:rFonts w:ascii="Baskerville" w:hAnsi="Baskerville"/>
        </w:rPr>
        <w:t>where</w:t>
      </w:r>
      <w:proofErr w:type="gramEnd"/>
      <w:r w:rsidRPr="00DD3B57">
        <w:rPr>
          <w:rFonts w:ascii="Baskerville" w:hAnsi="Baskerville"/>
        </w:rPr>
        <w:t> </w:t>
      </w:r>
      <w:r w:rsidRPr="00DD3B57">
        <w:rPr>
          <w:rFonts w:ascii="Baskerville" w:hAnsi="Baskerville"/>
          <w:i/>
        </w:rPr>
        <w:t>t</w:t>
      </w:r>
      <w:r w:rsidRPr="00DD3B57">
        <w:rPr>
          <w:rFonts w:ascii="Baskerville" w:hAnsi="Baskerville"/>
        </w:rPr>
        <w:t> is a critical value determined from the </w:t>
      </w:r>
      <w:r w:rsidRPr="00DD3B57">
        <w:rPr>
          <w:rFonts w:ascii="Baskerville" w:hAnsi="Baskerville"/>
          <w:i/>
        </w:rPr>
        <w:t>t</w:t>
      </w:r>
      <w:r w:rsidRPr="00DD3B57">
        <w:rPr>
          <w:rFonts w:ascii="Baskerville" w:hAnsi="Baskerville"/>
          <w:i/>
          <w:vertAlign w:val="subscript"/>
        </w:rPr>
        <w:t>n-1</w:t>
      </w:r>
      <w:r w:rsidRPr="00DD3B57">
        <w:rPr>
          <w:rFonts w:ascii="Baskerville" w:hAnsi="Baskerville"/>
          <w:vertAlign w:val="subscript"/>
        </w:rPr>
        <w:t> </w:t>
      </w:r>
      <w:r w:rsidRPr="00DD3B57">
        <w:rPr>
          <w:rFonts w:ascii="Baskerville" w:hAnsi="Baskerville"/>
        </w:rPr>
        <w:t xml:space="preserve">distribution. The effect sizes were considered to be significantly different from zero if their confidence interval did not overlap zero. </w:t>
      </w:r>
    </w:p>
    <w:p w:rsidR="007720F8" w:rsidRPr="00DD3B57" w:rsidRDefault="007720F8" w:rsidP="007720F8">
      <w:pPr>
        <w:spacing w:after="120" w:line="480" w:lineRule="auto"/>
        <w:rPr>
          <w:rFonts w:ascii="Baskerville" w:hAnsi="Baskerville"/>
        </w:rPr>
      </w:pPr>
      <w:r w:rsidRPr="00DD3B57">
        <w:rPr>
          <w:rFonts w:ascii="Baskerville" w:hAnsi="Baskerville"/>
        </w:rPr>
        <w:t>To detect whether there was a significant heterogeneity in the effect sizes, we calculated the total heterogeneity (Q</w:t>
      </w:r>
      <w:r w:rsidRPr="00DD3B57">
        <w:rPr>
          <w:rFonts w:ascii="Baskerville" w:hAnsi="Baskerville"/>
          <w:vertAlign w:val="subscript"/>
        </w:rPr>
        <w:t>T</w:t>
      </w:r>
      <w:r w:rsidRPr="00DD3B57">
        <w:rPr>
          <w:rFonts w:ascii="Baskerville" w:hAnsi="Baskerville"/>
        </w:rPr>
        <w:t>)</w:t>
      </w:r>
    </w:p>
    <w:p w:rsidR="007720F8" w:rsidRPr="00DD3B57" w:rsidRDefault="007720F8" w:rsidP="007720F8">
      <w:pPr>
        <w:spacing w:after="120" w:line="480" w:lineRule="auto"/>
        <w:rPr>
          <w:rFonts w:ascii="Baskerville" w:hAnsi="Baskerville"/>
        </w:rPr>
      </w:pPr>
      <m:oMath>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e>
        </m:nary>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 xml:space="preserve">i </m:t>
                    </m:r>
                  </m:sub>
                </m:sSub>
                <m:r>
                  <w:rPr>
                    <w:rFonts w:ascii="Cambria Math" w:hAnsi="Cambria Math"/>
                  </w:rPr>
                  <m:t>-E</m:t>
                </m:r>
              </m:e>
            </m:d>
          </m:e>
          <m:sup>
            <m:r>
              <w:rPr>
                <w:rFonts w:ascii="Cambria Math" w:hAnsi="Cambria Math"/>
              </w:rPr>
              <m:t>2</m:t>
            </m:r>
          </m:sup>
        </m:sSup>
      </m:oMath>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t xml:space="preserve">      (6)</w:t>
      </w:r>
    </w:p>
    <w:p w:rsidR="007720F8" w:rsidRPr="00DD3B57" w:rsidRDefault="007720F8" w:rsidP="007720F8">
      <w:pPr>
        <w:spacing w:after="120" w:line="480" w:lineRule="auto"/>
        <w:rPr>
          <w:rFonts w:ascii="Baskerville" w:hAnsi="Baskerville"/>
        </w:rPr>
      </w:pPr>
      <w:r w:rsidRPr="00DD3B57">
        <w:rPr>
          <w:rFonts w:ascii="Baskerville" w:hAnsi="Baskerville"/>
        </w:rPr>
        <w:t>Q</w:t>
      </w:r>
      <w:r w:rsidRPr="00DD3B57">
        <w:rPr>
          <w:rFonts w:ascii="Baskerville" w:hAnsi="Baskerville"/>
          <w:vertAlign w:val="subscript"/>
        </w:rPr>
        <w:t>T</w:t>
      </w:r>
      <w:r w:rsidRPr="00DD3B57">
        <w:rPr>
          <w:rFonts w:ascii="Baskerville" w:hAnsi="Baskerville"/>
        </w:rPr>
        <w:t xml:space="preserve"> was tested against a </w:t>
      </w:r>
      <m:oMath>
        <m:sSup>
          <m:sSupPr>
            <m:ctrlPr>
              <w:rPr>
                <w:rFonts w:ascii="Cambria Math" w:hAnsi="Cambria Math"/>
                <w:i/>
              </w:rPr>
            </m:ctrlPr>
          </m:sSupPr>
          <m:e>
            <m:r>
              <w:rPr>
                <w:rFonts w:ascii="Cambria Math" w:hAnsi="Cambria Math"/>
                <w:lang w:val="el-GR"/>
              </w:rPr>
              <m:t>χ</m:t>
            </m:r>
          </m:e>
          <m:sup>
            <m:r>
              <w:rPr>
                <w:rFonts w:ascii="Cambria Math" w:hAnsi="Cambria Math"/>
              </w:rPr>
              <m:t>2</m:t>
            </m:r>
          </m:sup>
        </m:sSup>
      </m:oMath>
      <w:proofErr w:type="gramStart"/>
      <w:r w:rsidRPr="00DD3B57">
        <w:rPr>
          <w:rFonts w:ascii="Baskerville" w:hAnsi="Baskerville"/>
        </w:rPr>
        <w:t xml:space="preserve"> distribution</w:t>
      </w:r>
      <w:proofErr w:type="gramEnd"/>
      <w:r w:rsidRPr="00DD3B57">
        <w:rPr>
          <w:rFonts w:ascii="Baskerville" w:hAnsi="Baskerville"/>
        </w:rPr>
        <w:t xml:space="preserve"> with n-1 degrees of freedom. A significant deviation from the null hypothesis that all </w:t>
      </w:r>
      <w:proofErr w:type="spellStart"/>
      <w:r w:rsidRPr="00DD3B57">
        <w:rPr>
          <w:rFonts w:ascii="Baskerville" w:hAnsi="Baskerville"/>
          <w:i/>
        </w:rPr>
        <w:t>e</w:t>
      </w:r>
      <w:r w:rsidRPr="00DD3B57">
        <w:rPr>
          <w:rFonts w:ascii="Baskerville" w:hAnsi="Baskerville"/>
          <w:i/>
          <w:vertAlign w:val="subscript"/>
        </w:rPr>
        <w:t>i</w:t>
      </w:r>
      <w:proofErr w:type="spellEnd"/>
      <w:r w:rsidRPr="00DD3B57">
        <w:rPr>
          <w:rFonts w:ascii="Baskerville" w:hAnsi="Baskerville"/>
          <w:i/>
          <w:vertAlign w:val="subscript"/>
        </w:rPr>
        <w:t xml:space="preserve"> </w:t>
      </w:r>
      <w:r w:rsidRPr="00DD3B57">
        <w:rPr>
          <w:rFonts w:ascii="Baskerville" w:hAnsi="Baskerville"/>
        </w:rPr>
        <w:t xml:space="preserve">are equal indicated that there is potentially some structure in the data. </w:t>
      </w:r>
    </w:p>
    <w:p w:rsidR="007720F8" w:rsidRPr="00DD3B57" w:rsidRDefault="007720F8" w:rsidP="007720F8">
      <w:pPr>
        <w:spacing w:after="120" w:line="480" w:lineRule="auto"/>
        <w:rPr>
          <w:rFonts w:ascii="Baskerville" w:hAnsi="Baskerville"/>
        </w:rPr>
      </w:pPr>
      <w:r w:rsidRPr="00DD3B57">
        <w:rPr>
          <w:rFonts w:ascii="Baskerville" w:hAnsi="Baskerville"/>
        </w:rPr>
        <w:t>We then built mixed-effects models to account for random variation as well as the variation within and between studies. We calculated an estimate of the pooled study variance</w:t>
      </w:r>
    </w:p>
    <w:p w:rsidR="007720F8" w:rsidRPr="00DD3B57" w:rsidRDefault="007720F8" w:rsidP="007720F8">
      <w:pPr>
        <w:spacing w:after="120" w:line="480" w:lineRule="auto"/>
        <w:rPr>
          <w:rFonts w:ascii="Baskerville" w:hAnsi="Baskerville"/>
        </w:rPr>
      </w:pPr>
      <m:oMath>
        <m:sSubSup>
          <m:sSubSupPr>
            <m:ctrlPr>
              <w:rPr>
                <w:rFonts w:ascii="Cambria Math" w:hAnsi="Cambria Math"/>
                <w:i/>
              </w:rPr>
            </m:ctrlPr>
          </m:sSubSupPr>
          <m:e>
            <m:r>
              <w:rPr>
                <w:rFonts w:ascii="Cambria Math" w:hAnsi="Cambria Math"/>
              </w:rPr>
              <m:t>σ</m:t>
            </m:r>
          </m:e>
          <m:sub>
            <m:r>
              <w:rPr>
                <w:rFonts w:ascii="Cambria Math" w:hAnsi="Cambria Math"/>
              </w:rPr>
              <m:t xml:space="preserve">pooled </m:t>
            </m:r>
          </m:sub>
          <m:sup>
            <m:r>
              <w:rPr>
                <w:rFonts w:ascii="Cambria Math" w:hAnsi="Cambria Math"/>
              </w:rPr>
              <m:t>2</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-(n-1)</m:t>
            </m:r>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e>
            </m:nary>
            <m:r>
              <w:rPr>
                <w:rFonts w:ascii="Cambria Math" w:hAnsi="Cambria Math"/>
              </w:rPr>
              <m:t xml:space="preserve">- </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w</m:t>
                        </m:r>
                      </m:e>
                      <m:sub>
                        <m:r>
                          <w:rPr>
                            <w:rFonts w:ascii="Cambria Math" w:hAnsi="Cambria Math"/>
                          </w:rPr>
                          <m:t>i</m:t>
                        </m:r>
                      </m:sub>
                      <m:sup>
                        <m:r>
                          <w:rPr>
                            <w:rFonts w:ascii="Cambria Math" w:hAnsi="Cambria Math"/>
                          </w:rPr>
                          <m:t>2</m:t>
                        </m:r>
                      </m:sup>
                    </m:sSubSup>
                  </m:e>
                </m:nary>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e>
                </m:nary>
              </m:den>
            </m:f>
          </m:den>
        </m:f>
      </m:oMath>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t xml:space="preserve">      (7)</w:t>
      </w:r>
    </w:p>
    <w:p w:rsidR="007720F8" w:rsidRPr="00DD3B57" w:rsidRDefault="007720F8" w:rsidP="007720F8">
      <w:pPr>
        <w:spacing w:after="120" w:line="480" w:lineRule="auto"/>
        <w:rPr>
          <w:rFonts w:ascii="Baskerville" w:hAnsi="Baskerville"/>
        </w:rPr>
      </w:pPr>
      <w:r w:rsidRPr="00DD3B57">
        <w:rPr>
          <w:rFonts w:ascii="Baskerville" w:hAnsi="Baskerville"/>
        </w:rPr>
        <w:t>And weights for the mixed effects model were calculated as</w:t>
      </w:r>
    </w:p>
    <w:p w:rsidR="007720F8" w:rsidRPr="00DD3B57" w:rsidRDefault="007720F8" w:rsidP="007720F8">
      <w:pPr>
        <w:spacing w:after="120" w:line="480" w:lineRule="auto"/>
        <w:rPr>
          <w:rFonts w:ascii="Baskerville" w:hAnsi="Baskerville"/>
        </w:rPr>
      </w:pPr>
      <m:oMath>
        <m:sSub>
          <m:sSubPr>
            <m:ctrlPr>
              <w:rPr>
                <w:rFonts w:ascii="Cambria Math" w:hAnsi="Cambria Math"/>
                <w:i/>
              </w:rPr>
            </m:ctrlPr>
          </m:sSubPr>
          <m:e>
            <m:r>
              <w:rPr>
                <w:rFonts w:ascii="Cambria Math" w:hAnsi="Cambria Math"/>
              </w:rPr>
              <m:t>w</m:t>
            </m:r>
          </m:e>
          <m:sub>
            <m:r>
              <w:rPr>
                <w:rFonts w:ascii="Cambria Math" w:hAnsi="Cambria Math"/>
              </w:rPr>
              <m:t>i(rand)</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pooled</m:t>
                </m:r>
              </m:sub>
              <m:sup>
                <m:r>
                  <w:rPr>
                    <w:rFonts w:ascii="Cambria Math" w:hAnsi="Cambria Math"/>
                  </w:rPr>
                  <m:t>2</m:t>
                </m:r>
              </m:sup>
            </m:sSubSup>
          </m:den>
        </m:f>
      </m:oMath>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r>
      <w:r w:rsidRPr="00DD3B57">
        <w:rPr>
          <w:rFonts w:ascii="Baskerville" w:hAnsi="Baskerville"/>
        </w:rPr>
        <w:tab/>
        <w:t xml:space="preserve">      (8)</w:t>
      </w:r>
    </w:p>
    <w:p w:rsidR="007720F8" w:rsidRPr="00DD3B57" w:rsidRDefault="007720F8" w:rsidP="007720F8">
      <w:pPr>
        <w:spacing w:after="120" w:line="480" w:lineRule="auto"/>
        <w:rPr>
          <w:rFonts w:ascii="Baskerville" w:hAnsi="Baskerville"/>
        </w:rPr>
      </w:pPr>
      <w:proofErr w:type="gramStart"/>
      <w:r w:rsidRPr="00DD3B57">
        <w:rPr>
          <w:rFonts w:ascii="Baskerville" w:hAnsi="Baskerville"/>
        </w:rPr>
        <w:t>and</w:t>
      </w:r>
      <w:proofErr w:type="gramEnd"/>
      <w:r w:rsidRPr="00DD3B57">
        <w:rPr>
          <w:rFonts w:ascii="Baskerville" w:hAnsi="Baskerville"/>
        </w:rPr>
        <w:t xml:space="preserve"> re-calculated the overall effect size (</w:t>
      </w:r>
      <w:r w:rsidRPr="00DD3B57">
        <w:rPr>
          <w:rFonts w:ascii="Baskerville" w:hAnsi="Baskerville"/>
          <w:i/>
        </w:rPr>
        <w:t>E</w:t>
      </w:r>
      <w:r w:rsidRPr="00DD3B57">
        <w:rPr>
          <w:rFonts w:ascii="Baskerville" w:hAnsi="Baskerville"/>
        </w:rPr>
        <w:t xml:space="preserve">) and associated 95% confidence interval using </w:t>
      </w:r>
      <m:oMath>
        <m:sSub>
          <m:sSubPr>
            <m:ctrlPr>
              <w:rPr>
                <w:rFonts w:ascii="Cambria Math" w:hAnsi="Cambria Math"/>
                <w:i/>
              </w:rPr>
            </m:ctrlPr>
          </m:sSubPr>
          <m:e>
            <m:r>
              <w:rPr>
                <w:rFonts w:ascii="Cambria Math" w:hAnsi="Cambria Math"/>
              </w:rPr>
              <m:t>w</m:t>
            </m:r>
          </m:e>
          <m:sub>
            <m:r>
              <w:rPr>
                <w:rFonts w:ascii="Cambria Math" w:hAnsi="Cambria Math"/>
              </w:rPr>
              <m:t>i(rand)</m:t>
            </m:r>
          </m:sub>
        </m:sSub>
      </m:oMath>
      <w:r w:rsidRPr="00DD3B57">
        <w:rPr>
          <w:rFonts w:ascii="Baskerville" w:eastAsia="Times New Roman" w:hAnsi="Baskerville"/>
        </w:rPr>
        <w:t>.</w:t>
      </w:r>
    </w:p>
    <w:p w:rsidR="007720F8" w:rsidRPr="00DD3B57" w:rsidRDefault="007720F8" w:rsidP="007720F8">
      <w:pPr>
        <w:spacing w:after="120" w:line="480" w:lineRule="auto"/>
        <w:rPr>
          <w:rFonts w:ascii="Baskerville" w:hAnsi="Baskerville"/>
        </w:rPr>
      </w:pPr>
      <w:r w:rsidRPr="00DD3B57">
        <w:rPr>
          <w:rFonts w:ascii="Baskerville" w:hAnsi="Baskerville"/>
        </w:rPr>
        <w:t xml:space="preserve">The mean values and confidence intervals of effect sizes estimated by the mixed-effects models were used for further analyses and are presented in Figure 1.  </w:t>
      </w:r>
    </w:p>
    <w:p w:rsidR="00AD2767" w:rsidRDefault="00AD2767"/>
    <w:sectPr w:rsidR="00AD2767" w:rsidSect="00432DC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F8"/>
    <w:rsid w:val="00432DCA"/>
    <w:rsid w:val="007720F8"/>
    <w:rsid w:val="00AD27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08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0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0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0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0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2305</Words>
  <Characters>13144</Characters>
  <Application>Microsoft Macintosh Word</Application>
  <DocSecurity>0</DocSecurity>
  <Lines>109</Lines>
  <Paragraphs>30</Paragraphs>
  <ScaleCrop>false</ScaleCrop>
  <Company>Pristine Seas</Company>
  <LinksUpToDate>false</LinksUpToDate>
  <CharactersWithSpaces>15419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 Sala</dc:creator>
  <cp:keywords/>
  <dc:description/>
  <cp:lastModifiedBy>Enric Sala</cp:lastModifiedBy>
  <cp:revision>1</cp:revision>
  <dcterms:created xsi:type="dcterms:W3CDTF">2017-02-17T02:53:00Z</dcterms:created>
  <dcterms:modified xsi:type="dcterms:W3CDTF">2017-02-17T02:54:00Z</dcterms:modified>
</cp:coreProperties>
</file>