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45A" w:rsidRPr="00582725" w:rsidRDefault="00582725">
      <w:pPr>
        <w:rPr>
          <w:i/>
        </w:rPr>
      </w:pPr>
      <w:r w:rsidRPr="00582725">
        <w:rPr>
          <w:i/>
        </w:rPr>
        <w:t>Supplemental file</w:t>
      </w:r>
      <w:r w:rsidR="00FE42CD">
        <w:rPr>
          <w:i/>
        </w:rPr>
        <w:t>s</w:t>
      </w:r>
    </w:p>
    <w:p w:rsidR="00582725" w:rsidRPr="00582725" w:rsidRDefault="00582725">
      <w:pPr>
        <w:rPr>
          <w:lang w:val="en-US"/>
        </w:rPr>
      </w:pPr>
      <w:r w:rsidRPr="00582725">
        <w:rPr>
          <w:b/>
          <w:lang w:val="en-US"/>
        </w:rPr>
        <w:t>Methods</w:t>
      </w:r>
    </w:p>
    <w:p w:rsidR="00582725" w:rsidRPr="00582725" w:rsidRDefault="00582725" w:rsidP="00582725">
      <w:pPr>
        <w:spacing w:line="480" w:lineRule="auto"/>
        <w:jc w:val="both"/>
        <w:rPr>
          <w:i/>
          <w:lang w:val="en-US"/>
        </w:rPr>
      </w:pPr>
      <w:r w:rsidRPr="00582725">
        <w:rPr>
          <w:i/>
          <w:lang w:val="en-US"/>
        </w:rPr>
        <w:t>Materials</w:t>
      </w:r>
    </w:p>
    <w:p w:rsidR="00582725" w:rsidRPr="00582725" w:rsidRDefault="00582725" w:rsidP="00582725">
      <w:pPr>
        <w:spacing w:line="480" w:lineRule="auto"/>
        <w:jc w:val="both"/>
        <w:rPr>
          <w:lang w:val="en-US"/>
        </w:rPr>
      </w:pPr>
      <w:r w:rsidRPr="00582725">
        <w:rPr>
          <w:lang w:val="en-US"/>
        </w:rPr>
        <w:t>Peripheral cannulation was most commonly employed (88%) through an open access of the groin. Central cannulation between ascending aorta and right atrium associated with a vent into the left atrium was performed in the remainders through median sternotomy. A modified Seldinger technique was used to safely cannulate the femoral vessels (</w:t>
      </w:r>
      <w:r w:rsidRPr="00582725">
        <w:rPr>
          <w:rFonts w:cs="AdvOTb97f513e"/>
          <w:szCs w:val="18"/>
          <w:lang w:val="en-US"/>
        </w:rPr>
        <w:t>17</w:t>
      </w:r>
      <w:r w:rsidRPr="00582725">
        <w:rPr>
          <w:rFonts w:cs="AdvOTb97f513e+20"/>
          <w:szCs w:val="18"/>
          <w:lang w:val="en-US"/>
        </w:rPr>
        <w:t>–</w:t>
      </w:r>
      <w:r w:rsidRPr="00582725">
        <w:rPr>
          <w:rFonts w:cs="AdvOTb97f513e"/>
          <w:szCs w:val="18"/>
          <w:lang w:val="en-US"/>
        </w:rPr>
        <w:t>21 Fr for the in</w:t>
      </w:r>
      <w:r w:rsidRPr="00582725">
        <w:rPr>
          <w:rFonts w:cs="AdvOTb97f513e+fb"/>
          <w:szCs w:val="18"/>
          <w:lang w:val="en-US"/>
        </w:rPr>
        <w:t>fl</w:t>
      </w:r>
      <w:r w:rsidRPr="00582725">
        <w:rPr>
          <w:rFonts w:cs="AdvOTb97f513e"/>
          <w:szCs w:val="18"/>
          <w:lang w:val="en-US"/>
        </w:rPr>
        <w:t>ow cannula and 18</w:t>
      </w:r>
      <w:r w:rsidRPr="00582725">
        <w:rPr>
          <w:rFonts w:cs="AdvOTb97f513e+20"/>
          <w:szCs w:val="18"/>
          <w:lang w:val="en-US"/>
        </w:rPr>
        <w:t>–</w:t>
      </w:r>
      <w:r w:rsidRPr="00582725">
        <w:rPr>
          <w:rFonts w:cs="AdvOTb97f513e"/>
          <w:szCs w:val="18"/>
          <w:lang w:val="en-US"/>
        </w:rPr>
        <w:t>32 Fr for the drainage cannula, according to the patient</w:t>
      </w:r>
      <w:r w:rsidRPr="00582725">
        <w:rPr>
          <w:rFonts w:cs="AdvOTb97f513e+20"/>
          <w:szCs w:val="18"/>
          <w:lang w:val="en-US"/>
        </w:rPr>
        <w:t>’</w:t>
      </w:r>
      <w:r w:rsidRPr="00582725">
        <w:rPr>
          <w:rFonts w:cs="AdvOTb97f513e"/>
          <w:szCs w:val="18"/>
          <w:lang w:val="en-US"/>
        </w:rPr>
        <w:t>s body surface area) (Edwards Lifesciences, Inc., Irvine, CA, USA)</w:t>
      </w:r>
      <w:r w:rsidRPr="00582725">
        <w:rPr>
          <w:lang w:val="en-US"/>
        </w:rPr>
        <w:t xml:space="preserve">. A reperfusion catheter was introduced in the superficial femoral artery to avoid limb malperfusion (7 to 9 Fr) in all cases. </w:t>
      </w:r>
      <w:r w:rsidRPr="00582725">
        <w:rPr>
          <w:rFonts w:cs="TimesTen-Roman"/>
          <w:szCs w:val="20"/>
          <w:lang w:val="en-US"/>
        </w:rPr>
        <w:t>ECMO support was conducted under normothermia using a magnetic centrifugal pump (Rotaflow®, Maquet Inc., Hirrlingen, Germany) and Quadrox® oxygenator (Maquet).</w:t>
      </w:r>
      <w:r w:rsidRPr="00582725">
        <w:rPr>
          <w:rFonts w:ascii="TimesTen-Roman" w:hAnsi="TimesTen-Roman" w:cs="TimesTen-Roman"/>
          <w:szCs w:val="20"/>
          <w:lang w:val="en-US"/>
        </w:rPr>
        <w:t xml:space="preserve"> </w:t>
      </w:r>
      <w:r w:rsidRPr="00582725">
        <w:rPr>
          <w:lang w:val="en-US"/>
        </w:rPr>
        <w:t xml:space="preserve">The entire ECMO circuit was heparin-coated and after an initial 5000 UI-bolus, unfractioned heparin was given in a continuous infusion to maintain an activated clotting time between 150 and 180 s. </w:t>
      </w:r>
    </w:p>
    <w:p w:rsidR="00582725" w:rsidRPr="00582725" w:rsidRDefault="00582725">
      <w:pPr>
        <w:rPr>
          <w:lang w:val="en-US"/>
        </w:rPr>
      </w:pPr>
    </w:p>
    <w:p w:rsidR="00582725" w:rsidRPr="00422221" w:rsidRDefault="00422221">
      <w:pPr>
        <w:rPr>
          <w:i/>
          <w:lang w:val="en-US"/>
        </w:rPr>
      </w:pPr>
      <w:r w:rsidRPr="00422221">
        <w:rPr>
          <w:i/>
          <w:lang w:val="en-US"/>
        </w:rPr>
        <w:t>Removal</w:t>
      </w:r>
    </w:p>
    <w:p w:rsidR="00422221" w:rsidRDefault="00422221" w:rsidP="00422221">
      <w:pPr>
        <w:spacing w:line="480" w:lineRule="auto"/>
        <w:jc w:val="both"/>
        <w:rPr>
          <w:rFonts w:cs="GulliverRM"/>
          <w:szCs w:val="16"/>
          <w:lang w:val="en-US"/>
        </w:rPr>
      </w:pPr>
      <w:r w:rsidRPr="00422221">
        <w:rPr>
          <w:lang w:val="en-US"/>
        </w:rPr>
        <w:t xml:space="preserve">Weaning off ECMO was usually not attempted in the first 72 hours. Gradual weaning by reducing the pump speed by 10% every 12 hours was our preferred strategy. Criteria for ECMO removal included hemodynamic stability during 24 to 48 h despite reduction of pump flow from full flow to 1.0 L/min, stability of renal and liver functions, and low level of inotropic medication that could be transiently increased during explantation. All explantations were performed in the operating theatre in the presence of a consultant surgeon, even for peripheral ECMO support to allow optimal vessel repair. Heparin infusion was transiently stopped 1 hour before removal and platelet infusions were given to </w:t>
      </w:r>
      <w:bookmarkStart w:id="0" w:name="_GoBack"/>
      <w:bookmarkEnd w:id="0"/>
      <w:r w:rsidRPr="00422221">
        <w:rPr>
          <w:lang w:val="en-US"/>
        </w:rPr>
        <w:t xml:space="preserve">get a platelet count higher than 50,000 before initiation of ECMO removal. Transesophageal echocardiography was performed for assessment of loading conditions and LV contractility to adapt inotropic support. When the ECMO was being removed, inotropic agents and ventilators settings were </w:t>
      </w:r>
      <w:r w:rsidRPr="00422221">
        <w:rPr>
          <w:lang w:val="en-US"/>
        </w:rPr>
        <w:lastRenderedPageBreak/>
        <w:t xml:space="preserve">optimized as necessary. </w:t>
      </w:r>
      <w:r w:rsidRPr="00422221">
        <w:rPr>
          <w:rFonts w:cs="GulliverRM"/>
          <w:szCs w:val="16"/>
          <w:lang w:val="en-US"/>
        </w:rPr>
        <w:t xml:space="preserve">In patients without cardiac recovery despite 7 days of support, ECMO was bridged to HTx or to long-term MCS. HTx was considered for patients younger than 66 years, without history of malignant disease over the past 5 years and without irreversible pulmonary hypertension according to preoperative pulmonary hemodynamics. Patients supported by ECMO who were eligible for HTx had a national urgent high priority for any compatible cardiac allograft in France for a 48 hour-period, renewable once. This bridge-to-transplant strategy was approved by national experts if the potential of myocardial recovery was very poor, and at the condition that kidney (creatinin clearance &gt; 40mL/min/m²) and liver functions (bilirubin &lt; 40 µmol/L) were stabilized under ECMO support. In the absence of available transplant or in case of temporary contraindication for HTx, patients were considered for a ventricular assist device implantation. </w:t>
      </w:r>
    </w:p>
    <w:p w:rsidR="00FE42CD" w:rsidRDefault="00FE42CD" w:rsidP="00422221">
      <w:pPr>
        <w:spacing w:line="480" w:lineRule="auto"/>
        <w:jc w:val="both"/>
        <w:rPr>
          <w:rFonts w:cs="GulliverRM"/>
          <w:b/>
          <w:szCs w:val="16"/>
          <w:lang w:val="en-US"/>
        </w:rPr>
      </w:pPr>
      <w:r w:rsidRPr="00FE42CD">
        <w:rPr>
          <w:rFonts w:cs="GulliverRM"/>
          <w:b/>
          <w:szCs w:val="16"/>
          <w:lang w:val="en-US"/>
        </w:rPr>
        <w:t>Table</w:t>
      </w:r>
      <w:r>
        <w:rPr>
          <w:rFonts w:cs="GulliverRM"/>
          <w:b/>
          <w:szCs w:val="16"/>
          <w:lang w:val="en-US"/>
        </w:rPr>
        <w:t>s</w:t>
      </w:r>
    </w:p>
    <w:p w:rsidR="00FE42CD" w:rsidRPr="00FE42CD" w:rsidRDefault="00FE42CD" w:rsidP="00FE42CD">
      <w:pPr>
        <w:rPr>
          <w:lang w:val="en-US"/>
        </w:rPr>
      </w:pPr>
      <w:r>
        <w:rPr>
          <w:b/>
          <w:lang w:val="en-US"/>
        </w:rPr>
        <w:t>Supplementary T</w:t>
      </w:r>
      <w:r w:rsidRPr="00FE42CD">
        <w:rPr>
          <w:b/>
          <w:lang w:val="en-US"/>
        </w:rPr>
        <w:t xml:space="preserve">able </w:t>
      </w:r>
      <w:r>
        <w:rPr>
          <w:b/>
          <w:lang w:val="en-US"/>
        </w:rPr>
        <w:t>1</w:t>
      </w:r>
      <w:r w:rsidRPr="00FE42CD">
        <w:rPr>
          <w:b/>
          <w:lang w:val="en-US"/>
        </w:rPr>
        <w:t>.</w:t>
      </w:r>
      <w:r w:rsidRPr="00FE42CD">
        <w:rPr>
          <w:lang w:val="en-US"/>
        </w:rPr>
        <w:t xml:space="preserve"> Outcomes and determinants of poor survival in patients supported by ECMO for refractory postcardiotomy cardiogenic shock: insights from previous studies.</w:t>
      </w:r>
    </w:p>
    <w:tbl>
      <w:tblPr>
        <w:tblStyle w:val="Grilledutableau"/>
        <w:tblW w:w="92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709"/>
        <w:gridCol w:w="567"/>
        <w:gridCol w:w="567"/>
        <w:gridCol w:w="1276"/>
        <w:gridCol w:w="992"/>
        <w:gridCol w:w="708"/>
        <w:gridCol w:w="709"/>
        <w:gridCol w:w="2556"/>
      </w:tblGrid>
      <w:tr w:rsidR="00FE42CD" w:rsidRPr="00852893" w:rsidTr="00FE42CD">
        <w:trPr>
          <w:jc w:val="center"/>
        </w:trPr>
        <w:tc>
          <w:tcPr>
            <w:tcW w:w="1129" w:type="dxa"/>
            <w:tcBorders>
              <w:top w:val="single" w:sz="4" w:space="0" w:color="auto"/>
              <w:bottom w:val="single" w:sz="4" w:space="0" w:color="auto"/>
            </w:tcBorders>
            <w:shd w:val="clear" w:color="auto" w:fill="auto"/>
          </w:tcPr>
          <w:p w:rsidR="00FE42CD" w:rsidRPr="00642DE1" w:rsidRDefault="00FE42CD" w:rsidP="000C324A">
            <w:pPr>
              <w:rPr>
                <w:b/>
                <w:sz w:val="16"/>
                <w:szCs w:val="20"/>
              </w:rPr>
            </w:pPr>
            <w:r>
              <w:rPr>
                <w:b/>
                <w:sz w:val="16"/>
                <w:szCs w:val="20"/>
              </w:rPr>
              <w:t>Reference</w:t>
            </w:r>
          </w:p>
        </w:tc>
        <w:tc>
          <w:tcPr>
            <w:tcW w:w="709" w:type="dxa"/>
            <w:tcBorders>
              <w:top w:val="single" w:sz="4" w:space="0" w:color="auto"/>
              <w:bottom w:val="single" w:sz="4" w:space="0" w:color="auto"/>
            </w:tcBorders>
            <w:shd w:val="clear" w:color="auto" w:fill="auto"/>
          </w:tcPr>
          <w:p w:rsidR="00FE42CD" w:rsidRPr="00642DE1" w:rsidRDefault="00FE42CD" w:rsidP="000C324A">
            <w:pPr>
              <w:rPr>
                <w:b/>
                <w:sz w:val="16"/>
                <w:szCs w:val="20"/>
              </w:rPr>
            </w:pPr>
            <w:r w:rsidRPr="00642DE1">
              <w:rPr>
                <w:b/>
                <w:sz w:val="16"/>
                <w:szCs w:val="20"/>
              </w:rPr>
              <w:t>Period</w:t>
            </w:r>
          </w:p>
        </w:tc>
        <w:tc>
          <w:tcPr>
            <w:tcW w:w="567" w:type="dxa"/>
            <w:tcBorders>
              <w:top w:val="single" w:sz="4" w:space="0" w:color="auto"/>
              <w:bottom w:val="single" w:sz="4" w:space="0" w:color="auto"/>
            </w:tcBorders>
            <w:shd w:val="clear" w:color="auto" w:fill="auto"/>
          </w:tcPr>
          <w:p w:rsidR="00FE42CD" w:rsidRPr="00642DE1" w:rsidRDefault="00FE42CD" w:rsidP="000C324A">
            <w:pPr>
              <w:rPr>
                <w:b/>
                <w:sz w:val="16"/>
                <w:szCs w:val="20"/>
              </w:rPr>
            </w:pPr>
            <w:r w:rsidRPr="00642DE1">
              <w:rPr>
                <w:b/>
                <w:sz w:val="16"/>
                <w:szCs w:val="20"/>
              </w:rPr>
              <w:t>N</w:t>
            </w:r>
          </w:p>
        </w:tc>
        <w:tc>
          <w:tcPr>
            <w:tcW w:w="567" w:type="dxa"/>
            <w:tcBorders>
              <w:top w:val="single" w:sz="4" w:space="0" w:color="auto"/>
              <w:bottom w:val="single" w:sz="4" w:space="0" w:color="auto"/>
            </w:tcBorders>
            <w:shd w:val="clear" w:color="auto" w:fill="auto"/>
          </w:tcPr>
          <w:p w:rsidR="00FE42CD" w:rsidRPr="00642DE1" w:rsidRDefault="00FE42CD" w:rsidP="000C324A">
            <w:pPr>
              <w:rPr>
                <w:b/>
                <w:sz w:val="16"/>
                <w:szCs w:val="20"/>
              </w:rPr>
            </w:pPr>
            <w:r w:rsidRPr="00642DE1">
              <w:rPr>
                <w:b/>
                <w:sz w:val="16"/>
                <w:szCs w:val="20"/>
              </w:rPr>
              <w:t>Age</w:t>
            </w:r>
            <w:r>
              <w:rPr>
                <w:b/>
                <w:sz w:val="16"/>
                <w:szCs w:val="20"/>
              </w:rPr>
              <w:t xml:space="preserve"> (y)</w:t>
            </w:r>
          </w:p>
        </w:tc>
        <w:tc>
          <w:tcPr>
            <w:tcW w:w="1276" w:type="dxa"/>
            <w:tcBorders>
              <w:top w:val="single" w:sz="4" w:space="0" w:color="auto"/>
              <w:bottom w:val="single" w:sz="4" w:space="0" w:color="auto"/>
            </w:tcBorders>
            <w:shd w:val="clear" w:color="auto" w:fill="auto"/>
          </w:tcPr>
          <w:p w:rsidR="00FE42CD" w:rsidRPr="00642DE1" w:rsidRDefault="00FE42CD" w:rsidP="000C324A">
            <w:pPr>
              <w:rPr>
                <w:b/>
                <w:sz w:val="16"/>
                <w:szCs w:val="20"/>
              </w:rPr>
            </w:pPr>
            <w:r w:rsidRPr="00642DE1">
              <w:rPr>
                <w:b/>
                <w:sz w:val="16"/>
                <w:szCs w:val="20"/>
              </w:rPr>
              <w:t>Site for cannulation</w:t>
            </w:r>
          </w:p>
        </w:tc>
        <w:tc>
          <w:tcPr>
            <w:tcW w:w="992" w:type="dxa"/>
            <w:tcBorders>
              <w:top w:val="single" w:sz="4" w:space="0" w:color="auto"/>
              <w:bottom w:val="single" w:sz="4" w:space="0" w:color="auto"/>
            </w:tcBorders>
            <w:shd w:val="clear" w:color="auto" w:fill="auto"/>
          </w:tcPr>
          <w:p w:rsidR="00FE42CD" w:rsidRDefault="00FE42CD" w:rsidP="000C324A">
            <w:pPr>
              <w:rPr>
                <w:b/>
                <w:sz w:val="16"/>
                <w:szCs w:val="20"/>
              </w:rPr>
            </w:pPr>
            <w:r w:rsidRPr="00642DE1">
              <w:rPr>
                <w:b/>
                <w:sz w:val="16"/>
                <w:szCs w:val="20"/>
              </w:rPr>
              <w:t>Survival at 1 month</w:t>
            </w:r>
          </w:p>
          <w:p w:rsidR="00FE42CD" w:rsidRPr="00642DE1" w:rsidRDefault="00FE42CD" w:rsidP="000C324A">
            <w:pPr>
              <w:rPr>
                <w:b/>
                <w:sz w:val="16"/>
                <w:szCs w:val="20"/>
              </w:rPr>
            </w:pPr>
          </w:p>
        </w:tc>
        <w:tc>
          <w:tcPr>
            <w:tcW w:w="708" w:type="dxa"/>
            <w:tcBorders>
              <w:top w:val="single" w:sz="4" w:space="0" w:color="auto"/>
              <w:bottom w:val="single" w:sz="4" w:space="0" w:color="auto"/>
            </w:tcBorders>
            <w:shd w:val="clear" w:color="auto" w:fill="auto"/>
          </w:tcPr>
          <w:p w:rsidR="00FE42CD" w:rsidRPr="00642DE1" w:rsidRDefault="00FE42CD" w:rsidP="000C324A">
            <w:pPr>
              <w:rPr>
                <w:b/>
                <w:sz w:val="16"/>
                <w:szCs w:val="20"/>
              </w:rPr>
            </w:pPr>
            <w:r w:rsidRPr="00642DE1">
              <w:rPr>
                <w:b/>
                <w:sz w:val="16"/>
                <w:szCs w:val="20"/>
              </w:rPr>
              <w:t>BTT</w:t>
            </w:r>
          </w:p>
        </w:tc>
        <w:tc>
          <w:tcPr>
            <w:tcW w:w="709" w:type="dxa"/>
            <w:tcBorders>
              <w:top w:val="single" w:sz="4" w:space="0" w:color="auto"/>
              <w:bottom w:val="single" w:sz="4" w:space="0" w:color="auto"/>
            </w:tcBorders>
            <w:shd w:val="clear" w:color="auto" w:fill="auto"/>
          </w:tcPr>
          <w:p w:rsidR="00FE42CD" w:rsidRPr="00642DE1" w:rsidRDefault="00FE42CD" w:rsidP="000C324A">
            <w:pPr>
              <w:rPr>
                <w:b/>
                <w:sz w:val="16"/>
                <w:szCs w:val="20"/>
              </w:rPr>
            </w:pPr>
            <w:r>
              <w:rPr>
                <w:b/>
                <w:sz w:val="16"/>
                <w:szCs w:val="20"/>
              </w:rPr>
              <w:t>BTB</w:t>
            </w:r>
          </w:p>
        </w:tc>
        <w:tc>
          <w:tcPr>
            <w:tcW w:w="2556" w:type="dxa"/>
            <w:tcBorders>
              <w:top w:val="single" w:sz="4" w:space="0" w:color="auto"/>
              <w:bottom w:val="single" w:sz="4" w:space="0" w:color="auto"/>
            </w:tcBorders>
            <w:shd w:val="clear" w:color="auto" w:fill="auto"/>
          </w:tcPr>
          <w:p w:rsidR="00FE42CD" w:rsidRPr="00642DE1" w:rsidRDefault="00FE42CD" w:rsidP="000C324A">
            <w:pPr>
              <w:rPr>
                <w:b/>
                <w:sz w:val="16"/>
                <w:szCs w:val="20"/>
              </w:rPr>
            </w:pPr>
            <w:r>
              <w:rPr>
                <w:b/>
                <w:sz w:val="16"/>
                <w:szCs w:val="20"/>
              </w:rPr>
              <w:t>Independent predictors of death</w:t>
            </w:r>
          </w:p>
        </w:tc>
      </w:tr>
      <w:tr w:rsidR="00FE42CD" w:rsidRPr="00C174A1" w:rsidTr="00FE42CD">
        <w:trPr>
          <w:jc w:val="center"/>
        </w:trPr>
        <w:tc>
          <w:tcPr>
            <w:tcW w:w="1129" w:type="dxa"/>
            <w:tcBorders>
              <w:top w:val="single" w:sz="4" w:space="0" w:color="auto"/>
            </w:tcBorders>
          </w:tcPr>
          <w:p w:rsidR="00FE42CD" w:rsidRPr="00642DE1" w:rsidRDefault="00FE42CD" w:rsidP="000C324A">
            <w:pPr>
              <w:rPr>
                <w:sz w:val="16"/>
                <w:szCs w:val="20"/>
              </w:rPr>
            </w:pPr>
            <w:r>
              <w:rPr>
                <w:sz w:val="16"/>
                <w:szCs w:val="20"/>
              </w:rPr>
              <w:t>Elsharkawy</w:t>
            </w:r>
            <w:r w:rsidRPr="00642DE1">
              <w:rPr>
                <w:sz w:val="16"/>
                <w:szCs w:val="20"/>
              </w:rPr>
              <w:t>, 2010</w:t>
            </w:r>
          </w:p>
        </w:tc>
        <w:tc>
          <w:tcPr>
            <w:tcW w:w="709" w:type="dxa"/>
            <w:tcBorders>
              <w:top w:val="single" w:sz="4" w:space="0" w:color="auto"/>
            </w:tcBorders>
          </w:tcPr>
          <w:p w:rsidR="00FE42CD" w:rsidRPr="00642DE1" w:rsidRDefault="00FE42CD" w:rsidP="000C324A">
            <w:pPr>
              <w:rPr>
                <w:sz w:val="16"/>
                <w:szCs w:val="20"/>
              </w:rPr>
            </w:pPr>
            <w:r w:rsidRPr="00642DE1">
              <w:rPr>
                <w:sz w:val="16"/>
                <w:szCs w:val="20"/>
              </w:rPr>
              <w:t>1995-2006</w:t>
            </w:r>
          </w:p>
        </w:tc>
        <w:tc>
          <w:tcPr>
            <w:tcW w:w="567" w:type="dxa"/>
            <w:tcBorders>
              <w:top w:val="single" w:sz="4" w:space="0" w:color="auto"/>
            </w:tcBorders>
          </w:tcPr>
          <w:p w:rsidR="00FE42CD" w:rsidRPr="00642DE1" w:rsidRDefault="00FE42CD" w:rsidP="000C324A">
            <w:pPr>
              <w:rPr>
                <w:b/>
                <w:sz w:val="16"/>
                <w:szCs w:val="20"/>
              </w:rPr>
            </w:pPr>
            <w:r w:rsidRPr="00642DE1">
              <w:rPr>
                <w:b/>
                <w:sz w:val="16"/>
                <w:szCs w:val="20"/>
              </w:rPr>
              <w:t>233</w:t>
            </w:r>
          </w:p>
        </w:tc>
        <w:tc>
          <w:tcPr>
            <w:tcW w:w="567" w:type="dxa"/>
            <w:tcBorders>
              <w:top w:val="single" w:sz="4" w:space="0" w:color="auto"/>
            </w:tcBorders>
          </w:tcPr>
          <w:p w:rsidR="00FE42CD" w:rsidRPr="00642DE1" w:rsidRDefault="00FE42CD" w:rsidP="000C324A">
            <w:pPr>
              <w:rPr>
                <w:sz w:val="16"/>
                <w:szCs w:val="20"/>
              </w:rPr>
            </w:pPr>
            <w:r w:rsidRPr="00642DE1">
              <w:rPr>
                <w:sz w:val="16"/>
                <w:szCs w:val="20"/>
              </w:rPr>
              <w:t>57.5</w:t>
            </w:r>
          </w:p>
        </w:tc>
        <w:tc>
          <w:tcPr>
            <w:tcW w:w="1276" w:type="dxa"/>
            <w:tcBorders>
              <w:top w:val="single" w:sz="4" w:space="0" w:color="auto"/>
            </w:tcBorders>
          </w:tcPr>
          <w:p w:rsidR="00FE42CD" w:rsidRDefault="00FE42CD" w:rsidP="000C324A">
            <w:pPr>
              <w:rPr>
                <w:sz w:val="16"/>
                <w:szCs w:val="20"/>
              </w:rPr>
            </w:pPr>
            <w:r w:rsidRPr="00642DE1">
              <w:rPr>
                <w:sz w:val="16"/>
                <w:szCs w:val="20"/>
              </w:rPr>
              <w:t>Peripheral 67%</w:t>
            </w:r>
          </w:p>
          <w:p w:rsidR="00FE42CD" w:rsidRPr="00642DE1" w:rsidRDefault="00FE42CD" w:rsidP="000C324A">
            <w:pPr>
              <w:rPr>
                <w:sz w:val="16"/>
                <w:szCs w:val="20"/>
              </w:rPr>
            </w:pPr>
            <w:r>
              <w:rPr>
                <w:sz w:val="16"/>
                <w:szCs w:val="20"/>
              </w:rPr>
              <w:t>Central 33%</w:t>
            </w:r>
          </w:p>
        </w:tc>
        <w:tc>
          <w:tcPr>
            <w:tcW w:w="992" w:type="dxa"/>
            <w:tcBorders>
              <w:top w:val="single" w:sz="4" w:space="0" w:color="auto"/>
            </w:tcBorders>
          </w:tcPr>
          <w:p w:rsidR="00FE42CD" w:rsidRPr="00642DE1" w:rsidRDefault="00FE42CD" w:rsidP="000C324A">
            <w:pPr>
              <w:rPr>
                <w:sz w:val="16"/>
                <w:szCs w:val="20"/>
              </w:rPr>
            </w:pPr>
            <w:r w:rsidRPr="00642DE1">
              <w:rPr>
                <w:sz w:val="16"/>
                <w:szCs w:val="20"/>
              </w:rPr>
              <w:t xml:space="preserve">36% </w:t>
            </w:r>
          </w:p>
        </w:tc>
        <w:tc>
          <w:tcPr>
            <w:tcW w:w="708" w:type="dxa"/>
            <w:tcBorders>
              <w:top w:val="single" w:sz="4" w:space="0" w:color="auto"/>
            </w:tcBorders>
          </w:tcPr>
          <w:p w:rsidR="00FE42CD" w:rsidRPr="00642DE1" w:rsidRDefault="00FE42CD" w:rsidP="000C324A">
            <w:pPr>
              <w:rPr>
                <w:sz w:val="16"/>
                <w:szCs w:val="20"/>
              </w:rPr>
            </w:pPr>
            <w:r>
              <w:rPr>
                <w:sz w:val="16"/>
                <w:szCs w:val="20"/>
              </w:rPr>
              <w:t xml:space="preserve">25 </w:t>
            </w:r>
          </w:p>
        </w:tc>
        <w:tc>
          <w:tcPr>
            <w:tcW w:w="709" w:type="dxa"/>
            <w:tcBorders>
              <w:top w:val="single" w:sz="4" w:space="0" w:color="auto"/>
            </w:tcBorders>
          </w:tcPr>
          <w:p w:rsidR="00FE42CD" w:rsidRPr="00642DE1" w:rsidRDefault="00FE42CD" w:rsidP="000C324A">
            <w:pPr>
              <w:rPr>
                <w:sz w:val="16"/>
                <w:szCs w:val="20"/>
              </w:rPr>
            </w:pPr>
            <w:r w:rsidRPr="00642DE1">
              <w:rPr>
                <w:sz w:val="16"/>
                <w:szCs w:val="20"/>
              </w:rPr>
              <w:t>28</w:t>
            </w:r>
          </w:p>
        </w:tc>
        <w:tc>
          <w:tcPr>
            <w:tcW w:w="2556" w:type="dxa"/>
            <w:tcBorders>
              <w:top w:val="single" w:sz="4" w:space="0" w:color="auto"/>
            </w:tcBorders>
          </w:tcPr>
          <w:p w:rsidR="00FE42CD" w:rsidRPr="00FE42CD" w:rsidRDefault="00FE42CD" w:rsidP="000C324A">
            <w:pPr>
              <w:rPr>
                <w:sz w:val="16"/>
                <w:szCs w:val="20"/>
                <w:lang w:val="en-US"/>
              </w:rPr>
            </w:pPr>
            <w:r w:rsidRPr="00FE42CD">
              <w:rPr>
                <w:sz w:val="16"/>
                <w:szCs w:val="20"/>
                <w:lang w:val="en-US"/>
              </w:rPr>
              <w:t xml:space="preserve">Age, diabetes, CABG, CPB time </w:t>
            </w:r>
          </w:p>
        </w:tc>
      </w:tr>
      <w:tr w:rsidR="00FE42CD" w:rsidRPr="00C174A1" w:rsidTr="00FE42CD">
        <w:trPr>
          <w:jc w:val="center"/>
        </w:trPr>
        <w:tc>
          <w:tcPr>
            <w:tcW w:w="1129" w:type="dxa"/>
          </w:tcPr>
          <w:p w:rsidR="00FE42CD" w:rsidRPr="00642DE1" w:rsidRDefault="00FE42CD" w:rsidP="000C324A">
            <w:pPr>
              <w:rPr>
                <w:sz w:val="16"/>
                <w:szCs w:val="20"/>
              </w:rPr>
            </w:pPr>
            <w:r w:rsidRPr="00642DE1">
              <w:rPr>
                <w:sz w:val="16"/>
                <w:szCs w:val="20"/>
              </w:rPr>
              <w:t>Unosawa, 2013</w:t>
            </w:r>
          </w:p>
        </w:tc>
        <w:tc>
          <w:tcPr>
            <w:tcW w:w="709" w:type="dxa"/>
          </w:tcPr>
          <w:p w:rsidR="00FE42CD" w:rsidRPr="00642DE1" w:rsidRDefault="00FE42CD" w:rsidP="000C324A">
            <w:pPr>
              <w:rPr>
                <w:sz w:val="16"/>
                <w:szCs w:val="20"/>
              </w:rPr>
            </w:pPr>
            <w:r w:rsidRPr="00642DE1">
              <w:rPr>
                <w:sz w:val="16"/>
                <w:szCs w:val="20"/>
              </w:rPr>
              <w:t>1992-2007</w:t>
            </w:r>
          </w:p>
        </w:tc>
        <w:tc>
          <w:tcPr>
            <w:tcW w:w="567" w:type="dxa"/>
          </w:tcPr>
          <w:p w:rsidR="00FE42CD" w:rsidRPr="00642DE1" w:rsidRDefault="00FE42CD" w:rsidP="000C324A">
            <w:pPr>
              <w:rPr>
                <w:sz w:val="16"/>
                <w:szCs w:val="20"/>
              </w:rPr>
            </w:pPr>
            <w:r w:rsidRPr="00642DE1">
              <w:rPr>
                <w:sz w:val="16"/>
                <w:szCs w:val="20"/>
              </w:rPr>
              <w:t>47</w:t>
            </w:r>
          </w:p>
        </w:tc>
        <w:tc>
          <w:tcPr>
            <w:tcW w:w="567" w:type="dxa"/>
          </w:tcPr>
          <w:p w:rsidR="00FE42CD" w:rsidRPr="00642DE1" w:rsidRDefault="00FE42CD" w:rsidP="000C324A">
            <w:pPr>
              <w:rPr>
                <w:sz w:val="16"/>
                <w:szCs w:val="20"/>
              </w:rPr>
            </w:pPr>
            <w:r w:rsidRPr="00642DE1">
              <w:rPr>
                <w:sz w:val="16"/>
                <w:szCs w:val="20"/>
              </w:rPr>
              <w:t>64.4</w:t>
            </w:r>
          </w:p>
        </w:tc>
        <w:tc>
          <w:tcPr>
            <w:tcW w:w="1276" w:type="dxa"/>
          </w:tcPr>
          <w:p w:rsidR="00FE42CD" w:rsidRDefault="00FE42CD" w:rsidP="000C324A">
            <w:pPr>
              <w:rPr>
                <w:sz w:val="16"/>
                <w:szCs w:val="20"/>
              </w:rPr>
            </w:pPr>
            <w:r w:rsidRPr="00642DE1">
              <w:rPr>
                <w:sz w:val="16"/>
                <w:szCs w:val="20"/>
              </w:rPr>
              <w:t>Peripheral 68%</w:t>
            </w:r>
          </w:p>
          <w:p w:rsidR="00FE42CD" w:rsidRPr="00642DE1" w:rsidRDefault="00FE42CD" w:rsidP="000C324A">
            <w:pPr>
              <w:rPr>
                <w:sz w:val="16"/>
                <w:szCs w:val="20"/>
              </w:rPr>
            </w:pPr>
            <w:r>
              <w:rPr>
                <w:sz w:val="16"/>
                <w:szCs w:val="20"/>
              </w:rPr>
              <w:t>Central 32%</w:t>
            </w:r>
          </w:p>
        </w:tc>
        <w:tc>
          <w:tcPr>
            <w:tcW w:w="992" w:type="dxa"/>
          </w:tcPr>
          <w:p w:rsidR="00FE42CD" w:rsidRPr="00642DE1" w:rsidRDefault="00FE42CD" w:rsidP="000C324A">
            <w:pPr>
              <w:rPr>
                <w:sz w:val="16"/>
                <w:szCs w:val="20"/>
              </w:rPr>
            </w:pPr>
            <w:r w:rsidRPr="00642DE1">
              <w:rPr>
                <w:sz w:val="16"/>
                <w:szCs w:val="20"/>
              </w:rPr>
              <w:t xml:space="preserve">34% </w:t>
            </w:r>
          </w:p>
        </w:tc>
        <w:tc>
          <w:tcPr>
            <w:tcW w:w="708" w:type="dxa"/>
          </w:tcPr>
          <w:p w:rsidR="00FE42CD" w:rsidRPr="00642DE1" w:rsidRDefault="00FE42CD" w:rsidP="000C324A">
            <w:pPr>
              <w:rPr>
                <w:sz w:val="16"/>
                <w:szCs w:val="20"/>
              </w:rPr>
            </w:pPr>
            <w:r w:rsidRPr="00642DE1">
              <w:rPr>
                <w:sz w:val="16"/>
                <w:szCs w:val="20"/>
              </w:rPr>
              <w:t>0</w:t>
            </w:r>
          </w:p>
        </w:tc>
        <w:tc>
          <w:tcPr>
            <w:tcW w:w="709" w:type="dxa"/>
          </w:tcPr>
          <w:p w:rsidR="00FE42CD" w:rsidRPr="00642DE1" w:rsidRDefault="00FE42CD" w:rsidP="000C324A">
            <w:pPr>
              <w:rPr>
                <w:sz w:val="16"/>
                <w:szCs w:val="20"/>
              </w:rPr>
            </w:pPr>
            <w:r w:rsidRPr="00642DE1">
              <w:rPr>
                <w:sz w:val="16"/>
                <w:szCs w:val="20"/>
              </w:rPr>
              <w:t>0</w:t>
            </w:r>
          </w:p>
        </w:tc>
        <w:tc>
          <w:tcPr>
            <w:tcW w:w="2556" w:type="dxa"/>
          </w:tcPr>
          <w:p w:rsidR="00FE42CD" w:rsidRPr="00FE42CD" w:rsidRDefault="00FE42CD" w:rsidP="000C324A">
            <w:pPr>
              <w:rPr>
                <w:sz w:val="16"/>
                <w:szCs w:val="20"/>
                <w:lang w:val="en-US"/>
              </w:rPr>
            </w:pPr>
            <w:r w:rsidRPr="00FE42CD">
              <w:rPr>
                <w:sz w:val="16"/>
                <w:szCs w:val="20"/>
                <w:lang w:val="en-US"/>
              </w:rPr>
              <w:t>ECMO &gt;48 h, incomplete sternum closure</w:t>
            </w:r>
          </w:p>
        </w:tc>
      </w:tr>
      <w:tr w:rsidR="00FE42CD" w:rsidRPr="00C174A1" w:rsidTr="00FE42CD">
        <w:trPr>
          <w:jc w:val="center"/>
        </w:trPr>
        <w:tc>
          <w:tcPr>
            <w:tcW w:w="1129" w:type="dxa"/>
            <w:shd w:val="clear" w:color="auto" w:fill="FFFFFF" w:themeFill="background1"/>
          </w:tcPr>
          <w:p w:rsidR="00FE42CD" w:rsidRPr="00642DE1" w:rsidRDefault="00FE42CD" w:rsidP="000C324A">
            <w:pPr>
              <w:rPr>
                <w:sz w:val="16"/>
                <w:szCs w:val="20"/>
              </w:rPr>
            </w:pPr>
            <w:r w:rsidRPr="00642DE1">
              <w:rPr>
                <w:sz w:val="16"/>
                <w:szCs w:val="20"/>
              </w:rPr>
              <w:t>Rastan, 2010</w:t>
            </w:r>
          </w:p>
        </w:tc>
        <w:tc>
          <w:tcPr>
            <w:tcW w:w="709" w:type="dxa"/>
            <w:shd w:val="clear" w:color="auto" w:fill="FFFFFF" w:themeFill="background1"/>
          </w:tcPr>
          <w:p w:rsidR="00FE42CD" w:rsidRPr="00642DE1" w:rsidRDefault="00FE42CD" w:rsidP="000C324A">
            <w:pPr>
              <w:rPr>
                <w:sz w:val="16"/>
                <w:szCs w:val="20"/>
              </w:rPr>
            </w:pPr>
            <w:r w:rsidRPr="00642DE1">
              <w:rPr>
                <w:sz w:val="16"/>
                <w:szCs w:val="20"/>
              </w:rPr>
              <w:t>1996-2008</w:t>
            </w:r>
          </w:p>
        </w:tc>
        <w:tc>
          <w:tcPr>
            <w:tcW w:w="567" w:type="dxa"/>
            <w:shd w:val="clear" w:color="auto" w:fill="FFFFFF" w:themeFill="background1"/>
          </w:tcPr>
          <w:p w:rsidR="00FE42CD" w:rsidRPr="00F31385" w:rsidRDefault="00FE42CD" w:rsidP="000C324A">
            <w:pPr>
              <w:rPr>
                <w:sz w:val="16"/>
                <w:szCs w:val="20"/>
              </w:rPr>
            </w:pPr>
            <w:r w:rsidRPr="00F31385">
              <w:rPr>
                <w:sz w:val="16"/>
                <w:szCs w:val="20"/>
              </w:rPr>
              <w:t>517</w:t>
            </w:r>
          </w:p>
        </w:tc>
        <w:tc>
          <w:tcPr>
            <w:tcW w:w="567" w:type="dxa"/>
            <w:shd w:val="clear" w:color="auto" w:fill="FFFFFF" w:themeFill="background1"/>
          </w:tcPr>
          <w:p w:rsidR="00FE42CD" w:rsidRPr="00642DE1" w:rsidRDefault="00FE42CD" w:rsidP="000C324A">
            <w:pPr>
              <w:spacing w:line="360" w:lineRule="auto"/>
              <w:rPr>
                <w:sz w:val="16"/>
                <w:szCs w:val="20"/>
              </w:rPr>
            </w:pPr>
            <w:r w:rsidRPr="00642DE1">
              <w:rPr>
                <w:sz w:val="16"/>
                <w:szCs w:val="20"/>
              </w:rPr>
              <w:t xml:space="preserve">63.5 </w:t>
            </w:r>
          </w:p>
        </w:tc>
        <w:tc>
          <w:tcPr>
            <w:tcW w:w="1276" w:type="dxa"/>
            <w:shd w:val="clear" w:color="auto" w:fill="FFFFFF" w:themeFill="background1"/>
          </w:tcPr>
          <w:p w:rsidR="00FE42CD" w:rsidRDefault="00FE42CD" w:rsidP="000C324A">
            <w:pPr>
              <w:rPr>
                <w:sz w:val="16"/>
                <w:szCs w:val="20"/>
              </w:rPr>
            </w:pPr>
            <w:r>
              <w:rPr>
                <w:sz w:val="16"/>
                <w:szCs w:val="20"/>
              </w:rPr>
              <w:t>Peripheral 39</w:t>
            </w:r>
            <w:r w:rsidRPr="00642DE1">
              <w:rPr>
                <w:sz w:val="16"/>
                <w:szCs w:val="20"/>
              </w:rPr>
              <w:t>%</w:t>
            </w:r>
          </w:p>
          <w:p w:rsidR="00FE42CD" w:rsidRPr="00642DE1" w:rsidRDefault="00FE42CD" w:rsidP="000C324A">
            <w:pPr>
              <w:rPr>
                <w:sz w:val="16"/>
                <w:szCs w:val="20"/>
              </w:rPr>
            </w:pPr>
            <w:r w:rsidRPr="00642DE1">
              <w:rPr>
                <w:sz w:val="16"/>
                <w:szCs w:val="20"/>
              </w:rPr>
              <w:t>Central 6</w:t>
            </w:r>
            <w:r>
              <w:rPr>
                <w:sz w:val="16"/>
                <w:szCs w:val="20"/>
              </w:rPr>
              <w:t>1</w:t>
            </w:r>
            <w:r w:rsidRPr="00642DE1">
              <w:rPr>
                <w:sz w:val="16"/>
                <w:szCs w:val="20"/>
              </w:rPr>
              <w:t>%</w:t>
            </w:r>
          </w:p>
          <w:p w:rsidR="00FE42CD" w:rsidRPr="00642DE1" w:rsidRDefault="00FE42CD" w:rsidP="000C324A">
            <w:pPr>
              <w:rPr>
                <w:sz w:val="16"/>
                <w:szCs w:val="20"/>
              </w:rPr>
            </w:pPr>
          </w:p>
        </w:tc>
        <w:tc>
          <w:tcPr>
            <w:tcW w:w="992" w:type="dxa"/>
            <w:shd w:val="clear" w:color="auto" w:fill="FFFFFF" w:themeFill="background1"/>
          </w:tcPr>
          <w:p w:rsidR="00FE42CD" w:rsidRPr="00642DE1" w:rsidRDefault="00FE42CD" w:rsidP="000C324A">
            <w:pPr>
              <w:rPr>
                <w:sz w:val="16"/>
                <w:szCs w:val="20"/>
              </w:rPr>
            </w:pPr>
            <w:r w:rsidRPr="00642DE1">
              <w:rPr>
                <w:sz w:val="16"/>
                <w:szCs w:val="20"/>
              </w:rPr>
              <w:t xml:space="preserve">31.3% </w:t>
            </w:r>
          </w:p>
        </w:tc>
        <w:tc>
          <w:tcPr>
            <w:tcW w:w="708" w:type="dxa"/>
            <w:shd w:val="clear" w:color="auto" w:fill="FFFFFF" w:themeFill="background1"/>
          </w:tcPr>
          <w:p w:rsidR="00FE42CD" w:rsidRPr="00381CAF" w:rsidRDefault="00FE42CD" w:rsidP="000C324A">
            <w:pPr>
              <w:rPr>
                <w:sz w:val="16"/>
                <w:szCs w:val="20"/>
              </w:rPr>
            </w:pPr>
            <w:r w:rsidRPr="00381CAF">
              <w:rPr>
                <w:sz w:val="16"/>
                <w:szCs w:val="20"/>
              </w:rPr>
              <w:t>5 (3†)</w:t>
            </w:r>
          </w:p>
        </w:tc>
        <w:tc>
          <w:tcPr>
            <w:tcW w:w="709" w:type="dxa"/>
            <w:shd w:val="clear" w:color="auto" w:fill="FFFFFF" w:themeFill="background1"/>
          </w:tcPr>
          <w:p w:rsidR="00FE42CD" w:rsidRPr="00381CAF" w:rsidRDefault="00FE42CD" w:rsidP="000C324A">
            <w:pPr>
              <w:rPr>
                <w:sz w:val="16"/>
                <w:szCs w:val="20"/>
              </w:rPr>
            </w:pPr>
            <w:r w:rsidRPr="00381CAF">
              <w:rPr>
                <w:sz w:val="16"/>
                <w:szCs w:val="20"/>
              </w:rPr>
              <w:t>15 (12†)</w:t>
            </w:r>
          </w:p>
        </w:tc>
        <w:tc>
          <w:tcPr>
            <w:tcW w:w="2556" w:type="dxa"/>
            <w:shd w:val="clear" w:color="auto" w:fill="FFFFFF" w:themeFill="background1"/>
          </w:tcPr>
          <w:p w:rsidR="00FE42CD" w:rsidRPr="00FE42CD" w:rsidRDefault="00FE42CD" w:rsidP="000C324A">
            <w:pPr>
              <w:rPr>
                <w:sz w:val="16"/>
                <w:szCs w:val="20"/>
                <w:lang w:val="en-US"/>
              </w:rPr>
            </w:pPr>
            <w:r w:rsidRPr="00FE42CD">
              <w:rPr>
                <w:sz w:val="16"/>
                <w:szCs w:val="20"/>
                <w:lang w:val="en-US"/>
              </w:rPr>
              <w:t>Age, preoperative renal failure, lactate&gt;4, obesity, diabetes, EuroSCORE&gt;20%</w:t>
            </w:r>
          </w:p>
        </w:tc>
      </w:tr>
      <w:tr w:rsidR="00FE42CD" w:rsidRPr="00C174A1" w:rsidTr="00FE42CD">
        <w:trPr>
          <w:jc w:val="center"/>
        </w:trPr>
        <w:tc>
          <w:tcPr>
            <w:tcW w:w="1129" w:type="dxa"/>
          </w:tcPr>
          <w:p w:rsidR="00FE42CD" w:rsidRPr="00642DE1" w:rsidRDefault="00FE42CD" w:rsidP="000C324A">
            <w:pPr>
              <w:rPr>
                <w:sz w:val="16"/>
                <w:szCs w:val="20"/>
              </w:rPr>
            </w:pPr>
            <w:r w:rsidRPr="00642DE1">
              <w:rPr>
                <w:sz w:val="16"/>
                <w:szCs w:val="20"/>
              </w:rPr>
              <w:t>Wu, 2010</w:t>
            </w:r>
          </w:p>
        </w:tc>
        <w:tc>
          <w:tcPr>
            <w:tcW w:w="709" w:type="dxa"/>
          </w:tcPr>
          <w:p w:rsidR="00FE42CD" w:rsidRPr="00642DE1" w:rsidRDefault="00FE42CD" w:rsidP="000C324A">
            <w:pPr>
              <w:rPr>
                <w:sz w:val="16"/>
                <w:szCs w:val="20"/>
              </w:rPr>
            </w:pPr>
            <w:r w:rsidRPr="00642DE1">
              <w:rPr>
                <w:sz w:val="16"/>
                <w:szCs w:val="20"/>
              </w:rPr>
              <w:t>2003-2009</w:t>
            </w:r>
          </w:p>
        </w:tc>
        <w:tc>
          <w:tcPr>
            <w:tcW w:w="567" w:type="dxa"/>
          </w:tcPr>
          <w:p w:rsidR="00FE42CD" w:rsidRPr="00642DE1" w:rsidRDefault="00FE42CD" w:rsidP="000C324A">
            <w:pPr>
              <w:rPr>
                <w:sz w:val="16"/>
                <w:szCs w:val="20"/>
              </w:rPr>
            </w:pPr>
            <w:r w:rsidRPr="00642DE1">
              <w:rPr>
                <w:sz w:val="16"/>
                <w:szCs w:val="20"/>
              </w:rPr>
              <w:t>110</w:t>
            </w:r>
          </w:p>
        </w:tc>
        <w:tc>
          <w:tcPr>
            <w:tcW w:w="567" w:type="dxa"/>
          </w:tcPr>
          <w:p w:rsidR="00FE42CD" w:rsidRPr="00642DE1" w:rsidRDefault="00FE42CD" w:rsidP="000C324A">
            <w:pPr>
              <w:rPr>
                <w:sz w:val="16"/>
                <w:szCs w:val="20"/>
              </w:rPr>
            </w:pPr>
            <w:r w:rsidRPr="00642DE1">
              <w:rPr>
                <w:sz w:val="16"/>
                <w:szCs w:val="20"/>
              </w:rPr>
              <w:t xml:space="preserve">60 </w:t>
            </w:r>
          </w:p>
        </w:tc>
        <w:tc>
          <w:tcPr>
            <w:tcW w:w="1276" w:type="dxa"/>
          </w:tcPr>
          <w:p w:rsidR="00FE42CD" w:rsidRPr="00642DE1" w:rsidRDefault="00FE42CD" w:rsidP="000C324A">
            <w:pPr>
              <w:rPr>
                <w:sz w:val="16"/>
                <w:szCs w:val="20"/>
              </w:rPr>
            </w:pPr>
            <w:r w:rsidRPr="00642DE1">
              <w:rPr>
                <w:sz w:val="16"/>
                <w:szCs w:val="20"/>
              </w:rPr>
              <w:t>NC</w:t>
            </w:r>
          </w:p>
        </w:tc>
        <w:tc>
          <w:tcPr>
            <w:tcW w:w="992" w:type="dxa"/>
          </w:tcPr>
          <w:p w:rsidR="00FE42CD" w:rsidRPr="00642DE1" w:rsidRDefault="00FE42CD" w:rsidP="000C324A">
            <w:pPr>
              <w:rPr>
                <w:sz w:val="16"/>
                <w:szCs w:val="20"/>
              </w:rPr>
            </w:pPr>
            <w:r>
              <w:rPr>
                <w:sz w:val="16"/>
                <w:szCs w:val="20"/>
              </w:rPr>
              <w:t>41.8%</w:t>
            </w:r>
          </w:p>
        </w:tc>
        <w:tc>
          <w:tcPr>
            <w:tcW w:w="708" w:type="dxa"/>
          </w:tcPr>
          <w:p w:rsidR="00FE42CD" w:rsidRPr="00642DE1" w:rsidRDefault="00FE42CD" w:rsidP="000C324A">
            <w:pPr>
              <w:rPr>
                <w:sz w:val="16"/>
                <w:szCs w:val="20"/>
              </w:rPr>
            </w:pPr>
            <w:r w:rsidRPr="00642DE1">
              <w:rPr>
                <w:sz w:val="16"/>
                <w:szCs w:val="20"/>
              </w:rPr>
              <w:t>1</w:t>
            </w:r>
          </w:p>
        </w:tc>
        <w:tc>
          <w:tcPr>
            <w:tcW w:w="709" w:type="dxa"/>
          </w:tcPr>
          <w:p w:rsidR="00FE42CD" w:rsidRPr="0071788E" w:rsidRDefault="00FE42CD" w:rsidP="000C324A">
            <w:pPr>
              <w:rPr>
                <w:sz w:val="16"/>
                <w:szCs w:val="20"/>
              </w:rPr>
            </w:pPr>
            <w:r w:rsidRPr="0071788E">
              <w:rPr>
                <w:sz w:val="16"/>
                <w:szCs w:val="20"/>
              </w:rPr>
              <w:t>2†</w:t>
            </w:r>
          </w:p>
        </w:tc>
        <w:tc>
          <w:tcPr>
            <w:tcW w:w="2556" w:type="dxa"/>
          </w:tcPr>
          <w:p w:rsidR="00FE42CD" w:rsidRPr="00FE42CD" w:rsidRDefault="00FE42CD" w:rsidP="000C324A">
            <w:pPr>
              <w:rPr>
                <w:sz w:val="16"/>
                <w:szCs w:val="20"/>
                <w:lang w:val="en-US"/>
              </w:rPr>
            </w:pPr>
            <w:r w:rsidRPr="00FE42CD">
              <w:rPr>
                <w:sz w:val="16"/>
                <w:szCs w:val="20"/>
                <w:lang w:val="en-US"/>
              </w:rPr>
              <w:t>Age, continuous renal replacement therapy, other than isolated CABG, bilirubin&gt;6mg/dL, ECMO &gt;110 h, LVEF&lt;30%</w:t>
            </w:r>
          </w:p>
        </w:tc>
      </w:tr>
      <w:tr w:rsidR="00FE42CD" w:rsidRPr="00315B08" w:rsidTr="00FE42CD">
        <w:trPr>
          <w:jc w:val="center"/>
        </w:trPr>
        <w:tc>
          <w:tcPr>
            <w:tcW w:w="1129" w:type="dxa"/>
          </w:tcPr>
          <w:p w:rsidR="00FE42CD" w:rsidRPr="00642DE1" w:rsidRDefault="00FE42CD" w:rsidP="000C324A">
            <w:pPr>
              <w:rPr>
                <w:sz w:val="16"/>
                <w:szCs w:val="20"/>
              </w:rPr>
            </w:pPr>
            <w:r w:rsidRPr="00642DE1">
              <w:rPr>
                <w:sz w:val="16"/>
                <w:szCs w:val="20"/>
              </w:rPr>
              <w:t>Luo, 2009</w:t>
            </w:r>
          </w:p>
        </w:tc>
        <w:tc>
          <w:tcPr>
            <w:tcW w:w="709" w:type="dxa"/>
          </w:tcPr>
          <w:p w:rsidR="00FE42CD" w:rsidRPr="00642DE1" w:rsidRDefault="00FE42CD" w:rsidP="000C324A">
            <w:pPr>
              <w:rPr>
                <w:sz w:val="16"/>
                <w:szCs w:val="20"/>
              </w:rPr>
            </w:pPr>
            <w:r w:rsidRPr="00642DE1">
              <w:rPr>
                <w:sz w:val="16"/>
                <w:szCs w:val="20"/>
              </w:rPr>
              <w:t>2005-2008</w:t>
            </w:r>
          </w:p>
        </w:tc>
        <w:tc>
          <w:tcPr>
            <w:tcW w:w="567" w:type="dxa"/>
          </w:tcPr>
          <w:p w:rsidR="00FE42CD" w:rsidRPr="00642DE1" w:rsidRDefault="00FE42CD" w:rsidP="000C324A">
            <w:pPr>
              <w:rPr>
                <w:sz w:val="16"/>
                <w:szCs w:val="20"/>
              </w:rPr>
            </w:pPr>
            <w:r w:rsidRPr="00642DE1">
              <w:rPr>
                <w:sz w:val="16"/>
                <w:szCs w:val="20"/>
              </w:rPr>
              <w:t>31</w:t>
            </w:r>
          </w:p>
        </w:tc>
        <w:tc>
          <w:tcPr>
            <w:tcW w:w="567" w:type="dxa"/>
          </w:tcPr>
          <w:p w:rsidR="00FE42CD" w:rsidRPr="00642DE1" w:rsidRDefault="00FE42CD" w:rsidP="000C324A">
            <w:pPr>
              <w:rPr>
                <w:sz w:val="16"/>
                <w:szCs w:val="20"/>
              </w:rPr>
            </w:pPr>
            <w:r w:rsidRPr="00642DE1">
              <w:rPr>
                <w:sz w:val="16"/>
                <w:szCs w:val="20"/>
              </w:rPr>
              <w:t xml:space="preserve">50.4 </w:t>
            </w:r>
          </w:p>
        </w:tc>
        <w:tc>
          <w:tcPr>
            <w:tcW w:w="1276" w:type="dxa"/>
          </w:tcPr>
          <w:p w:rsidR="00FE42CD" w:rsidRPr="00642DE1" w:rsidRDefault="00FE42CD" w:rsidP="000C324A">
            <w:pPr>
              <w:rPr>
                <w:sz w:val="16"/>
                <w:szCs w:val="20"/>
              </w:rPr>
            </w:pPr>
            <w:r w:rsidRPr="00642DE1">
              <w:rPr>
                <w:sz w:val="16"/>
                <w:szCs w:val="20"/>
              </w:rPr>
              <w:t>NC</w:t>
            </w:r>
          </w:p>
        </w:tc>
        <w:tc>
          <w:tcPr>
            <w:tcW w:w="992" w:type="dxa"/>
          </w:tcPr>
          <w:p w:rsidR="00FE42CD" w:rsidRPr="00642DE1" w:rsidRDefault="00FE42CD" w:rsidP="000C324A">
            <w:pPr>
              <w:rPr>
                <w:sz w:val="16"/>
                <w:szCs w:val="20"/>
              </w:rPr>
            </w:pPr>
            <w:r w:rsidRPr="00642DE1">
              <w:rPr>
                <w:sz w:val="16"/>
                <w:szCs w:val="20"/>
              </w:rPr>
              <w:t>58%</w:t>
            </w:r>
          </w:p>
        </w:tc>
        <w:tc>
          <w:tcPr>
            <w:tcW w:w="708" w:type="dxa"/>
          </w:tcPr>
          <w:p w:rsidR="00FE42CD" w:rsidRPr="00642DE1" w:rsidRDefault="00FE42CD" w:rsidP="000C324A">
            <w:pPr>
              <w:rPr>
                <w:sz w:val="16"/>
                <w:szCs w:val="20"/>
              </w:rPr>
            </w:pPr>
            <w:r w:rsidRPr="00642DE1">
              <w:rPr>
                <w:sz w:val="16"/>
                <w:szCs w:val="20"/>
              </w:rPr>
              <w:t xml:space="preserve">1 </w:t>
            </w:r>
          </w:p>
        </w:tc>
        <w:tc>
          <w:tcPr>
            <w:tcW w:w="709" w:type="dxa"/>
          </w:tcPr>
          <w:p w:rsidR="00FE42CD" w:rsidRPr="00642DE1" w:rsidRDefault="00FE42CD" w:rsidP="000C324A">
            <w:pPr>
              <w:rPr>
                <w:sz w:val="16"/>
                <w:szCs w:val="20"/>
              </w:rPr>
            </w:pPr>
            <w:r w:rsidRPr="00642DE1">
              <w:rPr>
                <w:sz w:val="16"/>
                <w:szCs w:val="20"/>
              </w:rPr>
              <w:t>0</w:t>
            </w:r>
          </w:p>
        </w:tc>
        <w:tc>
          <w:tcPr>
            <w:tcW w:w="2556" w:type="dxa"/>
          </w:tcPr>
          <w:p w:rsidR="00FE42CD" w:rsidRPr="00642DE1" w:rsidRDefault="00FE42CD" w:rsidP="000C324A">
            <w:pPr>
              <w:rPr>
                <w:sz w:val="16"/>
                <w:szCs w:val="20"/>
              </w:rPr>
            </w:pPr>
            <w:r>
              <w:rPr>
                <w:sz w:val="16"/>
                <w:szCs w:val="20"/>
              </w:rPr>
              <w:t>Continuous renal replacement therapy</w:t>
            </w:r>
          </w:p>
        </w:tc>
      </w:tr>
      <w:tr w:rsidR="00FE42CD" w:rsidRPr="00C174A1" w:rsidTr="00FE42CD">
        <w:trPr>
          <w:jc w:val="center"/>
        </w:trPr>
        <w:tc>
          <w:tcPr>
            <w:tcW w:w="1129" w:type="dxa"/>
          </w:tcPr>
          <w:p w:rsidR="00FE42CD" w:rsidRPr="00642DE1" w:rsidRDefault="00FE42CD" w:rsidP="000C324A">
            <w:pPr>
              <w:rPr>
                <w:sz w:val="16"/>
                <w:szCs w:val="20"/>
              </w:rPr>
            </w:pPr>
            <w:r w:rsidRPr="00642DE1">
              <w:rPr>
                <w:sz w:val="16"/>
                <w:szCs w:val="20"/>
              </w:rPr>
              <w:t>Loforte, Artif Org, 2014</w:t>
            </w:r>
          </w:p>
        </w:tc>
        <w:tc>
          <w:tcPr>
            <w:tcW w:w="709" w:type="dxa"/>
          </w:tcPr>
          <w:p w:rsidR="00FE42CD" w:rsidRPr="00642DE1" w:rsidRDefault="00FE42CD" w:rsidP="000C324A">
            <w:pPr>
              <w:rPr>
                <w:sz w:val="16"/>
                <w:szCs w:val="20"/>
              </w:rPr>
            </w:pPr>
            <w:r w:rsidRPr="00642DE1">
              <w:rPr>
                <w:sz w:val="16"/>
                <w:szCs w:val="20"/>
              </w:rPr>
              <w:t>2006-2012</w:t>
            </w:r>
          </w:p>
        </w:tc>
        <w:tc>
          <w:tcPr>
            <w:tcW w:w="567" w:type="dxa"/>
          </w:tcPr>
          <w:p w:rsidR="00FE42CD" w:rsidRPr="00642DE1" w:rsidRDefault="00FE42CD" w:rsidP="000C324A">
            <w:pPr>
              <w:rPr>
                <w:sz w:val="16"/>
                <w:szCs w:val="20"/>
              </w:rPr>
            </w:pPr>
            <w:r w:rsidRPr="00642DE1">
              <w:rPr>
                <w:sz w:val="16"/>
                <w:szCs w:val="20"/>
              </w:rPr>
              <w:t>118</w:t>
            </w:r>
          </w:p>
        </w:tc>
        <w:tc>
          <w:tcPr>
            <w:tcW w:w="567" w:type="dxa"/>
          </w:tcPr>
          <w:p w:rsidR="00FE42CD" w:rsidRPr="00642DE1" w:rsidRDefault="00FE42CD" w:rsidP="000C324A">
            <w:pPr>
              <w:rPr>
                <w:sz w:val="16"/>
                <w:szCs w:val="20"/>
              </w:rPr>
            </w:pPr>
            <w:r w:rsidRPr="00642DE1">
              <w:rPr>
                <w:sz w:val="16"/>
                <w:szCs w:val="20"/>
              </w:rPr>
              <w:t xml:space="preserve">61.2 </w:t>
            </w:r>
          </w:p>
        </w:tc>
        <w:tc>
          <w:tcPr>
            <w:tcW w:w="1276" w:type="dxa"/>
          </w:tcPr>
          <w:p w:rsidR="00FE42CD" w:rsidRDefault="00FE42CD" w:rsidP="000C324A">
            <w:pPr>
              <w:rPr>
                <w:sz w:val="16"/>
                <w:szCs w:val="20"/>
              </w:rPr>
            </w:pPr>
            <w:r w:rsidRPr="00642DE1">
              <w:rPr>
                <w:sz w:val="16"/>
                <w:szCs w:val="20"/>
              </w:rPr>
              <w:t>Peripheral</w:t>
            </w:r>
            <w:r w:rsidRPr="00642DE1">
              <w:rPr>
                <w:i/>
                <w:sz w:val="16"/>
                <w:szCs w:val="20"/>
              </w:rPr>
              <w:t xml:space="preserve"> </w:t>
            </w:r>
            <w:r>
              <w:rPr>
                <w:sz w:val="16"/>
                <w:szCs w:val="20"/>
              </w:rPr>
              <w:t>53</w:t>
            </w:r>
            <w:r w:rsidRPr="00642DE1">
              <w:rPr>
                <w:sz w:val="16"/>
                <w:szCs w:val="20"/>
              </w:rPr>
              <w:t>%</w:t>
            </w:r>
          </w:p>
          <w:p w:rsidR="00FE42CD" w:rsidRPr="00642DE1" w:rsidRDefault="00FE42CD" w:rsidP="000C324A">
            <w:pPr>
              <w:rPr>
                <w:i/>
                <w:sz w:val="16"/>
                <w:szCs w:val="20"/>
              </w:rPr>
            </w:pPr>
            <w:r w:rsidRPr="00642DE1">
              <w:rPr>
                <w:sz w:val="16"/>
                <w:szCs w:val="20"/>
              </w:rPr>
              <w:t>Central 47%</w:t>
            </w:r>
          </w:p>
        </w:tc>
        <w:tc>
          <w:tcPr>
            <w:tcW w:w="992" w:type="dxa"/>
          </w:tcPr>
          <w:p w:rsidR="00FE42CD" w:rsidRPr="00642DE1" w:rsidRDefault="00FE42CD" w:rsidP="000C324A">
            <w:pPr>
              <w:rPr>
                <w:sz w:val="16"/>
                <w:szCs w:val="20"/>
              </w:rPr>
            </w:pPr>
            <w:r>
              <w:rPr>
                <w:sz w:val="16"/>
                <w:szCs w:val="20"/>
              </w:rPr>
              <w:t>46.6%</w:t>
            </w:r>
          </w:p>
        </w:tc>
        <w:tc>
          <w:tcPr>
            <w:tcW w:w="708" w:type="dxa"/>
          </w:tcPr>
          <w:p w:rsidR="00FE42CD" w:rsidRPr="00642DE1" w:rsidRDefault="00FE42CD" w:rsidP="000C324A">
            <w:pPr>
              <w:rPr>
                <w:sz w:val="16"/>
                <w:szCs w:val="20"/>
              </w:rPr>
            </w:pPr>
            <w:r w:rsidRPr="00642DE1">
              <w:rPr>
                <w:sz w:val="16"/>
                <w:szCs w:val="20"/>
              </w:rPr>
              <w:t>0</w:t>
            </w:r>
          </w:p>
        </w:tc>
        <w:tc>
          <w:tcPr>
            <w:tcW w:w="709" w:type="dxa"/>
          </w:tcPr>
          <w:p w:rsidR="00FE42CD" w:rsidRPr="00642DE1" w:rsidRDefault="00FE42CD" w:rsidP="000C324A">
            <w:pPr>
              <w:rPr>
                <w:sz w:val="16"/>
                <w:szCs w:val="20"/>
              </w:rPr>
            </w:pPr>
            <w:r>
              <w:rPr>
                <w:sz w:val="16"/>
                <w:szCs w:val="20"/>
              </w:rPr>
              <w:t>1</w:t>
            </w:r>
          </w:p>
        </w:tc>
        <w:tc>
          <w:tcPr>
            <w:tcW w:w="2556" w:type="dxa"/>
          </w:tcPr>
          <w:p w:rsidR="00FE42CD" w:rsidRPr="00FE42CD" w:rsidRDefault="00FE42CD" w:rsidP="000C324A">
            <w:pPr>
              <w:rPr>
                <w:sz w:val="16"/>
                <w:szCs w:val="20"/>
                <w:lang w:val="en-US"/>
              </w:rPr>
            </w:pPr>
            <w:r w:rsidRPr="00FE42CD">
              <w:rPr>
                <w:sz w:val="16"/>
                <w:szCs w:val="20"/>
                <w:lang w:val="en-US"/>
              </w:rPr>
              <w:t>Lactate&gt;3mmol/L at 72h</w:t>
            </w:r>
          </w:p>
          <w:p w:rsidR="00FE42CD" w:rsidRPr="00FE42CD" w:rsidRDefault="00FE42CD" w:rsidP="000C324A">
            <w:pPr>
              <w:rPr>
                <w:sz w:val="16"/>
                <w:szCs w:val="20"/>
                <w:lang w:val="en-US"/>
              </w:rPr>
            </w:pPr>
            <w:r w:rsidRPr="00FE42CD">
              <w:rPr>
                <w:sz w:val="16"/>
                <w:szCs w:val="20"/>
                <w:lang w:val="en-US"/>
              </w:rPr>
              <w:t xml:space="preserve">Higher amount of blood transfusion was observed in dead patients </w:t>
            </w:r>
          </w:p>
        </w:tc>
      </w:tr>
      <w:tr w:rsidR="00FE42CD" w:rsidRPr="00315B08" w:rsidTr="00FE42CD">
        <w:trPr>
          <w:jc w:val="center"/>
        </w:trPr>
        <w:tc>
          <w:tcPr>
            <w:tcW w:w="1129" w:type="dxa"/>
          </w:tcPr>
          <w:p w:rsidR="00FE42CD" w:rsidRPr="00642DE1" w:rsidRDefault="00FE42CD" w:rsidP="000C324A">
            <w:pPr>
              <w:rPr>
                <w:sz w:val="16"/>
                <w:szCs w:val="20"/>
              </w:rPr>
            </w:pPr>
            <w:r>
              <w:rPr>
                <w:sz w:val="16"/>
                <w:szCs w:val="20"/>
              </w:rPr>
              <w:t>Ko, 2002</w:t>
            </w:r>
          </w:p>
        </w:tc>
        <w:tc>
          <w:tcPr>
            <w:tcW w:w="709" w:type="dxa"/>
          </w:tcPr>
          <w:p w:rsidR="00FE42CD" w:rsidRPr="00642DE1" w:rsidRDefault="00FE42CD" w:rsidP="000C324A">
            <w:pPr>
              <w:rPr>
                <w:sz w:val="16"/>
                <w:szCs w:val="20"/>
              </w:rPr>
            </w:pPr>
            <w:r>
              <w:rPr>
                <w:sz w:val="16"/>
                <w:szCs w:val="20"/>
              </w:rPr>
              <w:t>1994-2000</w:t>
            </w:r>
          </w:p>
        </w:tc>
        <w:tc>
          <w:tcPr>
            <w:tcW w:w="567" w:type="dxa"/>
          </w:tcPr>
          <w:p w:rsidR="00FE42CD" w:rsidRPr="00642DE1" w:rsidRDefault="00FE42CD" w:rsidP="000C324A">
            <w:pPr>
              <w:rPr>
                <w:sz w:val="16"/>
                <w:szCs w:val="20"/>
              </w:rPr>
            </w:pPr>
            <w:r>
              <w:rPr>
                <w:sz w:val="16"/>
                <w:szCs w:val="20"/>
              </w:rPr>
              <w:t>76</w:t>
            </w:r>
          </w:p>
        </w:tc>
        <w:tc>
          <w:tcPr>
            <w:tcW w:w="567" w:type="dxa"/>
          </w:tcPr>
          <w:p w:rsidR="00FE42CD" w:rsidRPr="00642DE1" w:rsidRDefault="00FE42CD" w:rsidP="000C324A">
            <w:pPr>
              <w:rPr>
                <w:sz w:val="16"/>
                <w:szCs w:val="20"/>
              </w:rPr>
            </w:pPr>
            <w:r>
              <w:rPr>
                <w:sz w:val="16"/>
                <w:szCs w:val="20"/>
              </w:rPr>
              <w:t xml:space="preserve">56.8 </w:t>
            </w:r>
          </w:p>
        </w:tc>
        <w:tc>
          <w:tcPr>
            <w:tcW w:w="1276" w:type="dxa"/>
          </w:tcPr>
          <w:p w:rsidR="00FE42CD" w:rsidRDefault="00FE42CD" w:rsidP="000C324A">
            <w:pPr>
              <w:rPr>
                <w:sz w:val="16"/>
                <w:szCs w:val="20"/>
              </w:rPr>
            </w:pPr>
            <w:r>
              <w:rPr>
                <w:sz w:val="16"/>
                <w:szCs w:val="20"/>
              </w:rPr>
              <w:t>Peripheral 81%</w:t>
            </w:r>
          </w:p>
          <w:p w:rsidR="00FE42CD" w:rsidRPr="00642DE1" w:rsidRDefault="00FE42CD" w:rsidP="000C324A">
            <w:pPr>
              <w:rPr>
                <w:sz w:val="16"/>
                <w:szCs w:val="20"/>
              </w:rPr>
            </w:pPr>
            <w:r>
              <w:rPr>
                <w:sz w:val="16"/>
                <w:szCs w:val="20"/>
              </w:rPr>
              <w:t>Central 19%</w:t>
            </w:r>
          </w:p>
        </w:tc>
        <w:tc>
          <w:tcPr>
            <w:tcW w:w="992" w:type="dxa"/>
          </w:tcPr>
          <w:p w:rsidR="00FE42CD" w:rsidRPr="00642DE1" w:rsidRDefault="00FE42CD" w:rsidP="000C324A">
            <w:pPr>
              <w:rPr>
                <w:sz w:val="16"/>
                <w:szCs w:val="20"/>
              </w:rPr>
            </w:pPr>
            <w:r>
              <w:rPr>
                <w:sz w:val="16"/>
                <w:szCs w:val="20"/>
              </w:rPr>
              <w:t>28.9%</w:t>
            </w:r>
          </w:p>
        </w:tc>
        <w:tc>
          <w:tcPr>
            <w:tcW w:w="708" w:type="dxa"/>
          </w:tcPr>
          <w:p w:rsidR="00FE42CD" w:rsidRPr="0071788E" w:rsidRDefault="00FE42CD" w:rsidP="000C324A">
            <w:pPr>
              <w:rPr>
                <w:sz w:val="16"/>
                <w:szCs w:val="20"/>
              </w:rPr>
            </w:pPr>
            <w:r w:rsidRPr="0071788E">
              <w:rPr>
                <w:sz w:val="16"/>
                <w:szCs w:val="20"/>
              </w:rPr>
              <w:t xml:space="preserve">2 † </w:t>
            </w:r>
          </w:p>
        </w:tc>
        <w:tc>
          <w:tcPr>
            <w:tcW w:w="709" w:type="dxa"/>
          </w:tcPr>
          <w:p w:rsidR="00FE42CD" w:rsidRPr="0071788E" w:rsidRDefault="00FE42CD" w:rsidP="000C324A">
            <w:pPr>
              <w:rPr>
                <w:sz w:val="16"/>
                <w:szCs w:val="20"/>
              </w:rPr>
            </w:pPr>
            <w:r w:rsidRPr="0071788E">
              <w:rPr>
                <w:sz w:val="16"/>
                <w:szCs w:val="20"/>
              </w:rPr>
              <w:t>2 (1†)</w:t>
            </w:r>
          </w:p>
        </w:tc>
        <w:tc>
          <w:tcPr>
            <w:tcW w:w="2556" w:type="dxa"/>
          </w:tcPr>
          <w:p w:rsidR="00FE42CD" w:rsidRDefault="00FE42CD" w:rsidP="000C324A">
            <w:pPr>
              <w:rPr>
                <w:sz w:val="16"/>
                <w:szCs w:val="20"/>
              </w:rPr>
            </w:pPr>
            <w:r>
              <w:rPr>
                <w:sz w:val="16"/>
                <w:szCs w:val="20"/>
              </w:rPr>
              <w:t>Continuous renal replacement therapy</w:t>
            </w:r>
          </w:p>
        </w:tc>
      </w:tr>
      <w:tr w:rsidR="00FE42CD" w:rsidRPr="00315B08" w:rsidTr="00FE42CD">
        <w:trPr>
          <w:jc w:val="center"/>
        </w:trPr>
        <w:tc>
          <w:tcPr>
            <w:tcW w:w="1129" w:type="dxa"/>
          </w:tcPr>
          <w:p w:rsidR="00FE42CD" w:rsidRPr="00642DE1" w:rsidRDefault="00FE42CD" w:rsidP="000C324A">
            <w:pPr>
              <w:rPr>
                <w:sz w:val="16"/>
                <w:szCs w:val="20"/>
              </w:rPr>
            </w:pPr>
            <w:r>
              <w:rPr>
                <w:sz w:val="16"/>
                <w:szCs w:val="20"/>
              </w:rPr>
              <w:t>Liden, 2009</w:t>
            </w:r>
          </w:p>
        </w:tc>
        <w:tc>
          <w:tcPr>
            <w:tcW w:w="709" w:type="dxa"/>
          </w:tcPr>
          <w:p w:rsidR="00FE42CD" w:rsidRPr="00642DE1" w:rsidRDefault="00FE42CD" w:rsidP="000C324A">
            <w:pPr>
              <w:rPr>
                <w:sz w:val="16"/>
                <w:szCs w:val="20"/>
              </w:rPr>
            </w:pPr>
            <w:r>
              <w:rPr>
                <w:sz w:val="16"/>
                <w:szCs w:val="20"/>
              </w:rPr>
              <w:t>2000-2007</w:t>
            </w:r>
          </w:p>
        </w:tc>
        <w:tc>
          <w:tcPr>
            <w:tcW w:w="567" w:type="dxa"/>
          </w:tcPr>
          <w:p w:rsidR="00FE42CD" w:rsidRPr="00642DE1" w:rsidRDefault="00FE42CD" w:rsidP="000C324A">
            <w:pPr>
              <w:rPr>
                <w:sz w:val="16"/>
                <w:szCs w:val="20"/>
              </w:rPr>
            </w:pPr>
            <w:r>
              <w:rPr>
                <w:sz w:val="16"/>
                <w:szCs w:val="20"/>
              </w:rPr>
              <w:t>33</w:t>
            </w:r>
          </w:p>
        </w:tc>
        <w:tc>
          <w:tcPr>
            <w:tcW w:w="567" w:type="dxa"/>
          </w:tcPr>
          <w:p w:rsidR="00FE42CD" w:rsidRPr="00642DE1" w:rsidRDefault="00FE42CD" w:rsidP="000C324A">
            <w:pPr>
              <w:rPr>
                <w:sz w:val="16"/>
                <w:szCs w:val="20"/>
              </w:rPr>
            </w:pPr>
            <w:r>
              <w:rPr>
                <w:sz w:val="16"/>
                <w:szCs w:val="20"/>
              </w:rPr>
              <w:t>52.4</w:t>
            </w:r>
          </w:p>
        </w:tc>
        <w:tc>
          <w:tcPr>
            <w:tcW w:w="1276" w:type="dxa"/>
          </w:tcPr>
          <w:p w:rsidR="00FE42CD" w:rsidRDefault="00FE42CD" w:rsidP="000C324A">
            <w:pPr>
              <w:rPr>
                <w:sz w:val="16"/>
                <w:szCs w:val="20"/>
              </w:rPr>
            </w:pPr>
            <w:r>
              <w:rPr>
                <w:sz w:val="16"/>
                <w:szCs w:val="20"/>
              </w:rPr>
              <w:t>Peripheral 94%</w:t>
            </w:r>
          </w:p>
          <w:p w:rsidR="00FE42CD" w:rsidRPr="00642DE1" w:rsidRDefault="00FE42CD" w:rsidP="000C324A">
            <w:pPr>
              <w:rPr>
                <w:sz w:val="16"/>
                <w:szCs w:val="20"/>
              </w:rPr>
            </w:pPr>
            <w:r>
              <w:rPr>
                <w:sz w:val="16"/>
                <w:szCs w:val="20"/>
              </w:rPr>
              <w:t>Central 6%</w:t>
            </w:r>
          </w:p>
        </w:tc>
        <w:tc>
          <w:tcPr>
            <w:tcW w:w="992" w:type="dxa"/>
          </w:tcPr>
          <w:p w:rsidR="00FE42CD" w:rsidRPr="00642DE1" w:rsidRDefault="00FE42CD" w:rsidP="000C324A">
            <w:pPr>
              <w:rPr>
                <w:sz w:val="16"/>
                <w:szCs w:val="20"/>
              </w:rPr>
            </w:pPr>
            <w:r>
              <w:rPr>
                <w:sz w:val="16"/>
                <w:szCs w:val="20"/>
              </w:rPr>
              <w:t>45%</w:t>
            </w:r>
          </w:p>
        </w:tc>
        <w:tc>
          <w:tcPr>
            <w:tcW w:w="708" w:type="dxa"/>
          </w:tcPr>
          <w:p w:rsidR="00FE42CD" w:rsidRPr="00642DE1" w:rsidRDefault="00FE42CD" w:rsidP="000C324A">
            <w:pPr>
              <w:rPr>
                <w:sz w:val="16"/>
                <w:szCs w:val="20"/>
              </w:rPr>
            </w:pPr>
            <w:r>
              <w:rPr>
                <w:sz w:val="16"/>
                <w:szCs w:val="20"/>
              </w:rPr>
              <w:t>2</w:t>
            </w:r>
          </w:p>
        </w:tc>
        <w:tc>
          <w:tcPr>
            <w:tcW w:w="709" w:type="dxa"/>
          </w:tcPr>
          <w:p w:rsidR="00FE42CD" w:rsidRPr="00642DE1" w:rsidRDefault="00FE42CD" w:rsidP="000C324A">
            <w:pPr>
              <w:rPr>
                <w:sz w:val="16"/>
                <w:szCs w:val="20"/>
              </w:rPr>
            </w:pPr>
            <w:r>
              <w:rPr>
                <w:sz w:val="16"/>
                <w:szCs w:val="20"/>
              </w:rPr>
              <w:t>2</w:t>
            </w:r>
          </w:p>
        </w:tc>
        <w:tc>
          <w:tcPr>
            <w:tcW w:w="2556" w:type="dxa"/>
          </w:tcPr>
          <w:p w:rsidR="00FE42CD" w:rsidRDefault="00FE42CD" w:rsidP="000C324A">
            <w:pPr>
              <w:rPr>
                <w:sz w:val="16"/>
                <w:szCs w:val="20"/>
              </w:rPr>
            </w:pPr>
            <w:r>
              <w:rPr>
                <w:sz w:val="16"/>
                <w:szCs w:val="20"/>
              </w:rPr>
              <w:t>NC</w:t>
            </w:r>
          </w:p>
        </w:tc>
      </w:tr>
      <w:tr w:rsidR="00FE42CD" w:rsidRPr="00C174A1" w:rsidTr="00FE42CD">
        <w:trPr>
          <w:jc w:val="center"/>
        </w:trPr>
        <w:tc>
          <w:tcPr>
            <w:tcW w:w="1129" w:type="dxa"/>
          </w:tcPr>
          <w:p w:rsidR="00FE42CD" w:rsidRPr="00642DE1" w:rsidRDefault="00FE42CD" w:rsidP="000C324A">
            <w:pPr>
              <w:rPr>
                <w:sz w:val="16"/>
                <w:szCs w:val="20"/>
              </w:rPr>
            </w:pPr>
            <w:r>
              <w:rPr>
                <w:sz w:val="16"/>
                <w:szCs w:val="20"/>
              </w:rPr>
              <w:t>Combes, 2008</w:t>
            </w:r>
          </w:p>
        </w:tc>
        <w:tc>
          <w:tcPr>
            <w:tcW w:w="709" w:type="dxa"/>
          </w:tcPr>
          <w:p w:rsidR="00FE42CD" w:rsidRPr="00642DE1" w:rsidRDefault="00FE42CD" w:rsidP="000C324A">
            <w:pPr>
              <w:rPr>
                <w:sz w:val="16"/>
                <w:szCs w:val="20"/>
              </w:rPr>
            </w:pPr>
            <w:r>
              <w:rPr>
                <w:sz w:val="16"/>
                <w:szCs w:val="20"/>
              </w:rPr>
              <w:t>2003-2006</w:t>
            </w:r>
          </w:p>
        </w:tc>
        <w:tc>
          <w:tcPr>
            <w:tcW w:w="567" w:type="dxa"/>
          </w:tcPr>
          <w:p w:rsidR="00FE42CD" w:rsidRPr="00642DE1" w:rsidRDefault="00FE42CD" w:rsidP="000C324A">
            <w:pPr>
              <w:rPr>
                <w:sz w:val="16"/>
                <w:szCs w:val="20"/>
              </w:rPr>
            </w:pPr>
            <w:r>
              <w:rPr>
                <w:sz w:val="16"/>
                <w:szCs w:val="20"/>
              </w:rPr>
              <w:t>16</w:t>
            </w:r>
          </w:p>
        </w:tc>
        <w:tc>
          <w:tcPr>
            <w:tcW w:w="567" w:type="dxa"/>
          </w:tcPr>
          <w:p w:rsidR="00FE42CD" w:rsidRPr="00642DE1" w:rsidRDefault="00FE42CD" w:rsidP="000C324A">
            <w:pPr>
              <w:rPr>
                <w:sz w:val="16"/>
                <w:szCs w:val="20"/>
              </w:rPr>
            </w:pPr>
            <w:r>
              <w:rPr>
                <w:sz w:val="16"/>
                <w:szCs w:val="20"/>
              </w:rPr>
              <w:t>46</w:t>
            </w:r>
          </w:p>
        </w:tc>
        <w:tc>
          <w:tcPr>
            <w:tcW w:w="1276" w:type="dxa"/>
          </w:tcPr>
          <w:p w:rsidR="00FE42CD" w:rsidRDefault="00FE42CD" w:rsidP="000C324A">
            <w:pPr>
              <w:rPr>
                <w:sz w:val="16"/>
                <w:szCs w:val="20"/>
              </w:rPr>
            </w:pPr>
            <w:r>
              <w:rPr>
                <w:sz w:val="16"/>
                <w:szCs w:val="20"/>
              </w:rPr>
              <w:t>Peripheral 74%</w:t>
            </w:r>
          </w:p>
          <w:p w:rsidR="00FE42CD" w:rsidRPr="00642DE1" w:rsidRDefault="00FE42CD" w:rsidP="000C324A">
            <w:pPr>
              <w:rPr>
                <w:sz w:val="16"/>
                <w:szCs w:val="20"/>
              </w:rPr>
            </w:pPr>
            <w:r>
              <w:rPr>
                <w:sz w:val="16"/>
                <w:szCs w:val="20"/>
              </w:rPr>
              <w:t>Central 26%</w:t>
            </w:r>
          </w:p>
        </w:tc>
        <w:tc>
          <w:tcPr>
            <w:tcW w:w="992" w:type="dxa"/>
          </w:tcPr>
          <w:p w:rsidR="00FE42CD" w:rsidRPr="00642DE1" w:rsidRDefault="00FE42CD" w:rsidP="000C324A">
            <w:pPr>
              <w:rPr>
                <w:sz w:val="16"/>
                <w:szCs w:val="20"/>
              </w:rPr>
            </w:pPr>
            <w:r>
              <w:rPr>
                <w:sz w:val="16"/>
                <w:szCs w:val="20"/>
              </w:rPr>
              <w:t>50%</w:t>
            </w:r>
          </w:p>
        </w:tc>
        <w:tc>
          <w:tcPr>
            <w:tcW w:w="708" w:type="dxa"/>
          </w:tcPr>
          <w:p w:rsidR="00FE42CD" w:rsidRPr="00642DE1" w:rsidRDefault="00FE42CD" w:rsidP="000C324A">
            <w:pPr>
              <w:rPr>
                <w:sz w:val="16"/>
                <w:szCs w:val="20"/>
              </w:rPr>
            </w:pPr>
            <w:r>
              <w:rPr>
                <w:sz w:val="16"/>
                <w:szCs w:val="20"/>
              </w:rPr>
              <w:t>NC</w:t>
            </w:r>
          </w:p>
        </w:tc>
        <w:tc>
          <w:tcPr>
            <w:tcW w:w="709" w:type="dxa"/>
          </w:tcPr>
          <w:p w:rsidR="00FE42CD" w:rsidRPr="00642DE1" w:rsidRDefault="00FE42CD" w:rsidP="000C324A">
            <w:pPr>
              <w:rPr>
                <w:sz w:val="16"/>
                <w:szCs w:val="20"/>
              </w:rPr>
            </w:pPr>
            <w:r>
              <w:rPr>
                <w:sz w:val="16"/>
                <w:szCs w:val="20"/>
              </w:rPr>
              <w:t>NC</w:t>
            </w:r>
          </w:p>
        </w:tc>
        <w:tc>
          <w:tcPr>
            <w:tcW w:w="2556" w:type="dxa"/>
          </w:tcPr>
          <w:p w:rsidR="00FE42CD" w:rsidRPr="00FE42CD" w:rsidRDefault="00FE42CD" w:rsidP="000C324A">
            <w:pPr>
              <w:rPr>
                <w:sz w:val="16"/>
                <w:szCs w:val="20"/>
                <w:lang w:val="en-US"/>
              </w:rPr>
            </w:pPr>
            <w:r w:rsidRPr="00FE42CD">
              <w:rPr>
                <w:sz w:val="16"/>
                <w:szCs w:val="20"/>
                <w:lang w:val="en-US"/>
              </w:rPr>
              <w:t>Female sex, ECMO under CPR, prothrombin activity &lt;50%, urine output &lt;500mL/24h</w:t>
            </w:r>
          </w:p>
        </w:tc>
      </w:tr>
      <w:tr w:rsidR="00FE42CD" w:rsidRPr="00315B08" w:rsidTr="00FE42CD">
        <w:trPr>
          <w:jc w:val="center"/>
        </w:trPr>
        <w:tc>
          <w:tcPr>
            <w:tcW w:w="1129" w:type="dxa"/>
            <w:tcBorders>
              <w:bottom w:val="single" w:sz="4" w:space="0" w:color="auto"/>
            </w:tcBorders>
          </w:tcPr>
          <w:p w:rsidR="00FE42CD" w:rsidRDefault="00FE42CD" w:rsidP="000C324A">
            <w:pPr>
              <w:rPr>
                <w:sz w:val="16"/>
                <w:szCs w:val="20"/>
              </w:rPr>
            </w:pPr>
            <w:r>
              <w:rPr>
                <w:sz w:val="16"/>
                <w:szCs w:val="20"/>
              </w:rPr>
              <w:t>Biocina B, 2014</w:t>
            </w:r>
          </w:p>
        </w:tc>
        <w:tc>
          <w:tcPr>
            <w:tcW w:w="709" w:type="dxa"/>
            <w:tcBorders>
              <w:bottom w:val="single" w:sz="4" w:space="0" w:color="auto"/>
            </w:tcBorders>
          </w:tcPr>
          <w:p w:rsidR="00FE42CD" w:rsidRPr="00642DE1" w:rsidRDefault="00FE42CD" w:rsidP="000C324A">
            <w:pPr>
              <w:rPr>
                <w:sz w:val="16"/>
                <w:szCs w:val="20"/>
              </w:rPr>
            </w:pPr>
            <w:r>
              <w:rPr>
                <w:sz w:val="16"/>
                <w:szCs w:val="20"/>
              </w:rPr>
              <w:t>2009-2014</w:t>
            </w:r>
          </w:p>
        </w:tc>
        <w:tc>
          <w:tcPr>
            <w:tcW w:w="567" w:type="dxa"/>
            <w:tcBorders>
              <w:bottom w:val="single" w:sz="4" w:space="0" w:color="auto"/>
            </w:tcBorders>
          </w:tcPr>
          <w:p w:rsidR="00FE42CD" w:rsidRDefault="00FE42CD" w:rsidP="000C324A">
            <w:pPr>
              <w:rPr>
                <w:sz w:val="16"/>
                <w:szCs w:val="20"/>
              </w:rPr>
            </w:pPr>
            <w:r>
              <w:rPr>
                <w:sz w:val="16"/>
                <w:szCs w:val="20"/>
              </w:rPr>
              <w:t>39</w:t>
            </w:r>
          </w:p>
        </w:tc>
        <w:tc>
          <w:tcPr>
            <w:tcW w:w="567" w:type="dxa"/>
            <w:tcBorders>
              <w:bottom w:val="single" w:sz="4" w:space="0" w:color="auto"/>
            </w:tcBorders>
          </w:tcPr>
          <w:p w:rsidR="00FE42CD" w:rsidRPr="00642DE1" w:rsidRDefault="00FE42CD" w:rsidP="000C324A">
            <w:pPr>
              <w:rPr>
                <w:sz w:val="16"/>
                <w:szCs w:val="20"/>
              </w:rPr>
            </w:pPr>
            <w:r>
              <w:rPr>
                <w:sz w:val="16"/>
                <w:szCs w:val="20"/>
              </w:rPr>
              <w:t>58</w:t>
            </w:r>
          </w:p>
        </w:tc>
        <w:tc>
          <w:tcPr>
            <w:tcW w:w="1276" w:type="dxa"/>
            <w:tcBorders>
              <w:bottom w:val="single" w:sz="4" w:space="0" w:color="auto"/>
            </w:tcBorders>
          </w:tcPr>
          <w:p w:rsidR="00FE42CD" w:rsidRDefault="00FE42CD" w:rsidP="000C324A">
            <w:pPr>
              <w:rPr>
                <w:sz w:val="16"/>
                <w:szCs w:val="20"/>
              </w:rPr>
            </w:pPr>
            <w:r>
              <w:rPr>
                <w:sz w:val="16"/>
                <w:szCs w:val="20"/>
              </w:rPr>
              <w:t>Peripheral 61%</w:t>
            </w:r>
          </w:p>
          <w:p w:rsidR="00FE42CD" w:rsidRPr="00642DE1" w:rsidRDefault="00FE42CD" w:rsidP="000C324A">
            <w:pPr>
              <w:rPr>
                <w:sz w:val="16"/>
                <w:szCs w:val="20"/>
              </w:rPr>
            </w:pPr>
            <w:r>
              <w:rPr>
                <w:sz w:val="16"/>
                <w:szCs w:val="20"/>
              </w:rPr>
              <w:t>Central 39%</w:t>
            </w:r>
          </w:p>
        </w:tc>
        <w:tc>
          <w:tcPr>
            <w:tcW w:w="992" w:type="dxa"/>
            <w:tcBorders>
              <w:bottom w:val="single" w:sz="4" w:space="0" w:color="auto"/>
            </w:tcBorders>
          </w:tcPr>
          <w:p w:rsidR="00FE42CD" w:rsidRPr="00642DE1" w:rsidRDefault="00FE42CD" w:rsidP="000C324A">
            <w:pPr>
              <w:rPr>
                <w:sz w:val="16"/>
                <w:szCs w:val="20"/>
              </w:rPr>
            </w:pPr>
            <w:r>
              <w:rPr>
                <w:sz w:val="16"/>
                <w:szCs w:val="20"/>
              </w:rPr>
              <w:t>31%</w:t>
            </w:r>
          </w:p>
        </w:tc>
        <w:tc>
          <w:tcPr>
            <w:tcW w:w="708" w:type="dxa"/>
            <w:tcBorders>
              <w:bottom w:val="single" w:sz="4" w:space="0" w:color="auto"/>
            </w:tcBorders>
          </w:tcPr>
          <w:p w:rsidR="00FE42CD" w:rsidRPr="00642DE1" w:rsidRDefault="00FE42CD" w:rsidP="000C324A">
            <w:pPr>
              <w:rPr>
                <w:sz w:val="16"/>
                <w:szCs w:val="20"/>
              </w:rPr>
            </w:pPr>
            <w:r>
              <w:rPr>
                <w:sz w:val="16"/>
                <w:szCs w:val="20"/>
              </w:rPr>
              <w:t>6</w:t>
            </w:r>
          </w:p>
        </w:tc>
        <w:tc>
          <w:tcPr>
            <w:tcW w:w="709" w:type="dxa"/>
            <w:tcBorders>
              <w:bottom w:val="single" w:sz="4" w:space="0" w:color="auto"/>
            </w:tcBorders>
          </w:tcPr>
          <w:p w:rsidR="00FE42CD" w:rsidRPr="00642DE1" w:rsidRDefault="00FE42CD" w:rsidP="000C324A">
            <w:pPr>
              <w:rPr>
                <w:sz w:val="16"/>
                <w:szCs w:val="20"/>
              </w:rPr>
            </w:pPr>
            <w:r>
              <w:rPr>
                <w:sz w:val="16"/>
                <w:szCs w:val="20"/>
              </w:rPr>
              <w:t>0</w:t>
            </w:r>
          </w:p>
        </w:tc>
        <w:tc>
          <w:tcPr>
            <w:tcW w:w="2556" w:type="dxa"/>
            <w:tcBorders>
              <w:bottom w:val="single" w:sz="4" w:space="0" w:color="auto"/>
            </w:tcBorders>
          </w:tcPr>
          <w:p w:rsidR="00FE42CD" w:rsidRDefault="00FE42CD" w:rsidP="000C324A">
            <w:pPr>
              <w:rPr>
                <w:sz w:val="16"/>
                <w:szCs w:val="20"/>
              </w:rPr>
            </w:pPr>
            <w:r>
              <w:rPr>
                <w:sz w:val="16"/>
                <w:szCs w:val="20"/>
              </w:rPr>
              <w:t xml:space="preserve">NC </w:t>
            </w:r>
          </w:p>
        </w:tc>
      </w:tr>
    </w:tbl>
    <w:p w:rsidR="00FE42CD" w:rsidRPr="00FE42CD" w:rsidRDefault="00FE42CD" w:rsidP="00FE42CD">
      <w:pPr>
        <w:rPr>
          <w:szCs w:val="20"/>
          <w:lang w:val="en-US"/>
        </w:rPr>
      </w:pPr>
      <w:r w:rsidRPr="00FE42CD">
        <w:rPr>
          <w:lang w:val="en-US"/>
        </w:rPr>
        <w:t xml:space="preserve">NC, data not communicated; BTT, bridge to transplant; BTB, bridge to bridge; LVEF, left ventricular ejection fraction; CABG, coronary artery bypass grafting; CPR, cardiopulmonary resuscitation; </w:t>
      </w:r>
      <w:r w:rsidRPr="00FE42CD">
        <w:rPr>
          <w:szCs w:val="20"/>
          <w:lang w:val="en-US"/>
        </w:rPr>
        <w:t>† , dead patients.</w:t>
      </w:r>
    </w:p>
    <w:p w:rsidR="00422221" w:rsidRPr="00582725" w:rsidRDefault="00422221">
      <w:pPr>
        <w:rPr>
          <w:lang w:val="en-US"/>
        </w:rPr>
      </w:pPr>
    </w:p>
    <w:sectPr w:rsidR="00422221" w:rsidRPr="00582725" w:rsidSect="00C174A1">
      <w:footerReference w:type="default" r:id="rId6"/>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3B2" w:rsidRDefault="00B153B2" w:rsidP="00582725">
      <w:pPr>
        <w:spacing w:after="0" w:line="240" w:lineRule="auto"/>
      </w:pPr>
      <w:r>
        <w:separator/>
      </w:r>
    </w:p>
  </w:endnote>
  <w:endnote w:type="continuationSeparator" w:id="0">
    <w:p w:rsidR="00B153B2" w:rsidRDefault="00B153B2" w:rsidP="0058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OTb97f513e">
    <w:panose1 w:val="00000000000000000000"/>
    <w:charset w:val="00"/>
    <w:family w:val="swiss"/>
    <w:notTrueType/>
    <w:pitch w:val="default"/>
    <w:sig w:usb0="00000003" w:usb1="00000000" w:usb2="00000000" w:usb3="00000000" w:csb0="00000001" w:csb1="00000000"/>
  </w:font>
  <w:font w:name="AdvOTb97f513e+20">
    <w:panose1 w:val="00000000000000000000"/>
    <w:charset w:val="00"/>
    <w:family w:val="swiss"/>
    <w:notTrueType/>
    <w:pitch w:val="default"/>
    <w:sig w:usb0="00000003" w:usb1="00000000" w:usb2="00000000" w:usb3="00000000" w:csb0="00000001" w:csb1="00000000"/>
  </w:font>
  <w:font w:name="AdvOTb97f513e+fb">
    <w:panose1 w:val="00000000000000000000"/>
    <w:charset w:val="00"/>
    <w:family w:val="auto"/>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GulliverR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532388"/>
      <w:docPartObj>
        <w:docPartGallery w:val="Page Numbers (Bottom of Page)"/>
        <w:docPartUnique/>
      </w:docPartObj>
    </w:sdtPr>
    <w:sdtContent>
      <w:p w:rsidR="00C174A1" w:rsidRDefault="00C174A1">
        <w:pPr>
          <w:pStyle w:val="Pieddepage"/>
          <w:jc w:val="right"/>
        </w:pPr>
        <w:r>
          <w:fldChar w:fldCharType="begin"/>
        </w:r>
        <w:r>
          <w:instrText>PAGE   \* MERGEFORMAT</w:instrText>
        </w:r>
        <w:r>
          <w:fldChar w:fldCharType="separate"/>
        </w:r>
        <w:r w:rsidR="00B153B2">
          <w:rPr>
            <w:noProof/>
          </w:rPr>
          <w:t>1</w:t>
        </w:r>
        <w:r>
          <w:fldChar w:fldCharType="end"/>
        </w:r>
      </w:p>
    </w:sdtContent>
  </w:sdt>
  <w:p w:rsidR="00C174A1" w:rsidRDefault="00C174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3B2" w:rsidRDefault="00B153B2" w:rsidP="00582725">
      <w:pPr>
        <w:spacing w:after="0" w:line="240" w:lineRule="auto"/>
      </w:pPr>
      <w:r>
        <w:separator/>
      </w:r>
    </w:p>
  </w:footnote>
  <w:footnote w:type="continuationSeparator" w:id="0">
    <w:p w:rsidR="00B153B2" w:rsidRDefault="00B153B2" w:rsidP="005827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25"/>
    <w:rsid w:val="000757F8"/>
    <w:rsid w:val="000B645A"/>
    <w:rsid w:val="00422221"/>
    <w:rsid w:val="00582725"/>
    <w:rsid w:val="00A337AE"/>
    <w:rsid w:val="00B153B2"/>
    <w:rsid w:val="00C174A1"/>
    <w:rsid w:val="00FE4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B37CB-66D7-4522-A093-17BDF80F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2725"/>
    <w:pPr>
      <w:tabs>
        <w:tab w:val="center" w:pos="4536"/>
        <w:tab w:val="right" w:pos="9072"/>
      </w:tabs>
      <w:spacing w:after="0" w:line="240" w:lineRule="auto"/>
    </w:pPr>
  </w:style>
  <w:style w:type="character" w:customStyle="1" w:styleId="En-tteCar">
    <w:name w:val="En-tête Car"/>
    <w:basedOn w:val="Policepardfaut"/>
    <w:link w:val="En-tte"/>
    <w:uiPriority w:val="99"/>
    <w:rsid w:val="00582725"/>
  </w:style>
  <w:style w:type="paragraph" w:styleId="Pieddepage">
    <w:name w:val="footer"/>
    <w:basedOn w:val="Normal"/>
    <w:link w:val="PieddepageCar"/>
    <w:uiPriority w:val="99"/>
    <w:unhideWhenUsed/>
    <w:rsid w:val="005827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725"/>
  </w:style>
  <w:style w:type="table" w:styleId="Grilledutableau">
    <w:name w:val="Table Grid"/>
    <w:basedOn w:val="TableauNormal"/>
    <w:uiPriority w:val="39"/>
    <w:rsid w:val="00FE4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C17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715</Words>
  <Characters>3933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Guihaire</dc:creator>
  <cp:keywords/>
  <dc:description/>
  <cp:lastModifiedBy>Julien Guihaire</cp:lastModifiedBy>
  <cp:revision>4</cp:revision>
  <dcterms:created xsi:type="dcterms:W3CDTF">2016-11-23T18:00:00Z</dcterms:created>
  <dcterms:modified xsi:type="dcterms:W3CDTF">2016-11-28T22:28:00Z</dcterms:modified>
</cp:coreProperties>
</file>