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ACB" w:rsidRDefault="00796ACB" w:rsidP="00796ACB">
      <w:pPr>
        <w:pStyle w:val="Heading3"/>
        <w:jc w:val="center"/>
        <w:rPr>
          <w:b/>
          <w:i w:val="0"/>
        </w:rPr>
      </w:pPr>
      <w:r>
        <w:rPr>
          <w:b/>
          <w:i w:val="0"/>
        </w:rPr>
        <w:t>Supplementary Material</w:t>
      </w:r>
    </w:p>
    <w:p w:rsidR="00796ACB" w:rsidRDefault="00796ACB" w:rsidP="00796ACB">
      <w:pPr>
        <w:rPr>
          <w:b/>
          <w:i/>
        </w:rPr>
      </w:pPr>
    </w:p>
    <w:p w:rsidR="00796ACB" w:rsidRPr="00583A04" w:rsidRDefault="00796ACB" w:rsidP="00796ACB">
      <w:r w:rsidRPr="0049746F">
        <w:rPr>
          <w:b/>
          <w:i/>
        </w:rPr>
        <w:t>Supplementary Material Table 1: Core Questionnaire Domains</w:t>
      </w:r>
    </w:p>
    <w:tbl>
      <w:tblPr>
        <w:tblStyle w:val="TableGrid"/>
        <w:tblW w:w="0" w:type="auto"/>
        <w:tblLook w:val="04A0" w:firstRow="1" w:lastRow="0" w:firstColumn="1" w:lastColumn="0" w:noHBand="0" w:noVBand="1"/>
      </w:tblPr>
      <w:tblGrid>
        <w:gridCol w:w="9394"/>
      </w:tblGrid>
      <w:tr w:rsidR="00796ACB" w:rsidTr="00280B36">
        <w:tc>
          <w:tcPr>
            <w:tcW w:w="9394" w:type="dxa"/>
            <w:tcBorders>
              <w:top w:val="nil"/>
              <w:left w:val="nil"/>
              <w:bottom w:val="nil"/>
              <w:right w:val="nil"/>
            </w:tcBorders>
          </w:tcPr>
          <w:p w:rsidR="00796ACB" w:rsidRPr="000B0005" w:rsidRDefault="00796ACB" w:rsidP="00280B36">
            <w:pPr>
              <w:ind w:left="3600" w:hanging="3600"/>
              <w:contextualSpacing/>
              <w:rPr>
                <w:sz w:val="21"/>
                <w:szCs w:val="21"/>
              </w:rPr>
            </w:pPr>
            <w:r w:rsidRPr="000B0005">
              <w:rPr>
                <w:sz w:val="21"/>
                <w:szCs w:val="21"/>
              </w:rPr>
              <w:t xml:space="preserve">Sociodemographic </w:t>
            </w:r>
            <w:r w:rsidRPr="000B0005">
              <w:rPr>
                <w:sz w:val="21"/>
                <w:szCs w:val="21"/>
              </w:rPr>
              <w:tab/>
              <w:t>Date of birth, sex, marital status, biological siblings, adoption status, education level, ethnicity, country of birth, residence, languages, working status, income</w:t>
            </w:r>
          </w:p>
          <w:p w:rsidR="00796ACB" w:rsidRPr="000B0005" w:rsidRDefault="00796ACB" w:rsidP="00280B36">
            <w:pPr>
              <w:contextualSpacing/>
              <w:rPr>
                <w:sz w:val="21"/>
                <w:szCs w:val="21"/>
              </w:rPr>
            </w:pPr>
          </w:p>
          <w:p w:rsidR="00796ACB" w:rsidRPr="000B0005" w:rsidRDefault="00796ACB" w:rsidP="00280B36">
            <w:pPr>
              <w:contextualSpacing/>
              <w:rPr>
                <w:sz w:val="21"/>
                <w:szCs w:val="21"/>
              </w:rPr>
            </w:pPr>
            <w:r w:rsidRPr="000B0005">
              <w:rPr>
                <w:sz w:val="21"/>
                <w:szCs w:val="21"/>
              </w:rPr>
              <w:t xml:space="preserve">Health Status </w:t>
            </w:r>
            <w:r w:rsidRPr="000B0005">
              <w:rPr>
                <w:sz w:val="21"/>
                <w:szCs w:val="21"/>
              </w:rPr>
              <w:tab/>
            </w:r>
            <w:r w:rsidRPr="000B0005">
              <w:rPr>
                <w:sz w:val="21"/>
                <w:szCs w:val="21"/>
              </w:rPr>
              <w:tab/>
            </w:r>
            <w:r w:rsidRPr="000B0005">
              <w:rPr>
                <w:sz w:val="21"/>
                <w:szCs w:val="21"/>
              </w:rPr>
              <w:tab/>
            </w:r>
            <w:r w:rsidRPr="000B0005">
              <w:rPr>
                <w:sz w:val="21"/>
                <w:szCs w:val="21"/>
              </w:rPr>
              <w:tab/>
              <w:t xml:space="preserve">General health </w:t>
            </w:r>
          </w:p>
          <w:p w:rsidR="00796ACB" w:rsidRPr="000B0005" w:rsidRDefault="00796ACB" w:rsidP="00280B36">
            <w:pPr>
              <w:contextualSpacing/>
              <w:rPr>
                <w:sz w:val="21"/>
                <w:szCs w:val="21"/>
              </w:rPr>
            </w:pPr>
          </w:p>
          <w:p w:rsidR="00796ACB" w:rsidRPr="000B0005" w:rsidRDefault="00796ACB" w:rsidP="00280B36">
            <w:pPr>
              <w:contextualSpacing/>
              <w:rPr>
                <w:sz w:val="21"/>
                <w:szCs w:val="21"/>
              </w:rPr>
            </w:pPr>
            <w:r w:rsidRPr="000B0005">
              <w:rPr>
                <w:sz w:val="21"/>
                <w:szCs w:val="21"/>
              </w:rPr>
              <w:t>Healthcare Utilization</w:t>
            </w:r>
            <w:r w:rsidRPr="000B0005">
              <w:rPr>
                <w:sz w:val="21"/>
                <w:szCs w:val="21"/>
              </w:rPr>
              <w:tab/>
            </w:r>
            <w:r w:rsidRPr="000B0005">
              <w:rPr>
                <w:sz w:val="21"/>
                <w:szCs w:val="21"/>
              </w:rPr>
              <w:tab/>
            </w:r>
            <w:r>
              <w:rPr>
                <w:sz w:val="21"/>
                <w:szCs w:val="21"/>
              </w:rPr>
              <w:tab/>
            </w:r>
            <w:r w:rsidRPr="000B0005">
              <w:rPr>
                <w:sz w:val="21"/>
                <w:szCs w:val="21"/>
              </w:rPr>
              <w:t xml:space="preserve">Medical appointments, screening tests </w:t>
            </w:r>
          </w:p>
          <w:p w:rsidR="00796ACB" w:rsidRPr="000B0005" w:rsidRDefault="00796ACB" w:rsidP="00280B36">
            <w:pPr>
              <w:contextualSpacing/>
              <w:rPr>
                <w:sz w:val="21"/>
                <w:szCs w:val="21"/>
              </w:rPr>
            </w:pPr>
          </w:p>
          <w:p w:rsidR="00796ACB" w:rsidRPr="000B0005" w:rsidRDefault="00796ACB" w:rsidP="00280B36">
            <w:pPr>
              <w:contextualSpacing/>
              <w:rPr>
                <w:sz w:val="21"/>
                <w:szCs w:val="21"/>
              </w:rPr>
            </w:pPr>
            <w:r w:rsidRPr="000B0005">
              <w:rPr>
                <w:sz w:val="21"/>
                <w:szCs w:val="21"/>
              </w:rPr>
              <w:t>Men’s Health</w:t>
            </w:r>
            <w:r w:rsidRPr="000B0005">
              <w:rPr>
                <w:sz w:val="21"/>
                <w:szCs w:val="21"/>
              </w:rPr>
              <w:tab/>
            </w:r>
            <w:r w:rsidRPr="000B0005">
              <w:rPr>
                <w:sz w:val="21"/>
                <w:szCs w:val="21"/>
              </w:rPr>
              <w:tab/>
            </w:r>
            <w:r w:rsidRPr="000B0005">
              <w:rPr>
                <w:sz w:val="21"/>
                <w:szCs w:val="21"/>
              </w:rPr>
              <w:tab/>
            </w:r>
            <w:r w:rsidRPr="000B0005">
              <w:rPr>
                <w:sz w:val="21"/>
                <w:szCs w:val="21"/>
              </w:rPr>
              <w:tab/>
              <w:t xml:space="preserve">Screening tests, reproduction </w:t>
            </w:r>
          </w:p>
          <w:p w:rsidR="00796ACB" w:rsidRPr="000B0005" w:rsidRDefault="00796ACB" w:rsidP="00280B36">
            <w:pPr>
              <w:contextualSpacing/>
              <w:rPr>
                <w:sz w:val="21"/>
                <w:szCs w:val="21"/>
              </w:rPr>
            </w:pPr>
          </w:p>
          <w:p w:rsidR="00796ACB" w:rsidRPr="000B0005" w:rsidRDefault="00796ACB" w:rsidP="00280B36">
            <w:pPr>
              <w:ind w:left="3600" w:hanging="3600"/>
              <w:contextualSpacing/>
              <w:rPr>
                <w:sz w:val="21"/>
                <w:szCs w:val="21"/>
              </w:rPr>
            </w:pPr>
            <w:r w:rsidRPr="000B0005">
              <w:rPr>
                <w:sz w:val="21"/>
                <w:szCs w:val="21"/>
              </w:rPr>
              <w:t>Women’s Health</w:t>
            </w:r>
            <w:r w:rsidRPr="000B0005">
              <w:rPr>
                <w:sz w:val="21"/>
                <w:szCs w:val="21"/>
              </w:rPr>
              <w:tab/>
              <w:t>Menstruation, oral contraceptives, reproduction, breastfeeding, fertility treatment, menopause, hormone replacement therapy, hysterectomy, oophorectomy, screening tests</w:t>
            </w:r>
          </w:p>
          <w:p w:rsidR="00796ACB" w:rsidRPr="000B0005" w:rsidRDefault="00796ACB" w:rsidP="00280B36">
            <w:pPr>
              <w:ind w:left="2880" w:hanging="2880"/>
              <w:contextualSpacing/>
              <w:rPr>
                <w:sz w:val="21"/>
                <w:szCs w:val="21"/>
              </w:rPr>
            </w:pPr>
          </w:p>
          <w:p w:rsidR="00796ACB" w:rsidRPr="000B0005" w:rsidRDefault="00796ACB" w:rsidP="00280B36">
            <w:pPr>
              <w:ind w:left="3600" w:hanging="3600"/>
              <w:contextualSpacing/>
              <w:rPr>
                <w:sz w:val="21"/>
                <w:szCs w:val="21"/>
              </w:rPr>
            </w:pPr>
            <w:r w:rsidRPr="000B0005">
              <w:rPr>
                <w:sz w:val="21"/>
                <w:szCs w:val="21"/>
              </w:rPr>
              <w:t xml:space="preserve">Personal Health History </w:t>
            </w:r>
            <w:r w:rsidRPr="000B0005">
              <w:rPr>
                <w:sz w:val="21"/>
                <w:szCs w:val="21"/>
              </w:rPr>
              <w:tab/>
              <w:t>Hypertension, heart attack (myocardial infarction), stroke, asthma, chronic obstructive pulmonary disease, major depression, diabetes, liver cirrhosis, chronic hepatitis, Crohn’s disease, ulcerative colitis, irritable bowel disease, eczema, lupus, psoriasis, multiple sclerosis, osteoporosis, arthritis, cancer (bladder, brain, breast, cervix, colon, esophagus, kidney, larynx, leukemia, liver, lung and bronchus, non-Hodgkin lymphoma, lymphoma, ovary, pancreas, prostate, rectum, skin, stomach, thyroid, trachea, uterus, and other), cancer treatment, and any other long-term health conditions</w:t>
            </w:r>
          </w:p>
          <w:p w:rsidR="00796ACB" w:rsidRPr="000B0005" w:rsidRDefault="00796ACB" w:rsidP="00280B36">
            <w:pPr>
              <w:ind w:left="2880" w:hanging="2880"/>
              <w:contextualSpacing/>
              <w:rPr>
                <w:sz w:val="21"/>
                <w:szCs w:val="21"/>
              </w:rPr>
            </w:pPr>
          </w:p>
          <w:p w:rsidR="00796ACB" w:rsidRPr="000B0005" w:rsidRDefault="00796ACB" w:rsidP="00280B36">
            <w:pPr>
              <w:ind w:left="3600" w:hanging="3600"/>
              <w:contextualSpacing/>
              <w:rPr>
                <w:sz w:val="21"/>
                <w:szCs w:val="21"/>
              </w:rPr>
            </w:pPr>
            <w:r w:rsidRPr="000B0005">
              <w:rPr>
                <w:sz w:val="21"/>
                <w:szCs w:val="21"/>
              </w:rPr>
              <w:t>Family Health History</w:t>
            </w:r>
            <w:r w:rsidRPr="000B0005">
              <w:rPr>
                <w:sz w:val="21"/>
                <w:szCs w:val="21"/>
              </w:rPr>
              <w:tab/>
              <w:t>Health history of biological relatives including heart attack, stroke, diabetes, chronic obstructive pulmonary disease, high blood pressure, asthma, major depression, liver cirrhosis, chronic hepatitis, Crohn’s disease, ulcerative colitis, irritable bowel disease, eczema, lupus, psoriasis, multiple sclerosis, osteoporosis, arthritis, and cancer (bladder, brain, breast, cervix, colon, esophagus, kidney, larynx, leukemia, liver, lung and bronchus, non-Hodgkin lymphoma, lymphoma, ovary, pancreas, prostate, rectum, skin, stomach, thyroid, trachea, uterus, and other)</w:t>
            </w:r>
          </w:p>
          <w:p w:rsidR="00796ACB" w:rsidRPr="000B0005" w:rsidRDefault="00796ACB" w:rsidP="00280B36">
            <w:pPr>
              <w:ind w:left="2880" w:hanging="2880"/>
              <w:contextualSpacing/>
              <w:rPr>
                <w:sz w:val="21"/>
                <w:szCs w:val="21"/>
              </w:rPr>
            </w:pPr>
          </w:p>
          <w:p w:rsidR="00796ACB" w:rsidRPr="000B0005" w:rsidRDefault="00796ACB" w:rsidP="00280B36">
            <w:pPr>
              <w:ind w:left="2880" w:hanging="2880"/>
              <w:contextualSpacing/>
              <w:rPr>
                <w:sz w:val="21"/>
                <w:szCs w:val="21"/>
              </w:rPr>
            </w:pPr>
            <w:r w:rsidRPr="000B0005">
              <w:rPr>
                <w:sz w:val="21"/>
                <w:szCs w:val="21"/>
              </w:rPr>
              <w:t>Medications</w:t>
            </w:r>
            <w:r w:rsidRPr="000B0005">
              <w:rPr>
                <w:sz w:val="21"/>
                <w:szCs w:val="21"/>
              </w:rPr>
              <w:tab/>
            </w:r>
            <w:r w:rsidRPr="000B0005">
              <w:rPr>
                <w:sz w:val="21"/>
                <w:szCs w:val="21"/>
              </w:rPr>
              <w:tab/>
              <w:t>Prescription medication</w:t>
            </w:r>
          </w:p>
          <w:p w:rsidR="00796ACB" w:rsidRPr="000B0005" w:rsidRDefault="00796ACB" w:rsidP="00280B36">
            <w:pPr>
              <w:ind w:left="2880" w:hanging="2880"/>
              <w:contextualSpacing/>
              <w:rPr>
                <w:sz w:val="21"/>
                <w:szCs w:val="21"/>
              </w:rPr>
            </w:pPr>
          </w:p>
          <w:p w:rsidR="00796ACB" w:rsidRPr="000B0005" w:rsidRDefault="00796ACB" w:rsidP="00280B36">
            <w:pPr>
              <w:ind w:left="3600" w:hanging="3600"/>
              <w:contextualSpacing/>
              <w:rPr>
                <w:sz w:val="21"/>
                <w:szCs w:val="21"/>
              </w:rPr>
            </w:pPr>
            <w:r w:rsidRPr="000B0005">
              <w:rPr>
                <w:sz w:val="21"/>
                <w:szCs w:val="21"/>
              </w:rPr>
              <w:t>Lifestyle/Behaviours</w:t>
            </w:r>
            <w:r w:rsidRPr="000B0005">
              <w:rPr>
                <w:sz w:val="21"/>
                <w:szCs w:val="21"/>
              </w:rPr>
              <w:tab/>
              <w:t>Sleep, UV exposure, diet, alcohol consumption, tobacco use, environmental tobacco smoke exposure, physical activity</w:t>
            </w:r>
          </w:p>
          <w:p w:rsidR="00796ACB" w:rsidRPr="000B0005" w:rsidRDefault="00796ACB" w:rsidP="00280B36">
            <w:pPr>
              <w:ind w:left="2880" w:hanging="2880"/>
              <w:contextualSpacing/>
              <w:rPr>
                <w:sz w:val="21"/>
                <w:szCs w:val="21"/>
              </w:rPr>
            </w:pPr>
          </w:p>
          <w:p w:rsidR="00796ACB" w:rsidRDefault="00796ACB" w:rsidP="00280B36">
            <w:pPr>
              <w:ind w:left="3600" w:hanging="3600"/>
              <w:contextualSpacing/>
              <w:rPr>
                <w:b/>
                <w:i/>
              </w:rPr>
            </w:pPr>
            <w:r w:rsidRPr="000B0005">
              <w:rPr>
                <w:sz w:val="21"/>
                <w:szCs w:val="21"/>
              </w:rPr>
              <w:t>Anthropometric Measurements</w:t>
            </w:r>
            <w:r w:rsidRPr="000B0005">
              <w:rPr>
                <w:sz w:val="21"/>
                <w:szCs w:val="21"/>
              </w:rPr>
              <w:tab/>
              <w:t>Handedness, ability to stand, height, weight, waist and hip measurements</w:t>
            </w:r>
          </w:p>
        </w:tc>
      </w:tr>
    </w:tbl>
    <w:p w:rsidR="00796ACB" w:rsidRPr="00583A04" w:rsidRDefault="00796ACB" w:rsidP="00796ACB">
      <w:pPr>
        <w:pStyle w:val="Heading3"/>
        <w:rPr>
          <w:b/>
          <w:i w:val="0"/>
        </w:rPr>
      </w:pPr>
    </w:p>
    <w:p w:rsidR="00796ACB" w:rsidRPr="00583A04" w:rsidRDefault="00796ACB" w:rsidP="00796ACB"/>
    <w:p w:rsidR="00796ACB" w:rsidRDefault="00796ACB" w:rsidP="00796ACB">
      <w:pPr>
        <w:rPr>
          <w:b/>
        </w:rPr>
      </w:pPr>
      <w:bookmarkStart w:id="0" w:name="_Toc457561802"/>
      <w:r w:rsidRPr="0049746F">
        <w:rPr>
          <w:b/>
          <w:i/>
        </w:rPr>
        <w:lastRenderedPageBreak/>
        <w:t xml:space="preserve">Supplementary Material Table </w:t>
      </w:r>
      <w:r>
        <w:rPr>
          <w:b/>
          <w:i/>
        </w:rPr>
        <w:t>2</w:t>
      </w:r>
      <w:r w:rsidRPr="0049746F">
        <w:rPr>
          <w:b/>
          <w:i/>
        </w:rPr>
        <w:t xml:space="preserve">: </w:t>
      </w:r>
      <w:r>
        <w:rPr>
          <w:b/>
          <w:i/>
        </w:rPr>
        <w:t>Supplementary</w:t>
      </w:r>
      <w:r w:rsidRPr="0049746F">
        <w:rPr>
          <w:b/>
          <w:i/>
        </w:rPr>
        <w:t xml:space="preserve"> Questionnaire Domains</w:t>
      </w:r>
      <w:bookmarkStart w:id="1" w:name="_Toc457561803"/>
      <w:bookmarkEnd w:id="0"/>
      <w:r>
        <w:rPr>
          <w:b/>
          <w:i/>
        </w:rPr>
        <w:t xml:space="preserve"> </w:t>
      </w:r>
      <w:r w:rsidRPr="00CF7EF8">
        <w:rPr>
          <w:b/>
        </w:rPr>
        <w:t>(Questions Unique to the Atlantic Provinces)</w:t>
      </w:r>
      <w:r>
        <w:rPr>
          <w:b/>
        </w:rPr>
        <w:t xml:space="preserve"> </w:t>
      </w:r>
      <w:bookmarkEnd w:id="1"/>
    </w:p>
    <w:p w:rsidR="00796ACB" w:rsidRDefault="00796ACB" w:rsidP="00796ACB">
      <w:pPr>
        <w:rPr>
          <w:b/>
        </w:rPr>
      </w:pPr>
    </w:p>
    <w:tbl>
      <w:tblPr>
        <w:tblStyle w:val="TableGrid"/>
        <w:tblW w:w="0" w:type="auto"/>
        <w:tblLook w:val="04A0" w:firstRow="1" w:lastRow="0" w:firstColumn="1" w:lastColumn="0" w:noHBand="0" w:noVBand="1"/>
      </w:tblPr>
      <w:tblGrid>
        <w:gridCol w:w="9404"/>
      </w:tblGrid>
      <w:tr w:rsidR="00796ACB" w:rsidTr="00280B36">
        <w:tc>
          <w:tcPr>
            <w:tcW w:w="9394" w:type="dxa"/>
            <w:tcBorders>
              <w:top w:val="nil"/>
              <w:left w:val="nil"/>
              <w:bottom w:val="nil"/>
              <w:right w:val="nil"/>
            </w:tcBorders>
          </w:tcPr>
          <w:p w:rsidR="00796ACB" w:rsidRPr="002E1CEB" w:rsidRDefault="00796ACB" w:rsidP="00280B36">
            <w:pPr>
              <w:ind w:left="5040" w:hanging="5040"/>
              <w:contextualSpacing/>
              <w:rPr>
                <w:sz w:val="21"/>
                <w:szCs w:val="21"/>
              </w:rPr>
            </w:pPr>
            <w:r w:rsidRPr="002E1CEB">
              <w:rPr>
                <w:sz w:val="21"/>
                <w:szCs w:val="21"/>
              </w:rPr>
              <w:t>Home</w:t>
            </w:r>
            <w:r w:rsidRPr="002E1CEB">
              <w:rPr>
                <w:sz w:val="21"/>
                <w:szCs w:val="21"/>
              </w:rPr>
              <w:tab/>
              <w:t>Type of stove, source of tap water, water treatment</w:t>
            </w:r>
          </w:p>
          <w:p w:rsidR="00796ACB" w:rsidRPr="002E1CEB" w:rsidRDefault="00796ACB" w:rsidP="00280B36">
            <w:pPr>
              <w:contextualSpacing/>
              <w:rPr>
                <w:sz w:val="21"/>
                <w:szCs w:val="21"/>
              </w:rPr>
            </w:pPr>
          </w:p>
          <w:p w:rsidR="00796ACB" w:rsidRPr="002E1CEB" w:rsidRDefault="00796ACB" w:rsidP="00280B36">
            <w:pPr>
              <w:ind w:left="5040" w:hanging="5040"/>
              <w:contextualSpacing/>
              <w:rPr>
                <w:sz w:val="21"/>
                <w:szCs w:val="21"/>
              </w:rPr>
            </w:pPr>
            <w:r w:rsidRPr="002E1CEB">
              <w:rPr>
                <w:sz w:val="21"/>
                <w:szCs w:val="21"/>
              </w:rPr>
              <w:t>Allergies</w:t>
            </w:r>
            <w:r w:rsidRPr="002E1CEB">
              <w:rPr>
                <w:sz w:val="21"/>
                <w:szCs w:val="21"/>
              </w:rPr>
              <w:tab/>
              <w:t>Animals, foods, insect bites/stings, latex, medications, metal/jewellery, mold/dust, and pollen/plants/grasses/trees</w:t>
            </w:r>
          </w:p>
          <w:p w:rsidR="00796ACB" w:rsidRPr="002E1CEB" w:rsidRDefault="00796ACB" w:rsidP="00280B36">
            <w:pPr>
              <w:ind w:left="1440" w:hanging="1440"/>
              <w:contextualSpacing/>
              <w:rPr>
                <w:sz w:val="21"/>
                <w:szCs w:val="21"/>
              </w:rPr>
            </w:pPr>
          </w:p>
          <w:p w:rsidR="00796ACB" w:rsidRPr="002E1CEB" w:rsidRDefault="00796ACB" w:rsidP="00280B36">
            <w:pPr>
              <w:ind w:left="1440" w:hanging="1440"/>
              <w:contextualSpacing/>
              <w:rPr>
                <w:sz w:val="21"/>
                <w:szCs w:val="21"/>
              </w:rPr>
            </w:pPr>
            <w:r w:rsidRPr="002E1CEB">
              <w:rPr>
                <w:sz w:val="21"/>
                <w:szCs w:val="21"/>
              </w:rPr>
              <w:t>Lifestyle/Behaviours</w:t>
            </w:r>
            <w:r w:rsidRPr="002E1CEB">
              <w:rPr>
                <w:sz w:val="21"/>
                <w:szCs w:val="21"/>
              </w:rPr>
              <w:tab/>
            </w:r>
            <w:r w:rsidRPr="002E1CEB">
              <w:rPr>
                <w:sz w:val="21"/>
                <w:szCs w:val="21"/>
              </w:rPr>
              <w:tab/>
            </w:r>
            <w:r w:rsidRPr="002E1CEB">
              <w:rPr>
                <w:sz w:val="21"/>
                <w:szCs w:val="21"/>
              </w:rPr>
              <w:tab/>
            </w:r>
            <w:r w:rsidRPr="002E1CEB">
              <w:rPr>
                <w:sz w:val="21"/>
                <w:szCs w:val="21"/>
              </w:rPr>
              <w:tab/>
            </w:r>
            <w:r w:rsidRPr="002E1CEB">
              <w:rPr>
                <w:sz w:val="21"/>
                <w:szCs w:val="21"/>
              </w:rPr>
              <w:tab/>
              <w:t>Diet, exercise</w:t>
            </w:r>
          </w:p>
          <w:p w:rsidR="00796ACB" w:rsidRPr="002E1CEB" w:rsidRDefault="00796ACB" w:rsidP="00280B36">
            <w:pPr>
              <w:ind w:left="1440" w:hanging="1440"/>
              <w:contextualSpacing/>
              <w:rPr>
                <w:sz w:val="21"/>
                <w:szCs w:val="21"/>
              </w:rPr>
            </w:pPr>
          </w:p>
          <w:p w:rsidR="00796ACB" w:rsidRPr="002E1CEB" w:rsidRDefault="00796ACB" w:rsidP="00280B36">
            <w:pPr>
              <w:ind w:left="1440" w:hanging="1440"/>
              <w:contextualSpacing/>
              <w:rPr>
                <w:sz w:val="21"/>
                <w:szCs w:val="21"/>
              </w:rPr>
            </w:pPr>
            <w:r w:rsidRPr="002E1CEB">
              <w:rPr>
                <w:sz w:val="21"/>
                <w:szCs w:val="21"/>
              </w:rPr>
              <w:t>Mental Status</w:t>
            </w:r>
            <w:r w:rsidRPr="002E1CEB">
              <w:rPr>
                <w:sz w:val="21"/>
                <w:szCs w:val="21"/>
              </w:rPr>
              <w:tab/>
            </w:r>
            <w:r w:rsidRPr="002E1CEB">
              <w:rPr>
                <w:sz w:val="21"/>
                <w:szCs w:val="21"/>
              </w:rPr>
              <w:tab/>
            </w:r>
            <w:r w:rsidRPr="002E1CEB">
              <w:rPr>
                <w:sz w:val="21"/>
                <w:szCs w:val="21"/>
              </w:rPr>
              <w:tab/>
            </w:r>
            <w:r w:rsidRPr="002E1CEB">
              <w:rPr>
                <w:sz w:val="21"/>
                <w:szCs w:val="21"/>
              </w:rPr>
              <w:tab/>
            </w:r>
            <w:r w:rsidRPr="002E1CEB">
              <w:rPr>
                <w:sz w:val="21"/>
                <w:szCs w:val="21"/>
              </w:rPr>
              <w:tab/>
            </w:r>
            <w:r w:rsidRPr="002E1CEB">
              <w:rPr>
                <w:sz w:val="21"/>
                <w:szCs w:val="21"/>
              </w:rPr>
              <w:tab/>
              <w:t>Perception of health, depression, anxiety</w:t>
            </w:r>
          </w:p>
          <w:p w:rsidR="00796ACB" w:rsidRPr="002E1CEB" w:rsidRDefault="00796ACB" w:rsidP="00280B36">
            <w:pPr>
              <w:ind w:left="1440" w:hanging="1440"/>
              <w:contextualSpacing/>
              <w:rPr>
                <w:sz w:val="21"/>
                <w:szCs w:val="21"/>
              </w:rPr>
            </w:pPr>
          </w:p>
          <w:p w:rsidR="00796ACB" w:rsidRPr="002E1CEB" w:rsidRDefault="00796ACB" w:rsidP="00280B36">
            <w:pPr>
              <w:ind w:left="5040" w:hanging="5040"/>
              <w:contextualSpacing/>
              <w:rPr>
                <w:sz w:val="21"/>
                <w:szCs w:val="21"/>
              </w:rPr>
            </w:pPr>
            <w:r w:rsidRPr="002E1CEB">
              <w:rPr>
                <w:sz w:val="21"/>
                <w:szCs w:val="21"/>
              </w:rPr>
              <w:t xml:space="preserve">Misc. </w:t>
            </w:r>
            <w:r w:rsidRPr="002E1CEB">
              <w:rPr>
                <w:sz w:val="21"/>
                <w:szCs w:val="21"/>
              </w:rPr>
              <w:tab/>
              <w:t>Partner’s employment status, full-term births, if Jewish (Sephardic or Ashkenazi)</w:t>
            </w:r>
          </w:p>
          <w:p w:rsidR="00796ACB" w:rsidRPr="002E1CEB" w:rsidRDefault="00796ACB" w:rsidP="00280B36">
            <w:pPr>
              <w:ind w:left="2880" w:hanging="2880"/>
              <w:contextualSpacing/>
              <w:rPr>
                <w:sz w:val="21"/>
                <w:szCs w:val="21"/>
              </w:rPr>
            </w:pPr>
          </w:p>
          <w:p w:rsidR="00796ACB" w:rsidRPr="002E1CEB" w:rsidRDefault="00796ACB" w:rsidP="00280B36">
            <w:pPr>
              <w:ind w:left="5040" w:hanging="5040"/>
              <w:contextualSpacing/>
              <w:rPr>
                <w:sz w:val="21"/>
                <w:szCs w:val="21"/>
              </w:rPr>
            </w:pPr>
            <w:r w:rsidRPr="002E1CEB">
              <w:rPr>
                <w:sz w:val="21"/>
                <w:szCs w:val="21"/>
              </w:rPr>
              <w:t>Residential History</w:t>
            </w:r>
            <w:r w:rsidRPr="002E1CEB">
              <w:rPr>
                <w:sz w:val="21"/>
                <w:szCs w:val="21"/>
              </w:rPr>
              <w:tab/>
              <w:t>All residential addresses since birth, rent or own, primary source of drinking water, types of home heating</w:t>
            </w:r>
          </w:p>
          <w:p w:rsidR="00796ACB" w:rsidRPr="002E1CEB" w:rsidRDefault="00796ACB" w:rsidP="00280B36">
            <w:pPr>
              <w:ind w:left="2880" w:hanging="2880"/>
              <w:contextualSpacing/>
              <w:rPr>
                <w:sz w:val="21"/>
                <w:szCs w:val="21"/>
              </w:rPr>
            </w:pPr>
          </w:p>
          <w:p w:rsidR="00796ACB" w:rsidRDefault="00796ACB" w:rsidP="00280B36">
            <w:pPr>
              <w:ind w:left="5040" w:hanging="5040"/>
              <w:contextualSpacing/>
              <w:rPr>
                <w:b/>
                <w:i/>
              </w:rPr>
            </w:pPr>
            <w:r w:rsidRPr="002E1CEB">
              <w:rPr>
                <w:sz w:val="21"/>
                <w:szCs w:val="21"/>
              </w:rPr>
              <w:t>Occupational and Environmental History</w:t>
            </w:r>
            <w:r w:rsidRPr="002E1CEB">
              <w:rPr>
                <w:sz w:val="21"/>
                <w:szCs w:val="21"/>
              </w:rPr>
              <w:tab/>
              <w:t xml:space="preserve">Occupational history, environmental exposures (asbestos, arsenic salts, chromium salts, cadmium salts, coal </w:t>
            </w:r>
            <w:r>
              <w:rPr>
                <w:sz w:val="21"/>
                <w:szCs w:val="21"/>
              </w:rPr>
              <w:t>t</w:t>
            </w:r>
            <w:r w:rsidRPr="002E1CEB">
              <w:rPr>
                <w:sz w:val="21"/>
                <w:szCs w:val="21"/>
              </w:rPr>
              <w:t>ar/soot/pitch/creosote/</w:t>
            </w:r>
            <w:r>
              <w:rPr>
                <w:sz w:val="21"/>
                <w:szCs w:val="21"/>
              </w:rPr>
              <w:t xml:space="preserve"> </w:t>
            </w:r>
            <w:r w:rsidRPr="002E1CEB">
              <w:rPr>
                <w:sz w:val="21"/>
                <w:szCs w:val="21"/>
              </w:rPr>
              <w:t>asphalt, mineral, cutting or lubricating oil, benzidine, benzene, isopropyl oil, dyestuffs, vinyl chloride, pesticides, ionizing radiation, welding, wood dust, whole body vibration, noise, and engine exhaust</w:t>
            </w:r>
          </w:p>
        </w:tc>
      </w:tr>
    </w:tbl>
    <w:p w:rsidR="00796ACB" w:rsidRPr="0049746F" w:rsidRDefault="00796ACB" w:rsidP="00796ACB">
      <w:pPr>
        <w:rPr>
          <w:b/>
          <w:i/>
        </w:rPr>
      </w:pPr>
    </w:p>
    <w:p w:rsidR="00796ACB" w:rsidRDefault="00796ACB" w:rsidP="00796ACB">
      <w:pPr>
        <w:contextualSpacing/>
        <w:jc w:val="center"/>
      </w:pPr>
    </w:p>
    <w:p w:rsidR="00796ACB" w:rsidRDefault="00796ACB" w:rsidP="00796ACB">
      <w:pPr>
        <w:ind w:left="5040" w:hanging="5040"/>
        <w:contextualSpacing/>
        <w:rPr>
          <w:sz w:val="21"/>
          <w:szCs w:val="21"/>
        </w:rPr>
      </w:pPr>
    </w:p>
    <w:p w:rsidR="00796ACB" w:rsidRDefault="00796ACB" w:rsidP="00796ACB">
      <w:pPr>
        <w:spacing w:line="240" w:lineRule="auto"/>
        <w:rPr>
          <w:b/>
        </w:rPr>
      </w:pPr>
    </w:p>
    <w:p w:rsidR="00796ACB" w:rsidRDefault="00796ACB" w:rsidP="00796ACB">
      <w:pPr>
        <w:spacing w:line="240" w:lineRule="auto"/>
        <w:rPr>
          <w:b/>
        </w:rPr>
      </w:pPr>
    </w:p>
    <w:p w:rsidR="00796ACB" w:rsidRDefault="00796ACB" w:rsidP="00796ACB">
      <w:pPr>
        <w:spacing w:line="240" w:lineRule="auto"/>
        <w:rPr>
          <w:b/>
        </w:rPr>
      </w:pPr>
    </w:p>
    <w:p w:rsidR="00796ACB" w:rsidRDefault="00796ACB" w:rsidP="00796ACB">
      <w:pPr>
        <w:spacing w:line="240" w:lineRule="auto"/>
        <w:rPr>
          <w:b/>
        </w:rPr>
      </w:pPr>
    </w:p>
    <w:p w:rsidR="00796ACB" w:rsidRDefault="00796ACB" w:rsidP="00796ACB">
      <w:pPr>
        <w:spacing w:line="240" w:lineRule="auto"/>
        <w:rPr>
          <w:b/>
        </w:rPr>
      </w:pPr>
    </w:p>
    <w:p w:rsidR="00796ACB" w:rsidRDefault="00796ACB" w:rsidP="00796ACB">
      <w:pPr>
        <w:spacing w:line="240" w:lineRule="auto"/>
        <w:rPr>
          <w:b/>
        </w:rPr>
        <w:sectPr w:rsidR="00796ACB" w:rsidSect="00851F32">
          <w:headerReference w:type="default" r:id="rId4"/>
          <w:footerReference w:type="default" r:id="rId5"/>
          <w:pgSz w:w="12240" w:h="15840"/>
          <w:pgMar w:top="1418" w:right="1418" w:bottom="1418" w:left="1418" w:header="709" w:footer="709" w:gutter="0"/>
          <w:cols w:space="708"/>
          <w:docGrid w:linePitch="360"/>
        </w:sectPr>
      </w:pPr>
    </w:p>
    <w:p w:rsidR="00796ACB" w:rsidRDefault="00796ACB" w:rsidP="00796ACB">
      <w:pPr>
        <w:rPr>
          <w:b/>
        </w:rPr>
      </w:pPr>
      <w:r w:rsidRPr="0049746F">
        <w:rPr>
          <w:b/>
          <w:i/>
        </w:rPr>
        <w:lastRenderedPageBreak/>
        <w:t xml:space="preserve">Supplementary Material Table </w:t>
      </w:r>
      <w:r>
        <w:rPr>
          <w:b/>
          <w:i/>
        </w:rPr>
        <w:t>3</w:t>
      </w:r>
      <w:r w:rsidRPr="0049746F">
        <w:rPr>
          <w:b/>
          <w:i/>
        </w:rPr>
        <w:t xml:space="preserve">: </w:t>
      </w:r>
      <w:r>
        <w:rPr>
          <w:b/>
          <w:i/>
        </w:rPr>
        <w:t>Components of the Healthy Eating Index</w:t>
      </w:r>
    </w:p>
    <w:tbl>
      <w:tblPr>
        <w:tblW w:w="5000" w:type="pct"/>
        <w:tblBorders>
          <w:top w:val="single" w:sz="4" w:space="0" w:color="auto"/>
          <w:bottom w:val="single" w:sz="4" w:space="0" w:color="auto"/>
        </w:tblBorders>
        <w:tblLook w:val="00A0" w:firstRow="1" w:lastRow="0" w:firstColumn="1" w:lastColumn="0" w:noHBand="0" w:noVBand="0"/>
      </w:tblPr>
      <w:tblGrid>
        <w:gridCol w:w="3640"/>
        <w:gridCol w:w="1097"/>
        <w:gridCol w:w="3601"/>
        <w:gridCol w:w="2462"/>
      </w:tblGrid>
      <w:tr w:rsidR="00796ACB" w:rsidRPr="003561AF" w:rsidTr="00280B36">
        <w:tc>
          <w:tcPr>
            <w:tcW w:w="1685" w:type="pct"/>
            <w:tcBorders>
              <w:top w:val="nil"/>
              <w:bottom w:val="single" w:sz="8" w:space="0" w:color="auto"/>
            </w:tcBorders>
            <w:vAlign w:val="bottom"/>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Component</w:t>
            </w:r>
          </w:p>
        </w:tc>
        <w:tc>
          <w:tcPr>
            <w:tcW w:w="508" w:type="pct"/>
            <w:tcBorders>
              <w:top w:val="nil"/>
              <w:bottom w:val="single" w:sz="8" w:space="0" w:color="auto"/>
            </w:tcBorders>
            <w:vAlign w:val="bottom"/>
          </w:tcPr>
          <w:p w:rsidR="00796ACB" w:rsidRPr="003561AF" w:rsidRDefault="00796ACB" w:rsidP="00280B36">
            <w:pPr>
              <w:pStyle w:val="ListParagraph"/>
              <w:autoSpaceDE w:val="0"/>
              <w:autoSpaceDN w:val="0"/>
              <w:adjustRightInd w:val="0"/>
              <w:spacing w:line="240" w:lineRule="auto"/>
              <w:ind w:left="0"/>
              <w:jc w:val="center"/>
              <w:rPr>
                <w:rFonts w:cs="Times New Roman"/>
                <w:b/>
                <w:sz w:val="20"/>
                <w:szCs w:val="20"/>
              </w:rPr>
            </w:pPr>
            <w:r w:rsidRPr="003561AF">
              <w:rPr>
                <w:rFonts w:cs="Times New Roman"/>
                <w:b/>
                <w:sz w:val="20"/>
                <w:szCs w:val="20"/>
              </w:rPr>
              <w:t>Score</w:t>
            </w:r>
          </w:p>
        </w:tc>
        <w:tc>
          <w:tcPr>
            <w:tcW w:w="1667" w:type="pct"/>
            <w:tcBorders>
              <w:top w:val="nil"/>
              <w:bottom w:val="single" w:sz="8" w:space="0" w:color="auto"/>
            </w:tcBorders>
            <w:vAlign w:val="bottom"/>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Criteria for perfect score</w:t>
            </w:r>
          </w:p>
        </w:tc>
        <w:tc>
          <w:tcPr>
            <w:tcW w:w="1140" w:type="pct"/>
            <w:tcBorders>
              <w:top w:val="nil"/>
              <w:bottom w:val="single" w:sz="8" w:space="0" w:color="auto"/>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b/>
                <w:sz w:val="20"/>
                <w:szCs w:val="20"/>
              </w:rPr>
              <w:t>Criteria for minimum score</w:t>
            </w:r>
          </w:p>
        </w:tc>
      </w:tr>
      <w:tr w:rsidR="00796ACB" w:rsidRPr="003561AF" w:rsidTr="00280B36">
        <w:tc>
          <w:tcPr>
            <w:tcW w:w="1685" w:type="pct"/>
            <w:tcBorders>
              <w:top w:val="single" w:sz="8" w:space="0" w:color="auto"/>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Vegetables and fruit (serving/d)</w:t>
            </w:r>
          </w:p>
        </w:tc>
        <w:tc>
          <w:tcPr>
            <w:tcW w:w="508" w:type="pct"/>
            <w:tcBorders>
              <w:top w:val="single" w:sz="8" w:space="0" w:color="auto"/>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to 10</w:t>
            </w:r>
            <w:r w:rsidRPr="003561AF">
              <w:rPr>
                <w:rFonts w:cs="Times New Roman"/>
                <w:sz w:val="20"/>
                <w:szCs w:val="20"/>
                <w:vertAlign w:val="superscript"/>
              </w:rPr>
              <w:t>a</w:t>
            </w:r>
          </w:p>
        </w:tc>
        <w:tc>
          <w:tcPr>
            <w:tcW w:w="1667" w:type="pct"/>
            <w:tcBorders>
              <w:top w:val="single" w:sz="8" w:space="0" w:color="auto"/>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Age ≤ 50 yr: females ≥ 7 servings; males ≥ 8 servings</w:t>
            </w:r>
          </w:p>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Age &gt; 50 yr: females ≥ 7 servings; males ≥ 7 servings</w:t>
            </w:r>
          </w:p>
        </w:tc>
        <w:tc>
          <w:tcPr>
            <w:tcW w:w="1140" w:type="pct"/>
            <w:tcBorders>
              <w:top w:val="single" w:sz="8" w:space="0" w:color="auto"/>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0 serving</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b/>
                <w:sz w:val="20"/>
                <w:szCs w:val="20"/>
              </w:rPr>
              <w:t>Grain products</w:t>
            </w:r>
            <w:r w:rsidRPr="003561AF">
              <w:rPr>
                <w:rFonts w:cs="Times New Roman"/>
                <w:sz w:val="20"/>
                <w:szCs w:val="20"/>
              </w:rPr>
              <w:t xml:space="preserve"> </w:t>
            </w:r>
            <w:r w:rsidRPr="003561AF">
              <w:rPr>
                <w:rFonts w:cs="Times New Roman"/>
                <w:b/>
                <w:sz w:val="20"/>
                <w:szCs w:val="20"/>
              </w:rPr>
              <w:t>(serving/d)</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to 10</w:t>
            </w:r>
            <w:r w:rsidRPr="003561AF">
              <w:rPr>
                <w:rFonts w:cs="Times New Roman"/>
                <w:sz w:val="20"/>
                <w:szCs w:val="20"/>
                <w:vertAlign w:val="superscript"/>
              </w:rPr>
              <w:t>a</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Age ≤ 50 yr: females ≥ 6 servings; males ≥ 8 servings</w:t>
            </w:r>
          </w:p>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Age &gt; 50 yr: females ≥ 6 servings; males ≥ 7 servings</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0 serving</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Milk and dairy products (serving/d)</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to 10</w:t>
            </w:r>
            <w:r w:rsidRPr="003561AF">
              <w:rPr>
                <w:rFonts w:cs="Times New Roman"/>
                <w:sz w:val="20"/>
                <w:szCs w:val="20"/>
                <w:vertAlign w:val="superscript"/>
              </w:rPr>
              <w:t>a</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Age ≤ 50 yr: females ≥ 2 servings; males ≥ 2 servings</w:t>
            </w:r>
          </w:p>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Age &gt; 50 yr: females ≥ 3 servings; males ≥ 3 servings</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0 serving</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b/>
                <w:sz w:val="20"/>
                <w:szCs w:val="20"/>
              </w:rPr>
              <w:t>Meat and alternatives (serving/d)</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to 10</w:t>
            </w:r>
            <w:r w:rsidRPr="003561AF">
              <w:rPr>
                <w:rFonts w:cs="Times New Roman"/>
                <w:sz w:val="20"/>
                <w:szCs w:val="20"/>
                <w:vertAlign w:val="superscript"/>
              </w:rPr>
              <w:t>a</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Age ≤ 50 yr: females ≥ 2 servings; males ≥ 3 servings</w:t>
            </w:r>
          </w:p>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Age &gt; 50 yr: females ≥ 2 servings; males ≥ 3 servings</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0 serving</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Snack, dessert, and non-diet soft drink (serving/d)</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to 10</w:t>
            </w:r>
            <w:r w:rsidRPr="003561AF">
              <w:rPr>
                <w:rFonts w:cs="Times New Roman"/>
                <w:sz w:val="20"/>
                <w:szCs w:val="20"/>
                <w:vertAlign w:val="superscript"/>
              </w:rPr>
              <w:t>a</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&lt; 0.5 serving/d</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 2 servings/d</w:t>
            </w:r>
          </w:p>
        </w:tc>
      </w:tr>
      <w:tr w:rsidR="00796ACB" w:rsidRPr="003561AF" w:rsidTr="00280B36">
        <w:tc>
          <w:tcPr>
            <w:tcW w:w="1685" w:type="pct"/>
            <w:tcBorders>
              <w:top w:val="nil"/>
              <w:bottom w:val="nil"/>
            </w:tcBorders>
            <w:vAlign w:val="center"/>
          </w:tcPr>
          <w:p w:rsidR="00796ACB" w:rsidRDefault="00796ACB" w:rsidP="00280B36">
            <w:pPr>
              <w:pStyle w:val="ListParagraph"/>
              <w:autoSpaceDE w:val="0"/>
              <w:autoSpaceDN w:val="0"/>
              <w:adjustRightInd w:val="0"/>
              <w:spacing w:line="240" w:lineRule="auto"/>
              <w:ind w:left="0"/>
              <w:rPr>
                <w:rFonts w:cs="Times New Roman"/>
                <w:b/>
                <w:sz w:val="20"/>
                <w:szCs w:val="20"/>
              </w:rPr>
            </w:pPr>
          </w:p>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Eat at least one servings of dark green vegetables each day</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At least 1 servings of dark green vegetables per day</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0 serving</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Have vegetables and fruit servings more than juice</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Vegetables and fruit servings greater than juice servings</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Vegetables and fruit servings less than or equal to juice servings</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Make at least half of grain products whole grain each day</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Ratio of whole grain products to total grain intakes ≥ 0.5</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Ratio of whole grain products to total grain intakes &lt; 0.5</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Do not eat bread with oil products</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Do not eat bread with butter, margarine, oil, or oil spray</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Eat bread with any oil products</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Drink lower fat milk or milk alternatives</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Drink skim, 1%, or 2% milk or milk alternatives</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Drink whole milk</w:t>
            </w:r>
          </w:p>
        </w:tc>
      </w:tr>
      <w:tr w:rsidR="00796ACB" w:rsidRPr="003561AF" w:rsidTr="00280B36">
        <w:tc>
          <w:tcPr>
            <w:tcW w:w="1685" w:type="pct"/>
            <w:tcBorders>
              <w:top w:val="nil"/>
              <w:bottom w:val="nil"/>
            </w:tcBorders>
            <w:vAlign w:val="center"/>
          </w:tcPr>
          <w:p w:rsidR="00796ACB" w:rsidRDefault="00796ACB" w:rsidP="00280B36">
            <w:pPr>
              <w:pStyle w:val="ListParagraph"/>
              <w:autoSpaceDE w:val="0"/>
              <w:autoSpaceDN w:val="0"/>
              <w:adjustRightInd w:val="0"/>
              <w:spacing w:line="240" w:lineRule="auto"/>
              <w:ind w:left="0"/>
              <w:rPr>
                <w:rFonts w:cs="Times New Roman"/>
                <w:b/>
                <w:sz w:val="20"/>
                <w:szCs w:val="20"/>
              </w:rPr>
            </w:pPr>
          </w:p>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Have meat alternatives such as beans, lentils, and tofu</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Eat at least 1 serving/d of tofu, bean curd, beans, or other legumes</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0 serving</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Eat fish</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Eat at least 1 serving of fish per day</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0 serving</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Do not eat saturated fat or its products</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Do not eat any saturated fat or its products</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Eat butter, lard or bacon fat, or Ghee</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Season food with soy sauce or fish sauce at the table</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Never or rarely</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Sometimes or always</w:t>
            </w:r>
          </w:p>
        </w:tc>
      </w:tr>
      <w:tr w:rsidR="00796ACB" w:rsidRPr="003561AF" w:rsidTr="00280B36">
        <w:tc>
          <w:tcPr>
            <w:tcW w:w="1685"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Add salt to food at the table</w:t>
            </w:r>
          </w:p>
        </w:tc>
        <w:tc>
          <w:tcPr>
            <w:tcW w:w="508"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r w:rsidRPr="003561AF">
              <w:rPr>
                <w:rFonts w:cs="Times New Roman"/>
                <w:sz w:val="20"/>
                <w:szCs w:val="20"/>
              </w:rPr>
              <w:t>0 or 1</w:t>
            </w:r>
          </w:p>
        </w:tc>
        <w:tc>
          <w:tcPr>
            <w:tcW w:w="1667"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Never or rarely</w:t>
            </w:r>
          </w:p>
        </w:tc>
        <w:tc>
          <w:tcPr>
            <w:tcW w:w="1140" w:type="pct"/>
            <w:tcBorders>
              <w:top w:val="nil"/>
              <w:bottom w:val="nil"/>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r w:rsidRPr="003561AF">
              <w:rPr>
                <w:rFonts w:cs="Times New Roman"/>
                <w:sz w:val="20"/>
                <w:szCs w:val="20"/>
              </w:rPr>
              <w:t>Sometimes or always</w:t>
            </w:r>
          </w:p>
        </w:tc>
      </w:tr>
      <w:tr w:rsidR="00796ACB" w:rsidRPr="003561AF" w:rsidTr="00280B36">
        <w:tc>
          <w:tcPr>
            <w:tcW w:w="1685" w:type="pct"/>
            <w:tcBorders>
              <w:top w:val="nil"/>
              <w:bottom w:val="single" w:sz="8" w:space="0" w:color="auto"/>
            </w:tcBorders>
            <w:vAlign w:val="center"/>
          </w:tcPr>
          <w:p w:rsidR="00796ACB" w:rsidRPr="003561AF" w:rsidRDefault="00796ACB" w:rsidP="00280B36">
            <w:pPr>
              <w:pStyle w:val="ListParagraph"/>
              <w:autoSpaceDE w:val="0"/>
              <w:autoSpaceDN w:val="0"/>
              <w:adjustRightInd w:val="0"/>
              <w:spacing w:line="240" w:lineRule="auto"/>
              <w:ind w:left="0"/>
              <w:rPr>
                <w:rFonts w:cs="Times New Roman"/>
                <w:b/>
                <w:sz w:val="20"/>
                <w:szCs w:val="20"/>
              </w:rPr>
            </w:pPr>
            <w:r w:rsidRPr="003561AF">
              <w:rPr>
                <w:rFonts w:cs="Times New Roman"/>
                <w:b/>
                <w:sz w:val="20"/>
                <w:szCs w:val="20"/>
              </w:rPr>
              <w:t>Total score (range)</w:t>
            </w:r>
          </w:p>
        </w:tc>
        <w:tc>
          <w:tcPr>
            <w:tcW w:w="508" w:type="pct"/>
            <w:tcBorders>
              <w:top w:val="nil"/>
              <w:bottom w:val="single" w:sz="8" w:space="0" w:color="auto"/>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b/>
                <w:sz w:val="20"/>
                <w:szCs w:val="20"/>
              </w:rPr>
            </w:pPr>
            <w:r w:rsidRPr="003561AF">
              <w:rPr>
                <w:rFonts w:cs="Times New Roman"/>
                <w:b/>
                <w:sz w:val="20"/>
                <w:szCs w:val="20"/>
              </w:rPr>
              <w:t>0 to 60</w:t>
            </w:r>
          </w:p>
        </w:tc>
        <w:tc>
          <w:tcPr>
            <w:tcW w:w="1667" w:type="pct"/>
            <w:tcBorders>
              <w:top w:val="nil"/>
              <w:bottom w:val="single" w:sz="8" w:space="0" w:color="auto"/>
            </w:tcBorders>
            <w:vAlign w:val="center"/>
          </w:tcPr>
          <w:p w:rsidR="00796ACB" w:rsidRPr="003561AF" w:rsidRDefault="00796ACB" w:rsidP="00280B36">
            <w:pPr>
              <w:pStyle w:val="ListParagraph"/>
              <w:autoSpaceDE w:val="0"/>
              <w:autoSpaceDN w:val="0"/>
              <w:adjustRightInd w:val="0"/>
              <w:spacing w:line="240" w:lineRule="auto"/>
              <w:ind w:left="0"/>
              <w:rPr>
                <w:rFonts w:cs="Times New Roman"/>
                <w:sz w:val="20"/>
                <w:szCs w:val="20"/>
              </w:rPr>
            </w:pPr>
          </w:p>
        </w:tc>
        <w:tc>
          <w:tcPr>
            <w:tcW w:w="1140" w:type="pct"/>
            <w:tcBorders>
              <w:top w:val="nil"/>
              <w:bottom w:val="single" w:sz="8" w:space="0" w:color="auto"/>
            </w:tcBorders>
            <w:vAlign w:val="center"/>
          </w:tcPr>
          <w:p w:rsidR="00796ACB" w:rsidRPr="003561AF" w:rsidRDefault="00796ACB" w:rsidP="00280B36">
            <w:pPr>
              <w:pStyle w:val="ListParagraph"/>
              <w:autoSpaceDE w:val="0"/>
              <w:autoSpaceDN w:val="0"/>
              <w:adjustRightInd w:val="0"/>
              <w:spacing w:line="240" w:lineRule="auto"/>
              <w:ind w:left="0"/>
              <w:jc w:val="center"/>
              <w:rPr>
                <w:rFonts w:cs="Times New Roman"/>
                <w:sz w:val="20"/>
                <w:szCs w:val="20"/>
              </w:rPr>
            </w:pPr>
          </w:p>
        </w:tc>
      </w:tr>
    </w:tbl>
    <w:p w:rsidR="00796ACB" w:rsidRPr="008600EC" w:rsidRDefault="00796ACB" w:rsidP="00796ACB">
      <w:pPr>
        <w:pStyle w:val="ListParagraph"/>
        <w:autoSpaceDE w:val="0"/>
        <w:autoSpaceDN w:val="0"/>
        <w:adjustRightInd w:val="0"/>
        <w:spacing w:line="240" w:lineRule="auto"/>
        <w:ind w:left="0"/>
        <w:rPr>
          <w:rFonts w:cs="Times New Roman"/>
          <w:sz w:val="20"/>
          <w:szCs w:val="20"/>
        </w:rPr>
        <w:sectPr w:rsidR="00796ACB" w:rsidRPr="008600EC" w:rsidSect="002243AD">
          <w:pgSz w:w="12240" w:h="15840"/>
          <w:pgMar w:top="720" w:right="720" w:bottom="720" w:left="720" w:header="709" w:footer="709" w:gutter="0"/>
          <w:cols w:space="708"/>
          <w:docGrid w:linePitch="360"/>
        </w:sectPr>
      </w:pPr>
      <w:r w:rsidRPr="008600EC">
        <w:rPr>
          <w:sz w:val="20"/>
          <w:szCs w:val="20"/>
          <w:vertAlign w:val="superscript"/>
        </w:rPr>
        <w:t>a</w:t>
      </w:r>
      <w:r w:rsidRPr="008600EC">
        <w:rPr>
          <w:sz w:val="20"/>
          <w:szCs w:val="20"/>
        </w:rPr>
        <w:t xml:space="preserve"> Intermediate intakes were scored proportionately between 0 and 10</w:t>
      </w:r>
      <w:r>
        <w:rPr>
          <w:sz w:val="20"/>
          <w:szCs w:val="20"/>
        </w:rPr>
        <w:t>. Adopted from Yu et al.(11)</w:t>
      </w:r>
    </w:p>
    <w:p w:rsidR="00796ACB" w:rsidRPr="00A138AB" w:rsidRDefault="00796ACB" w:rsidP="00796ACB">
      <w:pPr>
        <w:rPr>
          <w:i/>
        </w:rPr>
      </w:pPr>
      <w:bookmarkStart w:id="2" w:name="_Toc457561804"/>
      <w:r w:rsidRPr="0049746F">
        <w:rPr>
          <w:b/>
          <w:i/>
        </w:rPr>
        <w:lastRenderedPageBreak/>
        <w:t xml:space="preserve">Supplementary Material Table </w:t>
      </w:r>
      <w:r>
        <w:rPr>
          <w:b/>
          <w:i/>
        </w:rPr>
        <w:t>4</w:t>
      </w:r>
      <w:r w:rsidRPr="0049746F">
        <w:rPr>
          <w:b/>
          <w:i/>
        </w:rPr>
        <w:t xml:space="preserve">: </w:t>
      </w:r>
      <w:r w:rsidRPr="00A138AB">
        <w:rPr>
          <w:b/>
          <w:i/>
        </w:rPr>
        <w:t>Analysis of Toenail Samples</w:t>
      </w:r>
      <w:r w:rsidRPr="00A138AB">
        <w:rPr>
          <w:i/>
        </w:rPr>
        <w:t xml:space="preserve"> </w:t>
      </w:r>
      <w:bookmarkEnd w:id="2"/>
    </w:p>
    <w:p w:rsidR="00796ACB" w:rsidRDefault="00796ACB" w:rsidP="00796ACB">
      <w:pPr>
        <w:autoSpaceDE w:val="0"/>
        <w:autoSpaceDN w:val="0"/>
        <w:adjustRightInd w:val="0"/>
        <w:spacing w:after="0" w:line="240" w:lineRule="auto"/>
        <w:rPr>
          <w:rFonts w:ascii="Times New Roman" w:hAnsi="Times New Roman" w:cs="Times New Roman"/>
          <w:szCs w:val="24"/>
        </w:rPr>
      </w:pPr>
      <w:r>
        <w:t xml:space="preserve">A comprehensive trace element profile was constructed of Atlantic PATH participants by analyzing 27 metals in 2352 random toenail samples. Toenails were prepared according to the methods of </w:t>
      </w:r>
      <w:r w:rsidRPr="00860ADE">
        <w:rPr>
          <w:rFonts w:ascii="Times New Roman" w:hAnsi="Times New Roman" w:cs="Times New Roman"/>
          <w:szCs w:val="24"/>
        </w:rPr>
        <w:t>Ryabukhin</w:t>
      </w:r>
      <w:r>
        <w:rPr>
          <w:rFonts w:ascii="Times New Roman" w:hAnsi="Times New Roman" w:cs="Times New Roman"/>
          <w:szCs w:val="24"/>
        </w:rPr>
        <w:t>(</w:t>
      </w:r>
      <w:r>
        <w:rPr>
          <w:rFonts w:ascii="Times New Roman" w:hAnsi="Times New Roman" w:cs="Times New Roman"/>
          <w:szCs w:val="24"/>
        </w:rPr>
        <w:t>1</w:t>
      </w:r>
      <w:r>
        <w:rPr>
          <w:rFonts w:ascii="Times New Roman" w:hAnsi="Times New Roman" w:cs="Times New Roman"/>
          <w:szCs w:val="24"/>
        </w:rPr>
        <w:t>)</w:t>
      </w:r>
      <w:r w:rsidRPr="00860ADE">
        <w:rPr>
          <w:rFonts w:ascii="Times New Roman" w:hAnsi="Times New Roman" w:cs="Times New Roman"/>
          <w:szCs w:val="24"/>
        </w:rPr>
        <w:t xml:space="preserve"> and then digested by adapting the method of Gault et al.</w:t>
      </w:r>
      <w:r>
        <w:rPr>
          <w:rFonts w:ascii="Times New Roman" w:hAnsi="Times New Roman" w:cs="Times New Roman"/>
          <w:szCs w:val="24"/>
        </w:rPr>
        <w:t>(</w:t>
      </w:r>
      <w:r>
        <w:rPr>
          <w:rFonts w:ascii="Times New Roman" w:hAnsi="Times New Roman" w:cs="Times New Roman"/>
          <w:szCs w:val="24"/>
        </w:rPr>
        <w:t>2</w:t>
      </w:r>
      <w:r>
        <w:rPr>
          <w:rFonts w:ascii="Times New Roman" w:hAnsi="Times New Roman" w:cs="Times New Roman"/>
          <w:szCs w:val="24"/>
        </w:rPr>
        <w:t>)</w:t>
      </w:r>
      <w:r w:rsidRPr="00860ADE">
        <w:rPr>
          <w:rFonts w:ascii="Times New Roman" w:hAnsi="Times New Roman" w:cs="Times New Roman"/>
          <w:szCs w:val="24"/>
        </w:rPr>
        <w:t xml:space="preserve"> The digested toenails were analyzed using a PerkinElmer Elan DRC-</w:t>
      </w:r>
      <w:r w:rsidRPr="00860ADE">
        <w:rPr>
          <w:rFonts w:ascii="Times New Roman" w:hAnsi="Times New Roman" w:cs="Times New Roman"/>
          <w:i/>
          <w:szCs w:val="24"/>
        </w:rPr>
        <w:t>e</w:t>
      </w:r>
      <w:r w:rsidRPr="00860ADE">
        <w:rPr>
          <w:rFonts w:ascii="Times New Roman" w:hAnsi="Times New Roman" w:cs="Times New Roman"/>
          <w:szCs w:val="24"/>
        </w:rPr>
        <w:t xml:space="preserve"> ICP-MS equipped with an SC4 DX autosampler (ESI).</w:t>
      </w:r>
      <w:r>
        <w:rPr>
          <w:rFonts w:ascii="Times New Roman" w:hAnsi="Times New Roman" w:cs="Times New Roman"/>
          <w:szCs w:val="24"/>
        </w:rPr>
        <w:t xml:space="preserve"> The mass </w:t>
      </w:r>
      <w:r w:rsidRPr="00860ADE">
        <w:rPr>
          <w:rFonts w:ascii="Times New Roman" w:hAnsi="Times New Roman" w:cs="Times New Roman"/>
          <w:szCs w:val="24"/>
        </w:rPr>
        <w:t xml:space="preserve">spectrometry data </w:t>
      </w:r>
      <w:r>
        <w:rPr>
          <w:rFonts w:ascii="Times New Roman" w:hAnsi="Times New Roman" w:cs="Times New Roman"/>
          <w:szCs w:val="24"/>
        </w:rPr>
        <w:t>were</w:t>
      </w:r>
      <w:r w:rsidRPr="00860ADE">
        <w:rPr>
          <w:rFonts w:ascii="Times New Roman" w:hAnsi="Times New Roman" w:cs="Times New Roman"/>
          <w:szCs w:val="24"/>
        </w:rPr>
        <w:t xml:space="preserve"> further analyzed for </w:t>
      </w:r>
      <w:r>
        <w:rPr>
          <w:rFonts w:ascii="Times New Roman" w:hAnsi="Times New Roman" w:cs="Times New Roman"/>
          <w:szCs w:val="24"/>
        </w:rPr>
        <w:t xml:space="preserve">correlations between different </w:t>
      </w:r>
      <w:r w:rsidRPr="006A157A">
        <w:rPr>
          <w:rFonts w:ascii="Times New Roman" w:hAnsi="Times New Roman" w:cs="Times New Roman"/>
          <w:szCs w:val="24"/>
        </w:rPr>
        <w:t>bio-accumulating</w:t>
      </w:r>
      <w:r w:rsidRPr="00860ADE">
        <w:rPr>
          <w:rFonts w:ascii="Times New Roman" w:hAnsi="Times New Roman" w:cs="Times New Roman"/>
          <w:szCs w:val="24"/>
        </w:rPr>
        <w:t xml:space="preserve"> metals. </w:t>
      </w:r>
      <w:r>
        <w:rPr>
          <w:rFonts w:ascii="Times New Roman" w:hAnsi="Times New Roman" w:cs="Times New Roman"/>
          <w:szCs w:val="24"/>
        </w:rPr>
        <w:t xml:space="preserve">The data was first normalized </w:t>
      </w:r>
      <w:r w:rsidRPr="00860ADE">
        <w:rPr>
          <w:rFonts w:ascii="Times New Roman" w:hAnsi="Times New Roman" w:cs="Times New Roman"/>
          <w:szCs w:val="24"/>
        </w:rPr>
        <w:t xml:space="preserve">by transforming measurements values into natural logarithms, followed by two-tailed Pearson’s correlation analysis. </w:t>
      </w:r>
      <w:r>
        <w:rPr>
          <w:rFonts w:ascii="Times New Roman" w:hAnsi="Times New Roman" w:cs="Times New Roman"/>
          <w:szCs w:val="24"/>
        </w:rPr>
        <w:t xml:space="preserve">The correlations between metals are detailed in the table below. </w:t>
      </w:r>
      <w:r w:rsidRPr="00860ADE">
        <w:rPr>
          <w:rFonts w:ascii="Times New Roman" w:hAnsi="Times New Roman" w:cs="Times New Roman"/>
          <w:szCs w:val="24"/>
        </w:rPr>
        <w:t xml:space="preserve"> </w:t>
      </w:r>
    </w:p>
    <w:p w:rsidR="00796ACB" w:rsidRDefault="00796ACB" w:rsidP="00796ACB">
      <w:pPr>
        <w:autoSpaceDE w:val="0"/>
        <w:autoSpaceDN w:val="0"/>
        <w:adjustRightInd w:val="0"/>
        <w:spacing w:after="0" w:line="240" w:lineRule="auto"/>
        <w:rPr>
          <w:rFonts w:ascii="Times New Roman" w:hAnsi="Times New Roman" w:cs="Times New Roman"/>
          <w:szCs w:val="24"/>
        </w:rPr>
      </w:pPr>
    </w:p>
    <w:p w:rsidR="00796ACB" w:rsidRDefault="00796ACB" w:rsidP="00796ACB">
      <w:pPr>
        <w:spacing w:line="240" w:lineRule="auto"/>
        <w:rPr>
          <w:b/>
        </w:rPr>
      </w:pPr>
      <w:r w:rsidRPr="005105A9">
        <w:rPr>
          <w:noProof/>
          <w:lang w:val="en-US"/>
        </w:rPr>
        <w:drawing>
          <wp:inline distT="0" distB="0" distL="0" distR="0" wp14:anchorId="7CA6FC15" wp14:editId="2D219FC6">
            <wp:extent cx="8595360" cy="358022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271" cy="3597268"/>
                    </a:xfrm>
                    <a:prstGeom prst="rect">
                      <a:avLst/>
                    </a:prstGeom>
                    <a:noFill/>
                    <a:ln>
                      <a:noFill/>
                    </a:ln>
                  </pic:spPr>
                </pic:pic>
              </a:graphicData>
            </a:graphic>
          </wp:inline>
        </w:drawing>
      </w:r>
    </w:p>
    <w:p w:rsidR="00796ACB" w:rsidRDefault="00796ACB" w:rsidP="00796ACB">
      <w:pPr>
        <w:spacing w:line="240" w:lineRule="auto"/>
        <w:rPr>
          <w:b/>
        </w:rPr>
      </w:pPr>
    </w:p>
    <w:p w:rsidR="00796ACB" w:rsidRDefault="00796ACB" w:rsidP="00796ACB">
      <w:pPr>
        <w:spacing w:line="240" w:lineRule="auto"/>
        <w:rPr>
          <w:b/>
        </w:rPr>
      </w:pPr>
    </w:p>
    <w:p w:rsidR="00796ACB" w:rsidRDefault="00796ACB" w:rsidP="00796ACB">
      <w:pPr>
        <w:autoSpaceDE w:val="0"/>
        <w:autoSpaceDN w:val="0"/>
        <w:adjustRightInd w:val="0"/>
        <w:spacing w:after="0" w:line="240" w:lineRule="auto"/>
        <w:contextualSpacing/>
        <w:rPr>
          <w:rFonts w:cs="Times New Roman"/>
        </w:rPr>
      </w:pPr>
    </w:p>
    <w:p w:rsidR="00796ACB" w:rsidRDefault="00796ACB" w:rsidP="00796ACB">
      <w:pPr>
        <w:autoSpaceDE w:val="0"/>
        <w:autoSpaceDN w:val="0"/>
        <w:adjustRightInd w:val="0"/>
        <w:spacing w:after="0" w:line="240" w:lineRule="auto"/>
        <w:contextualSpacing/>
        <w:rPr>
          <w:rFonts w:cs="Times New Roman"/>
        </w:rPr>
      </w:pPr>
    </w:p>
    <w:p w:rsidR="00796ACB" w:rsidRPr="00F37519" w:rsidRDefault="00796ACB" w:rsidP="00796ACB">
      <w:pPr>
        <w:jc w:val="center"/>
        <w:rPr>
          <w:b/>
        </w:rPr>
      </w:pPr>
      <w:r w:rsidRPr="00F37519">
        <w:rPr>
          <w:b/>
        </w:rPr>
        <w:t>References</w:t>
      </w:r>
    </w:p>
    <w:p w:rsidR="00796ACB" w:rsidRDefault="00796ACB" w:rsidP="00796ACB">
      <w:pPr>
        <w:autoSpaceDE w:val="0"/>
        <w:autoSpaceDN w:val="0"/>
        <w:adjustRightInd w:val="0"/>
        <w:spacing w:after="0" w:line="240" w:lineRule="auto"/>
        <w:contextualSpacing/>
        <w:rPr>
          <w:rFonts w:cs="Times New Roman"/>
        </w:rPr>
      </w:pPr>
      <w:r>
        <w:rPr>
          <w:rFonts w:cs="Times New Roman"/>
        </w:rPr>
        <w:t>1</w:t>
      </w:r>
      <w:r>
        <w:rPr>
          <w:rFonts w:cs="Times New Roman"/>
        </w:rPr>
        <w:t xml:space="preserve">. </w:t>
      </w:r>
      <w:r w:rsidRPr="00F33254">
        <w:rPr>
          <w:rFonts w:cs="Times New Roman"/>
        </w:rPr>
        <w:t xml:space="preserve">Ryabukhin YS. Nuclear-based methods for the analysis of trace element pollutants in human hair. </w:t>
      </w:r>
      <w:r>
        <w:rPr>
          <w:rFonts w:cs="Times New Roman"/>
        </w:rPr>
        <w:t>J Radioanal Nucl Chem</w:t>
      </w:r>
      <w:r w:rsidRPr="00F33254">
        <w:rPr>
          <w:rFonts w:cs="Times New Roman"/>
        </w:rPr>
        <w:t xml:space="preserve"> 1980;</w:t>
      </w:r>
      <w:r>
        <w:rPr>
          <w:rFonts w:cs="Times New Roman"/>
        </w:rPr>
        <w:t xml:space="preserve"> </w:t>
      </w:r>
      <w:r w:rsidRPr="00F33254">
        <w:rPr>
          <w:rFonts w:cs="Times New Roman"/>
        </w:rPr>
        <w:t>60(1):7–30.</w:t>
      </w:r>
    </w:p>
    <w:p w:rsidR="00796ACB" w:rsidRDefault="00796ACB" w:rsidP="00796ACB">
      <w:pPr>
        <w:autoSpaceDE w:val="0"/>
        <w:autoSpaceDN w:val="0"/>
        <w:adjustRightInd w:val="0"/>
        <w:spacing w:after="0" w:line="240" w:lineRule="auto"/>
        <w:contextualSpacing/>
        <w:rPr>
          <w:rFonts w:cs="Times New Roman"/>
        </w:rPr>
      </w:pPr>
    </w:p>
    <w:p w:rsidR="00796ACB" w:rsidRPr="00F33254" w:rsidRDefault="00796ACB" w:rsidP="00796ACB">
      <w:pPr>
        <w:autoSpaceDE w:val="0"/>
        <w:autoSpaceDN w:val="0"/>
        <w:adjustRightInd w:val="0"/>
        <w:spacing w:after="0" w:line="240" w:lineRule="auto"/>
        <w:contextualSpacing/>
        <w:rPr>
          <w:rFonts w:cs="Times New Roman"/>
        </w:rPr>
      </w:pPr>
      <w:r>
        <w:rPr>
          <w:rFonts w:cs="Times New Roman"/>
        </w:rPr>
        <w:t>2</w:t>
      </w:r>
      <w:bookmarkStart w:id="3" w:name="_GoBack"/>
      <w:bookmarkEnd w:id="3"/>
      <w:r>
        <w:rPr>
          <w:rFonts w:cs="Times New Roman"/>
        </w:rPr>
        <w:t xml:space="preserve">. </w:t>
      </w:r>
      <w:r w:rsidRPr="00F33254">
        <w:rPr>
          <w:rFonts w:cs="Times New Roman"/>
        </w:rPr>
        <w:t>Gau</w:t>
      </w:r>
      <w:r>
        <w:rPr>
          <w:rFonts w:cs="Times New Roman"/>
        </w:rPr>
        <w:t xml:space="preserve">lt AG, Rowland HA, Charnock JM et al. </w:t>
      </w:r>
      <w:r w:rsidRPr="00F33254">
        <w:rPr>
          <w:rFonts w:cs="Times New Roman"/>
        </w:rPr>
        <w:t xml:space="preserve">Arsenic in hair and nails of individuals exposed to arsenic-rich groundwaters in Kandal province, Cambodia. </w:t>
      </w:r>
      <w:r>
        <w:rPr>
          <w:rFonts w:cs="Times New Roman"/>
        </w:rPr>
        <w:t>Sci Total Enviro</w:t>
      </w:r>
      <w:r w:rsidRPr="00F33254">
        <w:rPr>
          <w:rFonts w:cs="Times New Roman"/>
        </w:rPr>
        <w:t xml:space="preserve"> 2008</w:t>
      </w:r>
      <w:r>
        <w:rPr>
          <w:rFonts w:cs="Times New Roman"/>
        </w:rPr>
        <w:t xml:space="preserve">; </w:t>
      </w:r>
      <w:r w:rsidRPr="00F33254">
        <w:rPr>
          <w:rFonts w:cs="Times New Roman"/>
        </w:rPr>
        <w:t>393(1):168–76.</w:t>
      </w:r>
    </w:p>
    <w:p w:rsidR="00512D1B" w:rsidRDefault="00796ACB"/>
    <w:sectPr w:rsidR="00512D1B" w:rsidSect="00851F32">
      <w:headerReference w:type="default" r:id="rId7"/>
      <w:footerReference w:type="default" r:id="rId8"/>
      <w:pgSz w:w="15840" w:h="12240"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166510"/>
      <w:docPartObj>
        <w:docPartGallery w:val="Page Numbers (Bottom of Page)"/>
        <w:docPartUnique/>
      </w:docPartObj>
    </w:sdtPr>
    <w:sdtEndPr>
      <w:rPr>
        <w:noProof/>
      </w:rPr>
    </w:sdtEndPr>
    <w:sdtContent>
      <w:p w:rsidR="00405E63" w:rsidRDefault="00796A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05E63" w:rsidRDefault="00796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293976"/>
      <w:docPartObj>
        <w:docPartGallery w:val="Page Numbers (Bottom of Page)"/>
        <w:docPartUnique/>
      </w:docPartObj>
    </w:sdtPr>
    <w:sdtEndPr>
      <w:rPr>
        <w:noProof/>
      </w:rPr>
    </w:sdtEndPr>
    <w:sdtContent>
      <w:p w:rsidR="00405E63" w:rsidRDefault="00796AC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05E63" w:rsidRDefault="00796AC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3" w:rsidRDefault="0079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3" w:rsidRDefault="00796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CB"/>
    <w:rsid w:val="000077E1"/>
    <w:rsid w:val="00013553"/>
    <w:rsid w:val="00032DD4"/>
    <w:rsid w:val="00033DB3"/>
    <w:rsid w:val="00041D27"/>
    <w:rsid w:val="000454A2"/>
    <w:rsid w:val="00054F61"/>
    <w:rsid w:val="00082386"/>
    <w:rsid w:val="000951A4"/>
    <w:rsid w:val="000A5E97"/>
    <w:rsid w:val="000A795D"/>
    <w:rsid w:val="000C72FB"/>
    <w:rsid w:val="000D579D"/>
    <w:rsid w:val="000E5A84"/>
    <w:rsid w:val="00117AB7"/>
    <w:rsid w:val="001260D7"/>
    <w:rsid w:val="001643D9"/>
    <w:rsid w:val="0017009B"/>
    <w:rsid w:val="00192219"/>
    <w:rsid w:val="001A3095"/>
    <w:rsid w:val="001A57DD"/>
    <w:rsid w:val="001C7613"/>
    <w:rsid w:val="001D2D27"/>
    <w:rsid w:val="001D4E69"/>
    <w:rsid w:val="001E6518"/>
    <w:rsid w:val="00232252"/>
    <w:rsid w:val="0024398D"/>
    <w:rsid w:val="00273C86"/>
    <w:rsid w:val="002A5087"/>
    <w:rsid w:val="002A61B6"/>
    <w:rsid w:val="002C323E"/>
    <w:rsid w:val="002D0C36"/>
    <w:rsid w:val="002E41EB"/>
    <w:rsid w:val="002F3D9D"/>
    <w:rsid w:val="003040D5"/>
    <w:rsid w:val="00304917"/>
    <w:rsid w:val="003107D9"/>
    <w:rsid w:val="003420D7"/>
    <w:rsid w:val="003634E3"/>
    <w:rsid w:val="00366C34"/>
    <w:rsid w:val="0038144F"/>
    <w:rsid w:val="00390872"/>
    <w:rsid w:val="003C77B2"/>
    <w:rsid w:val="003E7FD0"/>
    <w:rsid w:val="003F5016"/>
    <w:rsid w:val="003F6304"/>
    <w:rsid w:val="003F6361"/>
    <w:rsid w:val="003F7861"/>
    <w:rsid w:val="004135BC"/>
    <w:rsid w:val="00420A01"/>
    <w:rsid w:val="00422614"/>
    <w:rsid w:val="00423A2B"/>
    <w:rsid w:val="00425477"/>
    <w:rsid w:val="00426705"/>
    <w:rsid w:val="00442826"/>
    <w:rsid w:val="00443D1A"/>
    <w:rsid w:val="00445212"/>
    <w:rsid w:val="00445344"/>
    <w:rsid w:val="00445EB8"/>
    <w:rsid w:val="00445F8A"/>
    <w:rsid w:val="00452FE2"/>
    <w:rsid w:val="00470674"/>
    <w:rsid w:val="00475BB9"/>
    <w:rsid w:val="00485857"/>
    <w:rsid w:val="004A44FD"/>
    <w:rsid w:val="004C19BD"/>
    <w:rsid w:val="004C3E3F"/>
    <w:rsid w:val="004C4D06"/>
    <w:rsid w:val="004D1C99"/>
    <w:rsid w:val="004E6487"/>
    <w:rsid w:val="004F3E5D"/>
    <w:rsid w:val="004F594F"/>
    <w:rsid w:val="005125D7"/>
    <w:rsid w:val="00517FE4"/>
    <w:rsid w:val="00547527"/>
    <w:rsid w:val="00547788"/>
    <w:rsid w:val="00556F73"/>
    <w:rsid w:val="005639B5"/>
    <w:rsid w:val="00573114"/>
    <w:rsid w:val="00584318"/>
    <w:rsid w:val="0059485C"/>
    <w:rsid w:val="005A35F6"/>
    <w:rsid w:val="005A7267"/>
    <w:rsid w:val="005B1E18"/>
    <w:rsid w:val="005D6675"/>
    <w:rsid w:val="005E73AB"/>
    <w:rsid w:val="005F2CAC"/>
    <w:rsid w:val="00621DDE"/>
    <w:rsid w:val="0062316B"/>
    <w:rsid w:val="00631211"/>
    <w:rsid w:val="006379F0"/>
    <w:rsid w:val="006470D2"/>
    <w:rsid w:val="006612DF"/>
    <w:rsid w:val="00670E28"/>
    <w:rsid w:val="00673C24"/>
    <w:rsid w:val="00675019"/>
    <w:rsid w:val="00686357"/>
    <w:rsid w:val="006A07D7"/>
    <w:rsid w:val="006A77F5"/>
    <w:rsid w:val="006B536E"/>
    <w:rsid w:val="006C299B"/>
    <w:rsid w:val="006F0EC4"/>
    <w:rsid w:val="006F373D"/>
    <w:rsid w:val="007042DA"/>
    <w:rsid w:val="00715BD2"/>
    <w:rsid w:val="007224DA"/>
    <w:rsid w:val="00743DB9"/>
    <w:rsid w:val="0074497B"/>
    <w:rsid w:val="0076508D"/>
    <w:rsid w:val="00796ACB"/>
    <w:rsid w:val="007E324E"/>
    <w:rsid w:val="00802F9F"/>
    <w:rsid w:val="00813A0A"/>
    <w:rsid w:val="00813A9B"/>
    <w:rsid w:val="00830637"/>
    <w:rsid w:val="00850E0D"/>
    <w:rsid w:val="00875D93"/>
    <w:rsid w:val="008E7786"/>
    <w:rsid w:val="00900A44"/>
    <w:rsid w:val="0091467B"/>
    <w:rsid w:val="00995CB3"/>
    <w:rsid w:val="009B28BE"/>
    <w:rsid w:val="009B529A"/>
    <w:rsid w:val="00A032BF"/>
    <w:rsid w:val="00A22443"/>
    <w:rsid w:val="00A36499"/>
    <w:rsid w:val="00A4064C"/>
    <w:rsid w:val="00A50C64"/>
    <w:rsid w:val="00A60D3B"/>
    <w:rsid w:val="00A72DA3"/>
    <w:rsid w:val="00A73CB8"/>
    <w:rsid w:val="00A8323D"/>
    <w:rsid w:val="00A92244"/>
    <w:rsid w:val="00AA58A2"/>
    <w:rsid w:val="00AB3C06"/>
    <w:rsid w:val="00AF0317"/>
    <w:rsid w:val="00B019C7"/>
    <w:rsid w:val="00B23E1C"/>
    <w:rsid w:val="00B248E0"/>
    <w:rsid w:val="00B747B6"/>
    <w:rsid w:val="00B76CBD"/>
    <w:rsid w:val="00B81933"/>
    <w:rsid w:val="00B84C3F"/>
    <w:rsid w:val="00B8546D"/>
    <w:rsid w:val="00BD00A4"/>
    <w:rsid w:val="00BF4821"/>
    <w:rsid w:val="00C139B4"/>
    <w:rsid w:val="00C14BB5"/>
    <w:rsid w:val="00C230C3"/>
    <w:rsid w:val="00C351E9"/>
    <w:rsid w:val="00C624AA"/>
    <w:rsid w:val="00C663E4"/>
    <w:rsid w:val="00C80439"/>
    <w:rsid w:val="00CC732C"/>
    <w:rsid w:val="00CC7F00"/>
    <w:rsid w:val="00CE72DC"/>
    <w:rsid w:val="00CF47DB"/>
    <w:rsid w:val="00D00132"/>
    <w:rsid w:val="00D05E20"/>
    <w:rsid w:val="00D07507"/>
    <w:rsid w:val="00D44644"/>
    <w:rsid w:val="00D47350"/>
    <w:rsid w:val="00D57AB8"/>
    <w:rsid w:val="00D61934"/>
    <w:rsid w:val="00D84C89"/>
    <w:rsid w:val="00D90F6B"/>
    <w:rsid w:val="00D92D75"/>
    <w:rsid w:val="00DB42E0"/>
    <w:rsid w:val="00DB492A"/>
    <w:rsid w:val="00DB5CF7"/>
    <w:rsid w:val="00E1152F"/>
    <w:rsid w:val="00E37EAF"/>
    <w:rsid w:val="00E57809"/>
    <w:rsid w:val="00E7335B"/>
    <w:rsid w:val="00E77D07"/>
    <w:rsid w:val="00E87D60"/>
    <w:rsid w:val="00E95D5C"/>
    <w:rsid w:val="00EA35C8"/>
    <w:rsid w:val="00EB545D"/>
    <w:rsid w:val="00EC37A1"/>
    <w:rsid w:val="00ED4292"/>
    <w:rsid w:val="00ED7564"/>
    <w:rsid w:val="00EE4EB4"/>
    <w:rsid w:val="00EF2B17"/>
    <w:rsid w:val="00F05960"/>
    <w:rsid w:val="00F10300"/>
    <w:rsid w:val="00F168D1"/>
    <w:rsid w:val="00F3428D"/>
    <w:rsid w:val="00F34F07"/>
    <w:rsid w:val="00F72C1E"/>
    <w:rsid w:val="00F81E65"/>
    <w:rsid w:val="00F97160"/>
    <w:rsid w:val="00FA56E1"/>
    <w:rsid w:val="00FA6A41"/>
    <w:rsid w:val="00FB5EAF"/>
    <w:rsid w:val="00FE5491"/>
    <w:rsid w:val="00FF5210"/>
    <w:rsid w:val="00FF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8A5B"/>
  <w15:chartTrackingRefBased/>
  <w15:docId w15:val="{0B2D1C6E-399F-41BD-9D87-87151EA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ACB"/>
    <w:rPr>
      <w:rFonts w:ascii="Cambria" w:hAnsi="Cambria"/>
      <w:sz w:val="24"/>
      <w:lang w:val="en-CA"/>
    </w:rPr>
  </w:style>
  <w:style w:type="paragraph" w:styleId="Heading3">
    <w:name w:val="heading 3"/>
    <w:basedOn w:val="Normal"/>
    <w:next w:val="Normal"/>
    <w:link w:val="Heading3Char"/>
    <w:uiPriority w:val="9"/>
    <w:unhideWhenUsed/>
    <w:qFormat/>
    <w:rsid w:val="00796ACB"/>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ACB"/>
    <w:rPr>
      <w:rFonts w:ascii="Cambria" w:eastAsiaTheme="majorEastAsia" w:hAnsi="Cambria" w:cstheme="majorBidi"/>
      <w:i/>
      <w:sz w:val="24"/>
      <w:szCs w:val="24"/>
      <w:lang w:val="en-CA"/>
    </w:rPr>
  </w:style>
  <w:style w:type="paragraph" w:styleId="Header">
    <w:name w:val="header"/>
    <w:basedOn w:val="Normal"/>
    <w:link w:val="HeaderChar"/>
    <w:uiPriority w:val="99"/>
    <w:unhideWhenUsed/>
    <w:rsid w:val="00796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ACB"/>
    <w:rPr>
      <w:rFonts w:ascii="Cambria" w:hAnsi="Cambria"/>
      <w:sz w:val="24"/>
      <w:lang w:val="en-CA"/>
    </w:rPr>
  </w:style>
  <w:style w:type="paragraph" w:styleId="Footer">
    <w:name w:val="footer"/>
    <w:basedOn w:val="Normal"/>
    <w:link w:val="FooterChar"/>
    <w:uiPriority w:val="99"/>
    <w:unhideWhenUsed/>
    <w:rsid w:val="0079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CB"/>
    <w:rPr>
      <w:rFonts w:ascii="Cambria" w:hAnsi="Cambria"/>
      <w:sz w:val="24"/>
      <w:lang w:val="en-CA"/>
    </w:rPr>
  </w:style>
  <w:style w:type="table" w:styleId="TableGrid">
    <w:name w:val="Table Grid"/>
    <w:basedOn w:val="TableNormal"/>
    <w:uiPriority w:val="39"/>
    <w:rsid w:val="00796ACB"/>
    <w:pPr>
      <w:spacing w:after="0" w:line="240" w:lineRule="auto"/>
    </w:pPr>
    <w:rPr>
      <w:rFonts w:ascii="Cambria" w:hAnsi="Cambria"/>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96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2017-08-14T13:11:00Z</dcterms:created>
  <dcterms:modified xsi:type="dcterms:W3CDTF">2017-08-14T13:14:00Z</dcterms:modified>
</cp:coreProperties>
</file>