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E445" w14:textId="3AACF75B" w:rsidR="008260A4" w:rsidRPr="002979F1" w:rsidRDefault="005328D1" w:rsidP="00105865">
      <w:pPr>
        <w:spacing w:line="240" w:lineRule="auto"/>
        <w:rPr>
          <w:b/>
          <w:sz w:val="28"/>
          <w:szCs w:val="28"/>
        </w:rPr>
      </w:pPr>
      <w:r w:rsidRPr="002979F1">
        <w:rPr>
          <w:b/>
          <w:sz w:val="28"/>
          <w:szCs w:val="28"/>
        </w:rPr>
        <w:t xml:space="preserve">Supplementary </w:t>
      </w:r>
      <w:r w:rsidR="002979F1" w:rsidRPr="002979F1">
        <w:rPr>
          <w:b/>
          <w:sz w:val="28"/>
          <w:szCs w:val="28"/>
        </w:rPr>
        <w:t>data</w:t>
      </w:r>
    </w:p>
    <w:p w14:paraId="3CD61FE1" w14:textId="77777777" w:rsidR="008260A4" w:rsidRPr="004553C0" w:rsidRDefault="008260A4" w:rsidP="00105865">
      <w:pPr>
        <w:spacing w:line="240" w:lineRule="auto"/>
      </w:pPr>
      <w:r>
        <w:rPr>
          <w:b/>
        </w:rPr>
        <w:t>Figure S1: Patient flow during HepFriend intervention</w:t>
      </w:r>
      <w:r>
        <w:t xml:space="preserve"> POCT; point of care test for HCV antibodies, DBS; dried blood spot test for HCV RNA</w:t>
      </w:r>
    </w:p>
    <w:p w14:paraId="7D91DB64" w14:textId="77777777" w:rsidR="008260A4" w:rsidRDefault="008260A4" w:rsidP="00105865">
      <w:pPr>
        <w:spacing w:line="240" w:lineRule="auto"/>
        <w:rPr>
          <w:b/>
        </w:rPr>
      </w:pPr>
      <w:r>
        <w:rPr>
          <w:rFonts w:ascii="Times New Roman" w:hAnsi="Times New Roman" w:cs="Times New Roman"/>
          <w:noProof/>
          <w:sz w:val="24"/>
          <w:szCs w:val="24"/>
          <w:lang w:val="nl-BE" w:eastAsia="nl-BE"/>
        </w:rPr>
        <mc:AlternateContent>
          <mc:Choice Requires="wpg">
            <w:drawing>
              <wp:inline distT="0" distB="0" distL="0" distR="0" wp14:anchorId="6BAEA824" wp14:editId="2675638B">
                <wp:extent cx="4551046" cy="4672330"/>
                <wp:effectExtent l="0" t="0" r="20955" b="13970"/>
                <wp:docPr id="8982980" name="Group 31"/>
                <wp:cNvGraphicFramePr/>
                <a:graphic xmlns:a="http://schemas.openxmlformats.org/drawingml/2006/main">
                  <a:graphicData uri="http://schemas.microsoft.com/office/word/2010/wordprocessingGroup">
                    <wpg:wgp>
                      <wpg:cNvGrpSpPr/>
                      <wpg:grpSpPr>
                        <a:xfrm>
                          <a:off x="0" y="0"/>
                          <a:ext cx="4551046" cy="4672330"/>
                          <a:chOff x="9525" y="0"/>
                          <a:chExt cx="4551431" cy="4672799"/>
                        </a:xfrm>
                      </wpg:grpSpPr>
                      <wpg:grpSp>
                        <wpg:cNvPr id="8982982" name="Group 5"/>
                        <wpg:cNvGrpSpPr/>
                        <wpg:grpSpPr>
                          <a:xfrm>
                            <a:off x="9525" y="2390775"/>
                            <a:ext cx="4373135" cy="2282024"/>
                            <a:chOff x="9525" y="2390775"/>
                            <a:chExt cx="4373135" cy="2282024"/>
                          </a:xfrm>
                        </wpg:grpSpPr>
                        <wps:wsp>
                          <wps:cNvPr id="8982983" name="Text Box 18"/>
                          <wps:cNvSpPr txBox="1"/>
                          <wps:spPr>
                            <a:xfrm>
                              <a:off x="1560029" y="2390775"/>
                              <a:ext cx="1327868" cy="485029"/>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6573559" w14:textId="77777777" w:rsidR="008260A4" w:rsidRDefault="008260A4" w:rsidP="008260A4">
                                <w:r>
                                  <w:t>Evaluation of a new patient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84" name="Text Box 19"/>
                          <wps:cNvSpPr txBox="1"/>
                          <wps:spPr>
                            <a:xfrm>
                              <a:off x="1552078" y="2979171"/>
                              <a:ext cx="1327785" cy="89054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F086E62" w14:textId="77777777" w:rsidR="008260A4" w:rsidRDefault="008260A4" w:rsidP="008260A4">
                                <w:r>
                                  <w:t>Treatment initiation and subsequent visits 0,2,4,8,12 weeks</w:t>
                                </w:r>
                              </w:p>
                              <w:p w14:paraId="517F5D6C" w14:textId="77777777" w:rsidR="008260A4" w:rsidRDefault="008260A4" w:rsidP="008260A4"/>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85" name="Text Box 21"/>
                          <wps:cNvSpPr txBox="1"/>
                          <wps:spPr>
                            <a:xfrm>
                              <a:off x="1552078" y="4020792"/>
                              <a:ext cx="1327785" cy="65200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D753F3D" w14:textId="77777777" w:rsidR="008260A4" w:rsidRDefault="008260A4" w:rsidP="008260A4">
                                <w:r>
                                  <w:t>Post treatment visits 12 weeks and 1 year</w:t>
                                </w:r>
                              </w:p>
                              <w:p w14:paraId="0607C4C1" w14:textId="77777777" w:rsidR="008260A4" w:rsidRDefault="008260A4" w:rsidP="008260A4"/>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86" name="Text Box 22"/>
                          <wps:cNvSpPr txBox="1"/>
                          <wps:spPr>
                            <a:xfrm>
                              <a:off x="3054875" y="3225662"/>
                              <a:ext cx="1327785" cy="49298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C6F4518" w14:textId="77777777" w:rsidR="008260A4" w:rsidRDefault="008260A4" w:rsidP="008260A4">
                                <w:r>
                                  <w:t xml:space="preserve">Peer worker adherence support </w:t>
                                </w:r>
                              </w:p>
                              <w:p w14:paraId="33BA8429" w14:textId="77777777" w:rsidR="008260A4" w:rsidRDefault="008260A4" w:rsidP="008260A4"/>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87" name="Straight Arrow Connector 28"/>
                          <wps:cNvCnPr/>
                          <wps:spPr>
                            <a:xfrm>
                              <a:off x="2196134" y="2875804"/>
                              <a:ext cx="0" cy="119794"/>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8982988" name="Straight Arrow Connector 29"/>
                          <wps:cNvCnPr/>
                          <wps:spPr>
                            <a:xfrm>
                              <a:off x="2212036" y="3869718"/>
                              <a:ext cx="7952" cy="159303"/>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cNvPr id="8982989" name="Group 30"/>
                          <wpg:cNvGrpSpPr/>
                          <wpg:grpSpPr>
                            <a:xfrm>
                              <a:off x="9525" y="2756535"/>
                              <a:ext cx="1550504" cy="1566407"/>
                              <a:chOff x="9525" y="2756535"/>
                              <a:chExt cx="1550504" cy="1566407"/>
                            </a:xfrm>
                          </wpg:grpSpPr>
                          <wps:wsp>
                            <wps:cNvPr id="8982990" name="Text Box 20"/>
                            <wps:cNvSpPr txBox="1"/>
                            <wps:spPr>
                              <a:xfrm>
                                <a:off x="9525" y="3249516"/>
                                <a:ext cx="1327785" cy="49298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B4ABA48" w14:textId="77777777" w:rsidR="008260A4" w:rsidRDefault="008260A4" w:rsidP="008260A4">
                                  <w:r>
                                    <w:t xml:space="preserve">Peer worker support for visits </w:t>
                                  </w:r>
                                </w:p>
                                <w:p w14:paraId="4CD90704" w14:textId="77777777" w:rsidR="008260A4" w:rsidRDefault="008260A4" w:rsidP="008260A4"/>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91" name="Straight Arrow Connector 34"/>
                            <wps:cNvCnPr/>
                            <wps:spPr>
                              <a:xfrm flipV="1">
                                <a:off x="1011389" y="2756535"/>
                                <a:ext cx="540689" cy="492981"/>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8982992" name="Straight Arrow Connector 35"/>
                            <wps:cNvCnPr/>
                            <wps:spPr>
                              <a:xfrm>
                                <a:off x="1345344" y="3488055"/>
                                <a:ext cx="206734" cy="7951"/>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8982993" name="Straight Arrow Connector 36"/>
                            <wps:cNvCnPr/>
                            <wps:spPr>
                              <a:xfrm>
                                <a:off x="979584" y="3750448"/>
                                <a:ext cx="580445" cy="572494"/>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s:wsp>
                          <wps:cNvPr id="8982994" name="Straight Arrow Connector 32"/>
                          <wps:cNvCnPr/>
                          <wps:spPr>
                            <a:xfrm flipH="1">
                              <a:off x="2879946" y="3480104"/>
                              <a:ext cx="167060" cy="7951"/>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g:grpSp>
                      <wpg:grpSp>
                        <wpg:cNvPr id="8982995" name="Group 6"/>
                        <wpg:cNvGrpSpPr/>
                        <wpg:grpSpPr>
                          <a:xfrm>
                            <a:off x="200041" y="0"/>
                            <a:ext cx="4360915" cy="2391659"/>
                            <a:chOff x="200041" y="0"/>
                            <a:chExt cx="4360915" cy="2391659"/>
                          </a:xfrm>
                        </wpg:grpSpPr>
                        <wps:wsp>
                          <wps:cNvPr id="8982996" name="Text Box 2"/>
                          <wps:cNvSpPr txBox="1"/>
                          <wps:spPr>
                            <a:xfrm>
                              <a:off x="1504950" y="9525"/>
                              <a:ext cx="1256140" cy="4927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708DBA5" w14:textId="77777777" w:rsidR="008260A4" w:rsidRDefault="008260A4" w:rsidP="008260A4">
                                <w:r>
                                  <w:t>Initial Contact in outreach location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97" name="Text Box 3"/>
                          <wps:cNvSpPr txBox="1"/>
                          <wps:spPr>
                            <a:xfrm>
                              <a:off x="2847975" y="0"/>
                              <a:ext cx="1097280" cy="4927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DD38086" w14:textId="77777777" w:rsidR="008260A4" w:rsidRDefault="008260A4" w:rsidP="008260A4">
                                <w:r>
                                  <w:t>Initial Contact in outreach van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98" name="Text Box 4"/>
                          <wps:cNvSpPr txBox="1"/>
                          <wps:spPr>
                            <a:xfrm>
                              <a:off x="1647825" y="857250"/>
                              <a:ext cx="1097280" cy="349857"/>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690DD4D" w14:textId="77777777" w:rsidR="008260A4" w:rsidRDefault="008260A4" w:rsidP="008260A4">
                                <w:pPr>
                                  <w:jc w:val="center"/>
                                </w:pPr>
                                <w:r>
                                  <w:t>POCT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2999" name="Text Box 5"/>
                          <wps:cNvSpPr txBox="1"/>
                          <wps:spPr>
                            <a:xfrm>
                              <a:off x="2847975" y="838200"/>
                              <a:ext cx="1137037" cy="4292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3550EA3" w14:textId="77777777" w:rsidR="008260A4" w:rsidRDefault="008260A4" w:rsidP="008260A4">
                                <w:pPr>
                                  <w:jc w:val="center"/>
                                </w:pPr>
                                <w:r>
                                  <w:t>(+POCT): DBS test and Fibroscan</w:t>
                                </w:r>
                              </w:p>
                              <w:p w14:paraId="711F2BF9" w14:textId="77777777" w:rsidR="008260A4" w:rsidRDefault="008260A4" w:rsidP="008260A4">
                                <w:pPr>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3000" name="Text Box 6"/>
                          <wps:cNvSpPr txBox="1"/>
                          <wps:spPr>
                            <a:xfrm>
                              <a:off x="1676400" y="1514475"/>
                              <a:ext cx="1232453" cy="4451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C711B7C" w14:textId="77777777" w:rsidR="008260A4" w:rsidRDefault="008260A4" w:rsidP="008260A4">
                                <w:pPr>
                                  <w:jc w:val="center"/>
                                </w:pPr>
                                <w:r>
                                  <w:t>+DBS: Active Follow up contact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3001" name="Text Box 8"/>
                          <wps:cNvSpPr txBox="1"/>
                          <wps:spPr>
                            <a:xfrm>
                              <a:off x="3162300" y="1495425"/>
                              <a:ext cx="1398656" cy="4451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B09DADE" w14:textId="77777777" w:rsidR="008260A4" w:rsidRDefault="008260A4" w:rsidP="008260A4">
                                <w:pPr>
                                  <w:jc w:val="center"/>
                                </w:pPr>
                                <w:r>
                                  <w:t>Neg DBS: Minimal or no follow up contact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3002" name="Straight Arrow Connector 14"/>
                          <wps:cNvCnPr/>
                          <wps:spPr>
                            <a:xfrm flipH="1">
                              <a:off x="1276350" y="1228725"/>
                              <a:ext cx="421198" cy="270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3003" name="Text Box 14"/>
                          <wps:cNvSpPr txBox="1"/>
                          <wps:spPr>
                            <a:xfrm>
                              <a:off x="200041" y="1476375"/>
                              <a:ext cx="1333613" cy="6650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C91FF99" w14:textId="77777777" w:rsidR="008260A4" w:rsidRDefault="008260A4" w:rsidP="008260A4">
                                <w:r>
                                  <w:t>Neg POCT: Continue awareness raising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83004" name="Straight Arrow Connector 16"/>
                          <wps:cNvCnPr/>
                          <wps:spPr>
                            <a:xfrm>
                              <a:off x="2895600" y="1257300"/>
                              <a:ext cx="0" cy="2862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3005" name="Straight Arrow Connector 17"/>
                          <wps:cNvCnPr/>
                          <wps:spPr>
                            <a:xfrm>
                              <a:off x="2190750" y="1962150"/>
                              <a:ext cx="0" cy="42950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8983006" name="Straight Arrow Connector 18"/>
                          <wps:cNvCnPr/>
                          <wps:spPr>
                            <a:xfrm>
                              <a:off x="2190750" y="523875"/>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3007" name="Straight Arrow Connector 19"/>
                          <wps:cNvCnPr/>
                          <wps:spPr>
                            <a:xfrm>
                              <a:off x="2657475" y="514350"/>
                              <a:ext cx="361950"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3008" name="Straight Arrow Connector 20"/>
                          <wps:cNvCnPr/>
                          <wps:spPr>
                            <a:xfrm flipH="1">
                              <a:off x="2638425" y="476250"/>
                              <a:ext cx="3429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3009" name="Straight Arrow Connector 21"/>
                          <wps:cNvCnPr/>
                          <wps:spPr>
                            <a:xfrm>
                              <a:off x="3552825" y="504825"/>
                              <a:ext cx="19050" cy="335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3010" name="Straight Arrow Connector 22"/>
                          <wps:cNvCnPr/>
                          <wps:spPr>
                            <a:xfrm>
                              <a:off x="3657600" y="1266825"/>
                              <a:ext cx="0" cy="218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83011" name="Straight Arrow Connector 23"/>
                          <wps:cNvCnPr/>
                          <wps:spPr>
                            <a:xfrm>
                              <a:off x="2743200" y="1076325"/>
                              <a:ext cx="1219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6BAEA824" id="Group 31" o:spid="_x0000_s1026" style="width:358.35pt;height:367.9pt;mso-position-horizontal-relative:char;mso-position-vertical-relative:line" coordorigin="95" coordsize="45514,46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">
                <v:group id="Group 5" o:spid="_x0000_s1027" style="position:absolute;left:95;top:23907;width:43731;height:22820" coordorigin="95,23907" coordsize="43731,2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">
                  <v:shapetype id="_x0000_t202" coordsize="21600,21600" o:spt="202" path="m,l,21600r21600,l21600,xe">
                    <v:stroke joinstyle="miter"/>
                    <v:path gradientshapeok="t" o:connecttype="rect"/>
                  </v:shapetype>
                  <v:shape id="Text Box 18" o:spid="_x0000_s1028" type="#_x0000_t202" style="position:absolute;left:15600;top:23907;width:13278;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" fillcolor="white [3201]" strokecolor="#70ad47 [3209]" strokeweight="1pt">
                    <v:textbox>
                      <w:txbxContent>
                        <w:p w14:paraId="56573559" w14:textId="77777777" w:rsidR="008260A4" w:rsidRDefault="008260A4" w:rsidP="008260A4">
                          <w:r>
                            <w:t>Evaluation of a new patient</w:t>
                          </w:r>
                        </w:p>
                      </w:txbxContent>
                    </v:textbox>
                  </v:shape>
                  <v:shape id="Text Box 19" o:spid="_x0000_s1029" type="#_x0000_t202" style="position:absolute;left:15520;top:29791;width:13278;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" fillcolor="white [3201]" strokecolor="#70ad47 [3209]" strokeweight="1pt">
                    <v:textbox>
                      <w:txbxContent>
                        <w:p w14:paraId="0F086E62" w14:textId="77777777" w:rsidR="008260A4" w:rsidRDefault="008260A4" w:rsidP="008260A4">
                          <w:r>
                            <w:t>Treatment initiation and subsequent visits 0,2,4,8,12 weeks</w:t>
                          </w:r>
                        </w:p>
                        <w:p w14:paraId="517F5D6C" w14:textId="77777777" w:rsidR="008260A4" w:rsidRDefault="008260A4" w:rsidP="008260A4"/>
                      </w:txbxContent>
                    </v:textbox>
                  </v:shape>
                  <v:shape id="Text Box 21" o:spid="_x0000_s1030" type="#_x0000_t202" style="position:absolute;left:15520;top:40207;width:1327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" fillcolor="white [3201]" strokecolor="#70ad47 [3209]" strokeweight="1pt">
                    <v:textbox>
                      <w:txbxContent>
                        <w:p w14:paraId="2D753F3D" w14:textId="77777777" w:rsidR="008260A4" w:rsidRDefault="008260A4" w:rsidP="008260A4">
                          <w:r>
                            <w:t>Post treatment visits 12 weeks and 1 year</w:t>
                          </w:r>
                        </w:p>
                        <w:p w14:paraId="0607C4C1" w14:textId="77777777" w:rsidR="008260A4" w:rsidRDefault="008260A4" w:rsidP="008260A4"/>
                      </w:txbxContent>
                    </v:textbox>
                  </v:shape>
                  <v:shape id="Text Box 22" o:spid="_x0000_s1031" type="#_x0000_t202" style="position:absolute;left:30548;top:32256;width:13278;height:4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" fillcolor="white [3201]" strokecolor="#70ad47 [3209]" strokeweight="1pt">
                    <v:textbox>
                      <w:txbxContent>
                        <w:p w14:paraId="5C6F4518" w14:textId="77777777" w:rsidR="008260A4" w:rsidRDefault="008260A4" w:rsidP="008260A4">
                          <w:r>
                            <w:t xml:space="preserve">Peer worker adherence support </w:t>
                          </w:r>
                        </w:p>
                        <w:p w14:paraId="33BA8429" w14:textId="77777777" w:rsidR="008260A4" w:rsidRDefault="008260A4" w:rsidP="008260A4"/>
                      </w:txbxContent>
                    </v:textbox>
                  </v:shape>
                  <v:shapetype id="_x0000_t32" coordsize="21600,21600" o:spt="32" o:oned="t" path="m,l21600,21600e" filled="f">
                    <v:path arrowok="t" fillok="f" o:connecttype="none"/>
                    <o:lock v:ext="edit" shapetype="t"/>
                  </v:shapetype>
                  <v:shape id="Straight Arrow Connector 28" o:spid="_x0000_s1032" type="#_x0000_t32" style="position:absolute;left:21961;top:28758;width:0;height:1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" strokecolor="#70ad47 [3209]" strokeweight=".5pt">
                    <v:stroke endarrow="block" joinstyle="miter"/>
                  </v:shape>
                  <v:shape id="Straight Arrow Connector 29" o:spid="_x0000_s1033" type="#_x0000_t32" style="position:absolute;left:22120;top:38697;width:79;height:15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" strokecolor="#70ad47 [3209]" strokeweight=".5pt">
                    <v:stroke endarrow="block" joinstyle="miter"/>
                  </v:shape>
                  <v:group id="Group 30" o:spid="_x0000_s1034" style="position:absolute;left:95;top:27565;width:15505;height:15664" coordorigin="95,27565" coordsize="15505,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">
                    <v:shape id="Text Box 20" o:spid="_x0000_s1035" type="#_x0000_t202" style="position:absolute;left:95;top:32495;width:13278;height:4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" fillcolor="white [3201]" strokecolor="#70ad47 [3209]" strokeweight="1pt">
                      <v:textbox>
                        <w:txbxContent>
                          <w:p w14:paraId="0B4ABA48" w14:textId="77777777" w:rsidR="008260A4" w:rsidRDefault="008260A4" w:rsidP="008260A4">
                            <w:r>
                              <w:t xml:space="preserve">Peer worker support for visits </w:t>
                            </w:r>
                          </w:p>
                          <w:p w14:paraId="4CD90704" w14:textId="77777777" w:rsidR="008260A4" w:rsidRDefault="008260A4" w:rsidP="008260A4"/>
                        </w:txbxContent>
                      </v:textbox>
                    </v:shape>
                    <v:shape id="Straight Arrow Connector 34" o:spid="_x0000_s1036" type="#_x0000_t32" style="position:absolute;left:10113;top:27565;width:5407;height:49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" strokecolor="#70ad47 [3209]" strokeweight=".5pt">
                      <v:stroke endarrow="block" joinstyle="miter"/>
                    </v:shape>
                    <v:shape id="Straight Arrow Connector 35" o:spid="_x0000_s1037" type="#_x0000_t32" style="position:absolute;left:13453;top:34880;width:2067;height: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" strokecolor="#70ad47 [3209]" strokeweight=".5pt">
                      <v:stroke endarrow="block" joinstyle="miter"/>
                    </v:shape>
                    <v:shape id="Straight Arrow Connector 36" o:spid="_x0000_s1038" type="#_x0000_t32" style="position:absolute;left:9795;top:37504;width:5805;height:5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" strokecolor="#70ad47 [3209]" strokeweight=".5pt">
                      <v:stroke endarrow="block" joinstyle="miter"/>
                    </v:shape>
                  </v:group>
                  <v:shape id="Straight Arrow Connector 32" o:spid="_x0000_s1039" type="#_x0000_t32" style="position:absolute;left:28799;top:34801;width:1671;height: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" strokecolor="#70ad47 [3209]" strokeweight=".5pt">
                    <v:stroke endarrow="block" joinstyle="miter"/>
                  </v:shape>
                </v:group>
                <v:group id="Group 6" o:spid="_x0000_s1040" style="position:absolute;left:2000;width:43609;height:23916" coordorigin="2000" coordsize="4360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">
                  <v:shape id="Text Box 2" o:spid="_x0000_s1041" type="#_x0000_t202" style="position:absolute;left:15049;top:95;width:12561;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" fillcolor="white [3201]" strokecolor="#4472c4 [3204]" strokeweight="1pt">
                    <v:textbox>
                      <w:txbxContent>
                        <w:p w14:paraId="3708DBA5" w14:textId="77777777" w:rsidR="008260A4" w:rsidRDefault="008260A4" w:rsidP="008260A4">
                          <w:r>
                            <w:t>Initial Contact in outreach location</w:t>
                          </w:r>
                        </w:p>
                      </w:txbxContent>
                    </v:textbox>
                  </v:shape>
                  <v:shape id="Text Box 3" o:spid="_x0000_s1042" type="#_x0000_t202" style="position:absolute;left:28479;width:10973;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" fillcolor="white [3201]" strokecolor="#4472c4 [3204]" strokeweight="1pt">
                    <v:textbox>
                      <w:txbxContent>
                        <w:p w14:paraId="2DD38086" w14:textId="77777777" w:rsidR="008260A4" w:rsidRDefault="008260A4" w:rsidP="008260A4">
                          <w:r>
                            <w:t>Initial Contact in outreach van</w:t>
                          </w:r>
                        </w:p>
                      </w:txbxContent>
                    </v:textbox>
                  </v:shape>
                  <v:shape id="Text Box 4" o:spid="_x0000_s1043" type="#_x0000_t202" style="position:absolute;left:16478;top:8572;width:10973;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" fillcolor="white [3201]" strokecolor="#4472c4 [3204]" strokeweight="1pt">
                    <v:textbox>
                      <w:txbxContent>
                        <w:p w14:paraId="7690DD4D" w14:textId="77777777" w:rsidR="008260A4" w:rsidRDefault="008260A4" w:rsidP="008260A4">
                          <w:pPr>
                            <w:jc w:val="center"/>
                          </w:pPr>
                          <w:r>
                            <w:t>POCT</w:t>
                          </w:r>
                        </w:p>
                      </w:txbxContent>
                    </v:textbox>
                  </v:shape>
                  <v:shape id="Text Box 5" o:spid="_x0000_s1044" type="#_x0000_t202" style="position:absolute;left:28479;top:8382;width:11371;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" fillcolor="white [3201]" strokecolor="#4472c4 [3204]" strokeweight="1pt">
                    <v:textbox>
                      <w:txbxContent>
                        <w:p w14:paraId="03550EA3" w14:textId="77777777" w:rsidR="008260A4" w:rsidRDefault="008260A4" w:rsidP="008260A4">
                          <w:pPr>
                            <w:jc w:val="center"/>
                          </w:pPr>
                          <w:r>
                            <w:t>(+POCT): DBS test and Fibroscan</w:t>
                          </w:r>
                        </w:p>
                        <w:p w14:paraId="711F2BF9" w14:textId="77777777" w:rsidR="008260A4" w:rsidRDefault="008260A4" w:rsidP="008260A4">
                          <w:pPr>
                            <w:jc w:val="center"/>
                          </w:pPr>
                        </w:p>
                      </w:txbxContent>
                    </v:textbox>
                  </v:shape>
                  <v:shape id="Text Box 6" o:spid="_x0000_s1045" type="#_x0000_t202" style="position:absolute;left:16764;top:15144;width:12324;height:4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" fillcolor="white [3201]" strokecolor="#4472c4 [3204]" strokeweight="1pt">
                    <v:textbox>
                      <w:txbxContent>
                        <w:p w14:paraId="5C711B7C" w14:textId="77777777" w:rsidR="008260A4" w:rsidRDefault="008260A4" w:rsidP="008260A4">
                          <w:pPr>
                            <w:jc w:val="center"/>
                          </w:pPr>
                          <w:r>
                            <w:t>+DBS: Active Follow up contact</w:t>
                          </w:r>
                        </w:p>
                      </w:txbxContent>
                    </v:textbox>
                  </v:shape>
                  <v:shape id="Text Box 8" o:spid="_x0000_s1046" type="#_x0000_t202" style="position:absolute;left:31623;top:14954;width:13986;height:4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" fillcolor="white [3201]" strokecolor="#4472c4 [3204]" strokeweight="1pt">
                    <v:textbox>
                      <w:txbxContent>
                        <w:p w14:paraId="5B09DADE" w14:textId="77777777" w:rsidR="008260A4" w:rsidRDefault="008260A4" w:rsidP="008260A4">
                          <w:pPr>
                            <w:jc w:val="center"/>
                          </w:pPr>
                          <w:r>
                            <w:t>Neg DBS: Minimal or no follow up contact</w:t>
                          </w:r>
                        </w:p>
                      </w:txbxContent>
                    </v:textbox>
                  </v:shape>
                  <v:shape id="Straight Arrow Connector 14" o:spid="_x0000_s1047" type="#_x0000_t32" style="position:absolute;left:12763;top:12287;width:4212;height:27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" strokecolor="#4472c4 [3204]" strokeweight=".5pt">
                    <v:stroke endarrow="block" joinstyle="miter"/>
                  </v:shape>
                  <v:shape id="Text Box 14" o:spid="_x0000_s1048" type="#_x0000_t202" style="position:absolute;left:2000;top:14763;width:13336;height:6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" fillcolor="white [3201]" strokecolor="#4472c4 [3204]" strokeweight="1pt">
                    <v:textbox>
                      <w:txbxContent>
                        <w:p w14:paraId="3C91FF99" w14:textId="77777777" w:rsidR="008260A4" w:rsidRDefault="008260A4" w:rsidP="008260A4">
                          <w:r>
                            <w:t>Neg POCT: Continue awareness raising</w:t>
                          </w:r>
                        </w:p>
                      </w:txbxContent>
                    </v:textbox>
                  </v:shape>
                  <v:shape id="Straight Arrow Connector 16" o:spid="_x0000_s1049" type="#_x0000_t32" style="position:absolute;left:28956;top:12573;width:0;height:2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" strokecolor="#4472c4 [3204]" strokeweight=".5pt">
                    <v:stroke endarrow="block" joinstyle="miter"/>
                  </v:shape>
                  <v:shape id="Straight Arrow Connector 17" o:spid="_x0000_s1050" type="#_x0000_t32" style="position:absolute;left:21907;top:19621;width:0;height:4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" strokecolor="#ed7d31 [3205]" strokeweight=".5pt">
                    <v:stroke endarrow="block" joinstyle="miter"/>
                  </v:shape>
                  <v:shape id="Straight Arrow Connector 18" o:spid="_x0000_s1051" type="#_x0000_t32" style="position:absolute;left:21907;top:5238;width:0;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" strokecolor="#4472c4 [3204]" strokeweight=".5pt">
                    <v:stroke endarrow="block" joinstyle="miter"/>
                  </v:shape>
                  <v:shape id="Straight Arrow Connector 19" o:spid="_x0000_s1052" type="#_x0000_t32" style="position:absolute;left:26574;top:5143;width:362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" strokecolor="#4472c4 [3204]" strokeweight=".5pt">
                    <v:stroke endarrow="block" joinstyle="miter"/>
                  </v:shape>
                  <v:shape id="Straight Arrow Connector 20" o:spid="_x0000_s1053" type="#_x0000_t32" style="position:absolute;left:26384;top:4762;width:3429;height:3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" strokecolor="#4472c4 [3204]" strokeweight=".5pt">
                    <v:stroke endarrow="block" joinstyle="miter"/>
                  </v:shape>
                  <v:shape id="Straight Arrow Connector 21" o:spid="_x0000_s1054" type="#_x0000_t32" style="position:absolute;left:35528;top:5048;width:190;height:3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" strokecolor="#4472c4 [3204]" strokeweight=".5pt">
                    <v:stroke endarrow="block" joinstyle="miter"/>
                  </v:shape>
                  <v:shape id="Straight Arrow Connector 22" o:spid="_x0000_s1055" type="#_x0000_t32" style="position:absolute;left:36576;top:12668;width:0;height:2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" strokecolor="#4472c4 [3204]" strokeweight=".5pt">
                    <v:stroke endarrow="block" joinstyle="miter"/>
                  </v:shape>
                  <v:shape id="Straight Arrow Connector 23" o:spid="_x0000_s1056" type="#_x0000_t32" style="position:absolute;left:27432;top:10763;width:1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" strokecolor="#4472c4 [3204]" strokeweight=".5pt">
                    <v:stroke endarrow="block" joinstyle="miter"/>
                  </v:shape>
                </v:group>
                <w10:anchorlock/>
              </v:group>
            </w:pict>
          </mc:Fallback>
        </mc:AlternateContent>
      </w:r>
    </w:p>
    <w:p w14:paraId="5F9A97AB" w14:textId="77777777" w:rsidR="008260A4" w:rsidRDefault="008260A4" w:rsidP="00105865">
      <w:pPr>
        <w:spacing w:line="240" w:lineRule="auto"/>
        <w:rPr>
          <w:b/>
        </w:rPr>
      </w:pPr>
    </w:p>
    <w:p w14:paraId="48B95D34" w14:textId="54BC6559" w:rsidR="008260A4" w:rsidRDefault="008260A4" w:rsidP="00105865">
      <w:pPr>
        <w:spacing w:line="240" w:lineRule="auto"/>
        <w:rPr>
          <w:b/>
        </w:rPr>
      </w:pPr>
      <w:r>
        <w:rPr>
          <w:b/>
        </w:rPr>
        <w:t>Costing Analysis</w:t>
      </w:r>
      <w:r w:rsidR="005328D1">
        <w:rPr>
          <w:b/>
        </w:rPr>
        <w:t>: Additional Information</w:t>
      </w:r>
    </w:p>
    <w:p w14:paraId="0A3964D1" w14:textId="00364B13" w:rsidR="008260A4" w:rsidRDefault="513B6878" w:rsidP="00105865">
      <w:pPr>
        <w:spacing w:line="240" w:lineRule="auto"/>
      </w:pPr>
      <w:r>
        <w:t xml:space="preserve">The </w:t>
      </w:r>
      <w:proofErr w:type="spellStart"/>
      <w:r>
        <w:t>Find&amp;Treat</w:t>
      </w:r>
      <w:proofErr w:type="spellEnd"/>
      <w:r>
        <w:t xml:space="preserve"> team depend upon the UCLH offices for support in delivering their services, including management, finance and administration. </w:t>
      </w:r>
      <w:r w:rsidRPr="513B6878">
        <w:rPr>
          <w:lang w:val="en-US" w:eastAsia="ja-JP"/>
        </w:rPr>
        <w:t xml:space="preserve">The incremental costing therefore initially focused on the additional resources required by </w:t>
      </w:r>
      <w:proofErr w:type="spellStart"/>
      <w:r w:rsidRPr="513B6878">
        <w:rPr>
          <w:lang w:val="en-US" w:eastAsia="ja-JP"/>
        </w:rPr>
        <w:t>Find&amp;Treat</w:t>
      </w:r>
      <w:proofErr w:type="spellEnd"/>
      <w:r w:rsidRPr="513B6878">
        <w:rPr>
          <w:lang w:val="en-US" w:eastAsia="ja-JP"/>
        </w:rPr>
        <w:t xml:space="preserve"> and Groundswell to undertake the HepCare intervention.</w:t>
      </w:r>
      <w:r>
        <w:t xml:space="preserve">  </w:t>
      </w:r>
      <w:r w:rsidRPr="513B6878">
        <w:rPr>
          <w:lang w:val="en-US" w:eastAsia="ja-JP"/>
        </w:rPr>
        <w:t xml:space="preserve">Costs were collected for the cost of screening, treating and supporting patients using the new model of care (primary care and outreach settings, mouth swabs, DBS tests and </w:t>
      </w:r>
      <w:proofErr w:type="spellStart"/>
      <w:r w:rsidRPr="513B6878">
        <w:rPr>
          <w:lang w:val="en-US" w:eastAsia="ja-JP"/>
        </w:rPr>
        <w:t>fibroscans</w:t>
      </w:r>
      <w:proofErr w:type="spellEnd"/>
      <w:r w:rsidRPr="513B6878">
        <w:rPr>
          <w:lang w:val="en-US" w:eastAsia="ja-JP"/>
        </w:rPr>
        <w:t xml:space="preserve">, peer support). </w:t>
      </w:r>
      <w:r>
        <w:t xml:space="preserve">Data collection took place in June-August 2018.  Incremental costings, however, usually underestimate the costs of administration and other overheads, and are therefore less useful in terms of generalisability because they assume that infrastructure exists and is </w:t>
      </w:r>
      <w:proofErr w:type="gramStart"/>
      <w:r>
        <w:t>sufficient</w:t>
      </w:r>
      <w:proofErr w:type="gramEnd"/>
      <w:r>
        <w:t xml:space="preserve"> to absorb the extra workload.  Our costing therefore also attempted to estimate the proportion of the administration and equipment costs incurred by HepCare: the main inputs to be costed at the higher organisational levels were personnel, office use and supplies.</w:t>
      </w:r>
    </w:p>
    <w:p w14:paraId="56DD5FFF" w14:textId="77777777" w:rsidR="008260A4" w:rsidRDefault="008260A4" w:rsidP="00105865">
      <w:pPr>
        <w:spacing w:line="240" w:lineRule="auto"/>
        <w:rPr>
          <w:b/>
        </w:rPr>
      </w:pPr>
      <w:r>
        <w:t xml:space="preserve">Costs for training were obtained from UCLH and the London Working Group. The lifespan of capital items was estimated through staff interviews, and start-up costs were annualised over the projected lifetime of the project. Staff time allocation was estimated per visit type through </w:t>
      </w:r>
      <w:r>
        <w:rPr>
          <w:lang w:eastAsia="ja-JP"/>
        </w:rPr>
        <w:t>staff interviews.</w:t>
      </w:r>
    </w:p>
    <w:p w14:paraId="3703494E" w14:textId="77777777" w:rsidR="005328D1" w:rsidRDefault="005328D1" w:rsidP="00105865">
      <w:pPr>
        <w:spacing w:line="240" w:lineRule="auto"/>
        <w:rPr>
          <w:b/>
        </w:rPr>
      </w:pPr>
      <w:r>
        <w:rPr>
          <w:b/>
        </w:rPr>
        <w:br w:type="page"/>
      </w:r>
    </w:p>
    <w:p w14:paraId="05B88AB7" w14:textId="35E0A5E1" w:rsidR="008260A4" w:rsidRDefault="008260A4" w:rsidP="00105865">
      <w:pPr>
        <w:spacing w:line="240" w:lineRule="auto"/>
        <w:rPr>
          <w:szCs w:val="20"/>
        </w:rPr>
      </w:pPr>
      <w:r w:rsidRPr="003C5AB3">
        <w:rPr>
          <w:b/>
        </w:rPr>
        <w:lastRenderedPageBreak/>
        <w:t>Figure</w:t>
      </w:r>
      <w:r>
        <w:rPr>
          <w:b/>
        </w:rPr>
        <w:t xml:space="preserve"> S</w:t>
      </w:r>
      <w:r w:rsidR="00EC69CF">
        <w:rPr>
          <w:b/>
        </w:rPr>
        <w:t>2</w:t>
      </w:r>
      <w:r w:rsidRPr="003C5AB3">
        <w:rPr>
          <w:b/>
        </w:rPr>
        <w:t>: Sub-model of disease progression stages</w:t>
      </w:r>
      <w:r>
        <w:rPr>
          <w:b/>
        </w:rPr>
        <w:t xml:space="preserve"> </w:t>
      </w:r>
      <w:r>
        <w:t>Once infected, individuals progress through the Metavir stages of fibrosis F0 to F4 (which is compensated cirrhosis).  From compensated cirrhosis the disease can progress to either Hepatocellular carcinoma (HCC) or decompensated cirrhosis.  From decompensated cirrhosis individuals can undergo a liver transplant or progress to HCC.  Disease related death is assumed from decompensated cirrhosis, HCC and post/liver transplant categories.  Treatment is possible from all disease states up to and including decompensated cirrhosis.  Once treated an individual enters the respective disease state in the SVR category.  Disease progression upon SVR is possible for those in the F3 category and beyond.</w:t>
      </w:r>
    </w:p>
    <w:p w14:paraId="13AE3020" w14:textId="77777777" w:rsidR="008260A4" w:rsidRPr="000F5283" w:rsidRDefault="008260A4" w:rsidP="00105865">
      <w:pPr>
        <w:spacing w:line="240" w:lineRule="auto"/>
      </w:pPr>
    </w:p>
    <w:p w14:paraId="1C790475" w14:textId="77777777" w:rsidR="008260A4" w:rsidRDefault="008260A4" w:rsidP="00105865">
      <w:pPr>
        <w:spacing w:line="240" w:lineRule="auto"/>
      </w:pPr>
      <w:r w:rsidRPr="004553C0">
        <w:rPr>
          <w:noProof/>
        </w:rPr>
        <w:drawing>
          <wp:inline distT="0" distB="0" distL="0" distR="0" wp14:anchorId="007885B8" wp14:editId="2AAE9C7E">
            <wp:extent cx="5731510" cy="3670300"/>
            <wp:effectExtent l="0" t="0" r="254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670300"/>
                    </a:xfrm>
                    <a:prstGeom prst="rect">
                      <a:avLst/>
                    </a:prstGeom>
                    <a:noFill/>
                    <a:ln>
                      <a:noFill/>
                    </a:ln>
                  </pic:spPr>
                </pic:pic>
              </a:graphicData>
            </a:graphic>
          </wp:inline>
        </w:drawing>
      </w:r>
    </w:p>
    <w:p w14:paraId="69ACC542" w14:textId="77777777" w:rsidR="008260A4" w:rsidRDefault="008260A4" w:rsidP="00105865">
      <w:pPr>
        <w:spacing w:line="240" w:lineRule="auto"/>
        <w:rPr>
          <w:b/>
        </w:rPr>
      </w:pPr>
    </w:p>
    <w:p w14:paraId="44075A6F" w14:textId="77777777" w:rsidR="005328D1" w:rsidRDefault="005328D1" w:rsidP="00105865">
      <w:pPr>
        <w:spacing w:line="240" w:lineRule="auto"/>
        <w:rPr>
          <w:b/>
        </w:rPr>
      </w:pPr>
    </w:p>
    <w:p w14:paraId="272D7965" w14:textId="77777777" w:rsidR="005328D1" w:rsidRDefault="005328D1" w:rsidP="00105865">
      <w:pPr>
        <w:spacing w:line="240" w:lineRule="auto"/>
        <w:rPr>
          <w:b/>
        </w:rPr>
      </w:pPr>
    </w:p>
    <w:p w14:paraId="13564831" w14:textId="77777777" w:rsidR="005328D1" w:rsidRDefault="005328D1" w:rsidP="00105865">
      <w:pPr>
        <w:spacing w:line="240" w:lineRule="auto"/>
        <w:rPr>
          <w:b/>
        </w:rPr>
      </w:pPr>
    </w:p>
    <w:p w14:paraId="24185D21" w14:textId="119EC773" w:rsidR="008260A4" w:rsidRPr="00693D4C" w:rsidRDefault="008260A4" w:rsidP="00105865">
      <w:pPr>
        <w:spacing w:line="240" w:lineRule="auto"/>
        <w:rPr>
          <w:b/>
        </w:rPr>
      </w:pPr>
      <w:r w:rsidRPr="00693D4C">
        <w:rPr>
          <w:b/>
        </w:rPr>
        <w:t>Model Equations</w:t>
      </w:r>
    </w:p>
    <w:p w14:paraId="4892BD17" w14:textId="77777777" w:rsidR="008260A4" w:rsidRPr="00B51D14" w:rsidRDefault="008260A4" w:rsidP="00105865">
      <w:pPr>
        <w:spacing w:line="240" w:lineRule="auto"/>
        <w:rPr>
          <w:b/>
        </w:rPr>
      </w:pPr>
      <w:r w:rsidRPr="00B51D14">
        <w:rPr>
          <w:b/>
        </w:rPr>
        <w:t>Infection and treatment sub-model</w:t>
      </w:r>
    </w:p>
    <w:p w14:paraId="406CE469" w14:textId="77777777" w:rsidR="008260A4" w:rsidRDefault="008260A4" w:rsidP="00105865">
      <w:pPr>
        <w:spacing w:line="240" w:lineRule="auto"/>
      </w:pPr>
      <w:r>
        <w:t>This sub-model stands alone and can be used to investigate the impact of treatment on the prevalence of HCV a population of people who inject drugs.</w:t>
      </w:r>
    </w:p>
    <w:p w14:paraId="2C836DCE" w14:textId="77777777" w:rsidR="008260A4" w:rsidRDefault="008260A4" w:rsidP="00105865">
      <w:pPr>
        <w:spacing w:line="240" w:lineRule="auto"/>
      </w:pPr>
    </w:p>
    <w:tbl>
      <w:tblPr>
        <w:tblStyle w:val="TableGrid"/>
        <w:tblW w:w="0" w:type="auto"/>
        <w:tblLook w:val="04A0" w:firstRow="1" w:lastRow="0" w:firstColumn="1" w:lastColumn="0" w:noHBand="0" w:noVBand="1"/>
      </w:tblPr>
      <w:tblGrid>
        <w:gridCol w:w="4505"/>
        <w:gridCol w:w="4505"/>
      </w:tblGrid>
      <w:tr w:rsidR="008260A4" w14:paraId="327327DD" w14:textId="77777777" w:rsidTr="008260A4">
        <w:tc>
          <w:tcPr>
            <w:tcW w:w="4505" w:type="dxa"/>
          </w:tcPr>
          <w:p w14:paraId="4918539F" w14:textId="77777777" w:rsidR="008260A4" w:rsidRDefault="008260A4" w:rsidP="00105865">
            <w:r>
              <w:t>Variable</w:t>
            </w:r>
          </w:p>
        </w:tc>
        <w:tc>
          <w:tcPr>
            <w:tcW w:w="4505" w:type="dxa"/>
          </w:tcPr>
          <w:p w14:paraId="454CE828" w14:textId="77777777" w:rsidR="008260A4" w:rsidRDefault="008260A4" w:rsidP="00105865">
            <w:r>
              <w:t>Symbols</w:t>
            </w:r>
          </w:p>
        </w:tc>
      </w:tr>
      <w:tr w:rsidR="008260A4" w14:paraId="2FD369BC" w14:textId="77777777" w:rsidTr="008260A4">
        <w:tc>
          <w:tcPr>
            <w:tcW w:w="4505" w:type="dxa"/>
          </w:tcPr>
          <w:p w14:paraId="06CD2141" w14:textId="77777777" w:rsidR="008260A4" w:rsidRDefault="008260A4" w:rsidP="00105865">
            <w:r>
              <w:t>Susceptible individuals</w:t>
            </w:r>
          </w:p>
        </w:tc>
        <w:tc>
          <w:tcPr>
            <w:tcW w:w="4505" w:type="dxa"/>
          </w:tcPr>
          <w:p w14:paraId="06817789" w14:textId="77777777" w:rsidR="008260A4" w:rsidRDefault="00631C42" w:rsidP="00105865">
            <m:oMathPara>
              <m:oMath>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k,m</m:t>
                    </m:r>
                  </m:sup>
                </m:sSubSup>
              </m:oMath>
            </m:oMathPara>
          </w:p>
        </w:tc>
      </w:tr>
      <w:tr w:rsidR="008260A4" w14:paraId="3CD470F8" w14:textId="77777777" w:rsidTr="008260A4">
        <w:tc>
          <w:tcPr>
            <w:tcW w:w="4505" w:type="dxa"/>
          </w:tcPr>
          <w:p w14:paraId="5C8C1628" w14:textId="77777777" w:rsidR="008260A4" w:rsidRDefault="008260A4" w:rsidP="00105865">
            <w:r>
              <w:t>Exposed individuals (Ab+, RNA-)</w:t>
            </w:r>
          </w:p>
        </w:tc>
        <w:tc>
          <w:tcPr>
            <w:tcW w:w="4505" w:type="dxa"/>
          </w:tcPr>
          <w:p w14:paraId="053AD39A" w14:textId="77777777" w:rsidR="008260A4" w:rsidRDefault="00631C42" w:rsidP="00105865">
            <m:oMathPara>
              <m:oMath>
                <m:sSubSup>
                  <m:sSubSupPr>
                    <m:ctrlPr>
                      <w:rPr>
                        <w:rFonts w:ascii="Cambria Math" w:hAnsi="Cambria Math"/>
                        <w:i/>
                      </w:rPr>
                    </m:ctrlPr>
                  </m:sSubSupPr>
                  <m:e>
                    <m:r>
                      <w:rPr>
                        <w:rFonts w:ascii="Cambria Math" w:hAnsi="Cambria Math"/>
                      </w:rPr>
                      <m:t>E</m:t>
                    </m:r>
                  </m:e>
                  <m:sub>
                    <m:r>
                      <w:rPr>
                        <w:rFonts w:ascii="Cambria Math" w:hAnsi="Cambria Math"/>
                      </w:rPr>
                      <m:t>i,j</m:t>
                    </m:r>
                  </m:sub>
                  <m:sup>
                    <m:r>
                      <w:rPr>
                        <w:rFonts w:ascii="Cambria Math" w:hAnsi="Cambria Math"/>
                      </w:rPr>
                      <m:t>k,m</m:t>
                    </m:r>
                  </m:sup>
                </m:sSubSup>
              </m:oMath>
            </m:oMathPara>
          </w:p>
        </w:tc>
      </w:tr>
      <w:tr w:rsidR="008260A4" w14:paraId="7FBE6A9A" w14:textId="77777777" w:rsidTr="008260A4">
        <w:tc>
          <w:tcPr>
            <w:tcW w:w="4505" w:type="dxa"/>
          </w:tcPr>
          <w:p w14:paraId="3CFEB282" w14:textId="77777777" w:rsidR="008260A4" w:rsidRDefault="008260A4" w:rsidP="00105865">
            <w:r>
              <w:t>Chronically infected individuals (Ab+, RNA+)</w:t>
            </w:r>
          </w:p>
        </w:tc>
        <w:tc>
          <w:tcPr>
            <w:tcW w:w="4505" w:type="dxa"/>
          </w:tcPr>
          <w:p w14:paraId="12130BF5"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k,m</m:t>
                    </m:r>
                  </m:sup>
                </m:sSubSup>
              </m:oMath>
            </m:oMathPara>
          </w:p>
        </w:tc>
      </w:tr>
      <w:tr w:rsidR="008260A4" w14:paraId="7D29F5E9" w14:textId="77777777" w:rsidTr="008260A4">
        <w:tc>
          <w:tcPr>
            <w:tcW w:w="4505" w:type="dxa"/>
          </w:tcPr>
          <w:p w14:paraId="470C836A" w14:textId="77777777" w:rsidR="008260A4" w:rsidRDefault="008260A4" w:rsidP="00105865">
            <w:r>
              <w:lastRenderedPageBreak/>
              <w:t>Diagnosed individuals</w:t>
            </w:r>
          </w:p>
        </w:tc>
        <w:tc>
          <w:tcPr>
            <w:tcW w:w="4505" w:type="dxa"/>
          </w:tcPr>
          <w:p w14:paraId="461A61E2" w14:textId="77777777" w:rsidR="008260A4" w:rsidRDefault="00631C42" w:rsidP="00105865">
            <m:oMathPara>
              <m:oMath>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k,m</m:t>
                    </m:r>
                  </m:sup>
                </m:sSubSup>
              </m:oMath>
            </m:oMathPara>
          </w:p>
        </w:tc>
      </w:tr>
      <w:tr w:rsidR="008260A4" w14:paraId="68E13ED0" w14:textId="77777777" w:rsidTr="008260A4">
        <w:tc>
          <w:tcPr>
            <w:tcW w:w="4505" w:type="dxa"/>
          </w:tcPr>
          <w:p w14:paraId="4DCBF18A" w14:textId="77777777" w:rsidR="008260A4" w:rsidRDefault="008260A4" w:rsidP="00105865">
            <w:r>
              <w:t xml:space="preserve">Individuals </w:t>
            </w:r>
            <w:proofErr w:type="spellStart"/>
            <w:r>
              <w:t>eNgaged</w:t>
            </w:r>
            <w:proofErr w:type="spellEnd"/>
            <w:r>
              <w:t xml:space="preserve"> in treatment pathway</w:t>
            </w:r>
          </w:p>
        </w:tc>
        <w:tc>
          <w:tcPr>
            <w:tcW w:w="4505" w:type="dxa"/>
          </w:tcPr>
          <w:p w14:paraId="23FE2BC1" w14:textId="77777777" w:rsidR="008260A4" w:rsidRDefault="00631C42" w:rsidP="00105865">
            <m:oMathPara>
              <m:oMath>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k,m</m:t>
                    </m:r>
                  </m:sup>
                </m:sSubSup>
              </m:oMath>
            </m:oMathPara>
          </w:p>
        </w:tc>
      </w:tr>
      <w:tr w:rsidR="008260A4" w14:paraId="0FD35D29" w14:textId="77777777" w:rsidTr="008260A4">
        <w:tc>
          <w:tcPr>
            <w:tcW w:w="4505" w:type="dxa"/>
          </w:tcPr>
          <w:p w14:paraId="24339824" w14:textId="77777777" w:rsidR="008260A4" w:rsidRDefault="008260A4" w:rsidP="00105865">
            <w:r>
              <w:t>Lost to follow up individuals</w:t>
            </w:r>
          </w:p>
        </w:tc>
        <w:tc>
          <w:tcPr>
            <w:tcW w:w="4505" w:type="dxa"/>
          </w:tcPr>
          <w:p w14:paraId="6A606A1A" w14:textId="77777777" w:rsidR="008260A4" w:rsidRDefault="00631C42" w:rsidP="00105865">
            <m:oMathPara>
              <m:oMath>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k,m</m:t>
                    </m:r>
                  </m:sup>
                </m:sSubSup>
              </m:oMath>
            </m:oMathPara>
          </w:p>
        </w:tc>
      </w:tr>
      <w:tr w:rsidR="008260A4" w14:paraId="365E1575" w14:textId="77777777" w:rsidTr="008260A4">
        <w:tc>
          <w:tcPr>
            <w:tcW w:w="4505" w:type="dxa"/>
          </w:tcPr>
          <w:p w14:paraId="3AA9AF15" w14:textId="77777777" w:rsidR="008260A4" w:rsidRDefault="008260A4" w:rsidP="00105865">
            <w:r>
              <w:t>Individuals undergoing Treatment</w:t>
            </w:r>
          </w:p>
        </w:tc>
        <w:tc>
          <w:tcPr>
            <w:tcW w:w="4505" w:type="dxa"/>
          </w:tcPr>
          <w:p w14:paraId="1AAE9385" w14:textId="77777777" w:rsidR="008260A4" w:rsidRDefault="00631C42" w:rsidP="00105865">
            <m:oMathPara>
              <m:oMath>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k,m</m:t>
                    </m:r>
                  </m:sup>
                </m:sSubSup>
              </m:oMath>
            </m:oMathPara>
          </w:p>
        </w:tc>
      </w:tr>
      <w:tr w:rsidR="008260A4" w14:paraId="4D93F1D5" w14:textId="77777777" w:rsidTr="008260A4">
        <w:tc>
          <w:tcPr>
            <w:tcW w:w="4505" w:type="dxa"/>
          </w:tcPr>
          <w:p w14:paraId="5269EF90" w14:textId="77777777" w:rsidR="008260A4" w:rsidRDefault="008260A4" w:rsidP="00105865">
            <w:r>
              <w:t>Individuals who have attained SVR</w:t>
            </w:r>
          </w:p>
        </w:tc>
        <w:tc>
          <w:tcPr>
            <w:tcW w:w="4505" w:type="dxa"/>
          </w:tcPr>
          <w:p w14:paraId="45183AC8" w14:textId="77777777" w:rsidR="008260A4" w:rsidRDefault="00631C42" w:rsidP="00105865">
            <m:oMathPara>
              <m:oMath>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k,m</m:t>
                    </m:r>
                  </m:sup>
                </m:sSubSup>
              </m:oMath>
            </m:oMathPara>
          </w:p>
        </w:tc>
      </w:tr>
      <w:tr w:rsidR="008260A4" w14:paraId="7850AE2B" w14:textId="77777777" w:rsidTr="008260A4">
        <w:tc>
          <w:tcPr>
            <w:tcW w:w="4505" w:type="dxa"/>
          </w:tcPr>
          <w:p w14:paraId="3FB156CA" w14:textId="77777777" w:rsidR="008260A4" w:rsidRDefault="008260A4" w:rsidP="00105865">
            <w:r>
              <w:t>Individuals who have Failed treatment</w:t>
            </w:r>
          </w:p>
        </w:tc>
        <w:tc>
          <w:tcPr>
            <w:tcW w:w="4505" w:type="dxa"/>
          </w:tcPr>
          <w:p w14:paraId="115B5821" w14:textId="77777777" w:rsidR="008260A4" w:rsidRDefault="00631C42" w:rsidP="00105865">
            <m:oMathPara>
              <m:oMath>
                <m:sSubSup>
                  <m:sSubSupPr>
                    <m:ctrlPr>
                      <w:rPr>
                        <w:rFonts w:ascii="Cambria Math" w:hAnsi="Cambria Math"/>
                        <w:i/>
                      </w:rPr>
                    </m:ctrlPr>
                  </m:sSubSupPr>
                  <m:e>
                    <m:r>
                      <w:rPr>
                        <w:rFonts w:ascii="Cambria Math" w:hAnsi="Cambria Math"/>
                      </w:rPr>
                      <m:t>F</m:t>
                    </m:r>
                  </m:e>
                  <m:sub>
                    <m:r>
                      <w:rPr>
                        <w:rFonts w:ascii="Cambria Math" w:hAnsi="Cambria Math"/>
                      </w:rPr>
                      <m:t>i,j</m:t>
                    </m:r>
                  </m:sub>
                  <m:sup>
                    <m:r>
                      <w:rPr>
                        <w:rFonts w:ascii="Cambria Math" w:hAnsi="Cambria Math"/>
                      </w:rPr>
                      <m:t>k,m</m:t>
                    </m:r>
                  </m:sup>
                </m:sSubSup>
              </m:oMath>
            </m:oMathPara>
          </w:p>
        </w:tc>
      </w:tr>
    </w:tbl>
    <w:p w14:paraId="4A36B310" w14:textId="77777777" w:rsidR="008260A4" w:rsidRDefault="008260A4" w:rsidP="00105865">
      <w:pPr>
        <w:spacing w:line="240" w:lineRule="auto"/>
      </w:pPr>
    </w:p>
    <w:tbl>
      <w:tblPr>
        <w:tblStyle w:val="TableGrid"/>
        <w:tblW w:w="0" w:type="auto"/>
        <w:tblLook w:val="04A0" w:firstRow="1" w:lastRow="0" w:firstColumn="1" w:lastColumn="0" w:noHBand="0" w:noVBand="1"/>
      </w:tblPr>
      <w:tblGrid>
        <w:gridCol w:w="3003"/>
        <w:gridCol w:w="3003"/>
        <w:gridCol w:w="3004"/>
      </w:tblGrid>
      <w:tr w:rsidR="008260A4" w14:paraId="45E3B883" w14:textId="77777777" w:rsidTr="008260A4">
        <w:tc>
          <w:tcPr>
            <w:tcW w:w="3003" w:type="dxa"/>
          </w:tcPr>
          <w:p w14:paraId="2F804800" w14:textId="77777777" w:rsidR="008260A4" w:rsidRDefault="008260A4" w:rsidP="00105865">
            <w:r>
              <w:t>Parameters</w:t>
            </w:r>
          </w:p>
        </w:tc>
        <w:tc>
          <w:tcPr>
            <w:tcW w:w="3003" w:type="dxa"/>
          </w:tcPr>
          <w:p w14:paraId="67570403" w14:textId="77777777" w:rsidR="008260A4" w:rsidRDefault="008260A4" w:rsidP="00105865">
            <w:r>
              <w:t>Symbols</w:t>
            </w:r>
          </w:p>
        </w:tc>
        <w:tc>
          <w:tcPr>
            <w:tcW w:w="3004" w:type="dxa"/>
          </w:tcPr>
          <w:p w14:paraId="1041C308" w14:textId="77777777" w:rsidR="008260A4" w:rsidRDefault="008260A4" w:rsidP="00105865">
            <w:r>
              <w:t>Units</w:t>
            </w:r>
          </w:p>
        </w:tc>
      </w:tr>
      <w:tr w:rsidR="008260A4" w14:paraId="2EDDAAB9" w14:textId="77777777" w:rsidTr="008260A4">
        <w:tc>
          <w:tcPr>
            <w:tcW w:w="3003" w:type="dxa"/>
          </w:tcPr>
          <w:p w14:paraId="4C2A52AE" w14:textId="77777777" w:rsidR="008260A4" w:rsidRDefault="008260A4" w:rsidP="00105865">
            <w:r>
              <w:t>Infection rate</w:t>
            </w:r>
          </w:p>
        </w:tc>
        <w:tc>
          <w:tcPr>
            <w:tcW w:w="3003" w:type="dxa"/>
          </w:tcPr>
          <w:p w14:paraId="0EB2B5EE" w14:textId="77777777" w:rsidR="008260A4" w:rsidRDefault="008260A4" w:rsidP="00105865">
            <m:oMathPara>
              <m:oMath>
                <m:r>
                  <w:rPr>
                    <w:rFonts w:ascii="Cambria Math" w:hAnsi="Cambria Math"/>
                  </w:rPr>
                  <m:t>λ</m:t>
                </m:r>
              </m:oMath>
            </m:oMathPara>
          </w:p>
        </w:tc>
        <w:tc>
          <w:tcPr>
            <w:tcW w:w="3004" w:type="dxa"/>
          </w:tcPr>
          <w:p w14:paraId="78FA2155" w14:textId="77777777" w:rsidR="008260A4" w:rsidRDefault="008260A4" w:rsidP="00105865">
            <w:r>
              <w:t>per year</w:t>
            </w:r>
          </w:p>
        </w:tc>
      </w:tr>
      <w:tr w:rsidR="008260A4" w14:paraId="1623D69B" w14:textId="77777777" w:rsidTr="008260A4">
        <w:tc>
          <w:tcPr>
            <w:tcW w:w="3003" w:type="dxa"/>
          </w:tcPr>
          <w:p w14:paraId="08EB43F7" w14:textId="77777777" w:rsidR="008260A4" w:rsidRDefault="008260A4" w:rsidP="00105865">
            <w:r>
              <w:t>Relative risk of transmission/acquisition of HCV when on OST</w:t>
            </w:r>
          </w:p>
        </w:tc>
        <w:tc>
          <w:tcPr>
            <w:tcW w:w="3003" w:type="dxa"/>
          </w:tcPr>
          <w:p w14:paraId="449B1C84" w14:textId="77777777" w:rsidR="008260A4" w:rsidRDefault="008260A4" w:rsidP="00105865">
            <m:oMathPara>
              <m:oMath>
                <m:r>
                  <m:rPr>
                    <m:sty m:val="p"/>
                  </m:rPr>
                  <w:rPr>
                    <w:rFonts w:ascii="Cambria Math" w:hAnsi="Cambria Math"/>
                  </w:rPr>
                  <m:t>Β</m:t>
                </m:r>
              </m:oMath>
            </m:oMathPara>
          </w:p>
        </w:tc>
        <w:tc>
          <w:tcPr>
            <w:tcW w:w="3004" w:type="dxa"/>
          </w:tcPr>
          <w:p w14:paraId="0DA1E03A" w14:textId="77777777" w:rsidR="008260A4" w:rsidRDefault="008260A4" w:rsidP="00105865">
            <w:r>
              <w:t>None</w:t>
            </w:r>
          </w:p>
        </w:tc>
      </w:tr>
      <w:tr w:rsidR="008260A4" w14:paraId="4C8C98AA" w14:textId="77777777" w:rsidTr="008260A4">
        <w:tc>
          <w:tcPr>
            <w:tcW w:w="3003" w:type="dxa"/>
          </w:tcPr>
          <w:p w14:paraId="77ECC15C" w14:textId="77777777" w:rsidR="008260A4" w:rsidRDefault="008260A4" w:rsidP="00105865">
            <w:r>
              <w:t>Relative risk of transmission/acquisition of HCV when homeless</w:t>
            </w:r>
          </w:p>
        </w:tc>
        <w:tc>
          <w:tcPr>
            <w:tcW w:w="3003" w:type="dxa"/>
          </w:tcPr>
          <w:p w14:paraId="50C2EA72" w14:textId="77777777" w:rsidR="008260A4" w:rsidRDefault="008260A4" w:rsidP="00105865">
            <m:oMathPara>
              <m:oMath>
                <m:r>
                  <m:rPr>
                    <m:sty m:val="p"/>
                  </m:rPr>
                  <w:rPr>
                    <w:rFonts w:ascii="Cambria Math" w:hAnsi="Cambria Math"/>
                  </w:rPr>
                  <m:t>Γ</m:t>
                </m:r>
              </m:oMath>
            </m:oMathPara>
          </w:p>
        </w:tc>
        <w:tc>
          <w:tcPr>
            <w:tcW w:w="3004" w:type="dxa"/>
          </w:tcPr>
          <w:p w14:paraId="60A8F359" w14:textId="77777777" w:rsidR="008260A4" w:rsidRDefault="008260A4" w:rsidP="00105865">
            <w:r>
              <w:t>None</w:t>
            </w:r>
          </w:p>
        </w:tc>
      </w:tr>
      <w:tr w:rsidR="008260A4" w14:paraId="514C5BA3" w14:textId="77777777" w:rsidTr="008260A4">
        <w:tc>
          <w:tcPr>
            <w:tcW w:w="3003" w:type="dxa"/>
          </w:tcPr>
          <w:p w14:paraId="48C98AD9" w14:textId="77777777" w:rsidR="008260A4" w:rsidRDefault="008260A4" w:rsidP="00105865">
            <w:r>
              <w:t>Proportion of infections that spontaneously clear</w:t>
            </w:r>
          </w:p>
        </w:tc>
        <w:tc>
          <w:tcPr>
            <w:tcW w:w="3003" w:type="dxa"/>
          </w:tcPr>
          <w:p w14:paraId="76E07F8B" w14:textId="77777777" w:rsidR="008260A4" w:rsidRDefault="008260A4" w:rsidP="00105865">
            <m:oMathPara>
              <m:oMath>
                <m:r>
                  <w:rPr>
                    <w:rFonts w:ascii="Cambria Math" w:hAnsi="Cambria Math"/>
                  </w:rPr>
                  <m:t>δ</m:t>
                </m:r>
              </m:oMath>
            </m:oMathPara>
          </w:p>
        </w:tc>
        <w:tc>
          <w:tcPr>
            <w:tcW w:w="3004" w:type="dxa"/>
          </w:tcPr>
          <w:p w14:paraId="1D89FA19" w14:textId="77777777" w:rsidR="008260A4" w:rsidRDefault="008260A4" w:rsidP="00105865">
            <w:r>
              <w:t>None</w:t>
            </w:r>
          </w:p>
        </w:tc>
      </w:tr>
      <w:tr w:rsidR="008260A4" w14:paraId="6A13CDF7" w14:textId="77777777" w:rsidTr="008260A4">
        <w:tc>
          <w:tcPr>
            <w:tcW w:w="3003" w:type="dxa"/>
          </w:tcPr>
          <w:p w14:paraId="79644BC9" w14:textId="77777777" w:rsidR="008260A4" w:rsidRDefault="008260A4" w:rsidP="00105865">
            <w:r>
              <w:t xml:space="preserve">Testing rate </w:t>
            </w:r>
          </w:p>
        </w:tc>
        <w:tc>
          <w:tcPr>
            <w:tcW w:w="3003" w:type="dxa"/>
          </w:tcPr>
          <w:p w14:paraId="17BC5A7A" w14:textId="77777777" w:rsidR="008260A4" w:rsidRDefault="00631C42" w:rsidP="00105865">
            <m:oMathPara>
              <m:oMath>
                <m:sSub>
                  <m:sSubPr>
                    <m:ctrlPr>
                      <w:rPr>
                        <w:rFonts w:ascii="Cambria Math" w:hAnsi="Cambria Math"/>
                        <w:i/>
                      </w:rPr>
                    </m:ctrlPr>
                  </m:sSubPr>
                  <m:e>
                    <m:r>
                      <w:rPr>
                        <w:rFonts w:ascii="Cambria Math" w:hAnsi="Cambria Math"/>
                      </w:rPr>
                      <m:t>τ</m:t>
                    </m:r>
                  </m:e>
                  <m:sub>
                    <m:r>
                      <w:rPr>
                        <w:rFonts w:ascii="Cambria Math" w:hAnsi="Cambria Math"/>
                      </w:rPr>
                      <m:t>i</m:t>
                    </m:r>
                  </m:sub>
                </m:sSub>
              </m:oMath>
            </m:oMathPara>
          </w:p>
        </w:tc>
        <w:tc>
          <w:tcPr>
            <w:tcW w:w="3004" w:type="dxa"/>
          </w:tcPr>
          <w:p w14:paraId="2FE7C8EC" w14:textId="77777777" w:rsidR="008260A4" w:rsidRDefault="008260A4" w:rsidP="00105865">
            <w:r>
              <w:t>Per year</w:t>
            </w:r>
          </w:p>
        </w:tc>
      </w:tr>
      <w:tr w:rsidR="008260A4" w14:paraId="27BC46FF" w14:textId="77777777" w:rsidTr="008260A4">
        <w:tc>
          <w:tcPr>
            <w:tcW w:w="3003" w:type="dxa"/>
          </w:tcPr>
          <w:p w14:paraId="14D15A78" w14:textId="77777777" w:rsidR="008260A4" w:rsidRDefault="008260A4" w:rsidP="00105865">
            <w:r>
              <w:t>Engagement rate from Diagnosed</w:t>
            </w:r>
          </w:p>
        </w:tc>
        <w:tc>
          <w:tcPr>
            <w:tcW w:w="3003" w:type="dxa"/>
          </w:tcPr>
          <w:p w14:paraId="3E8869FD" w14:textId="77777777" w:rsidR="008260A4" w:rsidRDefault="00631C42" w:rsidP="00105865">
            <m:oMathPara>
              <m:oMath>
                <m:sSub>
                  <m:sSubPr>
                    <m:ctrlPr>
                      <w:rPr>
                        <w:rFonts w:ascii="Cambria Math" w:hAnsi="Cambria Math"/>
                        <w:i/>
                      </w:rPr>
                    </m:ctrlPr>
                  </m:sSubPr>
                  <m:e>
                    <m:r>
                      <w:rPr>
                        <w:rFonts w:ascii="Cambria Math" w:hAnsi="Cambria Math"/>
                      </w:rPr>
                      <m:t>ρ</m:t>
                    </m:r>
                  </m:e>
                  <m:sub>
                    <m:r>
                      <w:rPr>
                        <w:rFonts w:ascii="Cambria Math" w:hAnsi="Cambria Math"/>
                      </w:rPr>
                      <m:t>d</m:t>
                    </m:r>
                  </m:sub>
                </m:sSub>
              </m:oMath>
            </m:oMathPara>
          </w:p>
        </w:tc>
        <w:tc>
          <w:tcPr>
            <w:tcW w:w="3004" w:type="dxa"/>
          </w:tcPr>
          <w:p w14:paraId="1256D1D3" w14:textId="77777777" w:rsidR="008260A4" w:rsidRDefault="008260A4" w:rsidP="00105865">
            <w:r>
              <w:t>Per year</w:t>
            </w:r>
          </w:p>
        </w:tc>
      </w:tr>
      <w:tr w:rsidR="008260A4" w14:paraId="13083534" w14:textId="77777777" w:rsidTr="008260A4">
        <w:tc>
          <w:tcPr>
            <w:tcW w:w="3003" w:type="dxa"/>
          </w:tcPr>
          <w:p w14:paraId="7CFC7914" w14:textId="77777777" w:rsidR="008260A4" w:rsidRDefault="008260A4" w:rsidP="00105865">
            <w:r>
              <w:t>Engagement rate from Lost to follow up</w:t>
            </w:r>
          </w:p>
        </w:tc>
        <w:tc>
          <w:tcPr>
            <w:tcW w:w="3003" w:type="dxa"/>
          </w:tcPr>
          <w:p w14:paraId="7CBDE94D" w14:textId="77777777" w:rsidR="008260A4" w:rsidRDefault="00631C42" w:rsidP="00105865">
            <m:oMathPara>
              <m:oMath>
                <m:sSubSup>
                  <m:sSubSupPr>
                    <m:ctrlPr>
                      <w:rPr>
                        <w:rFonts w:ascii="Cambria Math" w:hAnsi="Cambria Math"/>
                        <w:i/>
                      </w:rPr>
                    </m:ctrlPr>
                  </m:sSubSupPr>
                  <m:e>
                    <m:r>
                      <w:rPr>
                        <w:rFonts w:ascii="Cambria Math" w:hAnsi="Cambria Math"/>
                      </w:rPr>
                      <m:t>ρ</m:t>
                    </m:r>
                  </m:e>
                  <m:sub>
                    <m:r>
                      <w:rPr>
                        <w:rFonts w:ascii="Cambria Math" w:hAnsi="Cambria Math"/>
                      </w:rPr>
                      <m:t>L</m:t>
                    </m:r>
                  </m:sub>
                  <m:sup>
                    <m:r>
                      <w:rPr>
                        <w:rFonts w:ascii="Cambria Math" w:hAnsi="Cambria Math"/>
                      </w:rPr>
                      <m:t>m</m:t>
                    </m:r>
                  </m:sup>
                </m:sSubSup>
              </m:oMath>
            </m:oMathPara>
          </w:p>
        </w:tc>
        <w:tc>
          <w:tcPr>
            <w:tcW w:w="3004" w:type="dxa"/>
          </w:tcPr>
          <w:p w14:paraId="1CAC24B0" w14:textId="77777777" w:rsidR="008260A4" w:rsidRDefault="008260A4" w:rsidP="00105865">
            <w:r>
              <w:t>Per year</w:t>
            </w:r>
          </w:p>
        </w:tc>
      </w:tr>
      <w:tr w:rsidR="008260A4" w14:paraId="47B2EE22" w14:textId="77777777" w:rsidTr="008260A4">
        <w:tc>
          <w:tcPr>
            <w:tcW w:w="3003" w:type="dxa"/>
          </w:tcPr>
          <w:p w14:paraId="3CEDC762" w14:textId="77777777" w:rsidR="008260A4" w:rsidRDefault="008260A4" w:rsidP="00105865">
            <w:r>
              <w:t>Transition rate from Diagnosed to Lost to follow up</w:t>
            </w:r>
          </w:p>
        </w:tc>
        <w:tc>
          <w:tcPr>
            <w:tcW w:w="3003" w:type="dxa"/>
          </w:tcPr>
          <w:p w14:paraId="0906DCFC" w14:textId="77777777" w:rsidR="008260A4" w:rsidRDefault="008260A4" w:rsidP="00105865">
            <w:pPr>
              <w:rPr>
                <w:rFonts w:ascii="Calibri" w:eastAsia="Calibri" w:hAnsi="Calibri" w:cs="Times New Roman"/>
              </w:rPr>
            </w:pPr>
            <m:oMathPara>
              <m:oMath>
                <m:r>
                  <w:rPr>
                    <w:rFonts w:ascii="Cambria Math" w:eastAsia="Calibri" w:hAnsi="Cambria Math" w:cs="Times New Roman"/>
                  </w:rPr>
                  <m:t>ϵ</m:t>
                </m:r>
              </m:oMath>
            </m:oMathPara>
          </w:p>
        </w:tc>
        <w:tc>
          <w:tcPr>
            <w:tcW w:w="3004" w:type="dxa"/>
          </w:tcPr>
          <w:p w14:paraId="675875FA" w14:textId="77777777" w:rsidR="008260A4" w:rsidRDefault="008260A4" w:rsidP="00105865">
            <w:r>
              <w:t>Per year</w:t>
            </w:r>
          </w:p>
        </w:tc>
      </w:tr>
      <w:tr w:rsidR="008260A4" w14:paraId="540C28E3" w14:textId="77777777" w:rsidTr="008260A4">
        <w:tc>
          <w:tcPr>
            <w:tcW w:w="3003" w:type="dxa"/>
          </w:tcPr>
          <w:p w14:paraId="366660EC" w14:textId="77777777" w:rsidR="008260A4" w:rsidRDefault="008260A4" w:rsidP="00105865">
            <w:r>
              <w:t>Treatment rate from Engaged</w:t>
            </w:r>
          </w:p>
        </w:tc>
        <w:tc>
          <w:tcPr>
            <w:tcW w:w="3003" w:type="dxa"/>
          </w:tcPr>
          <w:p w14:paraId="10A11E05" w14:textId="77777777" w:rsidR="008260A4" w:rsidRDefault="00631C42" w:rsidP="00105865">
            <w:pPr>
              <w:rPr>
                <w:rFonts w:ascii="Calibri" w:eastAsia="Calibri" w:hAnsi="Calibri" w:cs="Times New Roman"/>
              </w:rPr>
            </w:pPr>
            <m:oMathPara>
              <m:oMath>
                <m:sSup>
                  <m:sSupPr>
                    <m:ctrlPr>
                      <w:rPr>
                        <w:rFonts w:ascii="Cambria Math" w:eastAsia="Calibri" w:hAnsi="Cambria Math" w:cs="Times New Roman"/>
                        <w:i/>
                      </w:rPr>
                    </m:ctrlPr>
                  </m:sSupPr>
                  <m:e>
                    <m:r>
                      <w:rPr>
                        <w:rFonts w:ascii="Cambria Math" w:eastAsia="Calibri" w:hAnsi="Cambria Math" w:cs="Times New Roman"/>
                      </w:rPr>
                      <m:t>ω</m:t>
                    </m:r>
                  </m:e>
                  <m:sup>
                    <m:r>
                      <w:rPr>
                        <w:rFonts w:ascii="Cambria Math" w:eastAsia="Calibri" w:hAnsi="Cambria Math" w:cs="Times New Roman"/>
                      </w:rPr>
                      <m:t>m</m:t>
                    </m:r>
                  </m:sup>
                </m:sSup>
              </m:oMath>
            </m:oMathPara>
          </w:p>
        </w:tc>
        <w:tc>
          <w:tcPr>
            <w:tcW w:w="3004" w:type="dxa"/>
          </w:tcPr>
          <w:p w14:paraId="100968F5" w14:textId="77777777" w:rsidR="008260A4" w:rsidRDefault="008260A4" w:rsidP="00105865">
            <w:r>
              <w:t>Per year</w:t>
            </w:r>
          </w:p>
        </w:tc>
      </w:tr>
      <w:tr w:rsidR="008260A4" w14:paraId="6B1032C1" w14:textId="77777777" w:rsidTr="008260A4">
        <w:tc>
          <w:tcPr>
            <w:tcW w:w="3003" w:type="dxa"/>
          </w:tcPr>
          <w:p w14:paraId="71897AE8" w14:textId="77777777" w:rsidR="008260A4" w:rsidRDefault="008260A4" w:rsidP="00105865">
            <w:r>
              <w:t>Length of time on treatment</w:t>
            </w:r>
          </w:p>
        </w:tc>
        <w:tc>
          <w:tcPr>
            <w:tcW w:w="3003" w:type="dxa"/>
          </w:tcPr>
          <w:p w14:paraId="423D0C72" w14:textId="77777777" w:rsidR="008260A4" w:rsidRDefault="008260A4" w:rsidP="00105865">
            <w:pPr>
              <w:rPr>
                <w:rFonts w:ascii="Calibri" w:eastAsia="Calibri" w:hAnsi="Calibri" w:cs="Times New Roman"/>
              </w:rPr>
            </w:pPr>
            <m:oMathPara>
              <m:oMath>
                <m:r>
                  <w:rPr>
                    <w:rFonts w:ascii="Cambria Math" w:eastAsia="Calibri" w:hAnsi="Cambria Math" w:cs="Times New Roman"/>
                  </w:rPr>
                  <m:t>σ</m:t>
                </m:r>
              </m:oMath>
            </m:oMathPara>
          </w:p>
        </w:tc>
        <w:tc>
          <w:tcPr>
            <w:tcW w:w="3004" w:type="dxa"/>
          </w:tcPr>
          <w:p w14:paraId="3B133620" w14:textId="77777777" w:rsidR="008260A4" w:rsidRDefault="008260A4" w:rsidP="00105865">
            <w:r>
              <w:t xml:space="preserve">Years </w:t>
            </w:r>
          </w:p>
        </w:tc>
      </w:tr>
      <w:tr w:rsidR="008260A4" w14:paraId="0E4B1276" w14:textId="77777777" w:rsidTr="008260A4">
        <w:tc>
          <w:tcPr>
            <w:tcW w:w="3003" w:type="dxa"/>
          </w:tcPr>
          <w:p w14:paraId="6777FABD" w14:textId="77777777" w:rsidR="008260A4" w:rsidRDefault="008260A4" w:rsidP="00105865">
            <w:r>
              <w:t>Proportion of treatments that attain SVR</w:t>
            </w:r>
          </w:p>
        </w:tc>
        <w:tc>
          <w:tcPr>
            <w:tcW w:w="3003" w:type="dxa"/>
          </w:tcPr>
          <w:p w14:paraId="00DB22C5" w14:textId="77777777" w:rsidR="008260A4" w:rsidRDefault="008260A4" w:rsidP="00105865">
            <w:pPr>
              <w:rPr>
                <w:rFonts w:ascii="Calibri" w:eastAsia="Calibri" w:hAnsi="Calibri" w:cs="Times New Roman"/>
              </w:rPr>
            </w:pPr>
            <m:oMathPara>
              <m:oMath>
                <m:r>
                  <w:rPr>
                    <w:rFonts w:ascii="Cambria Math" w:eastAsia="Calibri" w:hAnsi="Cambria Math" w:cs="Times New Roman"/>
                  </w:rPr>
                  <m:t>α</m:t>
                </m:r>
              </m:oMath>
            </m:oMathPara>
          </w:p>
        </w:tc>
        <w:tc>
          <w:tcPr>
            <w:tcW w:w="3004" w:type="dxa"/>
          </w:tcPr>
          <w:p w14:paraId="71D18793" w14:textId="77777777" w:rsidR="008260A4" w:rsidRDefault="008260A4" w:rsidP="00105865">
            <w:r>
              <w:t>None</w:t>
            </w:r>
          </w:p>
        </w:tc>
      </w:tr>
      <w:tr w:rsidR="008260A4" w14:paraId="1AF37CAD" w14:textId="77777777" w:rsidTr="008260A4">
        <w:tc>
          <w:tcPr>
            <w:tcW w:w="3003" w:type="dxa"/>
          </w:tcPr>
          <w:p w14:paraId="710FE1DA" w14:textId="77777777" w:rsidR="008260A4" w:rsidRPr="00B11B89" w:rsidRDefault="008260A4" w:rsidP="00105865">
            <w:r>
              <w:t>Death rate in injectors</w:t>
            </w:r>
          </w:p>
        </w:tc>
        <w:tc>
          <w:tcPr>
            <w:tcW w:w="3003" w:type="dxa"/>
          </w:tcPr>
          <w:p w14:paraId="09584FC0" w14:textId="77777777" w:rsidR="008260A4" w:rsidRDefault="00631C42" w:rsidP="00105865">
            <m:oMathPara>
              <m:oMath>
                <m:sSub>
                  <m:sSubPr>
                    <m:ctrlPr>
                      <w:rPr>
                        <w:rFonts w:ascii="Cambria Math" w:hAnsi="Cambria Math"/>
                        <w:i/>
                      </w:rPr>
                    </m:ctrlPr>
                  </m:sSubPr>
                  <m:e>
                    <m:r>
                      <w:rPr>
                        <w:rFonts w:ascii="Cambria Math" w:hAnsi="Cambria Math"/>
                      </w:rPr>
                      <m:t>μ</m:t>
                    </m:r>
                  </m:e>
                  <m:sub>
                    <m:r>
                      <w:rPr>
                        <w:rFonts w:ascii="Cambria Math" w:hAnsi="Cambria Math"/>
                      </w:rPr>
                      <m:t>1</m:t>
                    </m:r>
                  </m:sub>
                </m:sSub>
              </m:oMath>
            </m:oMathPara>
          </w:p>
        </w:tc>
        <w:tc>
          <w:tcPr>
            <w:tcW w:w="3004" w:type="dxa"/>
          </w:tcPr>
          <w:p w14:paraId="1BF82D6D" w14:textId="77777777" w:rsidR="008260A4" w:rsidRDefault="008260A4" w:rsidP="00105865">
            <w:r>
              <w:t>Per year</w:t>
            </w:r>
          </w:p>
        </w:tc>
      </w:tr>
      <w:tr w:rsidR="008260A4" w14:paraId="5267AD34" w14:textId="77777777" w:rsidTr="008260A4">
        <w:tc>
          <w:tcPr>
            <w:tcW w:w="3003" w:type="dxa"/>
          </w:tcPr>
          <w:p w14:paraId="0A02B6AB" w14:textId="77777777" w:rsidR="008260A4" w:rsidRDefault="008260A4" w:rsidP="00105865">
            <w:r>
              <w:t>Death rate in ex-injectors who aren’t homeless</w:t>
            </w:r>
          </w:p>
        </w:tc>
        <w:tc>
          <w:tcPr>
            <w:tcW w:w="3003" w:type="dxa"/>
          </w:tcPr>
          <w:p w14:paraId="25266BFB" w14:textId="77777777" w:rsidR="008260A4"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5</m:t>
                    </m:r>
                  </m:sub>
                </m:sSub>
              </m:oMath>
            </m:oMathPara>
          </w:p>
        </w:tc>
        <w:tc>
          <w:tcPr>
            <w:tcW w:w="3004" w:type="dxa"/>
          </w:tcPr>
          <w:p w14:paraId="4E0935F4" w14:textId="77777777" w:rsidR="008260A4" w:rsidRDefault="008260A4" w:rsidP="00105865">
            <w:r>
              <w:t>Per year</w:t>
            </w:r>
          </w:p>
        </w:tc>
      </w:tr>
      <w:tr w:rsidR="008260A4" w14:paraId="6A49249A" w14:textId="77777777" w:rsidTr="008260A4">
        <w:tc>
          <w:tcPr>
            <w:tcW w:w="3003" w:type="dxa"/>
          </w:tcPr>
          <w:p w14:paraId="6E6C7C61" w14:textId="77777777" w:rsidR="008260A4" w:rsidRDefault="008260A4" w:rsidP="00105865">
            <w:r>
              <w:t>Death rate in ex-injectors who are homeless</w:t>
            </w:r>
          </w:p>
        </w:tc>
        <w:tc>
          <w:tcPr>
            <w:tcW w:w="3003" w:type="dxa"/>
          </w:tcPr>
          <w:p w14:paraId="52EC82EF" w14:textId="77777777" w:rsidR="008260A4"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μ</m:t>
                    </m:r>
                  </m:e>
                  <m:sub>
                    <m:r>
                      <w:rPr>
                        <w:rFonts w:ascii="Cambria Math" w:eastAsia="Calibri" w:hAnsi="Cambria Math" w:cs="Times New Roman"/>
                      </w:rPr>
                      <m:t>6</m:t>
                    </m:r>
                  </m:sub>
                </m:sSub>
              </m:oMath>
            </m:oMathPara>
          </w:p>
        </w:tc>
        <w:tc>
          <w:tcPr>
            <w:tcW w:w="3004" w:type="dxa"/>
          </w:tcPr>
          <w:p w14:paraId="5667E1AA" w14:textId="77777777" w:rsidR="008260A4" w:rsidRDefault="008260A4" w:rsidP="00105865">
            <w:r>
              <w:t>Per year</w:t>
            </w:r>
          </w:p>
        </w:tc>
      </w:tr>
      <w:tr w:rsidR="008260A4" w14:paraId="6D090A21" w14:textId="77777777" w:rsidTr="008260A4">
        <w:tc>
          <w:tcPr>
            <w:tcW w:w="3003" w:type="dxa"/>
          </w:tcPr>
          <w:p w14:paraId="130E0CBA" w14:textId="77777777" w:rsidR="008260A4" w:rsidRDefault="008260A4" w:rsidP="00105865">
            <w:r>
              <w:t xml:space="preserve">Inflow of new injectors </w:t>
            </w:r>
          </w:p>
        </w:tc>
        <w:tc>
          <w:tcPr>
            <w:tcW w:w="3003" w:type="dxa"/>
          </w:tcPr>
          <w:p w14:paraId="1D0AFAD0" w14:textId="77777777" w:rsidR="008260A4" w:rsidRDefault="008260A4" w:rsidP="00105865">
            <m:oMathPara>
              <m:oMath>
                <m:r>
                  <w:rPr>
                    <w:rFonts w:ascii="Cambria Math" w:hAnsi="Cambria Math"/>
                  </w:rPr>
                  <m:t>θ</m:t>
                </m:r>
              </m:oMath>
            </m:oMathPara>
          </w:p>
        </w:tc>
        <w:tc>
          <w:tcPr>
            <w:tcW w:w="3004" w:type="dxa"/>
          </w:tcPr>
          <w:p w14:paraId="4944BCBA" w14:textId="77777777" w:rsidR="008260A4" w:rsidRDefault="008260A4" w:rsidP="00105865">
            <w:r>
              <w:t>People per year</w:t>
            </w:r>
          </w:p>
        </w:tc>
      </w:tr>
    </w:tbl>
    <w:p w14:paraId="0ED676AC" w14:textId="77777777" w:rsidR="008260A4" w:rsidRDefault="008260A4" w:rsidP="00105865">
      <w:pPr>
        <w:spacing w:line="240" w:lineRule="auto"/>
      </w:pPr>
    </w:p>
    <w:p w14:paraId="54936080" w14:textId="77777777" w:rsidR="008260A4" w:rsidRDefault="008260A4" w:rsidP="00105865">
      <w:pPr>
        <w:spacing w:line="240" w:lineRule="auto"/>
      </w:pPr>
      <w:r>
        <w:t xml:space="preserve">Notes: The testing rate depends on contact with drug treatment services (OST), we assume that those on OST </w:t>
      </w:r>
      <m:oMath>
        <m:d>
          <m:dPr>
            <m:ctrlPr>
              <w:rPr>
                <w:rFonts w:ascii="Cambria Math" w:hAnsi="Cambria Math"/>
                <w:i/>
              </w:rPr>
            </m:ctrlPr>
          </m:dPr>
          <m:e>
            <m:r>
              <w:rPr>
                <w:rFonts w:ascii="Cambria Math" w:hAnsi="Cambria Math"/>
              </w:rPr>
              <m:t>i=1</m:t>
            </m:r>
          </m:e>
        </m:d>
        <m:r>
          <w:rPr>
            <w:rFonts w:ascii="Cambria Math" w:hAnsi="Cambria Math"/>
          </w:rPr>
          <m:t>,</m:t>
        </m:r>
      </m:oMath>
      <w:r>
        <w:t xml:space="preserve"> have an increased rate at which they are tested.  The engagement rate from Lost to follow up depends on the current disease progression state.  At baseline we assume that </w:t>
      </w:r>
      <m:oMath>
        <m:sSub>
          <m:sSubPr>
            <m:ctrlPr>
              <w:rPr>
                <w:rFonts w:ascii="Cambria Math" w:hAnsi="Cambria Math"/>
                <w:i/>
              </w:rPr>
            </m:ctrlPr>
          </m:sSubPr>
          <m:e>
            <m:r>
              <w:rPr>
                <w:rFonts w:ascii="Cambria Math" w:hAnsi="Cambria Math"/>
              </w:rPr>
              <m:t>ρ</m:t>
            </m:r>
          </m:e>
          <m:sub>
            <m:r>
              <w:rPr>
                <w:rFonts w:ascii="Cambria Math" w:hAnsi="Cambria Math"/>
              </w:rPr>
              <m:t>L</m:t>
            </m:r>
          </m:sub>
        </m:sSub>
        <m:r>
          <w:rPr>
            <w:rFonts w:ascii="Cambria Math" w:hAnsi="Cambria Math"/>
          </w:rPr>
          <m:t>=0</m:t>
        </m:r>
      </m:oMath>
      <w:r>
        <w:t xml:space="preserve"> for </w:t>
      </w:r>
      <m:oMath>
        <m:r>
          <w:rPr>
            <w:rFonts w:ascii="Cambria Math" w:hAnsi="Cambria Math"/>
          </w:rPr>
          <m:t>m=1,2,3</m:t>
        </m:r>
      </m:oMath>
      <w:r>
        <w:t xml:space="preserve"> amd </w:t>
      </w:r>
      <m:oMath>
        <m:sSub>
          <m:sSubPr>
            <m:ctrlPr>
              <w:rPr>
                <w:rFonts w:ascii="Cambria Math" w:hAnsi="Cambria Math"/>
                <w:i/>
              </w:rPr>
            </m:ctrlPr>
          </m:sSubPr>
          <m:e>
            <m:r>
              <w:rPr>
                <w:rFonts w:ascii="Cambria Math" w:hAnsi="Cambria Math"/>
              </w:rPr>
              <m:t>ρ</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d</m:t>
            </m:r>
          </m:sub>
        </m:sSub>
      </m:oMath>
      <w:r>
        <w:t xml:space="preserve"> for </w:t>
      </w:r>
      <m:oMath>
        <m:r>
          <w:rPr>
            <w:rFonts w:ascii="Cambria Math" w:hAnsi="Cambria Math"/>
          </w:rPr>
          <m:t>m&gt;3</m:t>
        </m:r>
      </m:oMath>
      <w:r>
        <w:t xml:space="preserve">.  The treatment rate from engaged also depends on the current disease progression state.  For </w:t>
      </w:r>
      <m:oMath>
        <m:r>
          <w:rPr>
            <w:rFonts w:ascii="Cambria Math" w:hAnsi="Cambria Math"/>
          </w:rPr>
          <m:t>m&lt;7</m:t>
        </m:r>
      </m:oMath>
      <w:r>
        <w:t xml:space="preserve"> the treatment rate is non-zero, otherwise it is zero.</w:t>
      </w:r>
    </w:p>
    <w:p w14:paraId="34E9FB4C" w14:textId="77777777" w:rsidR="008260A4" w:rsidRDefault="008260A4" w:rsidP="00105865">
      <w:pPr>
        <w:spacing w:line="240" w:lineRule="auto"/>
      </w:pPr>
    </w:p>
    <w:p w14:paraId="0F5A6290" w14:textId="77777777" w:rsidR="008260A4" w:rsidRDefault="008260A4" w:rsidP="00105865">
      <w:pPr>
        <w:spacing w:line="240" w:lineRule="auto"/>
      </w:pPr>
      <w:r>
        <w:t>The force of Infection</w:t>
      </w:r>
    </w:p>
    <w:p w14:paraId="1983DA86" w14:textId="77777777" w:rsidR="008260A4" w:rsidRDefault="008260A4" w:rsidP="00105865">
      <w:pPr>
        <w:spacing w:line="240" w:lineRule="auto"/>
      </w:pPr>
      <w:r>
        <w:t xml:space="preserve">Define: </w:t>
      </w:r>
    </w:p>
    <w:p w14:paraId="72630099" w14:textId="77777777" w:rsidR="008260A4" w:rsidRPr="00522B06" w:rsidRDefault="00631C42" w:rsidP="00105865">
      <w:pPr>
        <w:spacing w:line="240" w:lineRule="auto"/>
        <w:rPr>
          <w:vertAlign w:val="subscript"/>
        </w:rPr>
      </w:pPr>
      <m:oMathPara>
        <m:oMath>
          <m:sSubSup>
            <m:sSubSupPr>
              <m:ctrlPr>
                <w:rPr>
                  <w:rFonts w:ascii="Cambria Math" w:hAnsi="Cambria Math"/>
                  <w:i/>
                  <w:vertAlign w:val="subscript"/>
                </w:rPr>
              </m:ctrlPr>
            </m:sSubSupPr>
            <m:e>
              <m:r>
                <w:rPr>
                  <w:rFonts w:ascii="Cambria Math" w:hAnsi="Cambria Math"/>
                  <w:vertAlign w:val="subscript"/>
                </w:rPr>
                <m:t>I</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nary>
            <m:naryPr>
              <m:chr m:val="∑"/>
              <m:limLoc m:val="undOvr"/>
              <m:subHide m:val="1"/>
              <m:supHide m:val="1"/>
              <m:ctrlPr>
                <w:rPr>
                  <w:rFonts w:ascii="Cambria Math" w:hAnsi="Cambria Math"/>
                  <w:i/>
                  <w:vertAlign w:val="subscript"/>
                </w:rPr>
              </m:ctrlPr>
            </m:naryPr>
            <m:sub/>
            <m:sup/>
            <m:e>
              <m:sSubSup>
                <m:sSubSupPr>
                  <m:ctrlPr>
                    <w:rPr>
                      <w:rFonts w:ascii="Cambria Math" w:hAnsi="Cambria Math"/>
                      <w:i/>
                      <w:vertAlign w:val="subscript"/>
                    </w:rPr>
                  </m:ctrlPr>
                </m:sSubSupPr>
                <m:e>
                  <m:r>
                    <w:rPr>
                      <w:rFonts w:ascii="Cambria Math" w:hAnsi="Cambria Math"/>
                      <w:vertAlign w:val="subscript"/>
                    </w:rPr>
                    <m:t>C</m:t>
                  </m:r>
                </m:e>
                <m:sub>
                  <m:r>
                    <w:rPr>
                      <w:rFonts w:ascii="Cambria Math" w:hAnsi="Cambria Math"/>
                      <w:vertAlign w:val="subscript"/>
                    </w:rPr>
                    <m:t>i,j</m:t>
                  </m:r>
                </m:sub>
                <m:sup>
                  <m:r>
                    <w:rPr>
                      <w:rFonts w:ascii="Cambria Math" w:hAnsi="Cambria Math"/>
                      <w:vertAlign w:val="subscript"/>
                    </w:rPr>
                    <m:t>0,m</m:t>
                  </m:r>
                </m:sup>
              </m:sSubSup>
            </m:e>
          </m:nary>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D</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L</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N</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F</m:t>
              </m:r>
            </m:e>
            <m:sub>
              <m:r>
                <w:rPr>
                  <w:rFonts w:ascii="Cambria Math" w:hAnsi="Cambria Math"/>
                  <w:vertAlign w:val="subscript"/>
                </w:rPr>
                <m:t>i,j</m:t>
              </m:r>
            </m:sub>
            <m:sup>
              <m:r>
                <w:rPr>
                  <w:rFonts w:ascii="Cambria Math" w:hAnsi="Cambria Math"/>
                  <w:vertAlign w:val="subscript"/>
                </w:rPr>
                <m:t>0,m</m:t>
              </m:r>
            </m:sup>
          </m:sSubSup>
        </m:oMath>
      </m:oMathPara>
    </w:p>
    <w:p w14:paraId="5B1AD714" w14:textId="77777777" w:rsidR="008260A4" w:rsidRDefault="008260A4" w:rsidP="00105865">
      <w:pPr>
        <w:spacing w:line="240" w:lineRule="auto"/>
      </w:pPr>
      <w:r>
        <w:lastRenderedPageBreak/>
        <w:t xml:space="preserve">which gathers together </w:t>
      </w:r>
      <w:proofErr w:type="gramStart"/>
      <w:r>
        <w:t>all of</w:t>
      </w:r>
      <w:proofErr w:type="gramEnd"/>
      <w:r>
        <w:t xml:space="preserve"> the infectious individuals in the population within the same OST and homeless status.</w:t>
      </w:r>
    </w:p>
    <w:p w14:paraId="2FBA10E1" w14:textId="77777777" w:rsidR="008260A4" w:rsidRPr="00522B06" w:rsidRDefault="008260A4" w:rsidP="00105865">
      <w:pPr>
        <w:spacing w:line="240" w:lineRule="auto"/>
      </w:pPr>
      <w:r>
        <w:t>Define:</w:t>
      </w:r>
    </w:p>
    <w:p w14:paraId="10264FD3" w14:textId="77777777" w:rsidR="008260A4" w:rsidRPr="007C6AFC" w:rsidRDefault="008260A4" w:rsidP="00105865">
      <w:pPr>
        <w:spacing w:line="240" w:lineRule="auto"/>
        <w:rPr>
          <w:vertAlign w:val="subscript"/>
        </w:rPr>
      </w:pPr>
    </w:p>
    <w:p w14:paraId="28D0FB17" w14:textId="77777777" w:rsidR="008260A4" w:rsidRPr="00275F30" w:rsidRDefault="00631C42" w:rsidP="00105865">
      <w:pPr>
        <w:spacing w:line="240" w:lineRule="auto"/>
        <w:rPr>
          <w:vertAlign w:val="subscript"/>
        </w:rPr>
      </w:pPr>
      <m:oMathPara>
        <m:oMath>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0,m</m:t>
              </m:r>
            </m:sup>
          </m:sSubSup>
          <m:r>
            <w:rPr>
              <w:rFonts w:ascii="Cambria Math" w:hAnsi="Cambria Math"/>
            </w:rPr>
            <m:t>=</m:t>
          </m:r>
          <m:nary>
            <m:naryPr>
              <m:chr m:val="∑"/>
              <m:limLoc m:val="undOvr"/>
              <m:subHide m:val="1"/>
              <m:supHide m:val="1"/>
              <m:ctrlPr>
                <w:rPr>
                  <w:rFonts w:ascii="Cambria Math" w:hAnsi="Cambria Math"/>
                  <w:i/>
                  <w:vertAlign w:val="subscript"/>
                </w:rPr>
              </m:ctrlPr>
            </m:naryPr>
            <m:sub/>
            <m:sup/>
            <m:e>
              <m:sSubSup>
                <m:sSubSupPr>
                  <m:ctrlPr>
                    <w:rPr>
                      <w:rFonts w:ascii="Cambria Math" w:hAnsi="Cambria Math"/>
                      <w:i/>
                      <w:vertAlign w:val="subscript"/>
                    </w:rPr>
                  </m:ctrlPr>
                </m:sSubSupPr>
                <m:e>
                  <m:r>
                    <w:rPr>
                      <w:rFonts w:ascii="Cambria Math" w:hAnsi="Cambria Math"/>
                      <w:vertAlign w:val="subscript"/>
                    </w:rPr>
                    <m:t>S</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E</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C</m:t>
                  </m:r>
                </m:e>
                <m:sub>
                  <m:r>
                    <w:rPr>
                      <w:rFonts w:ascii="Cambria Math" w:hAnsi="Cambria Math"/>
                      <w:vertAlign w:val="subscript"/>
                    </w:rPr>
                    <m:t>i,j</m:t>
                  </m:r>
                </m:sub>
                <m:sup>
                  <m:r>
                    <w:rPr>
                      <w:rFonts w:ascii="Cambria Math" w:hAnsi="Cambria Math"/>
                      <w:vertAlign w:val="subscript"/>
                    </w:rPr>
                    <m:t>0,m</m:t>
                  </m:r>
                </m:sup>
              </m:sSubSup>
            </m:e>
          </m:nary>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D</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L</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N</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T</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V</m:t>
              </m:r>
            </m:e>
            <m:sub>
              <m:r>
                <w:rPr>
                  <w:rFonts w:ascii="Cambria Math" w:hAnsi="Cambria Math"/>
                  <w:vertAlign w:val="subscript"/>
                </w:rPr>
                <m:t>i,j</m:t>
              </m:r>
            </m:sub>
            <m:sup>
              <m:r>
                <w:rPr>
                  <w:rFonts w:ascii="Cambria Math" w:hAnsi="Cambria Math"/>
                  <w:vertAlign w:val="subscript"/>
                </w:rPr>
                <m:t>0,m</m:t>
              </m:r>
            </m:sup>
          </m:sSubSup>
          <m:r>
            <w:rPr>
              <w:rFonts w:ascii="Cambria Math" w:hAnsi="Cambria Math"/>
              <w:vertAlign w:val="subscript"/>
            </w:rPr>
            <m:t>+</m:t>
          </m:r>
          <m:sSubSup>
            <m:sSubSupPr>
              <m:ctrlPr>
                <w:rPr>
                  <w:rFonts w:ascii="Cambria Math" w:hAnsi="Cambria Math"/>
                  <w:i/>
                  <w:vertAlign w:val="subscript"/>
                </w:rPr>
              </m:ctrlPr>
            </m:sSubSupPr>
            <m:e>
              <m:r>
                <w:rPr>
                  <w:rFonts w:ascii="Cambria Math" w:hAnsi="Cambria Math"/>
                  <w:vertAlign w:val="subscript"/>
                </w:rPr>
                <m:t>F</m:t>
              </m:r>
            </m:e>
            <m:sub>
              <m:r>
                <w:rPr>
                  <w:rFonts w:ascii="Cambria Math" w:hAnsi="Cambria Math"/>
                  <w:vertAlign w:val="subscript"/>
                </w:rPr>
                <m:t>i,j</m:t>
              </m:r>
            </m:sub>
            <m:sup>
              <m:r>
                <w:rPr>
                  <w:rFonts w:ascii="Cambria Math" w:hAnsi="Cambria Math"/>
                  <w:vertAlign w:val="subscript"/>
                </w:rPr>
                <m:t>0,m</m:t>
              </m:r>
            </m:sup>
          </m:sSubSup>
        </m:oMath>
      </m:oMathPara>
    </w:p>
    <w:p w14:paraId="743D65FD" w14:textId="77777777" w:rsidR="008260A4" w:rsidRDefault="008260A4" w:rsidP="00105865">
      <w:pPr>
        <w:spacing w:line="240" w:lineRule="auto"/>
      </w:pPr>
      <w:r>
        <w:t>Which gather together all individuals in the population within the same OST and homeless status.</w:t>
      </w:r>
    </w:p>
    <w:p w14:paraId="727E836F" w14:textId="77777777" w:rsidR="008260A4" w:rsidRPr="00275F30" w:rsidRDefault="008260A4" w:rsidP="00105865">
      <w:pPr>
        <w:spacing w:line="240" w:lineRule="auto"/>
      </w:pPr>
      <w:r>
        <w:t>The base force of infection is given by</w:t>
      </w:r>
    </w:p>
    <w:p w14:paraId="7A852225" w14:textId="77777777" w:rsidR="008260A4" w:rsidRPr="00B94D66" w:rsidRDefault="008260A4" w:rsidP="00105865">
      <w:pPr>
        <w:spacing w:line="240" w:lineRule="auto"/>
        <w:rPr>
          <w:vertAlign w:val="subscript"/>
        </w:rPr>
      </w:pPr>
    </w:p>
    <w:p w14:paraId="607BEA23" w14:textId="77777777" w:rsidR="008260A4" w:rsidRPr="00763323" w:rsidRDefault="008260A4" w:rsidP="00105865">
      <w:pPr>
        <w:spacing w:line="240" w:lineRule="auto"/>
      </w:pPr>
      <m:oMathPara>
        <m:oMath>
          <m:r>
            <w:rPr>
              <w:rFonts w:ascii="Cambria Math" w:hAnsi="Cambria Math"/>
            </w:rPr>
            <m:t xml:space="preserve"> ϕ =</m:t>
          </m:r>
          <m:f>
            <m:fPr>
              <m:ctrlPr>
                <w:rPr>
                  <w:rFonts w:ascii="Cambria Math" w:hAnsi="Cambria Math"/>
                  <w:i/>
                </w:rPr>
              </m:ctrlPr>
            </m:fPr>
            <m:num>
              <m:r>
                <w:rPr>
                  <w:rFonts w:ascii="Cambria Math" w:hAnsi="Cambria Math"/>
                </w:rPr>
                <m:t>λ</m:t>
              </m:r>
              <m:nary>
                <m:naryPr>
                  <m:chr m:val="∑"/>
                  <m:limLoc m:val="undOvr"/>
                  <m:ctrlPr>
                    <w:rPr>
                      <w:rFonts w:ascii="Cambria Math" w:hAnsi="Cambria Math"/>
                      <w:i/>
                    </w:rPr>
                  </m:ctrlPr>
                </m:naryPr>
                <m:sub>
                  <m:r>
                    <w:rPr>
                      <w:rFonts w:ascii="Cambria Math" w:hAnsi="Cambria Math"/>
                    </w:rPr>
                    <m:t>m=1</m:t>
                  </m:r>
                </m:sub>
                <m:sup>
                  <m:r>
                    <w:rPr>
                      <w:rFonts w:ascii="Cambria Math" w:hAnsi="Cambria Math"/>
                    </w:rPr>
                    <m:t>m=9</m:t>
                  </m:r>
                </m:sup>
                <m:e>
                  <m:sSubSup>
                    <m:sSubSupPr>
                      <m:ctrlPr>
                        <w:rPr>
                          <w:rFonts w:ascii="Cambria Math" w:hAnsi="Cambria Math"/>
                          <w:i/>
                        </w:rPr>
                      </m:ctrlPr>
                    </m:sSubSupPr>
                    <m:e>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0,0</m:t>
                          </m:r>
                        </m:sub>
                        <m:sup>
                          <m:r>
                            <m:rPr>
                              <m:sty m:val="p"/>
                            </m:rPr>
                            <w:rPr>
                              <w:rFonts w:ascii="Cambria Math" w:hAnsi="Cambria Math"/>
                            </w:rPr>
                            <m:t>0,m</m:t>
                          </m:r>
                        </m:sup>
                      </m:sSubSup>
                      <m:r>
                        <m:rPr>
                          <m:sty m:val="p"/>
                        </m:rPr>
                        <w:rPr>
                          <w:rFonts w:ascii="Cambria Math" w:hAnsi="Cambria Math"/>
                        </w:rPr>
                        <m:t>+Β</m:t>
                      </m:r>
                      <m:r>
                        <w:rPr>
                          <w:rFonts w:ascii="Cambria Math" w:hAnsi="Cambria Math"/>
                        </w:rPr>
                        <m:t>I</m:t>
                      </m:r>
                    </m:e>
                    <m:sub>
                      <m:r>
                        <w:rPr>
                          <w:rFonts w:ascii="Cambria Math" w:hAnsi="Cambria Math"/>
                        </w:rPr>
                        <m:t>1,0</m:t>
                      </m:r>
                    </m:sub>
                    <m:sup>
                      <m:r>
                        <w:rPr>
                          <w:rFonts w:ascii="Cambria Math" w:hAnsi="Cambria Math"/>
                        </w:rPr>
                        <m:t>0,m</m:t>
                      </m:r>
                    </m:sup>
                  </m:sSubSup>
                  <m:r>
                    <w:rPr>
                      <w:rFonts w:ascii="Cambria Math" w:hAnsi="Cambria Math"/>
                    </w:rPr>
                    <m:t>+</m:t>
                  </m:r>
                  <m:r>
                    <m:rPr>
                      <m:sty m:val="p"/>
                    </m:rPr>
                    <w:rPr>
                      <w:rFonts w:ascii="Cambria Math" w:hAnsi="Cambria Math"/>
                    </w:rPr>
                    <m:t>Γ</m:t>
                  </m:r>
                  <m:sSubSup>
                    <m:sSubSupPr>
                      <m:ctrlPr>
                        <w:rPr>
                          <w:rFonts w:ascii="Cambria Math" w:hAnsi="Cambria Math"/>
                          <w:i/>
                        </w:rPr>
                      </m:ctrlPr>
                    </m:sSubSupPr>
                    <m:e>
                      <m:r>
                        <w:rPr>
                          <w:rFonts w:ascii="Cambria Math" w:hAnsi="Cambria Math"/>
                        </w:rPr>
                        <m:t>I</m:t>
                      </m:r>
                    </m:e>
                    <m:sub>
                      <m:r>
                        <w:rPr>
                          <w:rFonts w:ascii="Cambria Math" w:hAnsi="Cambria Math"/>
                        </w:rPr>
                        <m:t>0,1</m:t>
                      </m:r>
                    </m:sub>
                    <m:sup>
                      <m:r>
                        <w:rPr>
                          <w:rFonts w:ascii="Cambria Math" w:hAnsi="Cambria Math"/>
                        </w:rPr>
                        <m:t>0,m</m:t>
                      </m:r>
                    </m:sup>
                  </m:sSubSup>
                  <m:r>
                    <w:rPr>
                      <w:rFonts w:ascii="Cambria Math" w:hAnsi="Cambria Math"/>
                    </w:rPr>
                    <m:t>+</m:t>
                  </m:r>
                  <m:r>
                    <m:rPr>
                      <m:sty m:val="p"/>
                    </m:rPr>
                    <w:rPr>
                      <w:rFonts w:ascii="Cambria Math" w:hAnsi="Cambria Math"/>
                    </w:rPr>
                    <m:t>ΒΓ</m:t>
                  </m:r>
                  <m:sSubSup>
                    <m:sSubSupPr>
                      <m:ctrlPr>
                        <w:rPr>
                          <w:rFonts w:ascii="Cambria Math" w:hAnsi="Cambria Math"/>
                        </w:rPr>
                      </m:ctrlPr>
                    </m:sSubSupPr>
                    <m:e>
                      <m:r>
                        <m:rPr>
                          <m:sty m:val="p"/>
                        </m:rPr>
                        <w:rPr>
                          <w:rFonts w:ascii="Cambria Math" w:hAnsi="Cambria Math"/>
                        </w:rPr>
                        <m:t>I</m:t>
                      </m:r>
                    </m:e>
                    <m:sub>
                      <m:r>
                        <m:rPr>
                          <m:sty m:val="p"/>
                        </m:rPr>
                        <w:rPr>
                          <w:rFonts w:ascii="Cambria Math" w:hAnsi="Cambria Math"/>
                        </w:rPr>
                        <m:t>1,1</m:t>
                      </m:r>
                    </m:sub>
                    <m:sup>
                      <m:r>
                        <m:rPr>
                          <m:sty m:val="p"/>
                        </m:rPr>
                        <w:rPr>
                          <w:rFonts w:ascii="Cambria Math" w:hAnsi="Cambria Math"/>
                        </w:rPr>
                        <m:t>0,m</m:t>
                      </m:r>
                    </m:sup>
                  </m:sSubSup>
                </m:e>
              </m:nary>
            </m:num>
            <m:den>
              <m:nary>
                <m:naryPr>
                  <m:chr m:val="∑"/>
                  <m:limLoc m:val="subSup"/>
                  <m:ctrlPr>
                    <w:rPr>
                      <w:rFonts w:ascii="Cambria Math" w:hAnsi="Cambria Math"/>
                      <w:i/>
                    </w:rPr>
                  </m:ctrlPr>
                </m:naryPr>
                <m:sub>
                  <m:r>
                    <w:rPr>
                      <w:rFonts w:ascii="Cambria Math" w:hAnsi="Cambria Math"/>
                    </w:rPr>
                    <m:t>m=1</m:t>
                  </m:r>
                </m:sub>
                <m:sup>
                  <m:r>
                    <w:rPr>
                      <w:rFonts w:ascii="Cambria Math" w:hAnsi="Cambria Math"/>
                    </w:rPr>
                    <m:t>m=9</m:t>
                  </m:r>
                </m:sup>
                <m:e>
                  <m:sSubSup>
                    <m:sSubSupPr>
                      <m:ctrlPr>
                        <w:rPr>
                          <w:rFonts w:ascii="Cambria Math" w:hAnsi="Cambria Math"/>
                          <w:i/>
                        </w:rPr>
                      </m:ctrlPr>
                    </m:sSubSupPr>
                    <m:e>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0,0</m:t>
                          </m:r>
                        </m:sub>
                        <m:sup>
                          <m:r>
                            <m:rPr>
                              <m:sty m:val="p"/>
                            </m:rPr>
                            <w:rPr>
                              <w:rFonts w:ascii="Cambria Math" w:hAnsi="Cambria Math"/>
                            </w:rPr>
                            <m:t>0,m</m:t>
                          </m:r>
                        </m:sup>
                      </m:sSubSup>
                      <m:r>
                        <m:rPr>
                          <m:sty m:val="p"/>
                        </m:rPr>
                        <w:rPr>
                          <w:rFonts w:ascii="Cambria Math" w:hAnsi="Cambria Math"/>
                        </w:rPr>
                        <m:t>+Β</m:t>
                      </m:r>
                      <m:r>
                        <w:rPr>
                          <w:rFonts w:ascii="Cambria Math" w:hAnsi="Cambria Math"/>
                        </w:rPr>
                        <m:t>P</m:t>
                      </m:r>
                    </m:e>
                    <m:sub>
                      <m:r>
                        <w:rPr>
                          <w:rFonts w:ascii="Cambria Math" w:hAnsi="Cambria Math"/>
                        </w:rPr>
                        <m:t>1,0</m:t>
                      </m:r>
                    </m:sub>
                    <m:sup>
                      <m:r>
                        <w:rPr>
                          <w:rFonts w:ascii="Cambria Math" w:hAnsi="Cambria Math"/>
                        </w:rPr>
                        <m:t>0,m</m:t>
                      </m:r>
                    </m:sup>
                  </m:sSubSup>
                  <m:r>
                    <w:rPr>
                      <w:rFonts w:ascii="Cambria Math" w:hAnsi="Cambria Math"/>
                    </w:rPr>
                    <m:t>+</m:t>
                  </m:r>
                  <m:r>
                    <m:rPr>
                      <m:sty m:val="p"/>
                    </m:rPr>
                    <w:rPr>
                      <w:rFonts w:ascii="Cambria Math" w:hAnsi="Cambria Math"/>
                    </w:rPr>
                    <m:t>Γ</m:t>
                  </m:r>
                  <m:sSubSup>
                    <m:sSubSupPr>
                      <m:ctrlPr>
                        <w:rPr>
                          <w:rFonts w:ascii="Cambria Math" w:hAnsi="Cambria Math"/>
                          <w:i/>
                        </w:rPr>
                      </m:ctrlPr>
                    </m:sSubSupPr>
                    <m:e>
                      <m:r>
                        <w:rPr>
                          <w:rFonts w:ascii="Cambria Math" w:hAnsi="Cambria Math"/>
                        </w:rPr>
                        <m:t>P</m:t>
                      </m:r>
                    </m:e>
                    <m:sub>
                      <m:r>
                        <w:rPr>
                          <w:rFonts w:ascii="Cambria Math" w:hAnsi="Cambria Math"/>
                        </w:rPr>
                        <m:t>0,1</m:t>
                      </m:r>
                    </m:sub>
                    <m:sup>
                      <m:r>
                        <w:rPr>
                          <w:rFonts w:ascii="Cambria Math" w:hAnsi="Cambria Math"/>
                        </w:rPr>
                        <m:t>0,m</m:t>
                      </m:r>
                    </m:sup>
                  </m:sSubSup>
                  <m:r>
                    <w:rPr>
                      <w:rFonts w:ascii="Cambria Math" w:hAnsi="Cambria Math"/>
                    </w:rPr>
                    <m:t>+</m:t>
                  </m:r>
                  <m:r>
                    <m:rPr>
                      <m:sty m:val="p"/>
                    </m:rPr>
                    <w:rPr>
                      <w:rFonts w:ascii="Cambria Math" w:hAnsi="Cambria Math"/>
                    </w:rPr>
                    <m:t>ΒΓ</m:t>
                  </m:r>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1,1</m:t>
                      </m:r>
                    </m:sub>
                    <m:sup>
                      <m:r>
                        <m:rPr>
                          <m:sty m:val="p"/>
                        </m:rPr>
                        <w:rPr>
                          <w:rFonts w:ascii="Cambria Math" w:hAnsi="Cambria Math"/>
                        </w:rPr>
                        <m:t>0,m</m:t>
                      </m:r>
                    </m:sup>
                  </m:sSubSup>
                </m:e>
              </m:nary>
            </m:den>
          </m:f>
        </m:oMath>
      </m:oMathPara>
    </w:p>
    <w:p w14:paraId="0CD234EF" w14:textId="77777777" w:rsidR="008260A4" w:rsidRDefault="008260A4" w:rsidP="00105865">
      <w:pPr>
        <w:spacing w:line="240" w:lineRule="auto"/>
      </w:pPr>
    </w:p>
    <w:p w14:paraId="77455DBB" w14:textId="77777777" w:rsidR="008260A4" w:rsidRDefault="008260A4" w:rsidP="00105865">
      <w:pPr>
        <w:spacing w:line="240" w:lineRule="auto"/>
      </w:pPr>
    </w:p>
    <w:p w14:paraId="3B29D5E1" w14:textId="77777777" w:rsidR="008260A4" w:rsidRDefault="008260A4" w:rsidP="00105865">
      <w:pPr>
        <w:spacing w:line="240" w:lineRule="auto"/>
      </w:pPr>
      <w:r>
        <w:t xml:space="preserve">Define </w:t>
      </w:r>
      <m:oMath>
        <m:sSub>
          <m:sSubPr>
            <m:ctrlPr>
              <w:rPr>
                <w:rFonts w:ascii="Cambria Math" w:hAnsi="Cambria Math"/>
                <w:i/>
              </w:rPr>
            </m:ctrlPr>
          </m:sSubPr>
          <m:e>
            <m:r>
              <m:rPr>
                <m:sty m:val="p"/>
              </m:rPr>
              <w:rPr>
                <w:rFonts w:ascii="Cambria Math" w:hAnsi="Cambria Math"/>
              </w:rPr>
              <m:t>Λ</m:t>
            </m:r>
            <m:ctrlPr>
              <w:rPr>
                <w:rFonts w:ascii="Cambria Math" w:hAnsi="Cambria Math"/>
              </w:rPr>
            </m:ctrlPr>
          </m:e>
          <m:sub>
            <m:r>
              <w:rPr>
                <w:rFonts w:ascii="Cambria Math" w:hAnsi="Cambria Math"/>
              </w:rPr>
              <m:t>i,j</m:t>
            </m:r>
          </m:sub>
        </m:sSub>
      </m:oMath>
      <w:r>
        <w:t xml:space="preserve"> as the multiplier of the force of infection which depends on OST/homeless status where</w:t>
      </w:r>
    </w:p>
    <w:p w14:paraId="4EFEF7D2" w14:textId="77777777" w:rsidR="008260A4" w:rsidRDefault="00631C42" w:rsidP="00105865">
      <w:pPr>
        <w:spacing w:line="240" w:lineRule="auto"/>
      </w:pPr>
      <m:oMathPara>
        <m:oMath>
          <m:sSub>
            <m:sSubPr>
              <m:ctrlPr>
                <w:rPr>
                  <w:rFonts w:ascii="Cambria Math" w:hAnsi="Cambria Math"/>
                  <w:i/>
                </w:rPr>
              </m:ctrlPr>
            </m:sSubPr>
            <m:e>
              <m:r>
                <m:rPr>
                  <m:sty m:val="p"/>
                </m:rPr>
                <w:rPr>
                  <w:rFonts w:ascii="Cambria Math" w:hAnsi="Cambria Math"/>
                </w:rPr>
                <m:t>Λ</m:t>
              </m:r>
              <m:ctrlPr>
                <w:rPr>
                  <w:rFonts w:ascii="Cambria Math" w:hAnsi="Cambria Math"/>
                </w:rPr>
              </m:ctrlPr>
            </m:e>
            <m:sub>
              <m:r>
                <w:rPr>
                  <w:rFonts w:ascii="Cambria Math" w:hAnsi="Cambria Math"/>
                </w:rPr>
                <m:t>0,0</m:t>
              </m:r>
            </m:sub>
          </m:sSub>
          <m:r>
            <w:rPr>
              <w:rFonts w:ascii="Cambria Math" w:hAnsi="Cambria Math"/>
            </w:rPr>
            <m:t>=1,</m:t>
          </m:r>
          <m:sSub>
            <m:sSubPr>
              <m:ctrlPr>
                <w:rPr>
                  <w:rFonts w:ascii="Cambria Math" w:hAnsi="Cambria Math"/>
                  <w:i/>
                </w:rPr>
              </m:ctrlPr>
            </m:sSubPr>
            <m:e>
              <m:r>
                <m:rPr>
                  <m:sty m:val="p"/>
                </m:rPr>
                <w:rPr>
                  <w:rFonts w:ascii="Cambria Math" w:hAnsi="Cambria Math"/>
                </w:rPr>
                <m:t>Λ</m:t>
              </m:r>
            </m:e>
            <m:sub>
              <m:r>
                <w:rPr>
                  <w:rFonts w:ascii="Cambria Math" w:hAnsi="Cambria Math"/>
                </w:rPr>
                <m:t>1,0</m:t>
              </m:r>
            </m:sub>
          </m:sSub>
          <m:r>
            <w:rPr>
              <w:rFonts w:ascii="Cambria Math" w:hAnsi="Cambria Math"/>
            </w:rPr>
            <m:t>=</m:t>
          </m:r>
          <m:r>
            <m:rPr>
              <m:sty m:val="p"/>
            </m:rPr>
            <w:rPr>
              <w:rFonts w:ascii="Cambria Math" w:hAnsi="Cambria Math"/>
            </w:rPr>
            <m:t>Β</m:t>
          </m:r>
          <m:r>
            <w:rPr>
              <w:rFonts w:ascii="Cambria Math" w:hAnsi="Cambria Math"/>
            </w:rPr>
            <m:t>,</m:t>
          </m:r>
          <m:sSub>
            <m:sSubPr>
              <m:ctrlPr>
                <w:rPr>
                  <w:rFonts w:ascii="Cambria Math" w:hAnsi="Cambria Math"/>
                  <w:i/>
                </w:rPr>
              </m:ctrlPr>
            </m:sSubPr>
            <m:e>
              <m:r>
                <m:rPr>
                  <m:sty m:val="p"/>
                </m:rPr>
                <w:rPr>
                  <w:rFonts w:ascii="Cambria Math" w:hAnsi="Cambria Math"/>
                </w:rPr>
                <m:t>Λ</m:t>
              </m:r>
            </m:e>
            <m:sub>
              <m:r>
                <w:rPr>
                  <w:rFonts w:ascii="Cambria Math" w:hAnsi="Cambria Math"/>
                </w:rPr>
                <m:t>0,1</m:t>
              </m:r>
            </m:sub>
          </m:sSub>
          <m:r>
            <w:rPr>
              <w:rFonts w:ascii="Cambria Math" w:hAnsi="Cambria Math"/>
            </w:rPr>
            <m:t>=</m:t>
          </m:r>
          <m:r>
            <m:rPr>
              <m:sty m:val="p"/>
            </m:rPr>
            <w:rPr>
              <w:rFonts w:ascii="Cambria Math" w:hAnsi="Cambria Math"/>
            </w:rPr>
            <m:t>Γ</m:t>
          </m:r>
          <m:r>
            <w:rPr>
              <w:rFonts w:ascii="Cambria Math" w:hAnsi="Cambria Math"/>
            </w:rPr>
            <m:t>,</m:t>
          </m:r>
          <m:sSub>
            <m:sSubPr>
              <m:ctrlPr>
                <w:rPr>
                  <w:rFonts w:ascii="Cambria Math" w:hAnsi="Cambria Math"/>
                  <w:i/>
                </w:rPr>
              </m:ctrlPr>
            </m:sSubPr>
            <m:e>
              <m:r>
                <m:rPr>
                  <m:sty m:val="p"/>
                </m:rPr>
                <w:rPr>
                  <w:rFonts w:ascii="Cambria Math" w:hAnsi="Cambria Math"/>
                </w:rPr>
                <m:t>Λ</m:t>
              </m:r>
            </m:e>
            <m:sub>
              <m:r>
                <w:rPr>
                  <w:rFonts w:ascii="Cambria Math" w:hAnsi="Cambria Math"/>
                </w:rPr>
                <m:t>1,1</m:t>
              </m:r>
            </m:sub>
          </m:sSub>
          <m:r>
            <w:rPr>
              <w:rFonts w:ascii="Cambria Math" w:hAnsi="Cambria Math"/>
            </w:rPr>
            <m:t>=</m:t>
          </m:r>
          <m:r>
            <m:rPr>
              <m:sty m:val="p"/>
            </m:rPr>
            <w:rPr>
              <w:rFonts w:ascii="Cambria Math" w:hAnsi="Cambria Math"/>
            </w:rPr>
            <m:t>ΒΓ</m:t>
          </m:r>
        </m:oMath>
      </m:oMathPara>
    </w:p>
    <w:p w14:paraId="558586AF" w14:textId="223B4FC0" w:rsidR="008260A4" w:rsidRPr="00520519" w:rsidRDefault="008260A4" w:rsidP="00105865">
      <w:pPr>
        <w:spacing w:line="240" w:lineRule="auto"/>
      </w:pPr>
      <w:r>
        <w:t xml:space="preserve">  This allows the following system of equations for the infection part of the model</w:t>
      </w:r>
    </w:p>
    <w:p w14:paraId="7E8CC95A" w14:textId="77777777" w:rsidR="008260A4" w:rsidRDefault="008260A4" w:rsidP="00105865">
      <w:pPr>
        <w:spacing w:line="240" w:lineRule="auto"/>
      </w:pPr>
    </w:p>
    <w:p w14:paraId="7A158378" w14:textId="77777777" w:rsidR="008260A4" w:rsidRPr="003538FD" w:rsidRDefault="00631C42" w:rsidP="00105865">
      <w:pPr>
        <w:spacing w:line="240" w:lineRule="auto"/>
      </w:pPr>
      <m:oMathPara>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S</m:t>
                  </m:r>
                </m:e>
              </m:acc>
            </m:e>
            <m:sub>
              <m:r>
                <w:rPr>
                  <w:rFonts w:ascii="Cambria Math" w:hAnsi="Cambria Math"/>
                </w:rPr>
                <m:t>i,j</m:t>
              </m:r>
            </m:sub>
            <m:sup>
              <m:r>
                <w:rPr>
                  <w:rFonts w:ascii="Cambria Math" w:hAnsi="Cambria Math"/>
                </w:rPr>
                <m:t>0,m</m:t>
              </m:r>
            </m:sup>
          </m:sSubSup>
          <m:r>
            <m:rPr>
              <m:aln/>
            </m:rPr>
            <w:rPr>
              <w:rFonts w:ascii="Cambria Math" w:hAnsi="Cambria Math"/>
            </w:rPr>
            <m:t xml:space="preserve">=θ-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+ν+</m:t>
              </m:r>
              <m:sSub>
                <m:sSubPr>
                  <m:ctrlPr>
                    <w:rPr>
                      <w:rFonts w:ascii="Cambria Math" w:hAnsi="Cambria Math"/>
                    </w:rPr>
                  </m:ctrlPr>
                </m:sSubPr>
                <m:e>
                  <m:r>
                    <m:rPr>
                      <m:sty m:val="p"/>
                    </m:rPr>
                    <w:rPr>
                      <w:rFonts w:ascii="Cambria Math" w:hAnsi="Cambria Math"/>
                    </w:rPr>
                    <m:t>Λ</m:t>
                  </m:r>
                  <m:ctrlPr>
                    <w:rPr>
                      <w:rFonts w:ascii="Cambria Math" w:hAnsi="Cambria Math"/>
                      <w:i/>
                    </w:rPr>
                  </m:ctrlPr>
                </m:e>
                <m:sub>
                  <m:r>
                    <m:rPr>
                      <m:sty m:val="p"/>
                    </m:rPr>
                    <w:rPr>
                      <w:rFonts w:ascii="Cambria Math" w:hAnsi="Cambria Math"/>
                    </w:rPr>
                    <m:t>i,j</m:t>
                  </m:r>
                </m:sub>
              </m:sSub>
              <m:r>
                <w:rPr>
                  <w:rFonts w:ascii="Cambria Math" w:hAnsi="Cambria Math"/>
                </w:rPr>
                <m:t>ϕ</m:t>
              </m:r>
            </m:e>
          </m:d>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E</m:t>
                  </m:r>
                </m:e>
              </m:acc>
            </m:e>
            <m:sub>
              <m:r>
                <w:rPr>
                  <w:rFonts w:ascii="Cambria Math" w:hAnsi="Cambria Math"/>
                </w:rPr>
                <m:t>i,j</m:t>
              </m:r>
            </m:sub>
            <m:sup>
              <m:r>
                <w:rPr>
                  <w:rFonts w:ascii="Cambria Math" w:hAnsi="Cambria Math"/>
                </w:rPr>
                <m:t>0,m</m:t>
              </m:r>
            </m:sup>
          </m:sSubSup>
          <m:r>
            <m:rPr>
              <m:aln/>
            </m:rPr>
            <w:rPr>
              <w:rFonts w:ascii="Cambria Math" w:hAnsi="Cambria Math"/>
            </w:rPr>
            <m:t>=</m:t>
          </m:r>
          <m:r>
            <w:rPr>
              <w:rFonts w:ascii="Cambria Math" w:eastAsia="Cambria Math" w:hAnsi="Cambria Math" w:cs="Cambria Math"/>
            </w:rPr>
            <m:t xml:space="preserve"> δ</m:t>
          </m:r>
          <m:sSub>
            <m:sSubPr>
              <m:ctrlPr>
                <w:rPr>
                  <w:rFonts w:ascii="Cambria Math" w:eastAsia="Cambria Math" w:hAnsi="Cambria Math" w:cs="Cambria Math"/>
                  <w:i/>
                </w:rPr>
              </m:ctrlPr>
            </m:sSubPr>
            <m:e>
              <m:r>
                <m:rPr>
                  <m:sty m:val="p"/>
                </m:rPr>
                <w:rPr>
                  <w:rFonts w:ascii="Cambria Math" w:eastAsia="Cambria Math" w:hAnsi="Cambria Math" w:cs="Cambria Math"/>
                </w:rPr>
                <m:t>Λ</m:t>
              </m:r>
              <m:ctrlPr>
                <w:rPr>
                  <w:rFonts w:ascii="Cambria Math" w:eastAsia="Cambria Math" w:hAnsi="Cambria Math" w:cs="Cambria Math"/>
                </w:rPr>
              </m:ctrlPr>
            </m:e>
            <m:sub>
              <m:r>
                <w:rPr>
                  <w:rFonts w:ascii="Cambria Math" w:eastAsia="Cambria Math" w:hAnsi="Cambria Math" w:cs="Cambria Math"/>
                </w:rPr>
                <m:t>i,j</m:t>
              </m:r>
            </m:sub>
          </m:sSub>
          <m:r>
            <w:rPr>
              <w:rFonts w:ascii="Cambria Math" w:eastAsia="Cambria Math" w:hAnsi="Cambria Math" w:cs="Cambria Math"/>
            </w:rPr>
            <m:t>ϕ</m:t>
          </m:r>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0,m</m:t>
              </m:r>
            </m:sup>
          </m:sSubSup>
          <m:r>
            <w:rPr>
              <w:rFonts w:ascii="Cambria Math" w:hAnsi="Cambria Math"/>
            </w:rPr>
            <m:t>-</m:t>
          </m:r>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μ</m:t>
                  </m:r>
                </m:e>
                <m:sub>
                  <m:r>
                    <w:rPr>
                      <w:rFonts w:ascii="Cambria Math" w:eastAsia="Cambria Math" w:hAnsi="Cambria Math" w:cs="Cambria Math"/>
                    </w:rPr>
                    <m:t>1</m:t>
                  </m:r>
                </m:sub>
              </m:sSub>
              <m:r>
                <w:rPr>
                  <w:rFonts w:ascii="Cambria Math" w:eastAsia="Cambria Math" w:hAnsi="Cambria Math" w:cs="Cambria Math"/>
                </w:rPr>
                <m:t>+ν+</m:t>
              </m:r>
              <m:d>
                <m:dPr>
                  <m:ctrlPr>
                    <w:rPr>
                      <w:rFonts w:ascii="Cambria Math" w:eastAsia="Cambria Math" w:hAnsi="Cambria Math" w:cs="Cambria Math"/>
                      <w:i/>
                    </w:rPr>
                  </m:ctrlPr>
                </m:dPr>
                <m:e>
                  <m:r>
                    <w:rPr>
                      <w:rFonts w:ascii="Cambria Math" w:eastAsia="Cambria Math" w:hAnsi="Cambria Math" w:cs="Cambria Math"/>
                    </w:rPr>
                    <m:t>1-δ</m:t>
                  </m:r>
                </m:e>
              </m:d>
              <m:sSub>
                <m:sSubPr>
                  <m:ctrlPr>
                    <w:rPr>
                      <w:rFonts w:ascii="Cambria Math" w:eastAsia="Cambria Math" w:hAnsi="Cambria Math" w:cs="Cambria Math"/>
                      <w:i/>
                    </w:rPr>
                  </m:ctrlPr>
                </m:sSubPr>
                <m:e>
                  <m:r>
                    <m:rPr>
                      <m:sty m:val="p"/>
                    </m:rPr>
                    <w:rPr>
                      <w:rFonts w:ascii="Cambria Math" w:eastAsia="Cambria Math" w:hAnsi="Cambria Math" w:cs="Cambria Math"/>
                    </w:rPr>
                    <m:t>Λ</m:t>
                  </m:r>
                  <m:ctrlPr>
                    <w:rPr>
                      <w:rFonts w:ascii="Cambria Math" w:eastAsia="Cambria Math" w:hAnsi="Cambria Math" w:cs="Cambria Math"/>
                    </w:rPr>
                  </m:ctrlPr>
                </m:e>
                <m:sub>
                  <m:r>
                    <w:rPr>
                      <w:rFonts w:ascii="Cambria Math" w:eastAsia="Cambria Math" w:hAnsi="Cambria Math" w:cs="Cambria Math"/>
                    </w:rPr>
                    <m:t>i,j</m:t>
                  </m:r>
                </m:sub>
              </m:sSub>
              <m:r>
                <w:rPr>
                  <w:rFonts w:ascii="Cambria Math" w:eastAsia="Cambria Math" w:hAnsi="Cambria Math" w:cs="Cambria Math"/>
                </w:rPr>
                <m:t>ϕ</m:t>
              </m:r>
            </m:e>
          </m:d>
          <m:sSubSup>
            <m:sSubSupPr>
              <m:ctrlPr>
                <w:rPr>
                  <w:rFonts w:ascii="Cambria Math" w:hAnsi="Cambria Math"/>
                  <w:i/>
                </w:rPr>
              </m:ctrlPr>
            </m:sSubSupPr>
            <m:e>
              <m:r>
                <w:rPr>
                  <w:rFonts w:ascii="Cambria Math" w:hAnsi="Cambria Math"/>
                </w:rPr>
                <m:t>E</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C</m:t>
                  </m:r>
                </m:e>
              </m:acc>
            </m:e>
            <m:sub>
              <m:r>
                <w:rPr>
                  <w:rFonts w:ascii="Cambria Math" w:hAnsi="Cambria Math"/>
                </w:rPr>
                <m:t>i,j</m:t>
              </m:r>
            </m:sub>
            <m:sup>
              <m:r>
                <w:rPr>
                  <w:rFonts w:ascii="Cambria Math" w:hAnsi="Cambria Math"/>
                </w:rPr>
                <m:t>0,m</m:t>
              </m:r>
            </m:sup>
          </m:sSubSup>
          <m:r>
            <m:rPr>
              <m:aln/>
            </m:rPr>
            <w:rPr>
              <w:rFonts w:ascii="Cambria Math" w:hAnsi="Cambria Math"/>
            </w:rPr>
            <m:t>=</m:t>
          </m:r>
          <m:sSubSup>
            <m:sSubSupPr>
              <m:ctrlPr>
                <w:rPr>
                  <w:rFonts w:ascii="Cambria Math" w:hAnsi="Cambria Math"/>
                  <w:i/>
                </w:rPr>
              </m:ctrlPr>
            </m:sSubSupPr>
            <m:e>
              <m:d>
                <m:dPr>
                  <m:ctrlPr>
                    <w:rPr>
                      <w:rFonts w:ascii="Cambria Math" w:eastAsia="Cambria Math" w:hAnsi="Cambria Math" w:cs="Cambria Math"/>
                      <w:i/>
                    </w:rPr>
                  </m:ctrlPr>
                </m:dPr>
                <m:e>
                  <m:r>
                    <w:rPr>
                      <w:rFonts w:ascii="Cambria Math" w:eastAsia="Cambria Math" w:hAnsi="Cambria Math" w:cs="Cambria Math"/>
                    </w:rPr>
                    <m:t>1-δ</m:t>
                  </m:r>
                </m:e>
              </m:d>
              <m:sSub>
                <m:sSubPr>
                  <m:ctrlPr>
                    <w:rPr>
                      <w:rFonts w:ascii="Cambria Math" w:eastAsia="Cambria Math" w:hAnsi="Cambria Math" w:cs="Cambria Math"/>
                      <w:i/>
                    </w:rPr>
                  </m:ctrlPr>
                </m:sSubPr>
                <m:e>
                  <m:r>
                    <m:rPr>
                      <m:sty m:val="p"/>
                    </m:rPr>
                    <w:rPr>
                      <w:rFonts w:ascii="Cambria Math" w:eastAsia="Cambria Math" w:hAnsi="Cambria Math" w:cs="Cambria Math"/>
                    </w:rPr>
                    <m:t>Λ</m:t>
                  </m:r>
                  <m:ctrlPr>
                    <w:rPr>
                      <w:rFonts w:ascii="Cambria Math" w:eastAsia="Cambria Math" w:hAnsi="Cambria Math" w:cs="Cambria Math"/>
                    </w:rPr>
                  </m:ctrlPr>
                </m:e>
                <m:sub>
                  <m:r>
                    <w:rPr>
                      <w:rFonts w:ascii="Cambria Math" w:eastAsia="Cambria Math" w:hAnsi="Cambria Math" w:cs="Cambria Math"/>
                    </w:rPr>
                    <m:t>i,j</m:t>
                  </m:r>
                </m:sub>
              </m:sSub>
              <m:r>
                <w:rPr>
                  <w:rFonts w:ascii="Cambria Math" w:eastAsia="Cambria Math" w:hAnsi="Cambria Math" w:cs="Cambria Math"/>
                </w:rPr>
                <m:t>ϕ</m:t>
              </m:r>
              <m:r>
                <w:rPr>
                  <w:rFonts w:ascii="Cambria Math" w:hAnsi="Cambria Math"/>
                </w:rPr>
                <m:t>S</m:t>
              </m:r>
            </m:e>
            <m:sub>
              <m:r>
                <w:rPr>
                  <w:rFonts w:ascii="Cambria Math" w:hAnsi="Cambria Math"/>
                </w:rPr>
                <m:t>i,j</m:t>
              </m:r>
            </m:sub>
            <m:sup>
              <m:r>
                <w:rPr>
                  <w:rFonts w:ascii="Cambria Math" w:hAnsi="Cambria Math"/>
                </w:rPr>
                <m:t>0,m</m:t>
              </m:r>
            </m:sup>
          </m:sSubSup>
          <m:r>
            <w:rPr>
              <w:rFonts w:ascii="Cambria Math" w:hAnsi="Cambria Math"/>
            </w:rPr>
            <m:t>+</m:t>
          </m:r>
          <m:d>
            <m:dPr>
              <m:ctrlPr>
                <w:rPr>
                  <w:rFonts w:ascii="Cambria Math" w:eastAsia="Cambria Math" w:hAnsi="Cambria Math" w:cs="Cambria Math"/>
                  <w:i/>
                </w:rPr>
              </m:ctrlPr>
            </m:dPr>
            <m:e>
              <m:r>
                <w:rPr>
                  <w:rFonts w:ascii="Cambria Math" w:eastAsia="Cambria Math" w:hAnsi="Cambria Math" w:cs="Cambria Math"/>
                </w:rPr>
                <m:t>1-δ</m:t>
              </m:r>
            </m:e>
          </m:d>
          <m:sSub>
            <m:sSubPr>
              <m:ctrlPr>
                <w:rPr>
                  <w:rFonts w:ascii="Cambria Math" w:eastAsia="Cambria Math" w:hAnsi="Cambria Math" w:cs="Cambria Math"/>
                  <w:i/>
                </w:rPr>
              </m:ctrlPr>
            </m:sSubPr>
            <m:e>
              <m:r>
                <m:rPr>
                  <m:sty m:val="p"/>
                </m:rPr>
                <w:rPr>
                  <w:rFonts w:ascii="Cambria Math" w:eastAsia="Cambria Math" w:hAnsi="Cambria Math" w:cs="Cambria Math"/>
                </w:rPr>
                <m:t>Λ</m:t>
              </m:r>
              <m:ctrlPr>
                <w:rPr>
                  <w:rFonts w:ascii="Cambria Math" w:eastAsia="Cambria Math" w:hAnsi="Cambria Math" w:cs="Cambria Math"/>
                </w:rPr>
              </m:ctrlPr>
            </m:e>
            <m:sub>
              <m:r>
                <w:rPr>
                  <w:rFonts w:ascii="Cambria Math" w:eastAsia="Cambria Math" w:hAnsi="Cambria Math" w:cs="Cambria Math"/>
                </w:rPr>
                <m:t>i,j</m:t>
              </m:r>
            </m:sub>
          </m:sSub>
          <m:r>
            <w:rPr>
              <w:rFonts w:ascii="Cambria Math" w:eastAsia="Cambria Math" w:hAnsi="Cambria Math" w:cs="Cambria Math"/>
            </w:rPr>
            <m:t>ϕ</m:t>
          </m:r>
          <m:sSubSup>
            <m:sSubSupPr>
              <m:ctrlPr>
                <w:rPr>
                  <w:rFonts w:ascii="Cambria Math" w:hAnsi="Cambria Math"/>
                  <w:i/>
                </w:rPr>
              </m:ctrlPr>
            </m:sSubSupPr>
            <m:e>
              <m:r>
                <w:rPr>
                  <w:rFonts w:ascii="Cambria Math" w:hAnsi="Cambria Math"/>
                </w:rPr>
                <m:t>E</m:t>
              </m:r>
            </m:e>
            <m:sub>
              <m:r>
                <w:rPr>
                  <w:rFonts w:ascii="Cambria Math" w:hAnsi="Cambria Math"/>
                </w:rPr>
                <m:t>i,j</m:t>
              </m:r>
            </m:sub>
            <m:sup>
              <m:r>
                <w:rPr>
                  <w:rFonts w:ascii="Cambria Math" w:hAnsi="Cambria Math"/>
                </w:rPr>
                <m:t>0,m</m:t>
              </m:r>
            </m:sup>
          </m:sSub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+ν+</m:t>
          </m:r>
          <m:sSub>
            <m:sSubPr>
              <m:ctrlPr>
                <w:rPr>
                  <w:rFonts w:ascii="Cambria Math" w:hAnsi="Cambria Math"/>
                  <w:i/>
                </w:rPr>
              </m:ctrlPr>
            </m:sSubPr>
            <m:e>
              <m:r>
                <w:rPr>
                  <w:rFonts w:ascii="Cambria Math" w:hAnsi="Cambria Math"/>
                </w:rPr>
                <m:t>τ</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D</m:t>
                  </m:r>
                </m:e>
              </m:acc>
            </m:e>
            <m:sub>
              <m:r>
                <w:rPr>
                  <w:rFonts w:ascii="Cambria Math" w:hAnsi="Cambria Math"/>
                </w:rPr>
                <m:t>i,j</m:t>
              </m:r>
            </m:sub>
            <m:sup>
              <m:r>
                <w:rPr>
                  <w:rFonts w:ascii="Cambria Math" w:hAnsi="Cambria Math"/>
                </w:rPr>
                <m:t>0,m</m:t>
              </m:r>
            </m:sup>
          </m:sSubSup>
          <m:r>
            <m:rPr>
              <m:aln/>
            </m:rP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i</m:t>
              </m:r>
            </m:sub>
          </m:sSub>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0,m</m:t>
              </m:r>
            </m:sup>
          </m:sSubSup>
          <m:r>
            <w:rPr>
              <w:rFonts w:ascii="Cambria Math" w:hAnsi="Cambria Math"/>
            </w:rPr>
            <m:t>-</m:t>
          </m:r>
          <m:d>
            <m:dPr>
              <m:ctrlPr>
                <w:rPr>
                  <w:rFonts w:ascii="Cambria Math" w:hAnsi="Cambria Math"/>
                  <w:i/>
                </w:rPr>
              </m:ctrlPr>
            </m:dPr>
            <m:e>
              <m:sSub>
                <m:sSubPr>
                  <m:ctrlPr>
                    <w:rPr>
                      <w:rFonts w:ascii="Cambria Math" w:eastAsia="Cambria Math" w:hAnsi="Cambria Math" w:cs="Cambria Math"/>
                      <w:i/>
                    </w:rPr>
                  </m:ctrlPr>
                </m:sSubPr>
                <m:e>
                  <m:r>
                    <w:rPr>
                      <w:rFonts w:ascii="Cambria Math" w:eastAsia="Cambria Math" w:hAnsi="Cambria Math" w:cs="Cambria Math"/>
                    </w:rPr>
                    <m:t>μ</m:t>
                  </m:r>
                </m:e>
                <m:sub>
                  <m:r>
                    <w:rPr>
                      <w:rFonts w:ascii="Cambria Math" w:eastAsia="Cambria Math" w:hAnsi="Cambria Math" w:cs="Cambria Math"/>
                    </w:rPr>
                    <m:t>1</m:t>
                  </m:r>
                </m:sub>
              </m:sSub>
              <m:r>
                <w:rPr>
                  <w:rFonts w:ascii="Cambria Math" w:eastAsia="Cambria Math" w:hAnsi="Cambria Math" w:cs="Cambria Math"/>
                </w:rPr>
                <m:t>+ν+ϵ+</m:t>
              </m:r>
              <m:sSub>
                <m:sSubPr>
                  <m:ctrlPr>
                    <w:rPr>
                      <w:rFonts w:ascii="Cambria Math" w:eastAsia="Cambria Math" w:hAnsi="Cambria Math" w:cs="Cambria Math"/>
                      <w:i/>
                    </w:rPr>
                  </m:ctrlPr>
                </m:sSubPr>
                <m:e>
                  <m:r>
                    <w:rPr>
                      <w:rFonts w:ascii="Cambria Math" w:eastAsia="Cambria Math" w:hAnsi="Cambria Math" w:cs="Cambria Math"/>
                    </w:rPr>
                    <m:t>ρ</m:t>
                  </m:r>
                </m:e>
                <m:sub>
                  <m:r>
                    <w:rPr>
                      <w:rFonts w:ascii="Cambria Math" w:eastAsia="Cambria Math" w:hAnsi="Cambria Math" w:cs="Cambria Math"/>
                    </w:rPr>
                    <m:t>d</m:t>
                  </m:r>
                </m:sub>
              </m:sSub>
            </m:e>
          </m:d>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L</m:t>
                  </m:r>
                </m:e>
              </m:acc>
            </m:e>
            <m:sub>
              <m:r>
                <w:rPr>
                  <w:rFonts w:ascii="Cambria Math" w:hAnsi="Cambria Math"/>
                </w:rPr>
                <m:t>i,j</m:t>
              </m:r>
            </m:sub>
            <m:sup>
              <m:r>
                <w:rPr>
                  <w:rFonts w:ascii="Cambria Math" w:hAnsi="Cambria Math"/>
                </w:rPr>
                <m:t>0,m</m:t>
              </m:r>
            </m:sup>
          </m:sSubSup>
          <m:r>
            <m:rPr>
              <m:aln/>
            </m:rPr>
            <w:rPr>
              <w:rFonts w:ascii="Cambria Math" w:hAnsi="Cambria Math"/>
            </w:rPr>
            <m:t>=η</m:t>
          </m:r>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0,m</m:t>
              </m:r>
            </m:sup>
          </m:sSubSup>
          <m:r>
            <w:rPr>
              <w:rFonts w:ascii="Cambria Math" w:hAnsi="Cambria Math"/>
            </w:rPr>
            <m:t>-</m:t>
          </m:r>
          <m:d>
            <m:dPr>
              <m:ctrlPr>
                <w:rPr>
                  <w:rFonts w:ascii="Cambria Math" w:hAnsi="Cambria Math"/>
                  <w:i/>
                </w:rPr>
              </m:ctrlPr>
            </m:dPr>
            <m:e>
              <m:sSub>
                <m:sSubPr>
                  <m:ctrlPr>
                    <w:rPr>
                      <w:rFonts w:ascii="Cambria Math" w:eastAsia="Cambria Math" w:hAnsi="Cambria Math" w:cs="Cambria Math"/>
                      <w:i/>
                    </w:rPr>
                  </m:ctrlPr>
                </m:sSubPr>
                <m:e>
                  <m:r>
                    <w:rPr>
                      <w:rFonts w:ascii="Cambria Math" w:eastAsia="Cambria Math" w:hAnsi="Cambria Math" w:cs="Cambria Math"/>
                    </w:rPr>
                    <m:t>μ</m:t>
                  </m:r>
                </m:e>
                <m:sub>
                  <m:r>
                    <w:rPr>
                      <w:rFonts w:ascii="Cambria Math" w:eastAsia="Cambria Math" w:hAnsi="Cambria Math" w:cs="Cambria Math"/>
                    </w:rPr>
                    <m:t>1</m:t>
                  </m:r>
                </m:sub>
              </m:sSub>
              <m:r>
                <w:rPr>
                  <w:rFonts w:ascii="Cambria Math" w:eastAsia="Cambria Math" w:hAnsi="Cambria Math" w:cs="Cambria Math"/>
                </w:rPr>
                <m:t>+ν+</m:t>
              </m:r>
              <m:sSubSup>
                <m:sSubSupPr>
                  <m:ctrlPr>
                    <w:rPr>
                      <w:rFonts w:ascii="Cambria Math" w:eastAsia="Cambria Math" w:hAnsi="Cambria Math" w:cs="Cambria Math"/>
                      <w:i/>
                    </w:rPr>
                  </m:ctrlPr>
                </m:sSubSupPr>
                <m:e>
                  <m:r>
                    <w:rPr>
                      <w:rFonts w:ascii="Cambria Math" w:eastAsia="Cambria Math" w:hAnsi="Cambria Math" w:cs="Cambria Math"/>
                    </w:rPr>
                    <m:t>ρ</m:t>
                  </m:r>
                </m:e>
                <m:sub>
                  <m:r>
                    <w:rPr>
                      <w:rFonts w:ascii="Cambria Math" w:eastAsia="Cambria Math" w:hAnsi="Cambria Math" w:cs="Cambria Math"/>
                    </w:rPr>
                    <m:t>l</m:t>
                  </m:r>
                </m:sub>
                <m:sup>
                  <m:r>
                    <w:rPr>
                      <w:rFonts w:ascii="Cambria Math" w:eastAsia="Cambria Math" w:hAnsi="Cambria Math" w:cs="Cambria Math"/>
                    </w:rPr>
                    <m:t>m</m:t>
                  </m:r>
                </m:sup>
              </m:sSubSup>
            </m:e>
          </m:d>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N</m:t>
                  </m:r>
                </m:e>
              </m:acc>
            </m:e>
            <m:sub>
              <m:r>
                <w:rPr>
                  <w:rFonts w:ascii="Cambria Math" w:hAnsi="Cambria Math"/>
                </w:rPr>
                <m:t>i,j</m:t>
              </m:r>
            </m:sub>
            <m:sup>
              <m:r>
                <w:rPr>
                  <w:rFonts w:ascii="Cambria Math" w:hAnsi="Cambria Math"/>
                </w:rPr>
                <m:t>0,m</m:t>
              </m:r>
            </m:sup>
          </m:sSubSup>
          <m:r>
            <m:rPr>
              <m:aln/>
            </m:rP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d</m:t>
              </m:r>
            </m:sub>
          </m:sSub>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0,m</m:t>
              </m:r>
            </m:sup>
          </m:sSubSup>
          <m:r>
            <w:rPr>
              <w:rFonts w:ascii="Cambria Math" w:hAnsi="Cambria Math"/>
            </w:rPr>
            <m:t>+</m:t>
          </m:r>
          <m:sSubSup>
            <m:sSubSupPr>
              <m:ctrlPr>
                <w:rPr>
                  <w:rFonts w:ascii="Cambria Math" w:hAnsi="Cambria Math"/>
                  <w:i/>
                </w:rPr>
              </m:ctrlPr>
            </m:sSubSupPr>
            <m:e>
              <m:r>
                <w:rPr>
                  <w:rFonts w:ascii="Cambria Math" w:hAnsi="Cambria Math"/>
                </w:rPr>
                <m:t>ρ</m:t>
              </m:r>
            </m:e>
            <m:sub>
              <m:r>
                <w:rPr>
                  <w:rFonts w:ascii="Cambria Math" w:hAnsi="Cambria Math"/>
                </w:rPr>
                <m:t>L</m:t>
              </m:r>
            </m:sub>
            <m:sup>
              <m:r>
                <w:rPr>
                  <w:rFonts w:ascii="Cambria Math" w:hAnsi="Cambria Math"/>
                </w:rPr>
                <m:t>m</m:t>
              </m:r>
            </m:sup>
          </m:sSubSup>
          <m:sSubSup>
            <m:sSubSupPr>
              <m:ctrlPr>
                <w:rPr>
                  <w:rFonts w:ascii="Cambria Math" w:hAnsi="Cambria Math"/>
                  <w:i/>
                </w:rPr>
              </m:ctrlPr>
            </m:sSubSupPr>
            <m:e>
              <m:r>
                <w:rPr>
                  <w:rFonts w:ascii="Cambria Math" w:hAnsi="Cambria Math"/>
                </w:rPr>
                <m:t>L</m:t>
              </m:r>
            </m:e>
            <m:sub>
              <m:r>
                <w:rPr>
                  <w:rFonts w:ascii="Cambria Math" w:hAnsi="Cambria Math"/>
                </w:rPr>
                <m:t>i,j</m:t>
              </m:r>
            </m:sub>
            <m:sup>
              <m:r>
                <w:rPr>
                  <w:rFonts w:ascii="Cambria Math" w:hAnsi="Cambria Math"/>
                </w:rPr>
                <m:t>0,m</m:t>
              </m:r>
            </m:sup>
          </m:sSubSup>
          <m:r>
            <w:rPr>
              <w:rFonts w:ascii="Cambria Math" w:hAnsi="Cambria Math"/>
            </w:rPr>
            <m:t>-</m:t>
          </m:r>
          <m:d>
            <m:dPr>
              <m:ctrlPr>
                <w:rPr>
                  <w:rFonts w:ascii="Cambria Math" w:eastAsia="Cambria Math" w:hAnsi="Cambria Math" w:cs="Cambria Math"/>
                  <w:i/>
                </w:rPr>
              </m:ctrlPr>
            </m:dPr>
            <m:e>
              <m:sSub>
                <m:sSubPr>
                  <m:ctrlPr>
                    <w:rPr>
                      <w:rFonts w:ascii="Cambria Math" w:eastAsia="Cambria Math" w:hAnsi="Cambria Math" w:cs="Cambria Math"/>
                      <w:i/>
                    </w:rPr>
                  </m:ctrlPr>
                </m:sSubPr>
                <m:e>
                  <m:r>
                    <w:rPr>
                      <w:rFonts w:ascii="Cambria Math" w:eastAsia="Cambria Math" w:hAnsi="Cambria Math" w:cs="Cambria Math"/>
                    </w:rPr>
                    <m:t>μ</m:t>
                  </m:r>
                </m:e>
                <m:sub>
                  <m:r>
                    <w:rPr>
                      <w:rFonts w:ascii="Cambria Math" w:eastAsia="Cambria Math" w:hAnsi="Cambria Math" w:cs="Cambria Math"/>
                    </w:rPr>
                    <m:t>1</m:t>
                  </m:r>
                </m:sub>
              </m:sSub>
              <m:r>
                <w:rPr>
                  <w:rFonts w:ascii="Cambria Math" w:eastAsia="Cambria Math" w:hAnsi="Cambria Math" w:cs="Cambria Math"/>
                </w:rPr>
                <m:t>+ν+</m:t>
              </m:r>
              <m:sSup>
                <m:sSupPr>
                  <m:ctrlPr>
                    <w:rPr>
                      <w:rFonts w:ascii="Cambria Math" w:eastAsia="Cambria Math" w:hAnsi="Cambria Math" w:cs="Cambria Math"/>
                      <w:i/>
                    </w:rPr>
                  </m:ctrlPr>
                </m:sSupPr>
                <m:e>
                  <m:r>
                    <w:rPr>
                      <w:rFonts w:ascii="Cambria Math" w:eastAsia="Cambria Math" w:hAnsi="Cambria Math" w:cs="Cambria Math"/>
                    </w:rPr>
                    <m:t>ω</m:t>
                  </m:r>
                </m:e>
                <m:sup>
                  <m:r>
                    <w:rPr>
                      <w:rFonts w:ascii="Cambria Math" w:eastAsia="Cambria Math" w:hAnsi="Cambria Math" w:cs="Cambria Math"/>
                    </w:rPr>
                    <m:t>m</m:t>
                  </m:r>
                </m:sup>
              </m:sSup>
            </m:e>
          </m:d>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T</m:t>
                  </m:r>
                </m:e>
              </m:acc>
            </m:e>
            <m:sub>
              <m:r>
                <w:rPr>
                  <w:rFonts w:ascii="Cambria Math" w:hAnsi="Cambria Math"/>
                </w:rPr>
                <m:t>i,j</m:t>
              </m:r>
            </m:sub>
            <m:sup>
              <m:r>
                <w:rPr>
                  <w:rFonts w:ascii="Cambria Math" w:hAnsi="Cambria Math"/>
                </w:rPr>
                <m:t>0,m</m:t>
              </m:r>
            </m:sup>
          </m:sSubSup>
          <m:r>
            <m:rPr>
              <m:aln/>
            </m:rPr>
            <w:rPr>
              <w:rFonts w:ascii="Cambria Math" w:hAnsi="Cambria Math"/>
            </w:rPr>
            <m:t>=</m:t>
          </m:r>
          <m:sSup>
            <m:sSupPr>
              <m:ctrlPr>
                <w:rPr>
                  <w:rFonts w:ascii="Cambria Math" w:hAnsi="Cambria Math"/>
                  <w:i/>
                </w:rPr>
              </m:ctrlPr>
            </m:sSupPr>
            <m:e>
              <m:r>
                <w:rPr>
                  <w:rFonts w:ascii="Cambria Math" w:hAnsi="Cambria Math"/>
                </w:rPr>
                <m:t>ω</m:t>
              </m:r>
            </m:e>
            <m:sup>
              <m:r>
                <w:rPr>
                  <w:rFonts w:ascii="Cambria Math" w:hAnsi="Cambria Math"/>
                </w:rPr>
                <m:t>m</m:t>
              </m:r>
            </m:sup>
          </m:sSup>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0,m</m:t>
              </m:r>
            </m:sup>
          </m:sSubSup>
          <m:r>
            <w:rPr>
              <w:rFonts w:ascii="Cambria Math" w:hAnsi="Cambria Math"/>
            </w:rPr>
            <m:t>-</m:t>
          </m:r>
          <m:d>
            <m:dPr>
              <m:ctrlPr>
                <w:rPr>
                  <w:rFonts w:ascii="Cambria Math" w:hAnsi="Cambria Math"/>
                  <w:i/>
                </w:rPr>
              </m:ctrlPr>
            </m:dPr>
            <m:e>
              <m:sSub>
                <m:sSubPr>
                  <m:ctrlPr>
                    <w:rPr>
                      <w:rFonts w:ascii="Cambria Math" w:eastAsia="Cambria Math" w:hAnsi="Cambria Math" w:cs="Cambria Math"/>
                      <w:i/>
                    </w:rPr>
                  </m:ctrlPr>
                </m:sSubPr>
                <m:e>
                  <m:r>
                    <w:rPr>
                      <w:rFonts w:ascii="Cambria Math" w:eastAsia="Cambria Math" w:hAnsi="Cambria Math" w:cs="Cambria Math"/>
                    </w:rPr>
                    <m:t>μ</m:t>
                  </m:r>
                </m:e>
                <m:sub>
                  <m:r>
                    <w:rPr>
                      <w:rFonts w:ascii="Cambria Math" w:eastAsia="Cambria Math" w:hAnsi="Cambria Math" w:cs="Cambria Math"/>
                    </w:rPr>
                    <m:t>1</m:t>
                  </m:r>
                </m:sub>
              </m:sSub>
              <m:r>
                <w:rPr>
                  <w:rFonts w:ascii="Cambria Math" w:eastAsia="Cambria Math" w:hAnsi="Cambria Math" w:cs="Cambria Math"/>
                </w:rPr>
                <m:t>+ν+</m:t>
              </m:r>
              <m:sSup>
                <m:sSupPr>
                  <m:ctrlPr>
                    <w:rPr>
                      <w:rFonts w:ascii="Cambria Math" w:eastAsia="Cambria Math" w:hAnsi="Cambria Math" w:cs="Cambria Math"/>
                      <w:i/>
                    </w:rPr>
                  </m:ctrlPr>
                </m:sSupPr>
                <m:e>
                  <m:r>
                    <w:rPr>
                      <w:rFonts w:ascii="Cambria Math" w:eastAsia="Cambria Math" w:hAnsi="Cambria Math" w:cs="Cambria Math"/>
                    </w:rPr>
                    <m:t>σ</m:t>
                  </m:r>
                </m:e>
                <m:sup>
                  <m:r>
                    <w:rPr>
                      <w:rFonts w:ascii="Cambria Math" w:eastAsia="Cambria Math" w:hAnsi="Cambria Math" w:cs="Cambria Math"/>
                    </w:rPr>
                    <m:t>-1</m:t>
                  </m:r>
                </m:sup>
              </m:sSup>
            </m:e>
          </m:d>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i,j</m:t>
              </m:r>
            </m:sub>
            <m:sup>
              <m:r>
                <w:rPr>
                  <w:rFonts w:ascii="Cambria Math" w:hAnsi="Cambria Math"/>
                </w:rPr>
                <m:t>0,m</m:t>
              </m:r>
            </m:sup>
          </m:sSubSup>
          <m:r>
            <m:rPr>
              <m:aln/>
            </m:rPr>
            <w:rPr>
              <w:rFonts w:ascii="Cambria Math" w:hAnsi="Cambria Math"/>
            </w:rPr>
            <m:t>=α</m:t>
          </m:r>
          <m:sSubSup>
            <m:sSubSupPr>
              <m:ctrlPr>
                <w:rPr>
                  <w:rFonts w:ascii="Cambria Math" w:hAnsi="Cambria Math"/>
                  <w:i/>
                </w:rPr>
              </m:ctrlPr>
            </m:sSubSupPr>
            <m:e>
              <m:sSup>
                <m:sSupPr>
                  <m:ctrlPr>
                    <w:rPr>
                      <w:rFonts w:ascii="Cambria Math" w:hAnsi="Cambria Math"/>
                      <w:i/>
                    </w:rPr>
                  </m:ctrlPr>
                </m:sSupPr>
                <m:e>
                  <m:r>
                    <w:rPr>
                      <w:rFonts w:ascii="Cambria Math" w:hAnsi="Cambria Math"/>
                    </w:rPr>
                    <m:t>σ</m:t>
                  </m:r>
                </m:e>
                <m:sup>
                  <m:r>
                    <w:rPr>
                      <w:rFonts w:ascii="Cambria Math" w:hAnsi="Cambria Math"/>
                    </w:rPr>
                    <m:t>-1</m:t>
                  </m:r>
                </m:sup>
              </m:sSup>
              <m:r>
                <w:rPr>
                  <w:rFonts w:ascii="Cambria Math" w:hAnsi="Cambria Math"/>
                </w:rPr>
                <m:t>T</m:t>
              </m:r>
            </m:e>
            <m:sub>
              <m:r>
                <w:rPr>
                  <w:rFonts w:ascii="Cambria Math" w:hAnsi="Cambria Math"/>
                </w:rPr>
                <m:t>i,j</m:t>
              </m:r>
            </m:sub>
            <m:sup>
              <m:r>
                <w:rPr>
                  <w:rFonts w:ascii="Cambria Math" w:hAnsi="Cambria Math"/>
                </w:rPr>
                <m:t>0,m</m:t>
              </m:r>
            </m:sup>
          </m:sSub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+ν+</m:t>
          </m:r>
          <m:d>
            <m:dPr>
              <m:ctrlPr>
                <w:rPr>
                  <w:rFonts w:ascii="Cambria Math" w:hAnsi="Cambria Math"/>
                  <w:i/>
                </w:rPr>
              </m:ctrlPr>
            </m:dPr>
            <m:e>
              <m:r>
                <w:rPr>
                  <w:rFonts w:ascii="Cambria Math" w:hAnsi="Cambria Math"/>
                </w:rPr>
                <m:t>1-δ</m:t>
              </m:r>
            </m:e>
          </m:d>
          <m:sSubSup>
            <m:sSubSupPr>
              <m:ctrlPr>
                <w:rPr>
                  <w:rFonts w:ascii="Cambria Math" w:hAnsi="Cambria Math"/>
                </w:rPr>
              </m:ctrlPr>
            </m:sSubSupPr>
            <m:e>
              <m:r>
                <m:rPr>
                  <m:sty m:val="p"/>
                </m:rPr>
                <w:rPr>
                  <w:rFonts w:ascii="Cambria Math" w:hAnsi="Cambria Math"/>
                </w:rPr>
                <m:t>Λ</m:t>
              </m:r>
            </m:e>
            <m:sub>
              <m:r>
                <w:rPr>
                  <w:rFonts w:ascii="Cambria Math" w:hAnsi="Cambria Math"/>
                </w:rPr>
                <m:t>i,j</m:t>
              </m:r>
              <m:ctrlPr>
                <w:rPr>
                  <w:rFonts w:ascii="Cambria Math" w:hAnsi="Cambria Math"/>
                  <w:i/>
                </w:rPr>
              </m:ctrlPr>
            </m:sub>
            <m:sup>
              <m:r>
                <m:rPr>
                  <m:sty m:val="p"/>
                </m:rPr>
                <w:rPr>
                  <w:rFonts w:ascii="Cambria Math" w:hAnsi="Cambria Math"/>
                </w:rPr>
                <m:t>0,m</m:t>
              </m:r>
            </m:sup>
          </m:sSubSup>
          <m:r>
            <w:rPr>
              <w:rFonts w:ascii="Cambria Math" w:hAnsi="Cambria Math"/>
            </w:rPr>
            <m:t>ϕ)</m:t>
          </m:r>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0,m</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F</m:t>
                  </m:r>
                </m:e>
              </m:acc>
            </m:e>
            <m:sub>
              <m:r>
                <w:rPr>
                  <w:rFonts w:ascii="Cambria Math" w:hAnsi="Cambria Math"/>
                </w:rPr>
                <m:t>i,j</m:t>
              </m:r>
            </m:sub>
            <m:sup>
              <m:r>
                <w:rPr>
                  <w:rFonts w:ascii="Cambria Math" w:hAnsi="Cambria Math"/>
                </w:rPr>
                <m:t>0,m</m:t>
              </m:r>
            </m:sup>
          </m:sSubSup>
          <m:r>
            <m:rPr>
              <m:aln/>
            </m:rPr>
            <w:rPr>
              <w:rFonts w:ascii="Cambria Math" w:hAnsi="Cambria Math"/>
            </w:rPr>
            <m:t>=</m:t>
          </m:r>
          <m:d>
            <m:dPr>
              <m:ctrlPr>
                <w:rPr>
                  <w:rFonts w:ascii="Cambria Math" w:hAnsi="Cambria Math"/>
                  <w:i/>
                </w:rPr>
              </m:ctrlPr>
            </m:dPr>
            <m:e>
              <m:r>
                <w:rPr>
                  <w:rFonts w:ascii="Cambria Math" w:hAnsi="Cambria Math"/>
                </w:rPr>
                <m:t>1-α</m:t>
              </m:r>
            </m:e>
          </m:d>
          <m:sSup>
            <m:sSupPr>
              <m:ctrlPr>
                <w:rPr>
                  <w:rFonts w:ascii="Cambria Math" w:hAnsi="Cambria Math"/>
                  <w:i/>
                </w:rPr>
              </m:ctrlPr>
            </m:sSupPr>
            <m:e>
              <m:r>
                <w:rPr>
                  <w:rFonts w:ascii="Cambria Math" w:hAnsi="Cambria Math"/>
                </w:rPr>
                <m:t>σ</m:t>
              </m:r>
            </m:e>
            <m:sup>
              <m:r>
                <w:rPr>
                  <w:rFonts w:ascii="Cambria Math" w:hAnsi="Cambria Math"/>
                </w:rPr>
                <m:t>-1</m:t>
              </m:r>
            </m:sup>
          </m:sSup>
          <m:sSubSup>
            <m:sSubSupPr>
              <m:ctrlPr>
                <w:rPr>
                  <w:rFonts w:ascii="Cambria Math" w:hAnsi="Cambria Math"/>
                  <w:i/>
                </w:rPr>
              </m:ctrlPr>
            </m:sSubSupPr>
            <m:e>
              <m:r>
                <w:rPr>
                  <w:rFonts w:ascii="Cambria Math" w:hAnsi="Cambria Math"/>
                </w:rPr>
                <m:t>T</m:t>
              </m:r>
            </m:e>
            <m:sub>
              <m:r>
                <w:rPr>
                  <w:rFonts w:ascii="Cambria Math" w:hAnsi="Cambria Math"/>
                </w:rPr>
                <m:t>i,j</m:t>
              </m:r>
            </m:sub>
            <m:sup>
              <m:r>
                <w:rPr>
                  <w:rFonts w:ascii="Cambria Math" w:hAnsi="Cambria Math"/>
                </w:rPr>
                <m:t>0,m</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+ν+</m:t>
              </m:r>
              <m:sSup>
                <m:sSupPr>
                  <m:ctrlPr>
                    <w:rPr>
                      <w:rFonts w:ascii="Cambria Math" w:hAnsi="Cambria Math"/>
                      <w:i/>
                    </w:rPr>
                  </m:ctrlPr>
                </m:sSupPr>
                <m:e>
                  <m:r>
                    <w:rPr>
                      <w:rFonts w:ascii="Cambria Math" w:hAnsi="Cambria Math"/>
                    </w:rPr>
                    <m:t>ω</m:t>
                  </m:r>
                </m:e>
                <m:sup>
                  <m:r>
                    <w:rPr>
                      <w:rFonts w:ascii="Cambria Math" w:hAnsi="Cambria Math"/>
                    </w:rPr>
                    <m:t>m</m:t>
                  </m:r>
                </m:sup>
              </m:sSup>
            </m:e>
          </m:d>
          <m:sSubSup>
            <m:sSubSupPr>
              <m:ctrlPr>
                <w:rPr>
                  <w:rFonts w:ascii="Cambria Math" w:hAnsi="Cambria Math"/>
                  <w:i/>
                </w:rPr>
              </m:ctrlPr>
            </m:sSubSupPr>
            <m:e>
              <m:r>
                <w:rPr>
                  <w:rFonts w:ascii="Cambria Math" w:hAnsi="Cambria Math"/>
                </w:rPr>
                <m:t>F</m:t>
              </m:r>
            </m:e>
            <m:sub>
              <m:r>
                <w:rPr>
                  <w:rFonts w:ascii="Cambria Math" w:hAnsi="Cambria Math"/>
                </w:rPr>
                <m:t>i,j</m:t>
              </m:r>
            </m:sub>
            <m:sup>
              <m:r>
                <w:rPr>
                  <w:rFonts w:ascii="Cambria Math" w:hAnsi="Cambria Math"/>
                </w:rPr>
                <m:t>0,m</m:t>
              </m:r>
            </m:sup>
          </m:sSubSup>
        </m:oMath>
      </m:oMathPara>
    </w:p>
    <w:p w14:paraId="26618383" w14:textId="77777777" w:rsidR="008260A4" w:rsidRDefault="008260A4" w:rsidP="00105865">
      <w:pPr>
        <w:spacing w:line="240" w:lineRule="auto"/>
      </w:pPr>
    </w:p>
    <w:p w14:paraId="05FF083E" w14:textId="77777777" w:rsidR="008260A4" w:rsidRDefault="008260A4" w:rsidP="00105865">
      <w:pPr>
        <w:spacing w:line="240" w:lineRule="auto"/>
      </w:pPr>
      <w:r>
        <w:t xml:space="preserve">When ex-injectors are included in the model </w:t>
      </w:r>
      <m:oMath>
        <m:r>
          <w:rPr>
            <w:rFonts w:ascii="Cambria Math" w:hAnsi="Cambria Math"/>
          </w:rPr>
          <m:t>(k=1)</m:t>
        </m:r>
      </m:oMath>
      <w:r>
        <w:t>, there are no new infections in ex-injectors, but they can be diagnosed and treated as for current injectors.</w:t>
      </w:r>
    </w:p>
    <w:p w14:paraId="5378D1FE" w14:textId="77777777" w:rsidR="005328D1" w:rsidRDefault="005328D1" w:rsidP="00105865">
      <w:pPr>
        <w:spacing w:line="240" w:lineRule="auto"/>
        <w:rPr>
          <w:b/>
        </w:rPr>
      </w:pPr>
    </w:p>
    <w:p w14:paraId="55ACAD45" w14:textId="77777777" w:rsidR="005328D1" w:rsidRDefault="005328D1" w:rsidP="00105865">
      <w:pPr>
        <w:spacing w:line="240" w:lineRule="auto"/>
        <w:rPr>
          <w:b/>
        </w:rPr>
      </w:pPr>
    </w:p>
    <w:p w14:paraId="3B0A222A" w14:textId="77777777" w:rsidR="005328D1" w:rsidRDefault="005328D1" w:rsidP="00105865">
      <w:pPr>
        <w:spacing w:line="240" w:lineRule="auto"/>
        <w:rPr>
          <w:b/>
        </w:rPr>
      </w:pPr>
    </w:p>
    <w:p w14:paraId="182389DE" w14:textId="77777777" w:rsidR="005328D1" w:rsidRDefault="005328D1" w:rsidP="00105865">
      <w:pPr>
        <w:spacing w:line="240" w:lineRule="auto"/>
        <w:rPr>
          <w:b/>
        </w:rPr>
      </w:pPr>
    </w:p>
    <w:p w14:paraId="2C55C1C3" w14:textId="77777777" w:rsidR="005328D1" w:rsidRDefault="005328D1" w:rsidP="00105865">
      <w:pPr>
        <w:spacing w:line="240" w:lineRule="auto"/>
        <w:rPr>
          <w:b/>
        </w:rPr>
      </w:pPr>
    </w:p>
    <w:p w14:paraId="722108CD" w14:textId="77777777" w:rsidR="005328D1" w:rsidRDefault="005328D1" w:rsidP="00105865">
      <w:pPr>
        <w:spacing w:line="240" w:lineRule="auto"/>
        <w:rPr>
          <w:b/>
        </w:rPr>
      </w:pPr>
    </w:p>
    <w:p w14:paraId="5BB6E44D" w14:textId="77777777" w:rsidR="005328D1" w:rsidRDefault="005328D1" w:rsidP="00105865">
      <w:pPr>
        <w:spacing w:line="240" w:lineRule="auto"/>
        <w:rPr>
          <w:b/>
        </w:rPr>
      </w:pPr>
    </w:p>
    <w:p w14:paraId="2C5EFA1D" w14:textId="4E4F853A" w:rsidR="008260A4" w:rsidRPr="00B51D14" w:rsidRDefault="008260A4" w:rsidP="00105865">
      <w:pPr>
        <w:spacing w:line="240" w:lineRule="auto"/>
        <w:rPr>
          <w:b/>
        </w:rPr>
      </w:pPr>
      <w:r w:rsidRPr="00B51D14">
        <w:rPr>
          <w:b/>
        </w:rPr>
        <w:t>Demographics sub-model</w:t>
      </w:r>
    </w:p>
    <w:tbl>
      <w:tblPr>
        <w:tblStyle w:val="TableGrid"/>
        <w:tblW w:w="0" w:type="auto"/>
        <w:tblLook w:val="04A0" w:firstRow="1" w:lastRow="0" w:firstColumn="1" w:lastColumn="0" w:noHBand="0" w:noVBand="1"/>
      </w:tblPr>
      <w:tblGrid>
        <w:gridCol w:w="4505"/>
        <w:gridCol w:w="4505"/>
      </w:tblGrid>
      <w:tr w:rsidR="008260A4" w14:paraId="58D52021" w14:textId="77777777" w:rsidTr="008260A4">
        <w:tc>
          <w:tcPr>
            <w:tcW w:w="4505" w:type="dxa"/>
          </w:tcPr>
          <w:p w14:paraId="754A3251" w14:textId="77777777" w:rsidR="008260A4" w:rsidRDefault="008260A4" w:rsidP="00105865">
            <w:r>
              <w:t>Variable</w:t>
            </w:r>
          </w:p>
        </w:tc>
        <w:tc>
          <w:tcPr>
            <w:tcW w:w="4505" w:type="dxa"/>
          </w:tcPr>
          <w:p w14:paraId="3A794191" w14:textId="77777777" w:rsidR="008260A4" w:rsidRDefault="008260A4" w:rsidP="00105865">
            <w:r>
              <w:t>Symbols Example</w:t>
            </w:r>
          </w:p>
        </w:tc>
      </w:tr>
      <w:tr w:rsidR="008260A4" w14:paraId="23A9A424" w14:textId="77777777" w:rsidTr="008260A4">
        <w:tc>
          <w:tcPr>
            <w:tcW w:w="4505" w:type="dxa"/>
          </w:tcPr>
          <w:p w14:paraId="033E84A2" w14:textId="77777777" w:rsidR="008260A4" w:rsidRDefault="008260A4" w:rsidP="00105865">
            <w:r>
              <w:t>Susceptible injector, not on OST or homeless</w:t>
            </w:r>
          </w:p>
        </w:tc>
        <w:tc>
          <w:tcPr>
            <w:tcW w:w="4505" w:type="dxa"/>
          </w:tcPr>
          <w:p w14:paraId="1072EAE2" w14:textId="77777777" w:rsidR="008260A4" w:rsidRDefault="00631C42" w:rsidP="00105865">
            <m:oMathPara>
              <m:oMath>
                <m:sSubSup>
                  <m:sSubSupPr>
                    <m:ctrlPr>
                      <w:rPr>
                        <w:rFonts w:ascii="Cambria Math" w:hAnsi="Cambria Math"/>
                        <w:i/>
                      </w:rPr>
                    </m:ctrlPr>
                  </m:sSubSupPr>
                  <m:e>
                    <m:r>
                      <w:rPr>
                        <w:rFonts w:ascii="Cambria Math" w:hAnsi="Cambria Math"/>
                      </w:rPr>
                      <m:t>S</m:t>
                    </m:r>
                  </m:e>
                  <m:sub>
                    <m:r>
                      <w:rPr>
                        <w:rFonts w:ascii="Cambria Math" w:hAnsi="Cambria Math"/>
                      </w:rPr>
                      <m:t>0,0</m:t>
                    </m:r>
                  </m:sub>
                  <m:sup>
                    <m:r>
                      <w:rPr>
                        <w:rFonts w:ascii="Cambria Math" w:hAnsi="Cambria Math"/>
                      </w:rPr>
                      <m:t>0,m</m:t>
                    </m:r>
                  </m:sup>
                </m:sSubSup>
              </m:oMath>
            </m:oMathPara>
          </w:p>
        </w:tc>
      </w:tr>
      <w:tr w:rsidR="008260A4" w14:paraId="2E16F6BD" w14:textId="77777777" w:rsidTr="008260A4">
        <w:tc>
          <w:tcPr>
            <w:tcW w:w="4505" w:type="dxa"/>
          </w:tcPr>
          <w:p w14:paraId="3E0AC0DC" w14:textId="77777777" w:rsidR="008260A4" w:rsidRDefault="008260A4" w:rsidP="00105865">
            <w:r>
              <w:t>Susceptible injector, on OST, not homeless</w:t>
            </w:r>
          </w:p>
        </w:tc>
        <w:tc>
          <w:tcPr>
            <w:tcW w:w="4505" w:type="dxa"/>
          </w:tcPr>
          <w:p w14:paraId="3D959236" w14:textId="77777777" w:rsidR="008260A4" w:rsidRDefault="00631C42" w:rsidP="00105865">
            <m:oMathPara>
              <m:oMath>
                <m:sSubSup>
                  <m:sSubSupPr>
                    <m:ctrlPr>
                      <w:rPr>
                        <w:rFonts w:ascii="Cambria Math" w:hAnsi="Cambria Math"/>
                        <w:i/>
                      </w:rPr>
                    </m:ctrlPr>
                  </m:sSubSupPr>
                  <m:e>
                    <m:r>
                      <w:rPr>
                        <w:rFonts w:ascii="Cambria Math" w:hAnsi="Cambria Math"/>
                      </w:rPr>
                      <m:t>S</m:t>
                    </m:r>
                  </m:e>
                  <m:sub>
                    <m:r>
                      <w:rPr>
                        <w:rFonts w:ascii="Cambria Math" w:hAnsi="Cambria Math"/>
                      </w:rPr>
                      <m:t>1,0</m:t>
                    </m:r>
                  </m:sub>
                  <m:sup>
                    <m:r>
                      <w:rPr>
                        <w:rFonts w:ascii="Cambria Math" w:hAnsi="Cambria Math"/>
                      </w:rPr>
                      <m:t>0,m</m:t>
                    </m:r>
                  </m:sup>
                </m:sSubSup>
              </m:oMath>
            </m:oMathPara>
          </w:p>
        </w:tc>
      </w:tr>
      <w:tr w:rsidR="008260A4" w14:paraId="1EBAD01D" w14:textId="77777777" w:rsidTr="008260A4">
        <w:tc>
          <w:tcPr>
            <w:tcW w:w="4505" w:type="dxa"/>
          </w:tcPr>
          <w:p w14:paraId="42047153" w14:textId="77777777" w:rsidR="008260A4" w:rsidRDefault="008260A4" w:rsidP="00105865">
            <w:r>
              <w:t>Susceptible injector, not on OST, homeless</w:t>
            </w:r>
          </w:p>
        </w:tc>
        <w:tc>
          <w:tcPr>
            <w:tcW w:w="4505" w:type="dxa"/>
          </w:tcPr>
          <w:p w14:paraId="3F7C4DA0" w14:textId="77777777" w:rsidR="008260A4" w:rsidRDefault="00631C42" w:rsidP="00105865">
            <m:oMathPara>
              <m:oMath>
                <m:sSubSup>
                  <m:sSubSupPr>
                    <m:ctrlPr>
                      <w:rPr>
                        <w:rFonts w:ascii="Cambria Math" w:hAnsi="Cambria Math"/>
                        <w:i/>
                      </w:rPr>
                    </m:ctrlPr>
                  </m:sSubSupPr>
                  <m:e>
                    <m:r>
                      <w:rPr>
                        <w:rFonts w:ascii="Cambria Math" w:hAnsi="Cambria Math"/>
                      </w:rPr>
                      <m:t>S</m:t>
                    </m:r>
                  </m:e>
                  <m:sub>
                    <m:r>
                      <w:rPr>
                        <w:rFonts w:ascii="Cambria Math" w:hAnsi="Cambria Math"/>
                      </w:rPr>
                      <m:t>0,1</m:t>
                    </m:r>
                  </m:sub>
                  <m:sup>
                    <m:r>
                      <w:rPr>
                        <w:rFonts w:ascii="Cambria Math" w:hAnsi="Cambria Math"/>
                      </w:rPr>
                      <m:t>0,m</m:t>
                    </m:r>
                  </m:sup>
                </m:sSubSup>
              </m:oMath>
            </m:oMathPara>
          </w:p>
        </w:tc>
      </w:tr>
      <w:tr w:rsidR="008260A4" w14:paraId="6E0E5D03" w14:textId="77777777" w:rsidTr="008260A4">
        <w:tc>
          <w:tcPr>
            <w:tcW w:w="4505" w:type="dxa"/>
          </w:tcPr>
          <w:p w14:paraId="7FCEABF8" w14:textId="77777777" w:rsidR="008260A4" w:rsidRDefault="008260A4" w:rsidP="00105865">
            <w:r>
              <w:t>Susceptible injector, on OST and homeless</w:t>
            </w:r>
          </w:p>
        </w:tc>
        <w:tc>
          <w:tcPr>
            <w:tcW w:w="4505" w:type="dxa"/>
          </w:tcPr>
          <w:p w14:paraId="36A83537" w14:textId="77777777" w:rsidR="008260A4" w:rsidRDefault="00631C42" w:rsidP="00105865">
            <m:oMathPara>
              <m:oMath>
                <m:sSubSup>
                  <m:sSubSupPr>
                    <m:ctrlPr>
                      <w:rPr>
                        <w:rFonts w:ascii="Cambria Math" w:hAnsi="Cambria Math"/>
                        <w:i/>
                      </w:rPr>
                    </m:ctrlPr>
                  </m:sSubSupPr>
                  <m:e>
                    <m:r>
                      <w:rPr>
                        <w:rFonts w:ascii="Cambria Math" w:hAnsi="Cambria Math"/>
                      </w:rPr>
                      <m:t>S</m:t>
                    </m:r>
                  </m:e>
                  <m:sub>
                    <m:r>
                      <w:rPr>
                        <w:rFonts w:ascii="Cambria Math" w:hAnsi="Cambria Math"/>
                      </w:rPr>
                      <m:t>1,1</m:t>
                    </m:r>
                  </m:sub>
                  <m:sup>
                    <m:r>
                      <w:rPr>
                        <w:rFonts w:ascii="Cambria Math" w:hAnsi="Cambria Math"/>
                      </w:rPr>
                      <m:t>0,m</m:t>
                    </m:r>
                  </m:sup>
                </m:sSubSup>
              </m:oMath>
            </m:oMathPara>
          </w:p>
        </w:tc>
      </w:tr>
      <w:tr w:rsidR="008260A4" w14:paraId="77A652CB" w14:textId="77777777" w:rsidTr="008260A4">
        <w:tc>
          <w:tcPr>
            <w:tcW w:w="4505" w:type="dxa"/>
          </w:tcPr>
          <w:p w14:paraId="38133AB8" w14:textId="77777777" w:rsidR="008260A4" w:rsidRDefault="008260A4" w:rsidP="00105865">
            <w:r>
              <w:t>Susceptible ex-injector, not on OST, not homeless</w:t>
            </w:r>
          </w:p>
        </w:tc>
        <w:tc>
          <w:tcPr>
            <w:tcW w:w="4505" w:type="dxa"/>
          </w:tcPr>
          <w:p w14:paraId="54C07DC8" w14:textId="77777777" w:rsidR="008260A4" w:rsidRDefault="00631C42" w:rsidP="00105865">
            <m:oMathPara>
              <m:oMath>
                <m:sSubSup>
                  <m:sSubSupPr>
                    <m:ctrlPr>
                      <w:rPr>
                        <w:rFonts w:ascii="Cambria Math" w:hAnsi="Cambria Math"/>
                        <w:i/>
                      </w:rPr>
                    </m:ctrlPr>
                  </m:sSubSupPr>
                  <m:e>
                    <m:r>
                      <w:rPr>
                        <w:rFonts w:ascii="Cambria Math" w:hAnsi="Cambria Math"/>
                      </w:rPr>
                      <m:t>S</m:t>
                    </m:r>
                  </m:e>
                  <m:sub>
                    <m:r>
                      <w:rPr>
                        <w:rFonts w:ascii="Cambria Math" w:hAnsi="Cambria Math"/>
                      </w:rPr>
                      <m:t>0,0</m:t>
                    </m:r>
                  </m:sub>
                  <m:sup>
                    <m:r>
                      <w:rPr>
                        <w:rFonts w:ascii="Cambria Math" w:hAnsi="Cambria Math"/>
                      </w:rPr>
                      <m:t>1,m</m:t>
                    </m:r>
                  </m:sup>
                </m:sSubSup>
              </m:oMath>
            </m:oMathPara>
          </w:p>
        </w:tc>
      </w:tr>
      <w:tr w:rsidR="008260A4" w14:paraId="0A4CEC04" w14:textId="77777777" w:rsidTr="008260A4">
        <w:tc>
          <w:tcPr>
            <w:tcW w:w="4505" w:type="dxa"/>
          </w:tcPr>
          <w:p w14:paraId="42C34097" w14:textId="77777777" w:rsidR="008260A4" w:rsidRDefault="008260A4" w:rsidP="00105865">
            <w:r>
              <w:t>Susceptible ex-injector, not on OST, homeless</w:t>
            </w:r>
          </w:p>
        </w:tc>
        <w:tc>
          <w:tcPr>
            <w:tcW w:w="4505" w:type="dxa"/>
          </w:tcPr>
          <w:p w14:paraId="5791AAA9" w14:textId="77777777" w:rsidR="008260A4" w:rsidRDefault="00631C42" w:rsidP="00105865">
            <m:oMathPara>
              <m:oMath>
                <m:sSubSup>
                  <m:sSubSupPr>
                    <m:ctrlPr>
                      <w:rPr>
                        <w:rFonts w:ascii="Cambria Math" w:hAnsi="Cambria Math"/>
                        <w:i/>
                      </w:rPr>
                    </m:ctrlPr>
                  </m:sSubSupPr>
                  <m:e>
                    <m:r>
                      <w:rPr>
                        <w:rFonts w:ascii="Cambria Math" w:hAnsi="Cambria Math"/>
                      </w:rPr>
                      <m:t>S</m:t>
                    </m:r>
                  </m:e>
                  <m:sub>
                    <m:r>
                      <w:rPr>
                        <w:rFonts w:ascii="Cambria Math" w:hAnsi="Cambria Math"/>
                      </w:rPr>
                      <m:t>0,1</m:t>
                    </m:r>
                  </m:sub>
                  <m:sup>
                    <m:r>
                      <w:rPr>
                        <w:rFonts w:ascii="Cambria Math" w:hAnsi="Cambria Math"/>
                      </w:rPr>
                      <m:t>1,m</m:t>
                    </m:r>
                  </m:sup>
                </m:sSubSup>
              </m:oMath>
            </m:oMathPara>
          </w:p>
        </w:tc>
      </w:tr>
    </w:tbl>
    <w:p w14:paraId="5CCBE5AF" w14:textId="77777777" w:rsidR="008260A4" w:rsidRDefault="008260A4" w:rsidP="00105865">
      <w:pPr>
        <w:spacing w:line="240" w:lineRule="auto"/>
      </w:pPr>
      <w:r>
        <w:t xml:space="preserve">Notes: The letter </w:t>
      </w:r>
      <m:oMath>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k,m</m:t>
            </m:r>
          </m:sup>
        </m:sSubSup>
      </m:oMath>
      <w:r>
        <w:t xml:space="preserve"> denotes a susceptible individual.  The superscript k is either 0 or 1 denoting injector and ex-injector respectively.  The superscript m is from </w:t>
      </w:r>
      <w:proofErr w:type="gramStart"/>
      <w:r>
        <w:t>1,2,..</w:t>
      </w:r>
      <w:proofErr w:type="gramEnd"/>
      <w:r>
        <w:t>9 denoting the disease progression state (more on this sub-model below).  The subscript i is either 0 or 1 and denotes off or on OST respectively.  The subscript j is either 0 or 1 which denotes not homeless or homeless respectively.</w:t>
      </w:r>
    </w:p>
    <w:tbl>
      <w:tblPr>
        <w:tblStyle w:val="TableGrid"/>
        <w:tblW w:w="0" w:type="auto"/>
        <w:tblLook w:val="04A0" w:firstRow="1" w:lastRow="0" w:firstColumn="1" w:lastColumn="0" w:noHBand="0" w:noVBand="1"/>
      </w:tblPr>
      <w:tblGrid>
        <w:gridCol w:w="3004"/>
        <w:gridCol w:w="3003"/>
        <w:gridCol w:w="3003"/>
      </w:tblGrid>
      <w:tr w:rsidR="008260A4" w14:paraId="0E7145A3" w14:textId="77777777" w:rsidTr="008260A4">
        <w:tc>
          <w:tcPr>
            <w:tcW w:w="3004" w:type="dxa"/>
          </w:tcPr>
          <w:p w14:paraId="05E095D2" w14:textId="77777777" w:rsidR="008260A4" w:rsidRDefault="008260A4" w:rsidP="00105865">
            <w:r>
              <w:t>Parameter</w:t>
            </w:r>
          </w:p>
        </w:tc>
        <w:tc>
          <w:tcPr>
            <w:tcW w:w="3003" w:type="dxa"/>
          </w:tcPr>
          <w:p w14:paraId="13E04294" w14:textId="77777777" w:rsidR="008260A4" w:rsidRDefault="008260A4" w:rsidP="00105865">
            <w:r>
              <w:t>Symbol</w:t>
            </w:r>
          </w:p>
        </w:tc>
        <w:tc>
          <w:tcPr>
            <w:tcW w:w="3003" w:type="dxa"/>
          </w:tcPr>
          <w:p w14:paraId="1D66DE77" w14:textId="77777777" w:rsidR="008260A4" w:rsidRDefault="008260A4" w:rsidP="00105865">
            <w:r>
              <w:t>Units</w:t>
            </w:r>
          </w:p>
        </w:tc>
      </w:tr>
      <w:tr w:rsidR="008260A4" w14:paraId="5A278955" w14:textId="77777777" w:rsidTr="008260A4">
        <w:tc>
          <w:tcPr>
            <w:tcW w:w="3004" w:type="dxa"/>
          </w:tcPr>
          <w:p w14:paraId="18B8D7C3" w14:textId="77777777" w:rsidR="008260A4" w:rsidRDefault="008260A4" w:rsidP="00105865">
            <w:r>
              <w:t>Transition rate from off OST to on OST</w:t>
            </w:r>
          </w:p>
        </w:tc>
        <w:tc>
          <w:tcPr>
            <w:tcW w:w="3003" w:type="dxa"/>
          </w:tcPr>
          <w:p w14:paraId="063A0AD7" w14:textId="77777777" w:rsidR="008260A4" w:rsidRDefault="008260A4" w:rsidP="00105865">
            <m:oMathPara>
              <m:oMath>
                <m:r>
                  <w:rPr>
                    <w:rFonts w:ascii="Cambria Math" w:hAnsi="Cambria Math"/>
                  </w:rPr>
                  <m:t>β</m:t>
                </m:r>
              </m:oMath>
            </m:oMathPara>
          </w:p>
        </w:tc>
        <w:tc>
          <w:tcPr>
            <w:tcW w:w="3003" w:type="dxa"/>
          </w:tcPr>
          <w:p w14:paraId="7BBE9A04" w14:textId="77777777" w:rsidR="008260A4" w:rsidRDefault="008260A4" w:rsidP="00105865">
            <w:r>
              <w:t>Per year</w:t>
            </w:r>
          </w:p>
        </w:tc>
      </w:tr>
      <w:tr w:rsidR="008260A4" w14:paraId="5F53D67D" w14:textId="77777777" w:rsidTr="008260A4">
        <w:tc>
          <w:tcPr>
            <w:tcW w:w="3004" w:type="dxa"/>
          </w:tcPr>
          <w:p w14:paraId="39CC61B7" w14:textId="77777777" w:rsidR="008260A4" w:rsidRDefault="008260A4" w:rsidP="00105865">
            <w:r>
              <w:t>Transition rate from on OST to off OST</w:t>
            </w:r>
          </w:p>
        </w:tc>
        <w:tc>
          <w:tcPr>
            <w:tcW w:w="3003" w:type="dxa"/>
          </w:tcPr>
          <w:p w14:paraId="70CD692B" w14:textId="77777777" w:rsidR="008260A4" w:rsidRDefault="008260A4" w:rsidP="00105865">
            <m:oMathPara>
              <m:oMath>
                <m:r>
                  <w:rPr>
                    <w:rFonts w:ascii="Cambria Math" w:hAnsi="Cambria Math"/>
                  </w:rPr>
                  <m:t>γ</m:t>
                </m:r>
              </m:oMath>
            </m:oMathPara>
          </w:p>
        </w:tc>
        <w:tc>
          <w:tcPr>
            <w:tcW w:w="3003" w:type="dxa"/>
          </w:tcPr>
          <w:p w14:paraId="13487F99" w14:textId="77777777" w:rsidR="008260A4" w:rsidRDefault="008260A4" w:rsidP="00105865">
            <w:r>
              <w:t>Per year</w:t>
            </w:r>
          </w:p>
        </w:tc>
      </w:tr>
      <w:tr w:rsidR="008260A4" w14:paraId="77885CB7" w14:textId="77777777" w:rsidTr="008260A4">
        <w:tc>
          <w:tcPr>
            <w:tcW w:w="3004" w:type="dxa"/>
          </w:tcPr>
          <w:p w14:paraId="2E58654F" w14:textId="77777777" w:rsidR="008260A4" w:rsidRDefault="008260A4" w:rsidP="00105865">
            <w:r>
              <w:t>Transition rate from not homeless to homeless</w:t>
            </w:r>
          </w:p>
        </w:tc>
        <w:tc>
          <w:tcPr>
            <w:tcW w:w="3003" w:type="dxa"/>
          </w:tcPr>
          <w:p w14:paraId="103350C2" w14:textId="77777777" w:rsidR="008260A4" w:rsidRDefault="008260A4" w:rsidP="00105865">
            <m:oMathPara>
              <m:oMath>
                <m:r>
                  <w:rPr>
                    <w:rFonts w:ascii="Cambria Math" w:hAnsi="Cambria Math"/>
                  </w:rPr>
                  <m:t>η</m:t>
                </m:r>
              </m:oMath>
            </m:oMathPara>
          </w:p>
        </w:tc>
        <w:tc>
          <w:tcPr>
            <w:tcW w:w="3003" w:type="dxa"/>
          </w:tcPr>
          <w:p w14:paraId="1BADD9C7" w14:textId="77777777" w:rsidR="008260A4" w:rsidRDefault="008260A4" w:rsidP="00105865">
            <w:r>
              <w:t>Per year</w:t>
            </w:r>
          </w:p>
        </w:tc>
      </w:tr>
      <w:tr w:rsidR="008260A4" w14:paraId="72A18C1F" w14:textId="77777777" w:rsidTr="008260A4">
        <w:tc>
          <w:tcPr>
            <w:tcW w:w="3004" w:type="dxa"/>
          </w:tcPr>
          <w:p w14:paraId="4559C5E0" w14:textId="77777777" w:rsidR="008260A4" w:rsidRDefault="008260A4" w:rsidP="00105865">
            <w:r>
              <w:t>Transition rate from homeless to not homeless</w:t>
            </w:r>
          </w:p>
        </w:tc>
        <w:tc>
          <w:tcPr>
            <w:tcW w:w="3003" w:type="dxa"/>
          </w:tcPr>
          <w:p w14:paraId="200903B6" w14:textId="77777777" w:rsidR="008260A4" w:rsidRPr="00B11B89" w:rsidRDefault="008260A4" w:rsidP="00105865">
            <w:pPr>
              <w:rPr>
                <w:vertAlign w:val="subscript"/>
              </w:rPr>
            </w:pPr>
            <m:oMathPara>
              <m:oMath>
                <m:r>
                  <w:rPr>
                    <w:rFonts w:ascii="Cambria Math" w:hAnsi="Cambria Math"/>
                    <w:vertAlign w:val="subscript"/>
                  </w:rPr>
                  <m:t>κ</m:t>
                </m:r>
              </m:oMath>
            </m:oMathPara>
          </w:p>
        </w:tc>
        <w:tc>
          <w:tcPr>
            <w:tcW w:w="3003" w:type="dxa"/>
          </w:tcPr>
          <w:p w14:paraId="14E00EB9" w14:textId="77777777" w:rsidR="008260A4" w:rsidRDefault="008260A4" w:rsidP="00105865">
            <w:r>
              <w:t>Per year</w:t>
            </w:r>
          </w:p>
        </w:tc>
      </w:tr>
      <w:tr w:rsidR="008260A4" w14:paraId="0A4E6911" w14:textId="77777777" w:rsidTr="008260A4">
        <w:tc>
          <w:tcPr>
            <w:tcW w:w="3004" w:type="dxa"/>
          </w:tcPr>
          <w:p w14:paraId="3A8974F4" w14:textId="77777777" w:rsidR="008260A4" w:rsidRDefault="008260A4" w:rsidP="00105865">
            <w:r>
              <w:t>Injecting cessation rate</w:t>
            </w:r>
          </w:p>
        </w:tc>
        <w:tc>
          <w:tcPr>
            <w:tcW w:w="3003" w:type="dxa"/>
          </w:tcPr>
          <w:p w14:paraId="46587980" w14:textId="77777777" w:rsidR="008260A4" w:rsidRDefault="008260A4" w:rsidP="00105865">
            <m:oMathPara>
              <m:oMath>
                <m:r>
                  <w:rPr>
                    <w:rFonts w:ascii="Cambria Math" w:hAnsi="Cambria Math"/>
                  </w:rPr>
                  <m:t>ν</m:t>
                </m:r>
              </m:oMath>
            </m:oMathPara>
          </w:p>
        </w:tc>
        <w:tc>
          <w:tcPr>
            <w:tcW w:w="3003" w:type="dxa"/>
          </w:tcPr>
          <w:p w14:paraId="4B39FA91" w14:textId="77777777" w:rsidR="008260A4" w:rsidRDefault="008260A4" w:rsidP="00105865">
            <w:r>
              <w:t>Per year</w:t>
            </w:r>
          </w:p>
        </w:tc>
      </w:tr>
    </w:tbl>
    <w:p w14:paraId="7D216339" w14:textId="77777777" w:rsidR="008260A4" w:rsidRDefault="008260A4" w:rsidP="00105865">
      <w:pPr>
        <w:spacing w:line="240" w:lineRule="auto"/>
      </w:pPr>
    </w:p>
    <w:p w14:paraId="04E88ECD" w14:textId="77777777" w:rsidR="008260A4" w:rsidRDefault="008260A4" w:rsidP="00105865">
      <w:pPr>
        <w:spacing w:line="240" w:lineRule="auto"/>
      </w:pPr>
      <w:r>
        <w:t xml:space="preserve">The terms for the differential equations for this part of the model are given by the following system </w:t>
      </w:r>
      <m:oMath>
        <m:r>
          <w:rPr>
            <w:rFonts w:ascii="Cambria Math" w:hAnsi="Cambria Math"/>
          </w:rPr>
          <m:t>(</m:t>
        </m:r>
        <m:bar>
          <m:barPr>
            <m:ctrlPr>
              <w:rPr>
                <w:rFonts w:ascii="Cambria Math" w:hAnsi="Cambria Math"/>
                <w:i/>
              </w:rPr>
            </m:ctrlPr>
          </m:barPr>
          <m:e>
            <m:r>
              <w:rPr>
                <w:rFonts w:ascii="Cambria Math" w:hAnsi="Cambria Math"/>
              </w:rPr>
              <m:t>OS)</m:t>
            </m:r>
          </m:e>
        </m:bar>
      </m:oMath>
      <w:r>
        <w:t xml:space="preserve">, where </w:t>
      </w:r>
      <m:oMath>
        <m:r>
          <w:rPr>
            <w:rFonts w:ascii="Cambria Math" w:hAnsi="Cambria Math"/>
          </w:rPr>
          <m:t>O</m:t>
        </m:r>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k,m</m:t>
            </m:r>
          </m:sup>
        </m:sSubSup>
      </m:oMath>
      <w:r>
        <w:t xml:space="preserve"> are the terms concerning movement between OST/homeless and injecting states for variable </w:t>
      </w:r>
      <m:oMath>
        <m:sSubSup>
          <m:sSubSupPr>
            <m:ctrlPr>
              <w:rPr>
                <w:rFonts w:ascii="Cambria Math" w:hAnsi="Cambria Math"/>
                <w:i/>
              </w:rPr>
            </m:ctrlPr>
          </m:sSubSupPr>
          <m:e>
            <m:r>
              <w:rPr>
                <w:rFonts w:ascii="Cambria Math" w:hAnsi="Cambria Math"/>
              </w:rPr>
              <m:t>S</m:t>
            </m:r>
          </m:e>
          <m:sub>
            <m:r>
              <w:rPr>
                <w:rFonts w:ascii="Cambria Math" w:hAnsi="Cambria Math"/>
              </w:rPr>
              <m:t>i,j</m:t>
            </m:r>
          </m:sub>
          <m:sup>
            <m:r>
              <w:rPr>
                <w:rFonts w:ascii="Cambria Math" w:hAnsi="Cambria Math"/>
              </w:rPr>
              <m:t>k,m</m:t>
            </m:r>
          </m:sup>
        </m:sSubSup>
        <m:r>
          <w:rPr>
            <w:rFonts w:ascii="Cambria Math" w:hAnsi="Cambria Math"/>
          </w:rPr>
          <m:t xml:space="preserve"> </m:t>
        </m:r>
      </m:oMath>
      <w:r>
        <w:t>and are valid for all infection sub-model states (different variable letters) and disease progression states (superscript m)</w:t>
      </w:r>
    </w:p>
    <w:p w14:paraId="68BB0325" w14:textId="77777777" w:rsidR="008260A4" w:rsidRDefault="00631C42" w:rsidP="00105865">
      <w:pPr>
        <w:spacing w:line="240" w:lineRule="auto"/>
      </w:pPr>
      <m:oMathPara>
        <m:oMath>
          <m:bar>
            <m:barPr>
              <m:ctrlPr>
                <w:rPr>
                  <w:rFonts w:ascii="Cambria Math" w:hAnsi="Cambria Math"/>
                  <w:i/>
                </w:rPr>
              </m:ctrlPr>
            </m:barPr>
            <m:e>
              <m:r>
                <w:rPr>
                  <w:rFonts w:ascii="Cambria Math" w:hAnsi="Cambria Math"/>
                </w:rPr>
                <m:t>OS</m:t>
              </m:r>
            </m:e>
          </m:bar>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OS</m:t>
                        </m:r>
                      </m:e>
                      <m:sub>
                        <m:r>
                          <w:rPr>
                            <w:rFonts w:ascii="Cambria Math" w:hAnsi="Cambria Math"/>
                          </w:rPr>
                          <m:t>0,0</m:t>
                        </m:r>
                      </m:sub>
                      <m:sup>
                        <m:r>
                          <w:rPr>
                            <w:rFonts w:ascii="Cambria Math" w:hAnsi="Cambria Math"/>
                          </w:rPr>
                          <m:t>0,m</m:t>
                        </m:r>
                      </m:sup>
                    </m:sSubSup>
                  </m:e>
                </m:mr>
                <m:mr>
                  <m:e>
                    <m:sSubSup>
                      <m:sSubSupPr>
                        <m:ctrlPr>
                          <w:rPr>
                            <w:rFonts w:ascii="Cambria Math" w:hAnsi="Cambria Math"/>
                            <w:i/>
                          </w:rPr>
                        </m:ctrlPr>
                      </m:sSubSupPr>
                      <m:e>
                        <m:r>
                          <w:rPr>
                            <w:rFonts w:ascii="Cambria Math" w:hAnsi="Cambria Math"/>
                          </w:rPr>
                          <m:t>OS</m:t>
                        </m:r>
                      </m:e>
                      <m:sub>
                        <m:r>
                          <w:rPr>
                            <w:rFonts w:ascii="Cambria Math" w:hAnsi="Cambria Math"/>
                          </w:rPr>
                          <m:t>1,0</m:t>
                        </m:r>
                      </m:sub>
                      <m:sup>
                        <m:r>
                          <w:rPr>
                            <w:rFonts w:ascii="Cambria Math" w:hAnsi="Cambria Math"/>
                          </w:rPr>
                          <m:t>0,m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OS</m:t>
                        </m:r>
                      </m:e>
                      <m:sub>
                        <m:r>
                          <w:rPr>
                            <w:rFonts w:ascii="Cambria Math" w:eastAsia="Cambria Math" w:hAnsi="Cambria Math" w:cs="Cambria Math"/>
                          </w:rPr>
                          <m:t>0,1</m:t>
                        </m:r>
                      </m:sub>
                      <m:sup>
                        <m:r>
                          <w:rPr>
                            <w:rFonts w:ascii="Cambria Math" w:eastAsia="Cambria Math" w:hAnsi="Cambria Math" w:cs="Cambria Math"/>
                          </w:rPr>
                          <m:t>0,m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OS</m:t>
                        </m:r>
                      </m:e>
                      <m:sub>
                        <m:r>
                          <w:rPr>
                            <w:rFonts w:ascii="Cambria Math" w:eastAsia="Cambria Math" w:hAnsi="Cambria Math" w:cs="Cambria Math"/>
                          </w:rPr>
                          <m:t>1.1</m:t>
                        </m:r>
                      </m:sub>
                      <m:sup>
                        <m:r>
                          <w:rPr>
                            <w:rFonts w:ascii="Cambria Math" w:eastAsia="Cambria Math" w:hAnsi="Cambria Math" w:cs="Cambria Math"/>
                          </w:rPr>
                          <m:t>0,m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OS</m:t>
                        </m:r>
                      </m:e>
                      <m:sub>
                        <m:r>
                          <w:rPr>
                            <w:rFonts w:ascii="Cambria Math" w:eastAsia="Cambria Math" w:hAnsi="Cambria Math" w:cs="Cambria Math"/>
                          </w:rPr>
                          <m:t>0,0</m:t>
                        </m:r>
                      </m:sub>
                      <m:sup>
                        <m:r>
                          <w:rPr>
                            <w:rFonts w:ascii="Cambria Math" w:eastAsia="Cambria Math" w:hAnsi="Cambria Math" w:cs="Cambria Math"/>
                          </w:rPr>
                          <m:t>1,m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OS</m:t>
                        </m:r>
                      </m:e>
                      <m:sub>
                        <m:r>
                          <w:rPr>
                            <w:rFonts w:ascii="Cambria Math" w:eastAsia="Cambria Math" w:hAnsi="Cambria Math" w:cs="Cambria Math"/>
                          </w:rPr>
                          <m:t>0,1</m:t>
                        </m:r>
                      </m:sub>
                      <m:sup>
                        <m:r>
                          <w:rPr>
                            <w:rFonts w:ascii="Cambria Math" w:eastAsia="Cambria Math" w:hAnsi="Cambria Math" w:cs="Cambria Math"/>
                          </w:rPr>
                          <m:t>1,m</m:t>
                        </m:r>
                      </m:sup>
                    </m:sSubSup>
                  </m:e>
                </m:mr>
              </m:m>
            </m:e>
          </m:d>
          <m:r>
            <w:rPr>
              <w:rFonts w:ascii="Cambria Math" w:hAnsi="Cambria Math"/>
            </w:rPr>
            <m:t>=B</m:t>
          </m:r>
          <m:bar>
            <m:barPr>
              <m:ctrlPr>
                <w:rPr>
                  <w:rFonts w:ascii="Cambria Math" w:hAnsi="Cambria Math"/>
                  <w:i/>
                </w:rPr>
              </m:ctrlPr>
            </m:barPr>
            <m:e>
              <m:r>
                <w:rPr>
                  <w:rFonts w:ascii="Cambria Math" w:hAnsi="Cambria Math"/>
                </w:rPr>
                <m:t>S</m:t>
              </m:r>
            </m:e>
          </m:bar>
        </m:oMath>
      </m:oMathPara>
    </w:p>
    <w:p w14:paraId="697496E1" w14:textId="77777777" w:rsidR="008260A4" w:rsidRPr="00D54040" w:rsidRDefault="00631C42" w:rsidP="00105865">
      <w:pPr>
        <w:spacing w:line="240" w:lineRule="auto"/>
      </w:pPr>
      <m:oMathPara>
        <m:oMath>
          <m:bar>
            <m:barPr>
              <m:ctrlPr>
                <w:rPr>
                  <w:rFonts w:ascii="Cambria Math" w:hAnsi="Cambria Math"/>
                  <w:i/>
                </w:rPr>
              </m:ctrlPr>
            </m:barPr>
            <m:e>
              <m:r>
                <w:rPr>
                  <w:rFonts w:ascii="Cambria Math" w:hAnsi="Cambria Math"/>
                </w:rPr>
                <m:t>S</m:t>
              </m:r>
            </m:e>
          </m:bar>
          <m:r>
            <w:rPr>
              <w:rFonts w:ascii="Cambria Math"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S</m:t>
                        </m:r>
                      </m:e>
                      <m:sub>
                        <m:r>
                          <w:rPr>
                            <w:rFonts w:ascii="Cambria Math" w:hAnsi="Cambria Math"/>
                          </w:rPr>
                          <m:t>0,0</m:t>
                        </m:r>
                      </m:sub>
                      <m:sup>
                        <m:r>
                          <w:rPr>
                            <w:rFonts w:ascii="Cambria Math" w:hAnsi="Cambria Math"/>
                          </w:rPr>
                          <m:t>0,m</m:t>
                        </m:r>
                      </m:sup>
                    </m:sSubSup>
                  </m:e>
                </m:mr>
                <m:mr>
                  <m:e>
                    <m:sSubSup>
                      <m:sSubSupPr>
                        <m:ctrlPr>
                          <w:rPr>
                            <w:rFonts w:ascii="Cambria Math" w:hAnsi="Cambria Math"/>
                            <w:i/>
                          </w:rPr>
                        </m:ctrlPr>
                      </m:sSubSupPr>
                      <m:e>
                        <m:r>
                          <w:rPr>
                            <w:rFonts w:ascii="Cambria Math" w:hAnsi="Cambria Math"/>
                          </w:rPr>
                          <m:t>S</m:t>
                        </m:r>
                      </m:e>
                      <m:sub>
                        <m:r>
                          <w:rPr>
                            <w:rFonts w:ascii="Cambria Math" w:hAnsi="Cambria Math"/>
                          </w:rPr>
                          <m:t>1,0</m:t>
                        </m:r>
                      </m:sub>
                      <m:sup>
                        <m:r>
                          <w:rPr>
                            <w:rFonts w:ascii="Cambria Math" w:hAnsi="Cambria Math"/>
                          </w:rPr>
                          <m:t>0,m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S</m:t>
                        </m:r>
                      </m:e>
                      <m:sub>
                        <m:r>
                          <w:rPr>
                            <w:rFonts w:ascii="Cambria Math" w:eastAsia="Cambria Math" w:hAnsi="Cambria Math" w:cs="Cambria Math"/>
                          </w:rPr>
                          <m:t>0,1</m:t>
                        </m:r>
                      </m:sub>
                      <m:sup>
                        <m:r>
                          <w:rPr>
                            <w:rFonts w:ascii="Cambria Math" w:eastAsia="Cambria Math" w:hAnsi="Cambria Math" w:cs="Cambria Math"/>
                          </w:rPr>
                          <m:t>0,m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S</m:t>
                        </m:r>
                      </m:e>
                      <m:sub>
                        <m:r>
                          <w:rPr>
                            <w:rFonts w:ascii="Cambria Math" w:eastAsia="Cambria Math" w:hAnsi="Cambria Math" w:cs="Cambria Math"/>
                          </w:rPr>
                          <m:t>1.1</m:t>
                        </m:r>
                      </m:sub>
                      <m:sup>
                        <m:r>
                          <w:rPr>
                            <w:rFonts w:ascii="Cambria Math" w:eastAsia="Cambria Math" w:hAnsi="Cambria Math" w:cs="Cambria Math"/>
                          </w:rPr>
                          <m:t>0,m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S</m:t>
                        </m:r>
                      </m:e>
                      <m:sub>
                        <m:r>
                          <w:rPr>
                            <w:rFonts w:ascii="Cambria Math" w:eastAsia="Cambria Math" w:hAnsi="Cambria Math" w:cs="Cambria Math"/>
                          </w:rPr>
                          <m:t>0,0</m:t>
                        </m:r>
                      </m:sub>
                      <m:sup>
                        <m:r>
                          <w:rPr>
                            <w:rFonts w:ascii="Cambria Math" w:eastAsia="Cambria Math" w:hAnsi="Cambria Math" w:cs="Cambria Math"/>
                          </w:rPr>
                          <m:t>1,m</m:t>
                        </m:r>
                      </m:sup>
                    </m:sSubSup>
                    <m:ctrlPr>
                      <w:rPr>
                        <w:rFonts w:ascii="Cambria Math" w:eastAsia="Cambria Math" w:hAnsi="Cambria Math" w:cs="Cambria Math"/>
                        <w:i/>
                      </w:rPr>
                    </m:ctrlPr>
                  </m:e>
                </m:mr>
                <m:mr>
                  <m:e>
                    <m:sSubSup>
                      <m:sSubSupPr>
                        <m:ctrlPr>
                          <w:rPr>
                            <w:rFonts w:ascii="Cambria Math" w:eastAsia="Cambria Math" w:hAnsi="Cambria Math" w:cs="Cambria Math"/>
                            <w:i/>
                          </w:rPr>
                        </m:ctrlPr>
                      </m:sSubSupPr>
                      <m:e>
                        <m:r>
                          <w:rPr>
                            <w:rFonts w:ascii="Cambria Math" w:eastAsia="Cambria Math" w:hAnsi="Cambria Math" w:cs="Cambria Math"/>
                          </w:rPr>
                          <m:t>S</m:t>
                        </m:r>
                      </m:e>
                      <m:sub>
                        <m:r>
                          <w:rPr>
                            <w:rFonts w:ascii="Cambria Math" w:eastAsia="Cambria Math" w:hAnsi="Cambria Math" w:cs="Cambria Math"/>
                          </w:rPr>
                          <m:t>0,1</m:t>
                        </m:r>
                      </m:sub>
                      <m:sup>
                        <m:r>
                          <w:rPr>
                            <w:rFonts w:ascii="Cambria Math" w:eastAsia="Cambria Math" w:hAnsi="Cambria Math" w:cs="Cambria Math"/>
                          </w:rPr>
                          <m:t>1,m</m:t>
                        </m:r>
                      </m:sup>
                    </m:sSubSup>
                  </m:e>
                </m:mr>
              </m:m>
            </m:e>
          </m:d>
          <m:r>
            <w:rPr>
              <w:rFonts w:ascii="Cambria Math" w:hAnsi="Cambria Math"/>
            </w:rPr>
            <m:t>,</m:t>
          </m:r>
        </m:oMath>
      </m:oMathPara>
    </w:p>
    <w:p w14:paraId="38CD19EB" w14:textId="77777777" w:rsidR="008260A4" w:rsidRDefault="008260A4" w:rsidP="00105865">
      <w:pPr>
        <w:spacing w:line="240" w:lineRule="auto"/>
      </w:pPr>
    </w:p>
    <w:p w14:paraId="2F682098" w14:textId="77777777" w:rsidR="008260A4" w:rsidRPr="00D54040" w:rsidRDefault="008260A4" w:rsidP="00105865">
      <w:pPr>
        <w:spacing w:line="240" w:lineRule="auto"/>
      </w:pPr>
    </w:p>
    <w:p w14:paraId="48B720FD" w14:textId="77777777" w:rsidR="008260A4" w:rsidRDefault="008260A4" w:rsidP="00105865">
      <w:pPr>
        <w:spacing w:line="240" w:lineRule="auto"/>
      </w:pPr>
      <m:oMathPara>
        <m:oMath>
          <m:r>
            <w:rPr>
              <w:rFonts w:ascii="Cambria Math" w:hAnsi="Cambria Math"/>
            </w:rPr>
            <m:t>B=</m:t>
          </m:r>
          <m:d>
            <m:dPr>
              <m:ctrlPr>
                <w:rPr>
                  <w:rFonts w:ascii="Cambria Math" w:hAnsi="Cambria Math"/>
                  <w:i/>
                </w:rPr>
              </m:ctrlPr>
            </m:dPr>
            <m:e>
              <m:m>
                <m:mPr>
                  <m:mcs>
                    <m:mc>
                      <m:mcPr>
                        <m:count m:val="6"/>
                        <m:mcJc m:val="center"/>
                      </m:mcPr>
                    </m:mc>
                  </m:mcs>
                  <m:ctrlPr>
                    <w:rPr>
                      <w:rFonts w:ascii="Cambria Math" w:hAnsi="Cambria Math"/>
                      <w:i/>
                    </w:rPr>
                  </m:ctrlPr>
                </m:mPr>
                <m:mr>
                  <m:e>
                    <m:r>
                      <w:rPr>
                        <w:rFonts w:ascii="Cambria Math" w:hAnsi="Cambria Math"/>
                      </w:rPr>
                      <m:t>-β-η-ν</m:t>
                    </m:r>
                    <m:ctrlPr>
                      <w:rPr>
                        <w:rFonts w:ascii="Cambria Math" w:eastAsia="Cambria Math" w:hAnsi="Cambria Math" w:cs="Cambria Math"/>
                        <w:i/>
                      </w:rPr>
                    </m:ctrlPr>
                  </m:e>
                  <m:e>
                    <m:r>
                      <w:rPr>
                        <w:rFonts w:ascii="Cambria Math" w:eastAsia="Cambria Math" w:hAnsi="Cambria Math" w:cs="Cambria Math"/>
                      </w:rPr>
                      <m:t>γ</m:t>
                    </m:r>
                    <m:ctrlPr>
                      <w:rPr>
                        <w:rFonts w:ascii="Cambria Math" w:eastAsia="Cambria Math" w:hAnsi="Cambria Math" w:cs="Cambria Math"/>
                        <w:i/>
                      </w:rPr>
                    </m:ctrlPr>
                  </m:e>
                  <m:e>
                    <m:r>
                      <w:rPr>
                        <w:rFonts w:ascii="Cambria Math" w:eastAsia="Cambria Math" w:hAnsi="Cambria Math" w:cs="Cambria Math"/>
                      </w:rPr>
                      <m:t>κ</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β</m:t>
                    </m:r>
                    <m:ctrlPr>
                      <w:rPr>
                        <w:rFonts w:ascii="Cambria Math" w:eastAsia="Cambria Math" w:hAnsi="Cambria Math" w:cs="Cambria Math"/>
                        <w:i/>
                      </w:rPr>
                    </m:ctrlPr>
                  </m:e>
                  <m:e>
                    <m:r>
                      <w:rPr>
                        <w:rFonts w:ascii="Cambria Math" w:eastAsia="Cambria Math" w:hAnsi="Cambria Math" w:cs="Cambria Math"/>
                      </w:rPr>
                      <m:t>-γ-η-ν</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κ</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 xml:space="preserve"> η</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-κ-β-ν</m:t>
                    </m:r>
                    <m:ctrlPr>
                      <w:rPr>
                        <w:rFonts w:ascii="Cambria Math" w:eastAsia="Cambria Math" w:hAnsi="Cambria Math" w:cs="Cambria Math"/>
                        <w:i/>
                      </w:rPr>
                    </m:ctrlPr>
                  </m:e>
                  <m:e>
                    <m:r>
                      <w:rPr>
                        <w:rFonts w:ascii="Cambria Math" w:eastAsia="Cambria Math" w:hAnsi="Cambria Math" w:cs="Cambria Math"/>
                      </w:rPr>
                      <m:t>γ</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η</m:t>
                    </m:r>
                    <m:ctrlPr>
                      <w:rPr>
                        <w:rFonts w:ascii="Cambria Math" w:eastAsia="Cambria Math" w:hAnsi="Cambria Math" w:cs="Cambria Math"/>
                        <w:i/>
                      </w:rPr>
                    </m:ctrlPr>
                  </m:e>
                  <m:e>
                    <m:r>
                      <w:rPr>
                        <w:rFonts w:ascii="Cambria Math" w:eastAsia="Cambria Math" w:hAnsi="Cambria Math" w:cs="Cambria Math"/>
                      </w:rPr>
                      <m:t>β</m:t>
                    </m:r>
                    <m:ctrlPr>
                      <w:rPr>
                        <w:rFonts w:ascii="Cambria Math" w:eastAsia="Cambria Math" w:hAnsi="Cambria Math" w:cs="Cambria Math"/>
                        <w:i/>
                      </w:rPr>
                    </m:ctrlPr>
                  </m:e>
                  <m:e>
                    <m:r>
                      <w:rPr>
                        <w:rFonts w:ascii="Cambria Math" w:eastAsia="Cambria Math" w:hAnsi="Cambria Math" w:cs="Cambria Math"/>
                      </w:rPr>
                      <m:t>-κ-γ-ν</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ν</m:t>
                    </m:r>
                    <m:ctrlPr>
                      <w:rPr>
                        <w:rFonts w:ascii="Cambria Math" w:eastAsia="Cambria Math" w:hAnsi="Cambria Math" w:cs="Cambria Math"/>
                        <w:i/>
                      </w:rPr>
                    </m:ctrlPr>
                  </m:e>
                  <m:e>
                    <m:r>
                      <w:rPr>
                        <w:rFonts w:ascii="Cambria Math" w:eastAsia="Cambria Math" w:hAnsi="Cambria Math" w:cs="Cambria Math"/>
                      </w:rPr>
                      <m:t>ν</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-η</m:t>
                    </m:r>
                  </m:e>
                  <m:e>
                    <m:r>
                      <w:rPr>
                        <w:rFonts w:ascii="Cambria Math" w:hAnsi="Cambria Math"/>
                      </w:rPr>
                      <m:t>κ</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ν</m:t>
                    </m:r>
                    <m:ctrlPr>
                      <w:rPr>
                        <w:rFonts w:ascii="Cambria Math" w:eastAsia="Cambria Math" w:hAnsi="Cambria Math" w:cs="Cambria Math"/>
                        <w:i/>
                      </w:rPr>
                    </m:ctrlPr>
                  </m:e>
                  <m:e>
                    <m:r>
                      <w:rPr>
                        <w:rFonts w:ascii="Cambria Math" w:eastAsia="Cambria Math" w:hAnsi="Cambria Math" w:cs="Cambria Math"/>
                      </w:rPr>
                      <m:t>ν</m:t>
                    </m:r>
                    <m:ctrlPr>
                      <w:rPr>
                        <w:rFonts w:ascii="Cambria Math" w:eastAsia="Cambria Math" w:hAnsi="Cambria Math" w:cs="Cambria Math"/>
                        <w:i/>
                      </w:rPr>
                    </m:ctrlPr>
                  </m:e>
                  <m:e>
                    <m:r>
                      <w:rPr>
                        <w:rFonts w:ascii="Cambria Math" w:eastAsia="Cambria Math" w:hAnsi="Cambria Math" w:cs="Cambria Math"/>
                      </w:rPr>
                      <m:t>η</m:t>
                    </m:r>
                  </m:e>
                  <m:e>
                    <m:r>
                      <w:rPr>
                        <w:rFonts w:ascii="Cambria Math" w:hAnsi="Cambria Math"/>
                      </w:rPr>
                      <m:t>-κ</m:t>
                    </m:r>
                  </m:e>
                </m:mr>
              </m:m>
            </m:e>
          </m:d>
        </m:oMath>
      </m:oMathPara>
    </w:p>
    <w:p w14:paraId="34796579" w14:textId="77777777" w:rsidR="008260A4" w:rsidRDefault="008260A4" w:rsidP="00105865">
      <w:pPr>
        <w:spacing w:line="240" w:lineRule="auto"/>
      </w:pPr>
    </w:p>
    <w:p w14:paraId="6BA6CAED" w14:textId="77777777" w:rsidR="005328D1" w:rsidRDefault="005328D1" w:rsidP="00105865">
      <w:pPr>
        <w:spacing w:line="240" w:lineRule="auto"/>
      </w:pPr>
    </w:p>
    <w:p w14:paraId="36F7335C" w14:textId="77777777" w:rsidR="005328D1" w:rsidRDefault="005328D1" w:rsidP="00105865">
      <w:pPr>
        <w:spacing w:line="240" w:lineRule="auto"/>
      </w:pPr>
    </w:p>
    <w:p w14:paraId="43761C3E" w14:textId="77777777" w:rsidR="005328D1" w:rsidRDefault="005328D1" w:rsidP="00105865">
      <w:pPr>
        <w:spacing w:line="240" w:lineRule="auto"/>
      </w:pPr>
    </w:p>
    <w:p w14:paraId="370345D0" w14:textId="77777777" w:rsidR="005328D1" w:rsidRDefault="005328D1" w:rsidP="00105865">
      <w:pPr>
        <w:spacing w:line="240" w:lineRule="auto"/>
      </w:pPr>
    </w:p>
    <w:p w14:paraId="3036AB73" w14:textId="016C68F6" w:rsidR="008260A4" w:rsidRDefault="008260A4" w:rsidP="00105865">
      <w:pPr>
        <w:spacing w:line="240" w:lineRule="auto"/>
      </w:pPr>
      <w:r>
        <w:t>Disease Progression states</w:t>
      </w:r>
    </w:p>
    <w:tbl>
      <w:tblPr>
        <w:tblStyle w:val="TableGrid"/>
        <w:tblW w:w="0" w:type="auto"/>
        <w:tblLook w:val="04A0" w:firstRow="1" w:lastRow="0" w:firstColumn="1" w:lastColumn="0" w:noHBand="0" w:noVBand="1"/>
      </w:tblPr>
      <w:tblGrid>
        <w:gridCol w:w="4505"/>
        <w:gridCol w:w="4505"/>
      </w:tblGrid>
      <w:tr w:rsidR="008260A4" w14:paraId="24AE509B" w14:textId="77777777" w:rsidTr="008260A4">
        <w:tc>
          <w:tcPr>
            <w:tcW w:w="4505" w:type="dxa"/>
          </w:tcPr>
          <w:p w14:paraId="35956304" w14:textId="77777777" w:rsidR="008260A4" w:rsidRDefault="008260A4" w:rsidP="00105865">
            <w:r>
              <w:t>State</w:t>
            </w:r>
          </w:p>
        </w:tc>
        <w:tc>
          <w:tcPr>
            <w:tcW w:w="4505" w:type="dxa"/>
          </w:tcPr>
          <w:p w14:paraId="3F0457EF" w14:textId="77777777" w:rsidR="008260A4" w:rsidRDefault="008260A4" w:rsidP="00105865">
            <w:r>
              <w:t>Symbol Example</w:t>
            </w:r>
          </w:p>
        </w:tc>
      </w:tr>
      <w:tr w:rsidR="008260A4" w14:paraId="78A52585" w14:textId="77777777" w:rsidTr="008260A4">
        <w:tc>
          <w:tcPr>
            <w:tcW w:w="4505" w:type="dxa"/>
          </w:tcPr>
          <w:p w14:paraId="4E57098C" w14:textId="77777777" w:rsidR="008260A4" w:rsidRDefault="008260A4" w:rsidP="00105865">
            <w:r>
              <w:t>Metavir F0</w:t>
            </w:r>
          </w:p>
        </w:tc>
        <w:tc>
          <w:tcPr>
            <w:tcW w:w="4505" w:type="dxa"/>
          </w:tcPr>
          <w:p w14:paraId="7C162562"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0,1</m:t>
                    </m:r>
                  </m:sup>
                </m:sSubSup>
              </m:oMath>
            </m:oMathPara>
          </w:p>
        </w:tc>
      </w:tr>
      <w:tr w:rsidR="008260A4" w14:paraId="11294021" w14:textId="77777777" w:rsidTr="008260A4">
        <w:tc>
          <w:tcPr>
            <w:tcW w:w="4505" w:type="dxa"/>
          </w:tcPr>
          <w:p w14:paraId="729D6882" w14:textId="77777777" w:rsidR="008260A4" w:rsidRDefault="008260A4" w:rsidP="00105865">
            <w:r>
              <w:t>Metavir F1</w:t>
            </w:r>
          </w:p>
        </w:tc>
        <w:tc>
          <w:tcPr>
            <w:tcW w:w="4505" w:type="dxa"/>
          </w:tcPr>
          <w:p w14:paraId="1BBF338C"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0,2</m:t>
                    </m:r>
                  </m:sup>
                </m:sSubSup>
              </m:oMath>
            </m:oMathPara>
          </w:p>
        </w:tc>
      </w:tr>
      <w:tr w:rsidR="008260A4" w14:paraId="3675938E" w14:textId="77777777" w:rsidTr="008260A4">
        <w:tc>
          <w:tcPr>
            <w:tcW w:w="4505" w:type="dxa"/>
          </w:tcPr>
          <w:p w14:paraId="768DE34A" w14:textId="77777777" w:rsidR="008260A4" w:rsidRDefault="008260A4" w:rsidP="00105865">
            <w:r>
              <w:t>Metavir F2</w:t>
            </w:r>
          </w:p>
        </w:tc>
        <w:tc>
          <w:tcPr>
            <w:tcW w:w="4505" w:type="dxa"/>
          </w:tcPr>
          <w:p w14:paraId="3C557BA7"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0,3</m:t>
                    </m:r>
                  </m:sup>
                </m:sSubSup>
              </m:oMath>
            </m:oMathPara>
          </w:p>
        </w:tc>
      </w:tr>
      <w:tr w:rsidR="008260A4" w14:paraId="50D58416" w14:textId="77777777" w:rsidTr="008260A4">
        <w:tc>
          <w:tcPr>
            <w:tcW w:w="4505" w:type="dxa"/>
          </w:tcPr>
          <w:p w14:paraId="57AA78EA" w14:textId="77777777" w:rsidR="008260A4" w:rsidRDefault="008260A4" w:rsidP="00105865">
            <w:r>
              <w:t>Metavir F3</w:t>
            </w:r>
          </w:p>
        </w:tc>
        <w:tc>
          <w:tcPr>
            <w:tcW w:w="4505" w:type="dxa"/>
          </w:tcPr>
          <w:p w14:paraId="41ED8A0A"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0,4</m:t>
                    </m:r>
                  </m:sup>
                </m:sSubSup>
              </m:oMath>
            </m:oMathPara>
          </w:p>
        </w:tc>
      </w:tr>
      <w:tr w:rsidR="008260A4" w14:paraId="1ED23449" w14:textId="77777777" w:rsidTr="008260A4">
        <w:tc>
          <w:tcPr>
            <w:tcW w:w="4505" w:type="dxa"/>
          </w:tcPr>
          <w:p w14:paraId="2A3933C2" w14:textId="77777777" w:rsidR="008260A4" w:rsidRDefault="008260A4" w:rsidP="00105865">
            <w:r>
              <w:t>Metavir F4 (compensated cirrhosis)</w:t>
            </w:r>
          </w:p>
        </w:tc>
        <w:tc>
          <w:tcPr>
            <w:tcW w:w="4505" w:type="dxa"/>
          </w:tcPr>
          <w:p w14:paraId="6F83654D"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0,5</m:t>
                    </m:r>
                  </m:sup>
                </m:sSubSup>
              </m:oMath>
            </m:oMathPara>
          </w:p>
        </w:tc>
      </w:tr>
      <w:tr w:rsidR="008260A4" w14:paraId="4F7422B7" w14:textId="77777777" w:rsidTr="008260A4">
        <w:tc>
          <w:tcPr>
            <w:tcW w:w="4505" w:type="dxa"/>
          </w:tcPr>
          <w:p w14:paraId="012C8AFF" w14:textId="77777777" w:rsidR="008260A4" w:rsidRDefault="008260A4" w:rsidP="00105865">
            <w:r>
              <w:t>Decompensated cirrhosis</w:t>
            </w:r>
          </w:p>
        </w:tc>
        <w:tc>
          <w:tcPr>
            <w:tcW w:w="4505" w:type="dxa"/>
          </w:tcPr>
          <w:p w14:paraId="24DD0E23"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0,6</m:t>
                    </m:r>
                  </m:sup>
                </m:sSubSup>
              </m:oMath>
            </m:oMathPara>
          </w:p>
        </w:tc>
      </w:tr>
      <w:tr w:rsidR="008260A4" w14:paraId="44F8A29E" w14:textId="77777777" w:rsidTr="008260A4">
        <w:tc>
          <w:tcPr>
            <w:tcW w:w="4505" w:type="dxa"/>
          </w:tcPr>
          <w:p w14:paraId="3564AF32" w14:textId="77777777" w:rsidR="008260A4" w:rsidRDefault="008260A4" w:rsidP="00105865">
            <w:r>
              <w:t>Hepatocellular Carcinoma</w:t>
            </w:r>
          </w:p>
        </w:tc>
        <w:tc>
          <w:tcPr>
            <w:tcW w:w="4505" w:type="dxa"/>
          </w:tcPr>
          <w:p w14:paraId="72A1D1C0"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0,7</m:t>
                    </m:r>
                  </m:sup>
                </m:sSubSup>
              </m:oMath>
            </m:oMathPara>
          </w:p>
        </w:tc>
      </w:tr>
      <w:tr w:rsidR="008260A4" w14:paraId="093D780F" w14:textId="77777777" w:rsidTr="008260A4">
        <w:tc>
          <w:tcPr>
            <w:tcW w:w="4505" w:type="dxa"/>
          </w:tcPr>
          <w:p w14:paraId="11836895" w14:textId="77777777" w:rsidR="008260A4" w:rsidRDefault="008260A4" w:rsidP="00105865">
            <w:r>
              <w:t>Liver Transplant</w:t>
            </w:r>
          </w:p>
        </w:tc>
        <w:tc>
          <w:tcPr>
            <w:tcW w:w="4505" w:type="dxa"/>
          </w:tcPr>
          <w:p w14:paraId="794FE628"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0,8</m:t>
                    </m:r>
                  </m:sup>
                </m:sSubSup>
              </m:oMath>
            </m:oMathPara>
          </w:p>
        </w:tc>
      </w:tr>
      <w:tr w:rsidR="008260A4" w14:paraId="4947CD33" w14:textId="77777777" w:rsidTr="008260A4">
        <w:tc>
          <w:tcPr>
            <w:tcW w:w="4505" w:type="dxa"/>
          </w:tcPr>
          <w:p w14:paraId="16337DBE" w14:textId="77777777" w:rsidR="008260A4" w:rsidRDefault="008260A4" w:rsidP="00105865">
            <w:r>
              <w:t>Post Liver Transplant</w:t>
            </w:r>
          </w:p>
        </w:tc>
        <w:tc>
          <w:tcPr>
            <w:tcW w:w="4505" w:type="dxa"/>
          </w:tcPr>
          <w:p w14:paraId="506B8E88" w14:textId="77777777" w:rsidR="008260A4" w:rsidRDefault="00631C42" w:rsidP="00105865">
            <m:oMathPara>
              <m:oMath>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0,9</m:t>
                    </m:r>
                  </m:sup>
                </m:sSubSup>
              </m:oMath>
            </m:oMathPara>
          </w:p>
        </w:tc>
      </w:tr>
    </w:tbl>
    <w:p w14:paraId="6297F68A" w14:textId="77777777" w:rsidR="008260A4" w:rsidRDefault="008260A4" w:rsidP="00105865">
      <w:pPr>
        <w:spacing w:line="240" w:lineRule="auto"/>
      </w:pPr>
    </w:p>
    <w:tbl>
      <w:tblPr>
        <w:tblStyle w:val="TableGrid"/>
        <w:tblW w:w="0" w:type="auto"/>
        <w:tblLook w:val="04A0" w:firstRow="1" w:lastRow="0" w:firstColumn="1" w:lastColumn="0" w:noHBand="0" w:noVBand="1"/>
      </w:tblPr>
      <w:tblGrid>
        <w:gridCol w:w="4505"/>
        <w:gridCol w:w="4505"/>
      </w:tblGrid>
      <w:tr w:rsidR="008260A4" w14:paraId="22990E5C" w14:textId="77777777" w:rsidTr="008260A4">
        <w:tc>
          <w:tcPr>
            <w:tcW w:w="4505" w:type="dxa"/>
          </w:tcPr>
          <w:p w14:paraId="7ADA043D" w14:textId="77777777" w:rsidR="008260A4" w:rsidRDefault="008260A4" w:rsidP="00105865">
            <w:r>
              <w:t>Parameter</w:t>
            </w:r>
          </w:p>
        </w:tc>
        <w:tc>
          <w:tcPr>
            <w:tcW w:w="4505" w:type="dxa"/>
          </w:tcPr>
          <w:p w14:paraId="18E19EE2" w14:textId="77777777" w:rsidR="008260A4" w:rsidRDefault="008260A4" w:rsidP="00105865">
            <w:r>
              <w:t>Symbol</w:t>
            </w:r>
          </w:p>
        </w:tc>
      </w:tr>
      <w:tr w:rsidR="008260A4" w:rsidRPr="006A0C6E" w14:paraId="6E30EF21" w14:textId="77777777" w:rsidTr="008260A4">
        <w:tc>
          <w:tcPr>
            <w:tcW w:w="4505" w:type="dxa"/>
          </w:tcPr>
          <w:p w14:paraId="64C8931F" w14:textId="77777777" w:rsidR="008260A4" w:rsidRPr="006A0C6E" w:rsidRDefault="008260A4" w:rsidP="00105865">
            <w:r w:rsidRPr="006A0C6E">
              <w:rPr>
                <w:rFonts w:ascii="Calibri" w:eastAsia="Calibri" w:hAnsi="Calibri" w:cs="Times New Roman"/>
              </w:rPr>
              <w:t>Yearly progression rate from f0 to f1</w:t>
            </w:r>
          </w:p>
        </w:tc>
        <w:tc>
          <w:tcPr>
            <w:tcW w:w="4505" w:type="dxa"/>
          </w:tcPr>
          <w:p w14:paraId="7DC0F2D6" w14:textId="77777777" w:rsidR="008260A4" w:rsidRPr="006A0C6E" w:rsidRDefault="00631C42" w:rsidP="00105865">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1</m:t>
                    </m:r>
                  </m:sub>
                </m:sSub>
              </m:oMath>
            </m:oMathPara>
          </w:p>
        </w:tc>
      </w:tr>
      <w:tr w:rsidR="008260A4" w:rsidRPr="006A0C6E" w14:paraId="0E768487" w14:textId="77777777" w:rsidTr="008260A4">
        <w:tc>
          <w:tcPr>
            <w:tcW w:w="4505" w:type="dxa"/>
          </w:tcPr>
          <w:p w14:paraId="6652BAB3" w14:textId="77777777" w:rsidR="008260A4" w:rsidRPr="006A0C6E" w:rsidRDefault="008260A4" w:rsidP="00105865">
            <w:r w:rsidRPr="006A0C6E">
              <w:rPr>
                <w:rFonts w:ascii="Calibri" w:eastAsia="Calibri" w:hAnsi="Calibri" w:cs="Times New Roman"/>
              </w:rPr>
              <w:t>Yearly progression rate from f1 to f2</w:t>
            </w:r>
          </w:p>
        </w:tc>
        <w:tc>
          <w:tcPr>
            <w:tcW w:w="4505" w:type="dxa"/>
          </w:tcPr>
          <w:p w14:paraId="0ED14CA8" w14:textId="77777777" w:rsidR="008260A4" w:rsidRPr="006A0C6E" w:rsidRDefault="00631C42" w:rsidP="00105865">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2</m:t>
                    </m:r>
                  </m:sub>
                </m:sSub>
              </m:oMath>
            </m:oMathPara>
          </w:p>
        </w:tc>
      </w:tr>
      <w:tr w:rsidR="008260A4" w:rsidRPr="006A0C6E" w14:paraId="47CEBFD6" w14:textId="77777777" w:rsidTr="008260A4">
        <w:tc>
          <w:tcPr>
            <w:tcW w:w="4505" w:type="dxa"/>
          </w:tcPr>
          <w:p w14:paraId="73C6EB0F" w14:textId="77777777" w:rsidR="008260A4" w:rsidRPr="006A0C6E" w:rsidRDefault="008260A4" w:rsidP="00105865">
            <w:r w:rsidRPr="006A0C6E">
              <w:rPr>
                <w:rFonts w:ascii="Calibri" w:eastAsia="Calibri" w:hAnsi="Calibri" w:cs="Times New Roman"/>
              </w:rPr>
              <w:t>Yearly progression rate from f2 to f3</w:t>
            </w:r>
          </w:p>
        </w:tc>
        <w:tc>
          <w:tcPr>
            <w:tcW w:w="4505" w:type="dxa"/>
          </w:tcPr>
          <w:p w14:paraId="31348B3F" w14:textId="77777777" w:rsidR="008260A4" w:rsidRPr="006A0C6E" w:rsidRDefault="00631C42" w:rsidP="00105865">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3</m:t>
                    </m:r>
                  </m:sub>
                </m:sSub>
              </m:oMath>
            </m:oMathPara>
          </w:p>
        </w:tc>
      </w:tr>
      <w:tr w:rsidR="008260A4" w:rsidRPr="006A0C6E" w14:paraId="13C52179" w14:textId="77777777" w:rsidTr="008260A4">
        <w:tc>
          <w:tcPr>
            <w:tcW w:w="4505" w:type="dxa"/>
          </w:tcPr>
          <w:p w14:paraId="61A24750" w14:textId="77777777" w:rsidR="008260A4" w:rsidRPr="006A0C6E" w:rsidRDefault="008260A4" w:rsidP="00105865">
            <w:r w:rsidRPr="006A0C6E">
              <w:rPr>
                <w:rFonts w:ascii="Calibri" w:eastAsia="Calibri" w:hAnsi="Calibri" w:cs="Times New Roman"/>
              </w:rPr>
              <w:t>Yearly progression rate from f3 to compensated cirrhosis</w:t>
            </w:r>
          </w:p>
        </w:tc>
        <w:tc>
          <w:tcPr>
            <w:tcW w:w="4505" w:type="dxa"/>
          </w:tcPr>
          <w:p w14:paraId="2996A859" w14:textId="77777777" w:rsidR="008260A4" w:rsidRPr="006A0C6E" w:rsidRDefault="00631C42" w:rsidP="00105865">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4</m:t>
                    </m:r>
                  </m:sub>
                </m:sSub>
              </m:oMath>
            </m:oMathPara>
          </w:p>
        </w:tc>
      </w:tr>
      <w:tr w:rsidR="008260A4" w:rsidRPr="006A0C6E" w14:paraId="41DAC706" w14:textId="77777777" w:rsidTr="008260A4">
        <w:tc>
          <w:tcPr>
            <w:tcW w:w="4505" w:type="dxa"/>
          </w:tcPr>
          <w:p w14:paraId="0CA1C8D8" w14:textId="77777777" w:rsidR="008260A4" w:rsidRPr="006A0C6E" w:rsidRDefault="008260A4" w:rsidP="00105865">
            <w:r w:rsidRPr="006A0C6E">
              <w:t>Yearly progression rate from compensated cirrhosis to decompensated cirrhosis</w:t>
            </w:r>
          </w:p>
        </w:tc>
        <w:tc>
          <w:tcPr>
            <w:tcW w:w="4505" w:type="dxa"/>
          </w:tcPr>
          <w:p w14:paraId="35A2CE8D" w14:textId="77777777" w:rsidR="008260A4" w:rsidRPr="006A0C6E" w:rsidRDefault="00631C42" w:rsidP="00105865">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5</m:t>
                    </m:r>
                  </m:sub>
                </m:sSub>
              </m:oMath>
            </m:oMathPara>
          </w:p>
        </w:tc>
      </w:tr>
      <w:tr w:rsidR="008260A4" w:rsidRPr="006A0C6E" w14:paraId="6905D5BE" w14:textId="77777777" w:rsidTr="008260A4">
        <w:tc>
          <w:tcPr>
            <w:tcW w:w="4505" w:type="dxa"/>
          </w:tcPr>
          <w:p w14:paraId="0111F5D1" w14:textId="77777777" w:rsidR="008260A4" w:rsidRPr="006A0C6E" w:rsidRDefault="008260A4" w:rsidP="00105865">
            <w:r w:rsidRPr="006A0C6E">
              <w:rPr>
                <w:rFonts w:ascii="Calibri" w:eastAsia="Calibri" w:hAnsi="Calibri" w:cs="Times New Roman"/>
              </w:rPr>
              <w:t xml:space="preserve">Yearly progression rate from compensated cirrhosis or decompensated cirrhosis to hepatocellular carcinoma </w:t>
            </w:r>
          </w:p>
        </w:tc>
        <w:tc>
          <w:tcPr>
            <w:tcW w:w="4505" w:type="dxa"/>
          </w:tcPr>
          <w:p w14:paraId="29101517" w14:textId="77777777" w:rsidR="008260A4" w:rsidRPr="006A0C6E" w:rsidRDefault="00631C42" w:rsidP="00105865">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6</m:t>
                    </m:r>
                  </m:sub>
                </m:sSub>
              </m:oMath>
            </m:oMathPara>
          </w:p>
        </w:tc>
      </w:tr>
      <w:tr w:rsidR="008260A4" w:rsidRPr="006A0C6E" w14:paraId="73BBCC43" w14:textId="77777777" w:rsidTr="008260A4">
        <w:tc>
          <w:tcPr>
            <w:tcW w:w="4505" w:type="dxa"/>
          </w:tcPr>
          <w:p w14:paraId="1FE5BCD2" w14:textId="77777777" w:rsidR="008260A4" w:rsidRPr="006A0C6E" w:rsidRDefault="008260A4" w:rsidP="00105865">
            <w:r w:rsidRPr="006A0C6E">
              <w:rPr>
                <w:rFonts w:ascii="Calibri" w:eastAsia="Calibri" w:hAnsi="Calibri" w:cs="Times New Roman"/>
              </w:rPr>
              <w:t>Yearly progression rate from decompensated cirrhosis or HCC to liver transplant</w:t>
            </w:r>
          </w:p>
        </w:tc>
        <w:tc>
          <w:tcPr>
            <w:tcW w:w="4505" w:type="dxa"/>
          </w:tcPr>
          <w:p w14:paraId="4B89778A" w14:textId="77777777" w:rsidR="008260A4" w:rsidRPr="006A0C6E" w:rsidRDefault="00631C42" w:rsidP="00105865">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7</m:t>
                    </m:r>
                  </m:sub>
                </m:sSub>
              </m:oMath>
            </m:oMathPara>
          </w:p>
        </w:tc>
      </w:tr>
      <w:tr w:rsidR="008260A4" w:rsidRPr="006A0C6E" w14:paraId="41622B59" w14:textId="77777777" w:rsidTr="008260A4">
        <w:tc>
          <w:tcPr>
            <w:tcW w:w="4505" w:type="dxa"/>
          </w:tcPr>
          <w:p w14:paraId="06980C19" w14:textId="77777777" w:rsidR="008260A4" w:rsidRPr="006A0C6E" w:rsidRDefault="008260A4" w:rsidP="00105865">
            <w:pPr>
              <w:rPr>
                <w:rFonts w:ascii="Calibri" w:eastAsia="Calibri" w:hAnsi="Calibri" w:cs="Times New Roman"/>
              </w:rPr>
            </w:pPr>
            <w:r w:rsidRPr="006A0C6E">
              <w:rPr>
                <w:rFonts w:ascii="Calibri" w:eastAsia="Calibri" w:hAnsi="Calibri" w:cs="Times New Roman"/>
              </w:rPr>
              <w:t>Yearly progression rate from liver transplant to post liver transplant</w:t>
            </w:r>
          </w:p>
        </w:tc>
        <w:tc>
          <w:tcPr>
            <w:tcW w:w="4505" w:type="dxa"/>
          </w:tcPr>
          <w:p w14:paraId="1214C1F9" w14:textId="77777777" w:rsidR="008260A4" w:rsidRPr="006A0C6E" w:rsidRDefault="00631C42" w:rsidP="00105865">
            <w:pPr>
              <w:rPr>
                <w:rFonts w:ascii="Calibri" w:eastAsia="Times New Roman"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8</m:t>
                    </m:r>
                  </m:sub>
                </m:sSub>
              </m:oMath>
            </m:oMathPara>
          </w:p>
        </w:tc>
      </w:tr>
      <w:tr w:rsidR="008260A4" w:rsidRPr="006A0C6E" w14:paraId="6A3F2473" w14:textId="77777777" w:rsidTr="008260A4">
        <w:tc>
          <w:tcPr>
            <w:tcW w:w="4505" w:type="dxa"/>
          </w:tcPr>
          <w:p w14:paraId="6E25D084" w14:textId="77777777" w:rsidR="008260A4" w:rsidRPr="006A0C6E" w:rsidRDefault="008260A4" w:rsidP="00105865">
            <w:pPr>
              <w:rPr>
                <w:rFonts w:ascii="Calibri" w:eastAsia="Calibri" w:hAnsi="Calibri" w:cs="Times New Roman"/>
              </w:rPr>
            </w:pPr>
            <w:r w:rsidRPr="006A0C6E">
              <w:rPr>
                <w:rFonts w:ascii="Calibri" w:eastAsia="Calibri" w:hAnsi="Calibri" w:cs="Times New Roman"/>
              </w:rPr>
              <w:t>Decompensated cirrhosis related death rate per year</w:t>
            </w:r>
          </w:p>
        </w:tc>
        <w:tc>
          <w:tcPr>
            <w:tcW w:w="4505" w:type="dxa"/>
          </w:tcPr>
          <w:p w14:paraId="3BBD5A54" w14:textId="77777777" w:rsidR="008260A4" w:rsidRPr="006A0C6E"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ζ</m:t>
                    </m:r>
                  </m:e>
                  <m:sub>
                    <m:r>
                      <w:rPr>
                        <w:rFonts w:ascii="Cambria Math" w:eastAsia="Calibri" w:hAnsi="Cambria Math" w:cs="Times New Roman"/>
                      </w:rPr>
                      <m:t>6</m:t>
                    </m:r>
                  </m:sub>
                </m:sSub>
              </m:oMath>
            </m:oMathPara>
          </w:p>
        </w:tc>
      </w:tr>
      <w:tr w:rsidR="008260A4" w:rsidRPr="006A0C6E" w14:paraId="2D99C50E" w14:textId="77777777" w:rsidTr="008260A4">
        <w:tc>
          <w:tcPr>
            <w:tcW w:w="4505" w:type="dxa"/>
          </w:tcPr>
          <w:p w14:paraId="13664B1D" w14:textId="77777777" w:rsidR="008260A4" w:rsidRPr="006A0C6E" w:rsidRDefault="008260A4" w:rsidP="00105865">
            <w:pPr>
              <w:rPr>
                <w:rFonts w:ascii="Calibri" w:eastAsia="Calibri" w:hAnsi="Calibri" w:cs="Times New Roman"/>
              </w:rPr>
            </w:pPr>
            <w:r w:rsidRPr="006A0C6E">
              <w:rPr>
                <w:rFonts w:ascii="Calibri" w:eastAsia="Calibri" w:hAnsi="Calibri" w:cs="Times New Roman"/>
              </w:rPr>
              <w:lastRenderedPageBreak/>
              <w:t>Hepatocellular carcinoma related death rate per year</w:t>
            </w:r>
          </w:p>
        </w:tc>
        <w:tc>
          <w:tcPr>
            <w:tcW w:w="4505" w:type="dxa"/>
          </w:tcPr>
          <w:p w14:paraId="565C4A43" w14:textId="77777777" w:rsidR="008260A4" w:rsidRPr="006A0C6E"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7</m:t>
                    </m:r>
                  </m:sub>
                </m:sSub>
              </m:oMath>
            </m:oMathPara>
          </w:p>
        </w:tc>
      </w:tr>
      <w:tr w:rsidR="008260A4" w:rsidRPr="006A0C6E" w14:paraId="2B73579C" w14:textId="77777777" w:rsidTr="008260A4">
        <w:tc>
          <w:tcPr>
            <w:tcW w:w="4505" w:type="dxa"/>
          </w:tcPr>
          <w:p w14:paraId="7F298652" w14:textId="77777777" w:rsidR="008260A4" w:rsidRPr="006A0C6E" w:rsidRDefault="008260A4" w:rsidP="00105865">
            <w:pPr>
              <w:rPr>
                <w:rFonts w:ascii="Calibri" w:eastAsia="Calibri" w:hAnsi="Calibri" w:cs="Times New Roman"/>
              </w:rPr>
            </w:pPr>
            <w:r w:rsidRPr="006A0C6E">
              <w:rPr>
                <w:rFonts w:ascii="Calibri" w:eastAsia="Calibri" w:hAnsi="Calibri" w:cs="Times New Roman"/>
              </w:rPr>
              <w:t>Liver transplant related death rate per year</w:t>
            </w:r>
          </w:p>
        </w:tc>
        <w:tc>
          <w:tcPr>
            <w:tcW w:w="4505" w:type="dxa"/>
          </w:tcPr>
          <w:p w14:paraId="7712E8A1" w14:textId="77777777" w:rsidR="008260A4" w:rsidRPr="006A0C6E"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8</m:t>
                    </m:r>
                  </m:sub>
                </m:sSub>
              </m:oMath>
            </m:oMathPara>
          </w:p>
        </w:tc>
      </w:tr>
      <w:tr w:rsidR="008260A4" w:rsidRPr="006A0C6E" w14:paraId="6D6A8AB8" w14:textId="77777777" w:rsidTr="008260A4">
        <w:tc>
          <w:tcPr>
            <w:tcW w:w="4505" w:type="dxa"/>
          </w:tcPr>
          <w:p w14:paraId="02F4BD8A" w14:textId="77777777" w:rsidR="008260A4" w:rsidRPr="006A0C6E" w:rsidRDefault="008260A4" w:rsidP="00105865">
            <w:pPr>
              <w:rPr>
                <w:rFonts w:ascii="Calibri" w:eastAsia="Calibri" w:hAnsi="Calibri" w:cs="Times New Roman"/>
              </w:rPr>
            </w:pPr>
            <w:r w:rsidRPr="006A0C6E">
              <w:rPr>
                <w:rFonts w:ascii="Calibri" w:eastAsia="Calibri" w:hAnsi="Calibri" w:cs="Times New Roman"/>
              </w:rPr>
              <w:t>Post liver transplant related death rate per year</w:t>
            </w:r>
          </w:p>
        </w:tc>
        <w:tc>
          <w:tcPr>
            <w:tcW w:w="4505" w:type="dxa"/>
          </w:tcPr>
          <w:p w14:paraId="0217FDA6" w14:textId="77777777" w:rsidR="008260A4" w:rsidRPr="006A0C6E"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9</m:t>
                    </m:r>
                  </m:sub>
                </m:sSub>
              </m:oMath>
            </m:oMathPara>
          </w:p>
        </w:tc>
      </w:tr>
      <w:tr w:rsidR="008260A4" w:rsidRPr="006A0C6E" w14:paraId="00971CEF" w14:textId="77777777" w:rsidTr="008260A4">
        <w:tc>
          <w:tcPr>
            <w:tcW w:w="4505" w:type="dxa"/>
          </w:tcPr>
          <w:p w14:paraId="2B589546" w14:textId="77777777" w:rsidR="008260A4" w:rsidRPr="006A0C6E" w:rsidRDefault="008260A4" w:rsidP="00105865">
            <w:pPr>
              <w:rPr>
                <w:rFonts w:ascii="Calibri" w:eastAsia="Calibri" w:hAnsi="Calibri" w:cs="Times New Roman"/>
              </w:rPr>
            </w:pPr>
            <w:r w:rsidRPr="006A0C6E">
              <w:rPr>
                <w:rFonts w:ascii="Calibri" w:eastAsia="Calibri" w:hAnsi="Calibri" w:cs="Times New Roman"/>
              </w:rPr>
              <w:t xml:space="preserve">Relative risk for progression rate </w:t>
            </w:r>
            <w:proofErr w:type="gramStart"/>
            <w:r w:rsidRPr="006A0C6E">
              <w:rPr>
                <w:rFonts w:ascii="Calibri" w:eastAsia="Calibri" w:hAnsi="Calibri" w:cs="Times New Roman"/>
              </w:rPr>
              <w:t xml:space="preserve">from </w:t>
            </w:r>
            <w:r w:rsidRPr="006A0C6E">
              <w:t xml:space="preserve"> compensated</w:t>
            </w:r>
            <w:proofErr w:type="gramEnd"/>
            <w:r w:rsidRPr="006A0C6E">
              <w:t xml:space="preserve"> to decompensated cirrhosis</w:t>
            </w:r>
            <w:r w:rsidRPr="006A0C6E">
              <w:rPr>
                <w:rFonts w:ascii="Calibri" w:eastAsia="Calibri" w:hAnsi="Calibri" w:cs="Times New Roman"/>
              </w:rPr>
              <w:t xml:space="preserve"> following SVR</w:t>
            </w:r>
          </w:p>
        </w:tc>
        <w:tc>
          <w:tcPr>
            <w:tcW w:w="4505" w:type="dxa"/>
          </w:tcPr>
          <w:p w14:paraId="006367F0" w14:textId="77777777" w:rsidR="008260A4" w:rsidRPr="006A0C6E"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e</m:t>
                    </m:r>
                  </m:e>
                  <m:sub>
                    <m:r>
                      <w:rPr>
                        <w:rFonts w:ascii="Cambria Math" w:eastAsia="Calibri" w:hAnsi="Cambria Math" w:cs="Times New Roman"/>
                      </w:rPr>
                      <m:t>5</m:t>
                    </m:r>
                  </m:sub>
                </m:sSub>
              </m:oMath>
            </m:oMathPara>
          </w:p>
        </w:tc>
      </w:tr>
      <w:tr w:rsidR="008260A4" w:rsidRPr="006A0C6E" w14:paraId="773D4447" w14:textId="77777777" w:rsidTr="008260A4">
        <w:tc>
          <w:tcPr>
            <w:tcW w:w="4505" w:type="dxa"/>
          </w:tcPr>
          <w:p w14:paraId="403DBFE3" w14:textId="77777777" w:rsidR="008260A4" w:rsidRPr="006A0C6E" w:rsidRDefault="008260A4" w:rsidP="00105865">
            <w:pPr>
              <w:rPr>
                <w:rFonts w:ascii="Calibri" w:eastAsia="Calibri" w:hAnsi="Calibri" w:cs="Times New Roman"/>
              </w:rPr>
            </w:pPr>
            <w:r w:rsidRPr="006A0C6E">
              <w:rPr>
                <w:rFonts w:ascii="Calibri" w:eastAsia="Calibri" w:hAnsi="Calibri" w:cs="Times New Roman"/>
              </w:rPr>
              <w:t>Relative risk for progression rate from compensated cirrhosis to HCC following SVR</w:t>
            </w:r>
          </w:p>
        </w:tc>
        <w:tc>
          <w:tcPr>
            <w:tcW w:w="4505" w:type="dxa"/>
          </w:tcPr>
          <w:p w14:paraId="1BF73F1F" w14:textId="77777777" w:rsidR="008260A4" w:rsidRPr="006A0C6E" w:rsidRDefault="00631C42" w:rsidP="00105865">
            <w:pPr>
              <w:rPr>
                <w:rFonts w:ascii="Calibri" w:eastAsia="Calibri" w:hAnsi="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e</m:t>
                    </m:r>
                  </m:e>
                  <m:sub>
                    <m:r>
                      <w:rPr>
                        <w:rFonts w:ascii="Cambria Math" w:eastAsia="Calibri" w:hAnsi="Cambria Math" w:cs="Times New Roman"/>
                      </w:rPr>
                      <m:t>6</m:t>
                    </m:r>
                  </m:sub>
                </m:sSub>
              </m:oMath>
            </m:oMathPara>
          </w:p>
        </w:tc>
      </w:tr>
    </w:tbl>
    <w:p w14:paraId="04714498" w14:textId="77777777" w:rsidR="008260A4" w:rsidRPr="006A0C6E" w:rsidRDefault="008260A4" w:rsidP="00105865">
      <w:pPr>
        <w:spacing w:line="240" w:lineRule="auto"/>
      </w:pPr>
    </w:p>
    <w:p w14:paraId="086124CF" w14:textId="77777777" w:rsidR="008260A4" w:rsidRDefault="008260A4" w:rsidP="00105865">
      <w:pPr>
        <w:spacing w:line="240" w:lineRule="auto"/>
      </w:pPr>
      <w:r>
        <w:t xml:space="preserve">These terms in the equations are concerned with movement through the disease states.  Infection and treatment are described separately above.  </w:t>
      </w:r>
      <m:oMath>
        <m:r>
          <w:rPr>
            <w:rFonts w:ascii="Cambria Math" w:hAnsi="Cambria Math"/>
          </w:rPr>
          <m:t>D</m:t>
        </m:r>
        <m:sSubSup>
          <m:sSubSupPr>
            <m:ctrlPr>
              <w:rPr>
                <w:rFonts w:ascii="Cambria Math" w:hAnsi="Cambria Math"/>
                <w:i/>
              </w:rPr>
            </m:ctrlPr>
          </m:sSubSupPr>
          <m:e>
            <m:r>
              <w:rPr>
                <w:rFonts w:ascii="Cambria Math" w:hAnsi="Cambria Math"/>
              </w:rPr>
              <m:t>Y</m:t>
            </m:r>
          </m:e>
          <m:sub>
            <m:r>
              <w:rPr>
                <w:rFonts w:ascii="Cambria Math" w:hAnsi="Cambria Math"/>
              </w:rPr>
              <m:t>i,j</m:t>
            </m:r>
          </m:sub>
          <m:sup>
            <m:r>
              <w:rPr>
                <w:rFonts w:ascii="Cambria Math" w:hAnsi="Cambria Math"/>
              </w:rPr>
              <m:t>k,m</m:t>
            </m:r>
          </m:sup>
        </m:sSubSup>
      </m:oMath>
      <w:r>
        <w:t xml:space="preserve"> denotes the terms in the ordinary differential equation of disease category </w:t>
      </w:r>
      <m:oMath>
        <m:r>
          <w:rPr>
            <w:rFonts w:ascii="Cambria Math" w:hAnsi="Cambria Math"/>
          </w:rPr>
          <m:t>m</m:t>
        </m:r>
      </m:oMath>
      <w:r>
        <w:t xml:space="preserve"> for susceptible individuals who have previously been treated and </w:t>
      </w:r>
      <m:oMath>
        <m:r>
          <w:rPr>
            <w:rFonts w:ascii="Cambria Math" w:hAnsi="Cambria Math"/>
          </w:rPr>
          <m:t>D</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k,m</m:t>
            </m:r>
          </m:sup>
        </m:sSubSup>
      </m:oMath>
      <w:r>
        <w:t xml:space="preserve">  for infected individuals.  These terms can be found in the equations for all values of </w:t>
      </w:r>
      <m:oMath>
        <m:r>
          <w:rPr>
            <w:rFonts w:ascii="Cambria Math" w:hAnsi="Cambria Math"/>
          </w:rPr>
          <m:t>i,j,k</m:t>
        </m:r>
      </m:oMath>
      <w:r>
        <w:t xml:space="preserve"> and </w:t>
      </w:r>
      <m:oMath>
        <m:r>
          <w:rPr>
            <w:rFonts w:ascii="Cambria Math" w:hAnsi="Cambria Math"/>
          </w:rPr>
          <m:t>m</m:t>
        </m:r>
      </m:oMath>
      <w:r>
        <w:t xml:space="preserve">.   </w:t>
      </w:r>
    </w:p>
    <w:p w14:paraId="11CDC569" w14:textId="77777777" w:rsidR="008260A4" w:rsidRPr="00A86C4A" w:rsidRDefault="00631C42" w:rsidP="00105865">
      <w:pPr>
        <w:spacing w:line="240" w:lineRule="auto"/>
      </w:pPr>
      <m:oMathPara>
        <m:oMath>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k,1</m:t>
                        </m:r>
                      </m:sup>
                    </m:sSubSup>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k,2</m:t>
                        </m:r>
                      </m:sup>
                    </m:sSubSup>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k,3</m:t>
                        </m:r>
                      </m:sup>
                    </m:sSubSup>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k,4</m:t>
                        </m:r>
                      </m:sup>
                    </m:sSubSup>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k,5</m:t>
                        </m:r>
                      </m:sup>
                    </m:sSubSup>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k,6</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k,7</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k,8</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DC</m:t>
                        </m:r>
                      </m:e>
                      <m:sub>
                        <m:r>
                          <w:rPr>
                            <w:rFonts w:ascii="Cambria Math" w:hAnsi="Cambria Math"/>
                          </w:rPr>
                          <m:t>i,j</m:t>
                        </m:r>
                      </m:sub>
                      <m:sup>
                        <m:r>
                          <w:rPr>
                            <w:rFonts w:ascii="Cambria Math" w:hAnsi="Cambria Math"/>
                          </w:rPr>
                          <m:t>k,9</m:t>
                        </m:r>
                      </m:sup>
                    </m:sSubSup>
                  </m:e>
                </m:mr>
              </m:m>
            </m:e>
          </m:d>
          <m:r>
            <w:rPr>
              <w:rFonts w:ascii="Cambria Math" w:hAnsi="Cambria Math"/>
            </w:rPr>
            <m:t>=</m:t>
          </m:r>
          <m:d>
            <m:dPr>
              <m:ctrlPr>
                <w:rPr>
                  <w:rFonts w:ascii="Cambria Math" w:hAnsi="Cambria Math"/>
                  <w:i/>
                </w:rPr>
              </m:ctrlPr>
            </m:dPr>
            <m:e>
              <m:m>
                <m:mPr>
                  <m:mcs>
                    <m:mc>
                      <m:mcPr>
                        <m:count m:val="9"/>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1</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ζ</m:t>
                        </m:r>
                      </m:e>
                      <m:sub>
                        <m:r>
                          <w:rPr>
                            <w:rFonts w:ascii="Cambria Math" w:eastAsia="Cambria Math" w:hAnsi="Cambria Math" w:cs="Cambria Math"/>
                          </w:rPr>
                          <m:t>1</m:t>
                        </m:r>
                      </m:sub>
                    </m:sSub>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ζ</m:t>
                        </m:r>
                      </m:e>
                      <m:sub>
                        <m:r>
                          <w:rPr>
                            <w:rFonts w:ascii="Cambria Math" w:eastAsia="Cambria Math" w:hAnsi="Cambria Math" w:cs="Cambria Math"/>
                          </w:rPr>
                          <m:t>2</m:t>
                        </m:r>
                      </m:sub>
                    </m:sSub>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ζ</m:t>
                        </m:r>
                      </m:e>
                      <m:sub>
                        <m:r>
                          <w:rPr>
                            <w:rFonts w:ascii="Cambria Math" w:eastAsia="Cambria Math" w:hAnsi="Cambria Math" w:cs="Cambria Math"/>
                          </w:rPr>
                          <m:t>2</m:t>
                        </m:r>
                      </m:sub>
                    </m:sSub>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ζ</m:t>
                        </m:r>
                      </m:e>
                      <m:sub>
                        <m:r>
                          <w:rPr>
                            <w:rFonts w:ascii="Cambria Math" w:eastAsia="Cambria Math" w:hAnsi="Cambria Math" w:cs="Cambria Math"/>
                          </w:rPr>
                          <m:t>3</m:t>
                        </m:r>
                      </m:sub>
                    </m:sSub>
                    <m:r>
                      <w:rPr>
                        <w:rFonts w:ascii="Cambria Math" w:eastAsia="Cambria Math" w:hAnsi="Cambria Math" w:cs="Cambria Math"/>
                      </w:rPr>
                      <m:t xml:space="preserve"> </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ζ</m:t>
                        </m:r>
                      </m:e>
                      <m:sub>
                        <m:r>
                          <w:rPr>
                            <w:rFonts w:ascii="Cambria Math" w:eastAsia="Cambria Math" w:hAnsi="Cambria Math" w:cs="Cambria Math"/>
                          </w:rPr>
                          <m:t>3</m:t>
                        </m:r>
                      </m:sub>
                    </m:sSub>
                    <m:ctrlPr>
                      <w:rPr>
                        <w:rFonts w:ascii="Cambria Math" w:eastAsia="Cambria Math" w:hAnsi="Cambria Math" w:cs="Cambria Math"/>
                        <w:i/>
                      </w:rPr>
                    </m:ctrlPr>
                  </m:e>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ζ</m:t>
                        </m:r>
                      </m:e>
                      <m:sub>
                        <m:r>
                          <w:rPr>
                            <w:rFonts w:ascii="Cambria Math" w:eastAsia="Cambria Math" w:hAnsi="Cambria Math" w:cs="Cambria Math"/>
                          </w:rPr>
                          <m:t>4</m:t>
                        </m:r>
                      </m:sub>
                    </m:sSub>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ζ</m:t>
                        </m:r>
                      </m:e>
                      <m:sub>
                        <m:r>
                          <w:rPr>
                            <w:rFonts w:ascii="Cambria Math" w:hAnsi="Cambria Math"/>
                          </w:rPr>
                          <m:t>4</m:t>
                        </m:r>
                      </m:sub>
                    </m:sSub>
                  </m:e>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ζ</m:t>
                        </m:r>
                      </m:e>
                      <m:sub>
                        <m:r>
                          <w:rPr>
                            <w:rFonts w:ascii="Cambria Math" w:hAnsi="Cambria Math"/>
                          </w:rPr>
                          <m:t>5</m:t>
                        </m:r>
                      </m:sub>
                    </m:sSub>
                  </m:e>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ζ</m:t>
                        </m:r>
                      </m:e>
                      <m:sub>
                        <m:r>
                          <w:rPr>
                            <w:rFonts w:ascii="Cambria Math" w:hAnsi="Cambria Math"/>
                          </w:rPr>
                          <m:t>6</m:t>
                        </m:r>
                      </m:sub>
                    </m:sSub>
                  </m:e>
                  <m:e>
                    <m:sSub>
                      <m:sSubPr>
                        <m:ctrlPr>
                          <w:rPr>
                            <w:rFonts w:ascii="Cambria Math" w:hAnsi="Cambria Math"/>
                            <w:i/>
                          </w:rPr>
                        </m:ctrlPr>
                      </m:sSubPr>
                      <m:e>
                        <m:r>
                          <w:rPr>
                            <w:rFonts w:ascii="Cambria Math" w:hAnsi="Cambria Math"/>
                          </w:rPr>
                          <m:t>ζ</m:t>
                        </m:r>
                      </m:e>
                      <m:sub>
                        <m:r>
                          <w:rPr>
                            <w:rFonts w:ascii="Cambria Math" w:hAnsi="Cambria Math"/>
                          </w:rPr>
                          <m:t>6</m:t>
                        </m:r>
                      </m:sub>
                    </m:sSub>
                  </m:e>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7</m:t>
                        </m:r>
                      </m:sub>
                    </m:sSub>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ζ</m:t>
                        </m:r>
                      </m:e>
                      <m:sub>
                        <m:r>
                          <w:rPr>
                            <w:rFonts w:ascii="Cambria Math" w:hAnsi="Cambria Math"/>
                          </w:rPr>
                          <m:t>7</m:t>
                        </m:r>
                      </m:sub>
                    </m:sSub>
                  </m:e>
                  <m:e>
                    <m:sSub>
                      <m:sSubPr>
                        <m:ctrlPr>
                          <w:rPr>
                            <w:rFonts w:ascii="Cambria Math" w:hAnsi="Cambria Math"/>
                            <w:i/>
                          </w:rPr>
                        </m:ctrlPr>
                      </m:sSubPr>
                      <m:e>
                        <m:r>
                          <w:rPr>
                            <w:rFonts w:ascii="Cambria Math" w:hAnsi="Cambria Math"/>
                          </w:rPr>
                          <m:t>ζ</m:t>
                        </m:r>
                      </m:e>
                      <m:sub>
                        <m:r>
                          <w:rPr>
                            <w:rFonts w:ascii="Cambria Math" w:hAnsi="Cambria Math"/>
                          </w:rPr>
                          <m:t>7</m:t>
                        </m:r>
                      </m:sub>
                    </m:sSub>
                  </m:e>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ζ</m:t>
                        </m:r>
                      </m:e>
                      <m:sub>
                        <m:r>
                          <w:rPr>
                            <w:rFonts w:ascii="Cambria Math" w:hAnsi="Cambria Math"/>
                          </w:rPr>
                          <m:t>8</m:t>
                        </m:r>
                      </m:sub>
                    </m:sSub>
                  </m:e>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9</m:t>
                        </m:r>
                      </m:sub>
                    </m:sSub>
                  </m:e>
                </m:mr>
              </m:m>
            </m:e>
          </m:d>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k,1</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k,2</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k,3</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k,4</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k,5</m:t>
                        </m:r>
                      </m:sup>
                    </m:sSubSup>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k,6</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k,7</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k,8</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k,9</m:t>
                        </m:r>
                      </m:sup>
                    </m:sSubSup>
                  </m:e>
                </m:mr>
              </m:m>
            </m:e>
          </m:d>
        </m:oMath>
      </m:oMathPara>
    </w:p>
    <w:p w14:paraId="1E1B0711" w14:textId="77777777" w:rsidR="008260A4" w:rsidRPr="003538FD" w:rsidRDefault="00631C42" w:rsidP="00105865">
      <w:pPr>
        <w:spacing w:line="240" w:lineRule="auto"/>
      </w:pPr>
      <m:oMathPara>
        <m:oMath>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k,1</m:t>
                        </m:r>
                      </m:sup>
                    </m:sSubSup>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k,2</m:t>
                        </m:r>
                      </m:sup>
                    </m:sSubSup>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k,3</m:t>
                        </m:r>
                      </m:sup>
                    </m:sSubSup>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k,4</m:t>
                        </m:r>
                      </m:sup>
                    </m:sSubSup>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k,5</m:t>
                        </m:r>
                      </m:sup>
                    </m:sSubSup>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k,6</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k,7</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k,8</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DY</m:t>
                        </m:r>
                      </m:e>
                      <m:sub>
                        <m:r>
                          <w:rPr>
                            <w:rFonts w:ascii="Cambria Math" w:hAnsi="Cambria Math"/>
                          </w:rPr>
                          <m:t>i,j</m:t>
                        </m:r>
                      </m:sub>
                      <m:sup>
                        <m:r>
                          <w:rPr>
                            <w:rFonts w:ascii="Cambria Math" w:hAnsi="Cambria Math"/>
                          </w:rPr>
                          <m:t>k,9</m:t>
                        </m:r>
                      </m:sup>
                    </m:sSubSup>
                  </m:e>
                </m:mr>
              </m:m>
            </m:e>
          </m:d>
          <m:r>
            <w:rPr>
              <w:rFonts w:ascii="Cambria Math" w:hAnsi="Cambria Math"/>
            </w:rPr>
            <m:t>=</m:t>
          </m:r>
          <m:d>
            <m:dPr>
              <m:ctrlPr>
                <w:rPr>
                  <w:rFonts w:ascii="Cambria Math" w:hAnsi="Cambria Math"/>
                  <w:i/>
                </w:rPr>
              </m:ctrlPr>
            </m:dPr>
            <m:e>
              <m:m>
                <m:mPr>
                  <m:mcs>
                    <m:mc>
                      <m:mcPr>
                        <m:count m:val="9"/>
                        <m:mcJc m:val="center"/>
                      </m:mcPr>
                    </m:mc>
                  </m:mcs>
                  <m:ctrlPr>
                    <w:rPr>
                      <w:rFonts w:ascii="Cambria Math" w:hAnsi="Cambria Math"/>
                      <w:i/>
                    </w:rPr>
                  </m:ctrlPr>
                </m:mP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 xml:space="preserve">0 </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sSub>
                      <m:sSubPr>
                        <m:ctrlPr>
                          <w:rPr>
                            <w:rFonts w:ascii="Cambria Math" w:hAnsi="Cambria Math"/>
                            <w:i/>
                          </w:rPr>
                        </m:ctrlPr>
                      </m:sSubPr>
                      <m:e>
                        <m:r>
                          <w:rPr>
                            <w:rFonts w:ascii="Cambria Math" w:hAnsi="Cambria Math"/>
                          </w:rPr>
                          <m:t>ζ</m:t>
                        </m:r>
                      </m:e>
                      <m:sub>
                        <m:r>
                          <w:rPr>
                            <w:rFonts w:ascii="Cambria Math" w:hAnsi="Cambria Math"/>
                          </w:rPr>
                          <m:t>5</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e</m:t>
                            </m:r>
                          </m:e>
                          <m:sub>
                            <m:r>
                              <w:rPr>
                                <w:rFonts w:ascii="Cambria Math" w:hAnsi="Cambria Math"/>
                              </w:rPr>
                              <m:t>6</m:t>
                            </m:r>
                          </m:sub>
                        </m:sSub>
                        <m:r>
                          <w:rPr>
                            <w:rFonts w:ascii="Cambria Math" w:hAnsi="Cambria Math"/>
                          </w:rPr>
                          <m:t>ζ</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e</m:t>
                        </m:r>
                      </m:e>
                      <m:sub>
                        <m:r>
                          <w:rPr>
                            <w:rFonts w:ascii="Cambria Math" w:hAnsi="Cambria Math"/>
                          </w:rPr>
                          <m:t>5</m:t>
                        </m:r>
                      </m:sub>
                    </m:sSub>
                    <m:sSub>
                      <m:sSubPr>
                        <m:ctrlPr>
                          <w:rPr>
                            <w:rFonts w:ascii="Cambria Math" w:hAnsi="Cambria Math"/>
                            <w:i/>
                          </w:rPr>
                        </m:ctrlPr>
                      </m:sSubPr>
                      <m:e>
                        <m:r>
                          <w:rPr>
                            <w:rFonts w:ascii="Cambria Math" w:hAnsi="Cambria Math"/>
                          </w:rPr>
                          <m:t>ζ</m:t>
                        </m:r>
                      </m:e>
                      <m:sub>
                        <m:r>
                          <w:rPr>
                            <w:rFonts w:ascii="Cambria Math" w:hAnsi="Cambria Math"/>
                          </w:rPr>
                          <m:t>5</m:t>
                        </m:r>
                      </m:sub>
                    </m:sSub>
                  </m:e>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6</m:t>
                        </m:r>
                      </m:sub>
                    </m:sSub>
                  </m:e>
                  <m:e>
                    <m:r>
                      <w:rPr>
                        <w:rFonts w:ascii="Cambria Math" w:hAnsi="Cambria Math"/>
                      </w:rPr>
                      <m:t>0</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sSub>
                      <m:sSubPr>
                        <m:ctrlPr>
                          <w:rPr>
                            <w:rFonts w:ascii="Cambria Math" w:hAnsi="Cambria Math"/>
                            <w:i/>
                          </w:rPr>
                        </m:ctrlPr>
                      </m:sSubPr>
                      <m:e>
                        <m:r>
                          <w:rPr>
                            <w:rFonts w:ascii="Cambria Math" w:hAnsi="Cambria Math"/>
                          </w:rPr>
                          <m:t>e</m:t>
                        </m:r>
                      </m:e>
                      <m:sub>
                        <m:r>
                          <w:rPr>
                            <w:rFonts w:ascii="Cambria Math" w:hAnsi="Cambria Math"/>
                          </w:rPr>
                          <m:t>6</m:t>
                        </m:r>
                      </m:sub>
                    </m:sSub>
                    <m:sSub>
                      <m:sSubPr>
                        <m:ctrlPr>
                          <w:rPr>
                            <w:rFonts w:ascii="Cambria Math" w:hAnsi="Cambria Math"/>
                            <w:i/>
                          </w:rPr>
                        </m:ctrlPr>
                      </m:sSubPr>
                      <m:e>
                        <m:r>
                          <w:rPr>
                            <w:rFonts w:ascii="Cambria Math" w:hAnsi="Cambria Math"/>
                          </w:rPr>
                          <m:t>ζ</m:t>
                        </m:r>
                      </m:e>
                      <m:sub>
                        <m:r>
                          <w:rPr>
                            <w:rFonts w:ascii="Cambria Math" w:hAnsi="Cambria Math"/>
                          </w:rPr>
                          <m:t>6</m:t>
                        </m:r>
                      </m:sub>
                    </m:sSub>
                  </m:e>
                  <m:e>
                    <m:sSub>
                      <m:sSubPr>
                        <m:ctrlPr>
                          <w:rPr>
                            <w:rFonts w:ascii="Cambria Math" w:hAnsi="Cambria Math"/>
                            <w:i/>
                          </w:rPr>
                        </m:ctrlPr>
                      </m:sSubPr>
                      <m:e>
                        <m:r>
                          <w:rPr>
                            <w:rFonts w:ascii="Cambria Math" w:hAnsi="Cambria Math"/>
                          </w:rPr>
                          <m:t>ζ</m:t>
                        </m:r>
                      </m:e>
                      <m:sub>
                        <m:r>
                          <w:rPr>
                            <w:rFonts w:ascii="Cambria Math" w:hAnsi="Cambria Math"/>
                          </w:rPr>
                          <m:t>6</m:t>
                        </m:r>
                      </m:sub>
                    </m:sSub>
                  </m:e>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7</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7</m:t>
                        </m:r>
                      </m:sub>
                    </m:sSub>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ζ</m:t>
                        </m:r>
                      </m:e>
                      <m:sub>
                        <m:r>
                          <w:rPr>
                            <w:rFonts w:ascii="Cambria Math" w:hAnsi="Cambria Math"/>
                          </w:rPr>
                          <m:t>7</m:t>
                        </m:r>
                      </m:sub>
                    </m:sSub>
                  </m:e>
                  <m:e>
                    <m:sSub>
                      <m:sSubPr>
                        <m:ctrlPr>
                          <w:rPr>
                            <w:rFonts w:ascii="Cambria Math" w:hAnsi="Cambria Math"/>
                            <w:i/>
                          </w:rPr>
                        </m:ctrlPr>
                      </m:sSubPr>
                      <m:e>
                        <m:r>
                          <w:rPr>
                            <w:rFonts w:ascii="Cambria Math" w:hAnsi="Cambria Math"/>
                          </w:rPr>
                          <m:t>ζ</m:t>
                        </m:r>
                      </m:e>
                      <m:sub>
                        <m:r>
                          <w:rPr>
                            <w:rFonts w:ascii="Cambria Math" w:hAnsi="Cambria Math"/>
                          </w:rPr>
                          <m:t>7</m:t>
                        </m:r>
                      </m:sub>
                    </m:sSub>
                  </m:e>
                  <m:e>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8</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8</m:t>
                        </m:r>
                      </m:sub>
                    </m:sSub>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hAnsi="Cambria Math"/>
                      </w:rPr>
                      <m:t>0</m:t>
                    </m:r>
                  </m:e>
                  <m:e>
                    <m:r>
                      <w:rPr>
                        <w:rFonts w:ascii="Cambria Math" w:hAnsi="Cambria Math"/>
                      </w:rPr>
                      <m:t>0</m:t>
                    </m:r>
                  </m:e>
                  <m:e>
                    <m:r>
                      <w:rPr>
                        <w:rFonts w:ascii="Cambria Math" w:hAnsi="Cambria Math"/>
                      </w:rPr>
                      <m:t>0</m:t>
                    </m:r>
                  </m:e>
                  <m:e>
                    <m:r>
                      <w:rPr>
                        <w:rFonts w:ascii="Cambria Math" w:hAnsi="Cambria Math"/>
                      </w:rPr>
                      <m:t>0</m:t>
                    </m:r>
                  </m:e>
                  <m:e>
                    <m:sSub>
                      <m:sSubPr>
                        <m:ctrlPr>
                          <w:rPr>
                            <w:rFonts w:ascii="Cambria Math" w:hAnsi="Cambria Math"/>
                            <w:i/>
                          </w:rPr>
                        </m:ctrlPr>
                      </m:sSubPr>
                      <m:e>
                        <m:r>
                          <w:rPr>
                            <w:rFonts w:ascii="Cambria Math" w:hAnsi="Cambria Math"/>
                          </w:rPr>
                          <m:t>ζ</m:t>
                        </m:r>
                      </m:e>
                      <m:sub>
                        <m:r>
                          <w:rPr>
                            <w:rFonts w:ascii="Cambria Math" w:hAnsi="Cambria Math"/>
                          </w:rPr>
                          <m:t>8</m:t>
                        </m:r>
                      </m:sub>
                    </m:sSub>
                  </m:e>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9</m:t>
                        </m:r>
                      </m:sub>
                    </m:sSub>
                  </m:e>
                </m:mr>
              </m:m>
            </m:e>
          </m:d>
          <m:d>
            <m:dPr>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k,1</m:t>
                        </m:r>
                      </m:sup>
                    </m:sSubSup>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k,2</m:t>
                        </m:r>
                      </m:sup>
                    </m:sSubSup>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k,3</m:t>
                        </m:r>
                      </m:sup>
                    </m:sSubSup>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k,4</m:t>
                        </m:r>
                      </m:sup>
                    </m:sSubSup>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k,5</m:t>
                        </m:r>
                      </m:sup>
                    </m:sSubSup>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k,6</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k,7</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k,8</m:t>
                        </m:r>
                      </m:sup>
                    </m:sSubSup>
                    <m:ctrlPr>
                      <w:rPr>
                        <w:rFonts w:ascii="Cambria Math" w:eastAsia="Cambria Math" w:hAnsi="Cambria Math" w:cs="Cambria Math"/>
                        <w:i/>
                      </w:rPr>
                    </m:ctrlPr>
                  </m:e>
                </m:mr>
                <m:mr>
                  <m:e>
                    <m:sSubSup>
                      <m:sSubSupPr>
                        <m:ctrlPr>
                          <w:rPr>
                            <w:rFonts w:ascii="Cambria Math" w:hAnsi="Cambria Math"/>
                            <w:i/>
                          </w:rPr>
                        </m:ctrlPr>
                      </m:sSubSupPr>
                      <m:e>
                        <m:r>
                          <w:rPr>
                            <w:rFonts w:ascii="Cambria Math" w:hAnsi="Cambria Math"/>
                          </w:rPr>
                          <m:t>V</m:t>
                        </m:r>
                      </m:e>
                      <m:sub>
                        <m:r>
                          <w:rPr>
                            <w:rFonts w:ascii="Cambria Math" w:hAnsi="Cambria Math"/>
                          </w:rPr>
                          <m:t>i,j</m:t>
                        </m:r>
                      </m:sub>
                      <m:sup>
                        <m:r>
                          <w:rPr>
                            <w:rFonts w:ascii="Cambria Math" w:hAnsi="Cambria Math"/>
                          </w:rPr>
                          <m:t>k,9</m:t>
                        </m:r>
                      </m:sup>
                    </m:sSubSup>
                  </m:e>
                </m:mr>
              </m:m>
            </m:e>
          </m:d>
        </m:oMath>
      </m:oMathPara>
    </w:p>
    <w:p w14:paraId="0DEADA51" w14:textId="77777777" w:rsidR="008260A4" w:rsidRDefault="008260A4" w:rsidP="00105865">
      <w:pPr>
        <w:spacing w:line="240" w:lineRule="auto"/>
      </w:pPr>
      <w:r>
        <w:t>As an example as to how this all works together, below are two differential equations for susceptible and chronically infected individuals who are current injectors (</w:t>
      </w:r>
      <m:oMath>
        <m:r>
          <w:rPr>
            <w:rFonts w:ascii="Cambria Math" w:hAnsi="Cambria Math"/>
          </w:rPr>
          <m:t>k=0)</m:t>
        </m:r>
      </m:oMath>
      <w:r>
        <w:t xml:space="preserve">, on OST </w:t>
      </w:r>
      <m:oMath>
        <m:r>
          <w:rPr>
            <w:rFonts w:ascii="Cambria Math" w:hAnsi="Cambria Math"/>
          </w:rPr>
          <m:t>(i=1)</m:t>
        </m:r>
      </m:oMath>
      <w:r>
        <w:t xml:space="preserve">, homeless </w:t>
      </w:r>
      <m:oMath>
        <m:r>
          <w:rPr>
            <w:rFonts w:ascii="Cambria Math" w:hAnsi="Cambria Math"/>
          </w:rPr>
          <m:t>(j=1)</m:t>
        </m:r>
      </m:oMath>
      <w:r>
        <w:t xml:space="preserve"> and in Metavir state F0 </w:t>
      </w:r>
      <m:oMath>
        <m:r>
          <w:rPr>
            <w:rFonts w:ascii="Cambria Math" w:hAnsi="Cambria Math"/>
          </w:rPr>
          <m:t>(m=1)</m:t>
        </m:r>
      </m:oMath>
      <w:r>
        <w:t>.</w:t>
      </w:r>
    </w:p>
    <w:p w14:paraId="05C5FF51" w14:textId="77777777" w:rsidR="008260A4" w:rsidRDefault="008260A4" w:rsidP="00105865">
      <w:pPr>
        <w:spacing w:line="240" w:lineRule="auto"/>
      </w:pPr>
    </w:p>
    <w:p w14:paraId="17E06825" w14:textId="77777777" w:rsidR="008260A4" w:rsidRPr="0058053B" w:rsidRDefault="00631C42" w:rsidP="00105865">
      <w:pPr>
        <w:spacing w:line="240" w:lineRule="auto"/>
      </w:pPr>
      <m:oMathPara>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S</m:t>
                  </m:r>
                </m:e>
              </m:acc>
            </m:e>
            <m:sub>
              <m:r>
                <w:rPr>
                  <w:rFonts w:ascii="Cambria Math" w:hAnsi="Cambria Math"/>
                </w:rPr>
                <m:t>1,1</m:t>
              </m:r>
            </m:sub>
            <m:sup>
              <m:r>
                <w:rPr>
                  <w:rFonts w:ascii="Cambria Math" w:hAnsi="Cambria Math"/>
                </w:rPr>
                <m:t>0,1</m:t>
              </m:r>
            </m:sup>
          </m:sSubSup>
          <m:r>
            <m:rPr>
              <m:aln/>
            </m:rP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+ν+</m:t>
              </m:r>
              <m:sSub>
                <m:sSubPr>
                  <m:ctrlPr>
                    <w:rPr>
                      <w:rFonts w:ascii="Cambria Math" w:hAnsi="Cambria Math"/>
                    </w:rPr>
                  </m:ctrlPr>
                </m:sSubPr>
                <m:e>
                  <m:r>
                    <m:rPr>
                      <m:sty m:val="p"/>
                    </m:rPr>
                    <w:rPr>
                      <w:rFonts w:ascii="Cambria Math" w:hAnsi="Cambria Math"/>
                    </w:rPr>
                    <m:t>Λ</m:t>
                  </m:r>
                  <m:ctrlPr>
                    <w:rPr>
                      <w:rFonts w:ascii="Cambria Math" w:hAnsi="Cambria Math"/>
                      <w:i/>
                    </w:rPr>
                  </m:ctrlPr>
                </m:e>
                <m:sub>
                  <m:r>
                    <m:rPr>
                      <m:sty m:val="p"/>
                    </m:rPr>
                    <w:rPr>
                      <w:rFonts w:ascii="Cambria Math" w:hAnsi="Cambria Math"/>
                    </w:rPr>
                    <m:t>1,1</m:t>
                  </m:r>
                </m:sub>
              </m:sSub>
              <m:r>
                <w:rPr>
                  <w:rFonts w:ascii="Cambria Math" w:hAnsi="Cambria Math"/>
                </w:rPr>
                <m:t>ϕ</m:t>
              </m:r>
            </m:e>
          </m:d>
          <m:sSubSup>
            <m:sSubSupPr>
              <m:ctrlPr>
                <w:rPr>
                  <w:rFonts w:ascii="Cambria Math" w:hAnsi="Cambria Math"/>
                  <w:i/>
                </w:rPr>
              </m:ctrlPr>
            </m:sSubSupPr>
            <m:e>
              <m:r>
                <w:rPr>
                  <w:rFonts w:ascii="Cambria Math" w:hAnsi="Cambria Math"/>
                </w:rPr>
                <m:t>S</m:t>
              </m:r>
            </m:e>
            <m:sub>
              <m:r>
                <w:rPr>
                  <w:rFonts w:ascii="Cambria Math" w:hAnsi="Cambria Math"/>
                </w:rPr>
                <m:t>1,1</m:t>
              </m:r>
            </m:sub>
            <m:sup>
              <m:r>
                <w:rPr>
                  <w:rFonts w:ascii="Cambria Math" w:hAnsi="Cambria Math"/>
                </w:rPr>
                <m:t>0,1</m:t>
              </m:r>
            </m:sup>
          </m:sSubSup>
          <m:r>
            <w:rPr>
              <w:rFonts w:ascii="Cambria Math" w:hAnsi="Cambria Math"/>
            </w:rPr>
            <m:t>+β</m:t>
          </m:r>
          <m:sSubSup>
            <m:sSubSupPr>
              <m:ctrlPr>
                <w:rPr>
                  <w:rFonts w:ascii="Cambria Math" w:hAnsi="Cambria Math"/>
                  <w:i/>
                </w:rPr>
              </m:ctrlPr>
            </m:sSubSupPr>
            <m:e>
              <m:r>
                <w:rPr>
                  <w:rFonts w:ascii="Cambria Math" w:hAnsi="Cambria Math"/>
                </w:rPr>
                <m:t>S</m:t>
              </m:r>
            </m:e>
            <m:sub>
              <m:r>
                <w:rPr>
                  <w:rFonts w:ascii="Cambria Math" w:hAnsi="Cambria Math"/>
                </w:rPr>
                <m:t>0,1</m:t>
              </m:r>
            </m:sub>
            <m:sup>
              <m:r>
                <w:rPr>
                  <w:rFonts w:ascii="Cambria Math" w:hAnsi="Cambria Math"/>
                </w:rPr>
                <m:t>0,1</m:t>
              </m:r>
            </m:sup>
          </m:sSubSup>
          <m:r>
            <w:rPr>
              <w:rFonts w:ascii="Cambria Math" w:hAnsi="Cambria Math"/>
            </w:rPr>
            <m:t>+η</m:t>
          </m:r>
          <m:sSubSup>
            <m:sSubSupPr>
              <m:ctrlPr>
                <w:rPr>
                  <w:rFonts w:ascii="Cambria Math" w:hAnsi="Cambria Math"/>
                  <w:i/>
                </w:rPr>
              </m:ctrlPr>
            </m:sSubSupPr>
            <m:e>
              <m:r>
                <w:rPr>
                  <w:rFonts w:ascii="Cambria Math" w:hAnsi="Cambria Math"/>
                </w:rPr>
                <m:t>S</m:t>
              </m:r>
            </m:e>
            <m:sub>
              <m:r>
                <w:rPr>
                  <w:rFonts w:ascii="Cambria Math" w:hAnsi="Cambria Math"/>
                </w:rPr>
                <m:t>1,0</m:t>
              </m:r>
            </m:sub>
            <m:sup>
              <m:r>
                <w:rPr>
                  <w:rFonts w:ascii="Cambria Math" w:hAnsi="Cambria Math"/>
                </w:rPr>
                <m:t>0,1</m:t>
              </m:r>
            </m:sup>
          </m:sSubSup>
          <m:r>
            <w:rPr>
              <w:rFonts w:ascii="Cambria Math" w:hAnsi="Cambria Math"/>
            </w:rPr>
            <m:t>-</m:t>
          </m:r>
          <m:d>
            <m:dPr>
              <m:ctrlPr>
                <w:rPr>
                  <w:rFonts w:ascii="Cambria Math" w:hAnsi="Cambria Math"/>
                  <w:i/>
                </w:rPr>
              </m:ctrlPr>
            </m:dPr>
            <m:e>
              <m:r>
                <w:rPr>
                  <w:rFonts w:ascii="Cambria Math" w:hAnsi="Cambria Math"/>
                </w:rPr>
                <m:t>γ+κ</m:t>
              </m:r>
            </m:e>
          </m:d>
          <m:sSubSup>
            <m:sSubSupPr>
              <m:ctrlPr>
                <w:rPr>
                  <w:rFonts w:ascii="Cambria Math" w:hAnsi="Cambria Math"/>
                  <w:i/>
                </w:rPr>
              </m:ctrlPr>
            </m:sSubSupPr>
            <m:e>
              <m:r>
                <w:rPr>
                  <w:rFonts w:ascii="Cambria Math" w:hAnsi="Cambria Math"/>
                </w:rPr>
                <m:t>S</m:t>
              </m:r>
            </m:e>
            <m:sub>
              <m:r>
                <w:rPr>
                  <w:rFonts w:ascii="Cambria Math" w:hAnsi="Cambria Math"/>
                </w:rPr>
                <m:t>1,1</m:t>
              </m:r>
            </m:sub>
            <m:sup>
              <m:r>
                <w:rPr>
                  <w:rFonts w:ascii="Cambria Math" w:hAnsi="Cambria Math"/>
                </w:rPr>
                <m:t>0,1</m:t>
              </m:r>
            </m:sup>
          </m:sSubSup>
          <m:r>
            <m:rPr>
              <m:sty m:val="p"/>
            </m:rPr>
            <w:br/>
          </m:r>
        </m:oMath>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C</m:t>
                  </m:r>
                </m:e>
              </m:acc>
            </m:e>
            <m:sub>
              <m:r>
                <w:rPr>
                  <w:rFonts w:ascii="Cambria Math" w:hAnsi="Cambria Math"/>
                </w:rPr>
                <m:t>1,1</m:t>
              </m:r>
            </m:sub>
            <m:sup>
              <m:r>
                <w:rPr>
                  <w:rFonts w:ascii="Cambria Math" w:hAnsi="Cambria Math"/>
                </w:rPr>
                <m:t>0,1</m:t>
              </m:r>
            </m:sup>
          </m:sSubSup>
          <m:r>
            <m:rPr>
              <m:aln/>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+ν+γ+κ</m:t>
              </m:r>
            </m:e>
          </m:d>
          <m:sSubSup>
            <m:sSubSupPr>
              <m:ctrlPr>
                <w:rPr>
                  <w:rFonts w:ascii="Cambria Math" w:hAnsi="Cambria Math"/>
                  <w:i/>
                </w:rPr>
              </m:ctrlPr>
            </m:sSubSupPr>
            <m:e>
              <m:r>
                <w:rPr>
                  <w:rFonts w:ascii="Cambria Math" w:hAnsi="Cambria Math"/>
                </w:rPr>
                <m:t>C</m:t>
              </m:r>
            </m:e>
            <m:sub>
              <m:r>
                <w:rPr>
                  <w:rFonts w:ascii="Cambria Math" w:hAnsi="Cambria Math"/>
                </w:rPr>
                <m:t>1,1</m:t>
              </m:r>
            </m:sub>
            <m:sup>
              <m:r>
                <w:rPr>
                  <w:rFonts w:ascii="Cambria Math" w:hAnsi="Cambria Math"/>
                </w:rPr>
                <m:t>0,1</m:t>
              </m:r>
            </m:sup>
          </m:sSubSup>
          <m:r>
            <w:rPr>
              <w:rFonts w:ascii="Cambria Math" w:hAnsi="Cambria Math"/>
            </w:rPr>
            <m:t>+ β</m:t>
          </m:r>
          <m:sSubSup>
            <m:sSubSupPr>
              <m:ctrlPr>
                <w:rPr>
                  <w:rFonts w:ascii="Cambria Math" w:hAnsi="Cambria Math"/>
                  <w:i/>
                </w:rPr>
              </m:ctrlPr>
            </m:sSubSupPr>
            <m:e>
              <m:r>
                <w:rPr>
                  <w:rFonts w:ascii="Cambria Math" w:hAnsi="Cambria Math"/>
                </w:rPr>
                <m:t>C</m:t>
              </m:r>
            </m:e>
            <m:sub>
              <m:r>
                <w:rPr>
                  <w:rFonts w:ascii="Cambria Math" w:hAnsi="Cambria Math"/>
                </w:rPr>
                <m:t>0,1</m:t>
              </m:r>
            </m:sub>
            <m:sup>
              <m:r>
                <w:rPr>
                  <w:rFonts w:ascii="Cambria Math" w:hAnsi="Cambria Math"/>
                </w:rPr>
                <m:t>0,1</m:t>
              </m:r>
            </m:sup>
          </m:sSubSup>
          <m:r>
            <w:rPr>
              <w:rFonts w:ascii="Cambria Math" w:hAnsi="Cambria Math"/>
            </w:rPr>
            <m:t>+η</m:t>
          </m:r>
          <m:sSubSup>
            <m:sSubSupPr>
              <m:ctrlPr>
                <w:rPr>
                  <w:rFonts w:ascii="Cambria Math" w:hAnsi="Cambria Math"/>
                  <w:i/>
                </w:rPr>
              </m:ctrlPr>
            </m:sSubSupPr>
            <m:e>
              <m:r>
                <w:rPr>
                  <w:rFonts w:ascii="Cambria Math" w:hAnsi="Cambria Math"/>
                </w:rPr>
                <m:t>C</m:t>
              </m:r>
            </m:e>
            <m:sub>
              <m:r>
                <w:rPr>
                  <w:rFonts w:ascii="Cambria Math" w:hAnsi="Cambria Math"/>
                </w:rPr>
                <m:t>1,0</m:t>
              </m:r>
            </m:sub>
            <m:sup>
              <m:r>
                <w:rPr>
                  <w:rFonts w:ascii="Cambria Math" w:hAnsi="Cambria Math"/>
                </w:rPr>
                <m:t>0,1</m:t>
              </m:r>
            </m:sup>
          </m:sSubSup>
          <m:r>
            <w:rPr>
              <w:rFonts w:ascii="Cambria Math" w:hAnsi="Cambria Math"/>
            </w:rPr>
            <m:t>+</m:t>
          </m:r>
          <m:d>
            <m:dPr>
              <m:ctrlPr>
                <w:rPr>
                  <w:rFonts w:ascii="Cambria Math" w:hAnsi="Cambria Math"/>
                  <w:i/>
                </w:rPr>
              </m:ctrlPr>
            </m:dPr>
            <m:e>
              <m:r>
                <w:rPr>
                  <w:rFonts w:ascii="Cambria Math" w:hAnsi="Cambria Math"/>
                </w:rPr>
                <m:t>1-δ</m:t>
              </m:r>
            </m:e>
          </m:d>
          <m:sSub>
            <m:sSubPr>
              <m:ctrlPr>
                <w:rPr>
                  <w:rFonts w:ascii="Cambria Math" w:hAnsi="Cambria Math"/>
                  <w:i/>
                </w:rPr>
              </m:ctrlPr>
            </m:sSubPr>
            <m:e>
              <m:r>
                <m:rPr>
                  <m:sty m:val="p"/>
                </m:rPr>
                <w:rPr>
                  <w:rFonts w:ascii="Cambria Math" w:hAnsi="Cambria Math"/>
                </w:rPr>
                <m:t>Λ</m:t>
              </m:r>
              <m:ctrlPr>
                <w:rPr>
                  <w:rFonts w:ascii="Cambria Math" w:hAnsi="Cambria Math"/>
                </w:rPr>
              </m:ctrlPr>
            </m:e>
            <m:sub>
              <m:r>
                <w:rPr>
                  <w:rFonts w:ascii="Cambria Math" w:hAnsi="Cambria Math"/>
                </w:rPr>
                <m:t>1,1</m:t>
              </m:r>
            </m:sub>
          </m:sSub>
          <m:r>
            <w:rPr>
              <w:rFonts w:ascii="Cambria Math" w:hAnsi="Cambria Math"/>
            </w:rPr>
            <m:t>ϕ</m:t>
          </m:r>
          <m:sSubSup>
            <m:sSubSupPr>
              <m:ctrlPr>
                <w:rPr>
                  <w:rFonts w:ascii="Cambria Math" w:hAnsi="Cambria Math"/>
                  <w:i/>
                </w:rPr>
              </m:ctrlPr>
            </m:sSubSupPr>
            <m:e>
              <m:r>
                <w:rPr>
                  <w:rFonts w:ascii="Cambria Math" w:hAnsi="Cambria Math"/>
                </w:rPr>
                <m:t>S</m:t>
              </m:r>
            </m:e>
            <m:sub>
              <m:r>
                <w:rPr>
                  <w:rFonts w:ascii="Cambria Math" w:hAnsi="Cambria Math"/>
                </w:rPr>
                <m:t>1,1</m:t>
              </m:r>
            </m:sub>
            <m:sup>
              <m:r>
                <w:rPr>
                  <w:rFonts w:ascii="Cambria Math" w:hAnsi="Cambria Math"/>
                </w:rPr>
                <m:t>0,1</m:t>
              </m:r>
            </m:sup>
          </m:sSubSup>
          <m:r>
            <w:rPr>
              <w:rFonts w:ascii="Cambria Math" w:hAnsi="Cambria Math"/>
            </w:rPr>
            <m:t>-</m:t>
          </m:r>
          <m:sSub>
            <m:sSubPr>
              <m:ctrlPr>
                <w:rPr>
                  <w:rFonts w:ascii="Cambria Math" w:hAnsi="Cambria Math"/>
                  <w:i/>
                </w:rPr>
              </m:ctrlPr>
            </m:sSubPr>
            <m:e>
              <m:r>
                <w:rPr>
                  <w:rFonts w:ascii="Cambria Math" w:hAnsi="Cambria Math"/>
                </w:rPr>
                <m:t>ζ</m:t>
              </m:r>
            </m:e>
            <m:sub>
              <m:r>
                <w:rPr>
                  <w:rFonts w:ascii="Cambria Math" w:hAnsi="Cambria Math"/>
                </w:rPr>
                <m:t>1</m:t>
              </m:r>
            </m:sub>
          </m:sSub>
          <m:sSubSup>
            <m:sSubSupPr>
              <m:ctrlPr>
                <w:rPr>
                  <w:rFonts w:ascii="Cambria Math" w:hAnsi="Cambria Math"/>
                  <w:i/>
                </w:rPr>
              </m:ctrlPr>
            </m:sSubSupPr>
            <m:e>
              <m:r>
                <w:rPr>
                  <w:rFonts w:ascii="Cambria Math" w:hAnsi="Cambria Math"/>
                </w:rPr>
                <m:t>C</m:t>
              </m:r>
            </m:e>
            <m:sub>
              <m:r>
                <w:rPr>
                  <w:rFonts w:ascii="Cambria Math" w:hAnsi="Cambria Math"/>
                </w:rPr>
                <m:t>1,1</m:t>
              </m:r>
            </m:sub>
            <m:sup>
              <m:r>
                <w:rPr>
                  <w:rFonts w:ascii="Cambria Math" w:hAnsi="Cambria Math"/>
                </w:rPr>
                <m:t>0,1</m:t>
              </m:r>
            </m:sup>
          </m:sSubSup>
        </m:oMath>
      </m:oMathPara>
    </w:p>
    <w:p w14:paraId="1708233E" w14:textId="77777777" w:rsidR="008260A4" w:rsidRPr="003538FD" w:rsidRDefault="008260A4" w:rsidP="00105865">
      <w:pPr>
        <w:spacing w:line="240" w:lineRule="auto"/>
      </w:pPr>
    </w:p>
    <w:p w14:paraId="2E3CC629" w14:textId="77777777" w:rsidR="008260A4" w:rsidRDefault="008260A4" w:rsidP="00105865">
      <w:pPr>
        <w:spacing w:line="240" w:lineRule="auto"/>
      </w:pPr>
    </w:p>
    <w:p w14:paraId="6C8AD50E" w14:textId="77777777" w:rsidR="008260A4" w:rsidRDefault="008260A4" w:rsidP="00105865">
      <w:pPr>
        <w:spacing w:line="240" w:lineRule="auto"/>
        <w:rPr>
          <w:b/>
        </w:rPr>
      </w:pPr>
    </w:p>
    <w:p w14:paraId="251C62D6" w14:textId="77777777" w:rsidR="008260A4" w:rsidRDefault="008260A4" w:rsidP="00105865">
      <w:pPr>
        <w:spacing w:line="240" w:lineRule="auto"/>
        <w:rPr>
          <w:b/>
        </w:rPr>
      </w:pPr>
    </w:p>
    <w:p w14:paraId="317C540D" w14:textId="77777777" w:rsidR="000F24E9" w:rsidRDefault="000F24E9">
      <w:pPr>
        <w:rPr>
          <w:b/>
        </w:rPr>
      </w:pPr>
      <w:r>
        <w:rPr>
          <w:b/>
        </w:rPr>
        <w:br w:type="page"/>
      </w:r>
    </w:p>
    <w:p w14:paraId="4D08832F" w14:textId="035D6870" w:rsidR="008260A4" w:rsidRPr="00C31752" w:rsidRDefault="008260A4" w:rsidP="00105865">
      <w:pPr>
        <w:spacing w:line="240" w:lineRule="auto"/>
        <w:rPr>
          <w:b/>
        </w:rPr>
      </w:pPr>
      <w:bookmarkStart w:id="0" w:name="_GoBack"/>
      <w:bookmarkEnd w:id="0"/>
      <w:r>
        <w:rPr>
          <w:b/>
        </w:rPr>
        <w:lastRenderedPageBreak/>
        <w:t xml:space="preserve">Table S1: </w:t>
      </w:r>
      <w:r w:rsidRPr="00C31752">
        <w:rPr>
          <w:b/>
        </w:rPr>
        <w:t>Disease Progression rates</w:t>
      </w:r>
    </w:p>
    <w:tbl>
      <w:tblPr>
        <w:tblStyle w:val="TableGrid"/>
        <w:tblW w:w="8784" w:type="dxa"/>
        <w:tblLook w:val="04A0" w:firstRow="1" w:lastRow="0" w:firstColumn="1" w:lastColumn="0" w:noHBand="0" w:noVBand="1"/>
      </w:tblPr>
      <w:tblGrid>
        <w:gridCol w:w="2523"/>
        <w:gridCol w:w="3001"/>
        <w:gridCol w:w="3260"/>
      </w:tblGrid>
      <w:tr w:rsidR="008260A4" w:rsidRPr="0082709E" w14:paraId="130D648A" w14:textId="77777777" w:rsidTr="008260A4">
        <w:tc>
          <w:tcPr>
            <w:tcW w:w="2523" w:type="dxa"/>
            <w:shd w:val="clear" w:color="auto" w:fill="D9E2F3" w:themeFill="accent1" w:themeFillTint="33"/>
          </w:tcPr>
          <w:p w14:paraId="5A9D7AF0" w14:textId="77777777" w:rsidR="008260A4" w:rsidRDefault="008260A4" w:rsidP="00105865">
            <w:pPr>
              <w:rPr>
                <w:rFonts w:eastAsia="Calibri" w:cs="Times New Roman"/>
              </w:rPr>
            </w:pPr>
            <w:r>
              <w:rPr>
                <w:rFonts w:eastAsia="Calibri" w:cs="Times New Roman"/>
              </w:rPr>
              <w:t>Parameter</w:t>
            </w:r>
          </w:p>
        </w:tc>
        <w:tc>
          <w:tcPr>
            <w:tcW w:w="3001" w:type="dxa"/>
            <w:shd w:val="clear" w:color="auto" w:fill="D9E2F3" w:themeFill="accent1" w:themeFillTint="33"/>
          </w:tcPr>
          <w:p w14:paraId="6682335C" w14:textId="77777777" w:rsidR="008260A4" w:rsidRPr="0082709E" w:rsidRDefault="008260A4" w:rsidP="00105865">
            <w:r>
              <w:t>Distribution</w:t>
            </w:r>
          </w:p>
        </w:tc>
        <w:tc>
          <w:tcPr>
            <w:tcW w:w="3260" w:type="dxa"/>
            <w:shd w:val="clear" w:color="auto" w:fill="D9E2F3" w:themeFill="accent1" w:themeFillTint="33"/>
          </w:tcPr>
          <w:p w14:paraId="2BF93906" w14:textId="77777777" w:rsidR="008260A4" w:rsidRPr="0082709E" w:rsidRDefault="008260A4" w:rsidP="00105865">
            <w:r>
              <w:t>Source</w:t>
            </w:r>
          </w:p>
        </w:tc>
      </w:tr>
      <w:tr w:rsidR="008260A4" w:rsidRPr="0082709E" w14:paraId="78FB63C0" w14:textId="77777777" w:rsidTr="008260A4">
        <w:tc>
          <w:tcPr>
            <w:tcW w:w="2523" w:type="dxa"/>
          </w:tcPr>
          <w:p w14:paraId="03D6AEF2" w14:textId="77777777" w:rsidR="008260A4" w:rsidRPr="0082709E" w:rsidRDefault="008260A4" w:rsidP="00105865">
            <w:r>
              <w:rPr>
                <w:rFonts w:eastAsia="Calibri" w:cs="Times New Roman"/>
              </w:rPr>
              <w:t>Yearly progression rate from F0 to F</w:t>
            </w:r>
            <w:r w:rsidRPr="0082709E">
              <w:rPr>
                <w:rFonts w:eastAsia="Calibri" w:cs="Times New Roman"/>
              </w:rPr>
              <w:t>1</w:t>
            </w:r>
          </w:p>
        </w:tc>
        <w:tc>
          <w:tcPr>
            <w:tcW w:w="3001" w:type="dxa"/>
          </w:tcPr>
          <w:p w14:paraId="5E021EDA" w14:textId="77777777" w:rsidR="008260A4" w:rsidRPr="0082709E" w:rsidRDefault="008260A4" w:rsidP="00105865">
            <w:r w:rsidRPr="0082709E">
              <w:t>0.0529-0.2095 sampled from normal distribution</w:t>
            </w:r>
          </w:p>
        </w:tc>
        <w:tc>
          <w:tcPr>
            <w:tcW w:w="3260" w:type="dxa"/>
            <w:vMerge w:val="restart"/>
          </w:tcPr>
          <w:p w14:paraId="12668018" w14:textId="6A2E90C1" w:rsidR="008260A4" w:rsidRPr="0082709E" w:rsidRDefault="008260A4" w:rsidP="00105865">
            <w:r w:rsidRPr="0082709E">
              <w:t xml:space="preserve">PWID specific instantaneous rates from </w:t>
            </w:r>
            <w:r w:rsidR="00066223">
              <w:fldChar w:fldCharType="begin"/>
            </w:r>
            <w:r w:rsidR="00066223">
              <w:instrText xml:space="preserve"> ADDIN EN.CITE &lt;EndNote&gt;&lt;Cite&gt;&lt;Author&gt;Smith&lt;/Author&gt;&lt;Year&gt;2015&lt;/Year&gt;&lt;RecNum&gt;139&lt;/RecNum&gt;&lt;DisplayText&gt;[1]&lt;/DisplayText&gt;&lt;record&gt;&lt;rec-number&gt;139&lt;/rec-number&gt;&lt;foreign-keys&gt;&lt;key app="EN" db-id="dv90zpt5cw99wwe2zwp5tvd5ze0rd5tzaed0" timestamp="1457096388"&gt;139&lt;/key&gt;&lt;/foreign-keys&gt;&lt;ref-type name="Journal Article"&gt;17&lt;/ref-type&gt;&lt;contributors&gt;&lt;authors&gt;&lt;author&gt;Smith, Daniel J.&lt;/author&gt;&lt;author&gt;Combellick, Joan&lt;/author&gt;&lt;author&gt;Jordan, Ashly E.&lt;/author&gt;&lt;author&gt;Hagan, Holly&lt;/author&gt;&lt;/authors&gt;&lt;/contributors&gt;&lt;titles&gt;&lt;title&gt;Hepatitis C virus (HCV) disease progression in people who inject drugs (PWID): A systematic review and meta-analysis&lt;/title&gt;&lt;secondary-title&gt;International Journal of Drug Policy&lt;/secondary-title&gt;&lt;/titles&gt;&lt;periodical&gt;&lt;full-title&gt;International Journal of Drug Policy&lt;/full-title&gt;&lt;abbr-1&gt;Int. J. Drug Policy&lt;/abbr-1&gt;&lt;abbr-2&gt;Int J Drug Policy&lt;/abbr-2&gt;&lt;/periodical&gt;&lt;pages&gt;911-921&lt;/pages&gt;&lt;volume&gt;26&lt;/volume&gt;&lt;number&gt;10&lt;/number&gt;&lt;keywords&gt;&lt;keyword&gt;Hepatitis C&lt;/keyword&gt;&lt;keyword&gt;People who inject drugs&lt;/keyword&gt;&lt;keyword&gt;Natural history&lt;/keyword&gt;&lt;keyword&gt;Liver fibrosis&lt;/keyword&gt;&lt;keyword&gt;Cirrhosis&lt;/keyword&gt;&lt;/keywords&gt;&lt;dates&gt;&lt;year&gt;2015&lt;/year&gt;&lt;pub-dates&gt;&lt;date&gt;10//&lt;/date&gt;&lt;/pub-dates&gt;&lt;/dates&gt;&lt;isbn&gt;0955-3959&lt;/isbn&gt;&lt;urls&gt;&lt;related-urls&gt;&lt;url&gt;http://www.sciencedirect.com/science/article/pii/S0955395915002054&lt;/url&gt;&lt;url&gt;http://ac.els-cdn.com/S0955395915002054/1-s2.0-S0955395915002054-main.pdf?_tid=03c30e62-e209-11e5-804e-00000aab0f26&amp;amp;acdnat=1457096585_b6e20b296cd41f9178b666c26b227a67&lt;/url&gt;&lt;/related-urls&gt;&lt;/urls&gt;&lt;electronic-resource-num&gt;http://dx.doi.org/10.1016/j.drugpo.2015.07.004&lt;/electronic-resource-num&gt;&lt;/record&gt;&lt;/Cite&gt;&lt;/EndNote&gt;</w:instrText>
            </w:r>
            <w:r w:rsidR="00066223">
              <w:fldChar w:fldCharType="separate"/>
            </w:r>
            <w:r w:rsidR="00066223">
              <w:rPr>
                <w:noProof/>
              </w:rPr>
              <w:t>[1]</w:t>
            </w:r>
            <w:r w:rsidR="00066223">
              <w:fldChar w:fldCharType="end"/>
            </w:r>
          </w:p>
          <w:p w14:paraId="014CC59B" w14:textId="77777777" w:rsidR="008260A4" w:rsidRPr="0082709E" w:rsidRDefault="008260A4" w:rsidP="00105865"/>
          <w:p w14:paraId="79457737" w14:textId="77777777" w:rsidR="008260A4" w:rsidRPr="0082709E" w:rsidRDefault="008260A4" w:rsidP="00105865"/>
        </w:tc>
      </w:tr>
      <w:tr w:rsidR="008260A4" w:rsidRPr="0082709E" w14:paraId="3E8E84DB" w14:textId="77777777" w:rsidTr="008260A4">
        <w:tc>
          <w:tcPr>
            <w:tcW w:w="2523" w:type="dxa"/>
          </w:tcPr>
          <w:p w14:paraId="5F2EC258" w14:textId="77777777" w:rsidR="008260A4" w:rsidRDefault="008260A4" w:rsidP="00105865">
            <w:pPr>
              <w:rPr>
                <w:rFonts w:eastAsia="Calibri" w:cs="Times New Roman"/>
              </w:rPr>
            </w:pPr>
            <w:r>
              <w:rPr>
                <w:rFonts w:eastAsia="Calibri" w:cs="Times New Roman"/>
              </w:rPr>
              <w:t>Yearly progression rate from F1 to F</w:t>
            </w:r>
            <w:r w:rsidRPr="0082709E">
              <w:rPr>
                <w:rFonts w:eastAsia="Calibri" w:cs="Times New Roman"/>
              </w:rPr>
              <w:t>2</w:t>
            </w:r>
          </w:p>
        </w:tc>
        <w:tc>
          <w:tcPr>
            <w:tcW w:w="3001" w:type="dxa"/>
          </w:tcPr>
          <w:p w14:paraId="1FE2A514" w14:textId="77777777" w:rsidR="008260A4" w:rsidRPr="0082709E" w:rsidRDefault="008260A4" w:rsidP="00105865">
            <w:r w:rsidRPr="0082709E">
              <w:t>0.0216-0.1013 sampled from normal distribution</w:t>
            </w:r>
          </w:p>
        </w:tc>
        <w:tc>
          <w:tcPr>
            <w:tcW w:w="3260" w:type="dxa"/>
            <w:vMerge/>
          </w:tcPr>
          <w:p w14:paraId="54E3B473" w14:textId="77777777" w:rsidR="008260A4" w:rsidRPr="0082709E" w:rsidRDefault="008260A4" w:rsidP="00105865"/>
        </w:tc>
      </w:tr>
      <w:tr w:rsidR="008260A4" w:rsidRPr="0082709E" w14:paraId="3A953BE9" w14:textId="77777777" w:rsidTr="008260A4">
        <w:tc>
          <w:tcPr>
            <w:tcW w:w="2523" w:type="dxa"/>
          </w:tcPr>
          <w:p w14:paraId="7C8BA0AB" w14:textId="77777777" w:rsidR="008260A4" w:rsidRDefault="008260A4" w:rsidP="00105865">
            <w:pPr>
              <w:rPr>
                <w:rFonts w:eastAsia="Calibri" w:cs="Times New Roman"/>
              </w:rPr>
            </w:pPr>
            <w:r>
              <w:rPr>
                <w:rFonts w:eastAsia="Calibri" w:cs="Times New Roman"/>
              </w:rPr>
              <w:t>Yearly progression rate from F2 to F</w:t>
            </w:r>
            <w:r w:rsidRPr="0082709E">
              <w:rPr>
                <w:rFonts w:eastAsia="Calibri" w:cs="Times New Roman"/>
              </w:rPr>
              <w:t>3</w:t>
            </w:r>
          </w:p>
        </w:tc>
        <w:tc>
          <w:tcPr>
            <w:tcW w:w="3001" w:type="dxa"/>
          </w:tcPr>
          <w:p w14:paraId="139FBB88" w14:textId="77777777" w:rsidR="008260A4" w:rsidRPr="0082709E" w:rsidRDefault="008260A4" w:rsidP="00105865">
            <w:r w:rsidRPr="0082709E">
              <w:t>0.0450-0.1145 sampled from normal distribution</w:t>
            </w:r>
          </w:p>
        </w:tc>
        <w:tc>
          <w:tcPr>
            <w:tcW w:w="3260" w:type="dxa"/>
            <w:vMerge/>
          </w:tcPr>
          <w:p w14:paraId="71EA0A2C" w14:textId="77777777" w:rsidR="008260A4" w:rsidRPr="0082709E" w:rsidRDefault="008260A4" w:rsidP="00105865"/>
        </w:tc>
      </w:tr>
      <w:tr w:rsidR="008260A4" w:rsidRPr="0082709E" w14:paraId="7B9E19C6" w14:textId="77777777" w:rsidTr="008260A4">
        <w:tc>
          <w:tcPr>
            <w:tcW w:w="2523" w:type="dxa"/>
          </w:tcPr>
          <w:p w14:paraId="0A28324A" w14:textId="77777777" w:rsidR="008260A4" w:rsidRDefault="008260A4" w:rsidP="00105865">
            <w:pPr>
              <w:rPr>
                <w:rFonts w:eastAsia="Calibri" w:cs="Times New Roman"/>
              </w:rPr>
            </w:pPr>
            <w:r w:rsidRPr="0082709E">
              <w:rPr>
                <w:rFonts w:eastAsia="Calibri" w:cs="Times New Roman"/>
              </w:rPr>
              <w:t xml:space="preserve">Yearly progression rate </w:t>
            </w:r>
            <w:r>
              <w:rPr>
                <w:rFonts w:eastAsia="Calibri" w:cs="Times New Roman"/>
              </w:rPr>
              <w:t>from F</w:t>
            </w:r>
            <w:r w:rsidRPr="0082709E">
              <w:rPr>
                <w:rFonts w:eastAsia="Calibri" w:cs="Times New Roman"/>
              </w:rPr>
              <w:t>3 to compensated cirrhosis</w:t>
            </w:r>
          </w:p>
        </w:tc>
        <w:tc>
          <w:tcPr>
            <w:tcW w:w="3001" w:type="dxa"/>
          </w:tcPr>
          <w:p w14:paraId="431DEFCA" w14:textId="77777777" w:rsidR="008260A4" w:rsidRPr="0082709E" w:rsidRDefault="008260A4" w:rsidP="00105865">
            <w:r w:rsidRPr="0082709E">
              <w:t>0.0513-0.1838 sampled from normal distribution</w:t>
            </w:r>
          </w:p>
        </w:tc>
        <w:tc>
          <w:tcPr>
            <w:tcW w:w="3260" w:type="dxa"/>
            <w:vMerge/>
          </w:tcPr>
          <w:p w14:paraId="6E84E6FB" w14:textId="77777777" w:rsidR="008260A4" w:rsidRPr="0082709E" w:rsidRDefault="008260A4" w:rsidP="00105865"/>
        </w:tc>
      </w:tr>
      <w:tr w:rsidR="008260A4" w:rsidRPr="0082709E" w14:paraId="6E6E2591" w14:textId="77777777" w:rsidTr="008260A4">
        <w:tc>
          <w:tcPr>
            <w:tcW w:w="2523" w:type="dxa"/>
          </w:tcPr>
          <w:p w14:paraId="7B4FC506" w14:textId="77777777" w:rsidR="008260A4" w:rsidRPr="0082709E" w:rsidRDefault="008260A4" w:rsidP="00105865">
            <w:pPr>
              <w:rPr>
                <w:rFonts w:eastAsia="Calibri" w:cs="Times New Roman"/>
              </w:rPr>
            </w:pPr>
            <w:r w:rsidRPr="64826E2B">
              <w:t>Yearly progression rate from compensated cirrhosis to decompensated cirrhosis</w:t>
            </w:r>
          </w:p>
        </w:tc>
        <w:tc>
          <w:tcPr>
            <w:tcW w:w="3001" w:type="dxa"/>
          </w:tcPr>
          <w:p w14:paraId="3E468060" w14:textId="77777777" w:rsidR="008260A4" w:rsidRPr="0082709E" w:rsidRDefault="008260A4" w:rsidP="00105865">
            <w:r w:rsidRPr="0082709E">
              <w:t>0.0166-0.0921</w:t>
            </w:r>
          </w:p>
        </w:tc>
        <w:tc>
          <w:tcPr>
            <w:tcW w:w="3260" w:type="dxa"/>
            <w:vMerge w:val="restart"/>
          </w:tcPr>
          <w:p w14:paraId="31B7ACD5" w14:textId="01978C0A" w:rsidR="008260A4" w:rsidRPr="0082709E" w:rsidRDefault="008260A4" w:rsidP="00105865">
            <w:r w:rsidRPr="0082709E">
              <w:t xml:space="preserve">Instantaneous rates calculated from sampled beta distributions of transition probabilities in </w:t>
            </w:r>
            <w:r w:rsidR="00066223">
              <w:fldChar w:fldCharType="begin">
                <w:fldData xml:space="preserve">PEVuZE5vdGU+PENpdGU+PEF1dGhvcj5TaGVwaGVyZDwvQXV0aG9yPjxZZWFyPjIwMDc8L1llYXI+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</w:fldData>
              </w:fldChar>
            </w:r>
            <w:r w:rsidR="00066223">
              <w:instrText xml:space="preserve"> ADDIN EN.CITE </w:instrText>
            </w:r>
            <w:r w:rsidR="00066223">
              <w:fldChar w:fldCharType="begin">
                <w:fldData xml:space="preserve">PEVuZE5vdGU+PENpdGU+PEF1dGhvcj5TaGVwaGVyZDwvQXV0aG9yPjxZZWFyPjIwMDc8L1llYXI+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</w:fldData>
              </w:fldChar>
            </w:r>
            <w:r w:rsidR="00066223">
              <w:instrText xml:space="preserve"> ADDIN EN.CITE.DATA </w:instrText>
            </w:r>
            <w:r w:rsidR="00066223">
              <w:fldChar w:fldCharType="end"/>
            </w:r>
            <w:r w:rsidR="00066223">
              <w:fldChar w:fldCharType="separate"/>
            </w:r>
            <w:r w:rsidR="00066223">
              <w:rPr>
                <w:noProof/>
              </w:rPr>
              <w:t>[2]</w:t>
            </w:r>
            <w:r w:rsidR="00066223">
              <w:fldChar w:fldCharType="end"/>
            </w:r>
          </w:p>
        </w:tc>
      </w:tr>
      <w:tr w:rsidR="008260A4" w:rsidRPr="0082709E" w14:paraId="08051027" w14:textId="77777777" w:rsidTr="008260A4">
        <w:tc>
          <w:tcPr>
            <w:tcW w:w="2523" w:type="dxa"/>
          </w:tcPr>
          <w:p w14:paraId="12A422BD" w14:textId="77777777" w:rsidR="008260A4" w:rsidRPr="008C53F5" w:rsidRDefault="008260A4" w:rsidP="00105865">
            <w:r w:rsidRPr="0082709E">
              <w:rPr>
                <w:rFonts w:eastAsia="Calibri" w:cs="Times New Roman"/>
              </w:rPr>
              <w:t xml:space="preserve">Yearly progression rate from compensated cirrhosis or decompensated cirrhosis to hepatocellular carcinoma </w:t>
            </w:r>
          </w:p>
        </w:tc>
        <w:tc>
          <w:tcPr>
            <w:tcW w:w="3001" w:type="dxa"/>
          </w:tcPr>
          <w:p w14:paraId="3DD57843" w14:textId="77777777" w:rsidR="008260A4" w:rsidRPr="0082709E" w:rsidRDefault="008260A4" w:rsidP="00105865">
            <w:r w:rsidRPr="0082709E">
              <w:t>0.0003-0.0684</w:t>
            </w:r>
          </w:p>
        </w:tc>
        <w:tc>
          <w:tcPr>
            <w:tcW w:w="3260" w:type="dxa"/>
            <w:vMerge/>
          </w:tcPr>
          <w:p w14:paraId="417386BE" w14:textId="77777777" w:rsidR="008260A4" w:rsidRPr="0082709E" w:rsidRDefault="008260A4" w:rsidP="00105865"/>
        </w:tc>
      </w:tr>
      <w:tr w:rsidR="008260A4" w:rsidRPr="0082709E" w14:paraId="3A0E8D66" w14:textId="77777777" w:rsidTr="008260A4">
        <w:tc>
          <w:tcPr>
            <w:tcW w:w="2523" w:type="dxa"/>
          </w:tcPr>
          <w:p w14:paraId="45495593" w14:textId="77777777" w:rsidR="008260A4" w:rsidRPr="0082709E" w:rsidRDefault="008260A4" w:rsidP="00105865">
            <w:pPr>
              <w:rPr>
                <w:rFonts w:eastAsia="Calibri" w:cs="Times New Roman"/>
              </w:rPr>
            </w:pPr>
            <w:r w:rsidRPr="0082709E">
              <w:rPr>
                <w:rFonts w:eastAsia="Calibri" w:cs="Times New Roman"/>
              </w:rPr>
              <w:t>Yearly progression rate from decompensated cirrhosis or HCC to liver transplant</w:t>
            </w:r>
          </w:p>
        </w:tc>
        <w:tc>
          <w:tcPr>
            <w:tcW w:w="3001" w:type="dxa"/>
          </w:tcPr>
          <w:p w14:paraId="2964C517" w14:textId="77777777" w:rsidR="008260A4" w:rsidRPr="0082709E" w:rsidRDefault="008260A4" w:rsidP="00105865">
            <w:r w:rsidRPr="0082709E">
              <w:t>0.0062-0.0962</w:t>
            </w:r>
          </w:p>
        </w:tc>
        <w:tc>
          <w:tcPr>
            <w:tcW w:w="3260" w:type="dxa"/>
            <w:vMerge/>
          </w:tcPr>
          <w:p w14:paraId="19E9D149" w14:textId="77777777" w:rsidR="008260A4" w:rsidRPr="0082709E" w:rsidRDefault="008260A4" w:rsidP="00105865"/>
        </w:tc>
      </w:tr>
      <w:tr w:rsidR="008260A4" w:rsidRPr="0082709E" w14:paraId="2BC6E62C" w14:textId="77777777" w:rsidTr="008260A4">
        <w:tc>
          <w:tcPr>
            <w:tcW w:w="2523" w:type="dxa"/>
          </w:tcPr>
          <w:p w14:paraId="5B535E84" w14:textId="77777777" w:rsidR="008260A4" w:rsidRPr="0082709E" w:rsidRDefault="008260A4" w:rsidP="00105865">
            <w:pPr>
              <w:rPr>
                <w:rFonts w:eastAsia="Calibri" w:cs="Times New Roman"/>
              </w:rPr>
            </w:pPr>
            <w:r w:rsidRPr="0082709E">
              <w:rPr>
                <w:rFonts w:eastAsia="Calibri" w:cs="Times New Roman"/>
              </w:rPr>
              <w:t>Yearly progression rate from liver transplant to post liver transplant</w:t>
            </w:r>
          </w:p>
        </w:tc>
        <w:tc>
          <w:tcPr>
            <w:tcW w:w="3001" w:type="dxa"/>
          </w:tcPr>
          <w:p w14:paraId="285DCD57" w14:textId="77777777" w:rsidR="008260A4" w:rsidRPr="0082709E" w:rsidRDefault="008260A4" w:rsidP="00105865">
            <w:r w:rsidRPr="0082709E">
              <w:t>1.0423-2.4412</w:t>
            </w:r>
          </w:p>
        </w:tc>
        <w:tc>
          <w:tcPr>
            <w:tcW w:w="3260" w:type="dxa"/>
            <w:vMerge/>
          </w:tcPr>
          <w:p w14:paraId="319B3ED9" w14:textId="77777777" w:rsidR="008260A4" w:rsidRPr="0082709E" w:rsidRDefault="008260A4" w:rsidP="00105865"/>
        </w:tc>
      </w:tr>
      <w:tr w:rsidR="008260A4" w:rsidRPr="0082709E" w14:paraId="73C7067F" w14:textId="77777777" w:rsidTr="008260A4">
        <w:tc>
          <w:tcPr>
            <w:tcW w:w="2523" w:type="dxa"/>
          </w:tcPr>
          <w:p w14:paraId="0878E993" w14:textId="77777777" w:rsidR="008260A4" w:rsidRPr="0082709E" w:rsidRDefault="008260A4" w:rsidP="00105865">
            <w:pPr>
              <w:rPr>
                <w:rFonts w:eastAsia="Calibri" w:cs="Times New Roman"/>
              </w:rPr>
            </w:pPr>
            <w:r w:rsidRPr="0082709E">
              <w:rPr>
                <w:rFonts w:eastAsia="Calibri" w:cs="Times New Roman"/>
              </w:rPr>
              <w:t>Decompensated cirrhosis related death rate per year</w:t>
            </w:r>
          </w:p>
        </w:tc>
        <w:tc>
          <w:tcPr>
            <w:tcW w:w="3001" w:type="dxa"/>
          </w:tcPr>
          <w:p w14:paraId="21A559BC" w14:textId="77777777" w:rsidR="008260A4" w:rsidRPr="0082709E" w:rsidRDefault="008260A4" w:rsidP="00105865">
            <w:r w:rsidRPr="0082709E">
              <w:t>0.1063-0.1842</w:t>
            </w:r>
          </w:p>
        </w:tc>
        <w:tc>
          <w:tcPr>
            <w:tcW w:w="3260" w:type="dxa"/>
            <w:vMerge/>
          </w:tcPr>
          <w:p w14:paraId="5F705703" w14:textId="77777777" w:rsidR="008260A4" w:rsidRPr="0082709E" w:rsidRDefault="008260A4" w:rsidP="00105865"/>
        </w:tc>
      </w:tr>
      <w:tr w:rsidR="008260A4" w:rsidRPr="0082709E" w14:paraId="5EAC7C55" w14:textId="77777777" w:rsidTr="008260A4">
        <w:tc>
          <w:tcPr>
            <w:tcW w:w="2523" w:type="dxa"/>
          </w:tcPr>
          <w:p w14:paraId="3551325E" w14:textId="77777777" w:rsidR="008260A4" w:rsidRPr="0082709E" w:rsidRDefault="008260A4" w:rsidP="00105865">
            <w:pPr>
              <w:rPr>
                <w:rFonts w:eastAsia="Calibri" w:cs="Times New Roman"/>
              </w:rPr>
            </w:pPr>
            <w:r w:rsidRPr="0082709E">
              <w:rPr>
                <w:rFonts w:eastAsia="Calibri" w:cs="Times New Roman"/>
              </w:rPr>
              <w:t>Hepatocellular carcinoma related death rate per year</w:t>
            </w:r>
          </w:p>
        </w:tc>
        <w:tc>
          <w:tcPr>
            <w:tcW w:w="3001" w:type="dxa"/>
          </w:tcPr>
          <w:p w14:paraId="07062049" w14:textId="77777777" w:rsidR="008260A4" w:rsidRPr="0082709E" w:rsidRDefault="008260A4" w:rsidP="00105865">
            <w:r w:rsidRPr="0082709E">
              <w:t>0.3904-0.7697</w:t>
            </w:r>
          </w:p>
        </w:tc>
        <w:tc>
          <w:tcPr>
            <w:tcW w:w="3260" w:type="dxa"/>
            <w:vMerge/>
          </w:tcPr>
          <w:p w14:paraId="111145B9" w14:textId="77777777" w:rsidR="008260A4" w:rsidRPr="0082709E" w:rsidRDefault="008260A4" w:rsidP="00105865"/>
        </w:tc>
      </w:tr>
      <w:tr w:rsidR="008260A4" w:rsidRPr="0082709E" w14:paraId="4FC92F14" w14:textId="77777777" w:rsidTr="008260A4">
        <w:tc>
          <w:tcPr>
            <w:tcW w:w="2523" w:type="dxa"/>
          </w:tcPr>
          <w:p w14:paraId="1A2AB694" w14:textId="77777777" w:rsidR="008260A4" w:rsidRPr="0082709E" w:rsidRDefault="008260A4" w:rsidP="00105865">
            <w:pPr>
              <w:rPr>
                <w:rFonts w:eastAsia="Calibri" w:cs="Times New Roman"/>
              </w:rPr>
            </w:pPr>
            <w:r w:rsidRPr="0082709E">
              <w:rPr>
                <w:rFonts w:eastAsia="Calibri" w:cs="Times New Roman"/>
              </w:rPr>
              <w:t>Liver transplant related death rate per year</w:t>
            </w:r>
          </w:p>
        </w:tc>
        <w:tc>
          <w:tcPr>
            <w:tcW w:w="3001" w:type="dxa"/>
          </w:tcPr>
          <w:p w14:paraId="73AAFC3E" w14:textId="77777777" w:rsidR="008260A4" w:rsidRPr="0082709E" w:rsidRDefault="008260A4" w:rsidP="00105865">
            <w:r w:rsidRPr="0082709E">
              <w:t>0.0911-0.4348</w:t>
            </w:r>
          </w:p>
        </w:tc>
        <w:tc>
          <w:tcPr>
            <w:tcW w:w="3260" w:type="dxa"/>
            <w:vMerge/>
          </w:tcPr>
          <w:p w14:paraId="019BC45F" w14:textId="77777777" w:rsidR="008260A4" w:rsidRPr="0082709E" w:rsidRDefault="008260A4" w:rsidP="00105865"/>
        </w:tc>
      </w:tr>
      <w:tr w:rsidR="008260A4" w:rsidRPr="0082709E" w14:paraId="243D06E0" w14:textId="77777777" w:rsidTr="008260A4">
        <w:tc>
          <w:tcPr>
            <w:tcW w:w="2523" w:type="dxa"/>
          </w:tcPr>
          <w:p w14:paraId="741FDF71" w14:textId="77777777" w:rsidR="008260A4" w:rsidRPr="0082709E" w:rsidRDefault="008260A4" w:rsidP="00105865">
            <w:pPr>
              <w:rPr>
                <w:rFonts w:eastAsia="Calibri" w:cs="Times New Roman"/>
              </w:rPr>
            </w:pPr>
            <w:r w:rsidRPr="0082709E">
              <w:rPr>
                <w:rFonts w:eastAsia="Calibri" w:cs="Times New Roman"/>
              </w:rPr>
              <w:t>Post liver transplant related death rate per year</w:t>
            </w:r>
          </w:p>
        </w:tc>
        <w:tc>
          <w:tcPr>
            <w:tcW w:w="3001" w:type="dxa"/>
          </w:tcPr>
          <w:p w14:paraId="05CBDACE" w14:textId="77777777" w:rsidR="008260A4" w:rsidRPr="0082709E" w:rsidRDefault="008260A4" w:rsidP="00105865">
            <w:r w:rsidRPr="0082709E">
              <w:t>0.0280-0.1016</w:t>
            </w:r>
          </w:p>
        </w:tc>
        <w:tc>
          <w:tcPr>
            <w:tcW w:w="3260" w:type="dxa"/>
            <w:vMerge/>
          </w:tcPr>
          <w:p w14:paraId="7895C1E9" w14:textId="77777777" w:rsidR="008260A4" w:rsidRPr="0082709E" w:rsidRDefault="008260A4" w:rsidP="00105865"/>
        </w:tc>
      </w:tr>
      <w:tr w:rsidR="008260A4" w:rsidRPr="0082709E" w14:paraId="345DB678" w14:textId="77777777" w:rsidTr="008260A4">
        <w:tc>
          <w:tcPr>
            <w:tcW w:w="2523" w:type="dxa"/>
          </w:tcPr>
          <w:p w14:paraId="543D8356" w14:textId="77777777" w:rsidR="008260A4" w:rsidRPr="0082709E" w:rsidRDefault="008260A4" w:rsidP="00105865">
            <w:pPr>
              <w:rPr>
                <w:rFonts w:eastAsia="Calibri" w:cs="Times New Roman"/>
              </w:rPr>
            </w:pPr>
            <w:r w:rsidRPr="0082709E">
              <w:rPr>
                <w:rFonts w:eastAsia="Calibri" w:cs="Times New Roman"/>
              </w:rPr>
              <w:t>Relative risk for progression rate from</w:t>
            </w:r>
            <w:r w:rsidRPr="64826E2B">
              <w:t xml:space="preserve"> compensated to decompensated cirrhosis</w:t>
            </w:r>
            <w:r w:rsidRPr="0082709E">
              <w:rPr>
                <w:rFonts w:eastAsia="Calibri" w:cs="Times New Roman"/>
              </w:rPr>
              <w:t xml:space="preserve"> following SVR</w:t>
            </w:r>
          </w:p>
        </w:tc>
        <w:tc>
          <w:tcPr>
            <w:tcW w:w="3001" w:type="dxa"/>
          </w:tcPr>
          <w:p w14:paraId="56E44A6A" w14:textId="77777777" w:rsidR="008260A4" w:rsidRPr="0082709E" w:rsidRDefault="008260A4" w:rsidP="00105865">
            <w:r w:rsidRPr="0082709E">
              <w:t>0.07 (95%CI 0.03,0.2)</w:t>
            </w:r>
          </w:p>
        </w:tc>
        <w:tc>
          <w:tcPr>
            <w:tcW w:w="3260" w:type="dxa"/>
          </w:tcPr>
          <w:p w14:paraId="0F07ABFD" w14:textId="34FCA766" w:rsidR="008260A4" w:rsidRPr="0082709E" w:rsidRDefault="008260A4" w:rsidP="00105865">
            <w:r w:rsidRPr="0082709E">
              <w:t xml:space="preserve">Sampled from transformed lognormal distribution </w:t>
            </w:r>
            <w:r w:rsidR="00066223">
              <w:fldChar w:fldCharType="begin"/>
            </w:r>
            <w:r w:rsidR="00066223">
              <w:instrText xml:space="preserve"> ADDIN EN.CITE &lt;EndNote&gt;&lt;Cite&gt;&lt;Author&gt;van der Meer&lt;/Author&gt;&lt;Year&gt;2012&lt;/Year&gt;&lt;RecNum&gt;161&lt;/RecNum&gt;&lt;DisplayText&gt;[3]&lt;/DisplayText&gt;&lt;record&gt;&lt;rec-number&gt;161&lt;/rec-number&gt;&lt;foreign-keys&gt;&lt;key app="EN" db-id="dv90zpt5cw99wwe2zwp5tvd5ze0rd5tzaed0" timestamp="1459457111"&gt;161&lt;/key&gt;&lt;/foreign-keys&gt;&lt;ref-type name="Journal Article"&gt;17&lt;/ref-type&gt;&lt;contributors&gt;&lt;authors&gt;&lt;author&gt;van der Meer, A. J.&lt;/author&gt;&lt;author&gt;Veldt, B. J.&lt;/author&gt;&lt;author&gt;Feld, J. J.&lt;/author&gt;&lt;author&gt;et al.,&lt;/author&gt;&lt;/authors&gt;&lt;/contributors&gt;&lt;titles&gt;&lt;title&gt;Association between sustained virological response and all-cause mortality among patients with chronic hepatitis c and advanced hepatic fibrosis&lt;/title&gt;&lt;secondary-title&gt;JAMA&lt;/secondary-title&gt;&lt;/titles&gt;&lt;periodical&gt;&lt;full-title&gt;JAMA&lt;/full-title&gt;&lt;/periodical&gt;&lt;pages&gt;2584-2593&lt;/pages&gt;&lt;volume&gt;308&lt;/volume&gt;&lt;number&gt;24&lt;/number&gt;&lt;dates&gt;&lt;year&gt;2012&lt;/year&gt;&lt;/dates&gt;&lt;isbn&gt;0098-7484&lt;/isbn&gt;&lt;urls&gt;&lt;related-urls&gt;&lt;url&gt;http://dx.doi.org/10.1001/jama.2012.144878&lt;/url&gt;&lt;url&gt;http://jama.jamanetwork.com/data/Journals/JAMA/926137/joc120128_2584_2593.pdf&lt;/url&gt;&lt;/related-urls&gt;&lt;/urls&gt;&lt;electronic-resource-num&gt;10.1001/jama.2012.144878&lt;/electronic-resource-num&gt;&lt;/record&gt;&lt;/Cite&gt;&lt;/EndNote&gt;</w:instrText>
            </w:r>
            <w:r w:rsidR="00066223">
              <w:fldChar w:fldCharType="separate"/>
            </w:r>
            <w:r w:rsidR="00066223">
              <w:rPr>
                <w:noProof/>
              </w:rPr>
              <w:t>[3]</w:t>
            </w:r>
            <w:r w:rsidR="00066223">
              <w:fldChar w:fldCharType="end"/>
            </w:r>
          </w:p>
        </w:tc>
      </w:tr>
      <w:tr w:rsidR="008260A4" w:rsidRPr="0082709E" w14:paraId="11E47A60" w14:textId="77777777" w:rsidTr="008260A4">
        <w:tc>
          <w:tcPr>
            <w:tcW w:w="2523" w:type="dxa"/>
          </w:tcPr>
          <w:p w14:paraId="0A2DDDDB" w14:textId="77777777" w:rsidR="008260A4" w:rsidRPr="0082709E" w:rsidRDefault="008260A4" w:rsidP="00105865">
            <w:pPr>
              <w:rPr>
                <w:rFonts w:eastAsia="Calibri" w:cs="Times New Roman"/>
              </w:rPr>
            </w:pPr>
            <w:r w:rsidRPr="0082709E">
              <w:rPr>
                <w:rFonts w:eastAsia="Calibri" w:cs="Times New Roman"/>
              </w:rPr>
              <w:t>Relative risk for progression rate from compensated cirrhosis to HCC following SVR</w:t>
            </w:r>
          </w:p>
        </w:tc>
        <w:tc>
          <w:tcPr>
            <w:tcW w:w="3001" w:type="dxa"/>
          </w:tcPr>
          <w:p w14:paraId="1CA4E03F" w14:textId="77777777" w:rsidR="008260A4" w:rsidRPr="0082709E" w:rsidRDefault="008260A4" w:rsidP="00105865">
            <w:r w:rsidRPr="0082709E">
              <w:t>0.23 (95%CI 0.16,0.35)</w:t>
            </w:r>
          </w:p>
        </w:tc>
        <w:tc>
          <w:tcPr>
            <w:tcW w:w="3260" w:type="dxa"/>
          </w:tcPr>
          <w:p w14:paraId="7C3B8183" w14:textId="684144C3" w:rsidR="008260A4" w:rsidRPr="0082709E" w:rsidRDefault="008260A4" w:rsidP="00105865">
            <w:r w:rsidRPr="0082709E">
              <w:t xml:space="preserve">Sampled from transformed lognormal distribution </w:t>
            </w:r>
            <w:r w:rsidR="00066223">
              <w:fldChar w:fldCharType="begin"/>
            </w:r>
            <w:r w:rsidR="00066223">
              <w:instrText xml:space="preserve"> ADDIN EN.CITE &lt;EndNote&gt;&lt;Cite&gt;&lt;Author&gt;Morgan&lt;/Author&gt;&lt;Year&gt;2013&lt;/Year&gt;&lt;RecNum&gt;136&lt;/RecNum&gt;&lt;DisplayText&gt;[4]&lt;/DisplayText&gt;&lt;record&gt;&lt;rec-number&gt;136&lt;/rec-number&gt;&lt;foreign-keys&gt;&lt;key app="EN" db-id="dv90zpt5cw99wwe2zwp5tvd5ze0rd5tzaed0" timestamp="1456671574"&gt;136&lt;/key&gt;&lt;/foreign-keys&gt;&lt;ref-type name="Journal Article"&gt;17&lt;/ref-type&gt;&lt;contributors&gt;&lt;authors&gt;&lt;author&gt;Morgan, Rebecca L.&lt;/author&gt;&lt;author&gt;Baack, Brittney&lt;/author&gt;&lt;author&gt;Smith, Bryce D.&lt;/author&gt;&lt;author&gt;Yartel, Anthony&lt;/author&gt;&lt;author&gt;Pitasi, Marc&lt;/author&gt;&lt;author&gt;Falck-Ytter, Yngve&lt;/author&gt;&lt;/authors&gt;&lt;/contributors&gt;&lt;titles&gt;&lt;title&gt;Eradication of Hepatitis C Virus Infection and the Development of Hepatocellular CarcinomaA Meta-analysis of Observational Studies&lt;/title&gt;&lt;secondary-title&gt;Annals of Internal Medicine&lt;/secondary-title&gt;&lt;/titles&gt;&lt;periodical&gt;&lt;full-title&gt;Annals of Internal Medicine&lt;/full-title&gt;&lt;/periodical&gt;&lt;pages&gt;329-337&lt;/pages&gt;&lt;volume&gt;158&lt;/volume&gt;&lt;number&gt;5_Part_1&lt;/number&gt;&lt;dates&gt;&lt;year&gt;2013&lt;/year&gt;&lt;/dates&gt;&lt;isbn&gt;0003-4819&lt;/isbn&gt;&lt;urls&gt;&lt;related-urls&gt;&lt;url&gt;http://dx.doi.org/10.7326/0003-4819-158-5-201303050-00005&lt;/url&gt;&lt;url&gt;http://annals.org/data/Journals/AIM/926461/0000605-201303050-00005.pdf&lt;/url&gt;&lt;/related-urls&gt;&lt;/urls&gt;&lt;electronic-resource-num&gt;10.7326/0003-4819-158-5-201303050-00005&lt;/electronic-resource-num&gt;&lt;/record&gt;&lt;/Cite&gt;&lt;/EndNote&gt;</w:instrText>
            </w:r>
            <w:r w:rsidR="00066223">
              <w:fldChar w:fldCharType="separate"/>
            </w:r>
            <w:r w:rsidR="00066223">
              <w:rPr>
                <w:noProof/>
              </w:rPr>
              <w:t>[4]</w:t>
            </w:r>
            <w:r w:rsidR="00066223">
              <w:fldChar w:fldCharType="end"/>
            </w:r>
          </w:p>
        </w:tc>
      </w:tr>
    </w:tbl>
    <w:p w14:paraId="05376B0D" w14:textId="77777777" w:rsidR="008260A4" w:rsidRDefault="008260A4" w:rsidP="00105865">
      <w:pPr>
        <w:spacing w:line="240" w:lineRule="auto"/>
      </w:pPr>
    </w:p>
    <w:p w14:paraId="7E041000" w14:textId="77777777" w:rsidR="005328D1" w:rsidRDefault="005328D1" w:rsidP="00105865">
      <w:pPr>
        <w:spacing w:line="240" w:lineRule="auto"/>
        <w:rPr>
          <w:rFonts w:ascii="Segoe UI" w:eastAsia="Times New Roman" w:hAnsi="Segoe UI" w:cs="Segoe UI"/>
          <w:b/>
          <w:sz w:val="18"/>
          <w:szCs w:val="18"/>
          <w:lang w:eastAsia="en-GB"/>
        </w:rPr>
      </w:pPr>
    </w:p>
    <w:p w14:paraId="1360CB21" w14:textId="77777777" w:rsidR="000F24E9" w:rsidRDefault="000F24E9">
      <w:pPr>
        <w:rPr>
          <w:rFonts w:ascii="Segoe UI" w:eastAsia="Times New Roman" w:hAnsi="Segoe UI" w:cs="Segoe UI"/>
          <w:b/>
          <w:sz w:val="18"/>
          <w:szCs w:val="18"/>
          <w:lang w:eastAsia="en-GB"/>
        </w:rPr>
      </w:pPr>
      <w:r>
        <w:rPr>
          <w:rFonts w:ascii="Segoe UI" w:eastAsia="Times New Roman" w:hAnsi="Segoe UI" w:cs="Segoe UI"/>
          <w:b/>
          <w:sz w:val="18"/>
          <w:szCs w:val="18"/>
          <w:lang w:eastAsia="en-GB"/>
        </w:rPr>
        <w:lastRenderedPageBreak/>
        <w:br w:type="page"/>
      </w:r>
    </w:p>
    <w:p w14:paraId="3A1291B6" w14:textId="1C556718" w:rsidR="008260A4" w:rsidRPr="008C53F5" w:rsidRDefault="008260A4" w:rsidP="00105865">
      <w:pPr>
        <w:spacing w:line="240" w:lineRule="auto"/>
        <w:rPr>
          <w:b/>
          <w:bCs/>
        </w:rPr>
      </w:pPr>
      <w:r w:rsidRPr="004725FD">
        <w:rPr>
          <w:rFonts w:ascii="Segoe UI" w:eastAsia="Times New Roman" w:hAnsi="Segoe UI" w:cs="Segoe UI"/>
          <w:b/>
          <w:sz w:val="18"/>
          <w:szCs w:val="18"/>
          <w:lang w:eastAsia="en-GB"/>
        </w:rPr>
        <w:lastRenderedPageBreak/>
        <w:t xml:space="preserve">Table </w:t>
      </w:r>
      <w:r>
        <w:rPr>
          <w:rFonts w:ascii="Segoe UI" w:eastAsia="Times New Roman" w:hAnsi="Segoe UI" w:cs="Segoe UI"/>
          <w:b/>
          <w:sz w:val="18"/>
          <w:szCs w:val="18"/>
          <w:lang w:eastAsia="en-GB"/>
        </w:rPr>
        <w:t>S2</w:t>
      </w:r>
      <w:r w:rsidRPr="004725FD">
        <w:rPr>
          <w:rFonts w:ascii="Segoe UI" w:eastAsia="Times New Roman" w:hAnsi="Segoe UI" w:cs="Segoe UI"/>
          <w:b/>
          <w:sz w:val="18"/>
          <w:szCs w:val="18"/>
          <w:lang w:eastAsia="en-GB"/>
        </w:rPr>
        <w:t>:</w:t>
      </w:r>
      <w:r>
        <w:rPr>
          <w:rFonts w:ascii="Segoe UI" w:eastAsia="Times New Roman" w:hAnsi="Segoe UI" w:cs="Segoe UI"/>
          <w:sz w:val="18"/>
          <w:szCs w:val="18"/>
          <w:lang w:eastAsia="en-GB"/>
        </w:rPr>
        <w:t xml:space="preserve"> </w:t>
      </w:r>
      <w:r w:rsidRPr="00B26F01">
        <w:rPr>
          <w:b/>
          <w:bCs/>
        </w:rPr>
        <w:t>Costs and Utility parameter values</w:t>
      </w:r>
    </w:p>
    <w:tbl>
      <w:tblPr>
        <w:tblW w:w="409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7"/>
        <w:gridCol w:w="1107"/>
        <w:gridCol w:w="2535"/>
        <w:gridCol w:w="1797"/>
      </w:tblGrid>
      <w:tr w:rsidR="008260A4" w:rsidRPr="0082709E" w14:paraId="70B25E98" w14:textId="77777777" w:rsidTr="008260A4">
        <w:trPr>
          <w:trHeight w:val="288"/>
        </w:trPr>
        <w:tc>
          <w:tcPr>
            <w:tcW w:w="185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756CD199" w14:textId="77777777" w:rsidR="008260A4" w:rsidRPr="008C53F5" w:rsidRDefault="008260A4" w:rsidP="00105865">
            <w:pPr>
              <w:pStyle w:val="NoSpacing"/>
              <w:rPr>
                <w:b/>
                <w:bCs/>
                <w:sz w:val="22"/>
                <w:szCs w:val="22"/>
              </w:rPr>
            </w:pPr>
            <w:r w:rsidRPr="00B26F01">
              <w:rPr>
                <w:b/>
                <w:bCs/>
                <w:sz w:val="22"/>
                <w:szCs w:val="22"/>
              </w:rPr>
              <w:t>Annual Costs</w:t>
            </w:r>
          </w:p>
        </w:tc>
        <w:tc>
          <w:tcPr>
            <w:tcW w:w="82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6AB1DCA8" w14:textId="77777777" w:rsidR="008260A4" w:rsidRPr="008C53F5" w:rsidRDefault="008260A4" w:rsidP="00105865">
            <w:pPr>
              <w:pStyle w:val="NoSpacing"/>
              <w:rPr>
                <w:b/>
                <w:bCs/>
                <w:sz w:val="22"/>
                <w:szCs w:val="22"/>
              </w:rPr>
            </w:pPr>
            <w:r w:rsidRPr="00B26F01">
              <w:rPr>
                <w:b/>
                <w:bCs/>
                <w:sz w:val="22"/>
                <w:szCs w:val="22"/>
              </w:rPr>
              <w:t>Value £</w:t>
            </w:r>
          </w:p>
        </w:tc>
        <w:tc>
          <w:tcPr>
            <w:tcW w:w="122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446AFF75" w14:textId="77777777" w:rsidR="008260A4" w:rsidRPr="008C53F5" w:rsidRDefault="008260A4" w:rsidP="00105865">
            <w:pPr>
              <w:pStyle w:val="NoSpacing"/>
              <w:rPr>
                <w:b/>
                <w:bCs/>
                <w:sz w:val="22"/>
                <w:szCs w:val="22"/>
              </w:rPr>
            </w:pPr>
            <w:r w:rsidRPr="00B26F01">
              <w:rPr>
                <w:b/>
                <w:bCs/>
                <w:sz w:val="22"/>
                <w:szCs w:val="22"/>
              </w:rPr>
              <w:t>Distribution</w:t>
            </w:r>
          </w:p>
        </w:tc>
        <w:tc>
          <w:tcPr>
            <w:tcW w:w="110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14:paraId="57D710F5" w14:textId="77777777" w:rsidR="008260A4" w:rsidRPr="008C53F5" w:rsidRDefault="008260A4" w:rsidP="00105865">
            <w:pPr>
              <w:pStyle w:val="NoSpacing"/>
              <w:rPr>
                <w:b/>
                <w:bCs/>
                <w:sz w:val="22"/>
                <w:szCs w:val="22"/>
              </w:rPr>
            </w:pPr>
            <w:r w:rsidRPr="00B26F01">
              <w:rPr>
                <w:b/>
                <w:bCs/>
                <w:sz w:val="22"/>
                <w:szCs w:val="22"/>
              </w:rPr>
              <w:t>Source</w:t>
            </w:r>
          </w:p>
        </w:tc>
      </w:tr>
      <w:tr w:rsidR="008260A4" w:rsidRPr="0082709E" w14:paraId="607265DA"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05E3D406" w14:textId="77777777" w:rsidR="008260A4" w:rsidRPr="0082709E" w:rsidRDefault="008260A4" w:rsidP="00105865">
            <w:pPr>
              <w:pStyle w:val="NoSpacing"/>
              <w:rPr>
                <w:sz w:val="22"/>
                <w:szCs w:val="22"/>
              </w:rPr>
            </w:pPr>
            <w:r w:rsidRPr="0082709E">
              <w:rPr>
                <w:sz w:val="22"/>
                <w:szCs w:val="22"/>
              </w:rPr>
              <w:t>OST (specialist prescribing)</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1049A5C0" w14:textId="77777777" w:rsidR="008260A4" w:rsidRPr="0082709E" w:rsidRDefault="008260A4" w:rsidP="00105865">
            <w:pPr>
              <w:pStyle w:val="NoSpacing"/>
              <w:rPr>
                <w:sz w:val="22"/>
                <w:szCs w:val="22"/>
              </w:rPr>
            </w:pPr>
            <w:r w:rsidRPr="0082709E">
              <w:rPr>
                <w:sz w:val="22"/>
                <w:szCs w:val="22"/>
              </w:rPr>
              <w:t>2,839.28</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746879BC" w14:textId="77777777" w:rsidR="008260A4" w:rsidRPr="0082709E" w:rsidRDefault="008260A4" w:rsidP="00105865">
            <w:pPr>
              <w:pStyle w:val="NoSpacing"/>
              <w:rPr>
                <w:sz w:val="22"/>
                <w:szCs w:val="22"/>
              </w:rPr>
            </w:pPr>
            <w:r w:rsidRPr="0082709E">
              <w:rPr>
                <w:sz w:val="22"/>
                <w:szCs w:val="22"/>
              </w:rPr>
              <w:t>Gamma</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671309F8" w14:textId="4E9C9519"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&lt;EndNote&gt;&lt;Cite&gt;&lt;Author&gt;PSSRU&lt;/Author&gt;&lt;Year&gt;2013&lt;/Year&gt;&lt;RecNum&gt;306&lt;/RecNum&gt;&lt;DisplayText&gt;[5]&lt;/DisplayText&gt;&lt;record&gt;&lt;rec-number&gt;306&lt;/rec-number&gt;&lt;foreign-keys&gt;&lt;key app="EN" db-id="dv90zpt5cw99wwe2zwp5tvd5ze0rd5tzaed0" timestamp="1489485019"&gt;306&lt;/key&gt;&lt;/foreign-keys&gt;&lt;ref-type name="Journal Article"&gt;17&lt;/ref-type&gt;&lt;contributors&gt;&lt;authors&gt;&lt;author&gt;PSSRU&lt;/author&gt;&lt;/authors&gt;&lt;/contributors&gt;&lt;titles&gt;&lt;title&gt;Unit Costs of Health &amp;amp; Social Care 2013&lt;/title&gt;&lt;/titles&gt;&lt;pages&gt;226&lt;/pages&gt;&lt;dates&gt;&lt;year&gt;2013&lt;/year&gt;&lt;/dates&gt;&lt;isbn&gt;9781902671871&lt;/isbn&gt;&lt;urls&gt;&lt;/urls&gt;&lt;/record&gt;&lt;/Cite&gt;&lt;/EndNote&gt;</w:instrText>
            </w:r>
            <w:r>
              <w:rPr>
                <w:sz w:val="22"/>
                <w:szCs w:val="22"/>
              </w:rPr>
              <w:fldChar w:fldCharType="separate"/>
            </w:r>
            <w:r>
              <w:rPr>
                <w:noProof/>
                <w:sz w:val="22"/>
                <w:szCs w:val="22"/>
              </w:rPr>
              <w:t>[5]</w:t>
            </w:r>
            <w:r>
              <w:rPr>
                <w:sz w:val="22"/>
                <w:szCs w:val="22"/>
              </w:rPr>
              <w:fldChar w:fldCharType="end"/>
            </w:r>
          </w:p>
        </w:tc>
      </w:tr>
      <w:tr w:rsidR="008260A4" w:rsidRPr="0082709E" w14:paraId="005BE028"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1FBA5894" w14:textId="77777777" w:rsidR="008260A4" w:rsidRPr="0082709E" w:rsidRDefault="008260A4" w:rsidP="00105865">
            <w:pPr>
              <w:pStyle w:val="NoSpacing"/>
              <w:rPr>
                <w:sz w:val="22"/>
                <w:szCs w:val="22"/>
              </w:rPr>
            </w:pPr>
            <w:r w:rsidRPr="0082709E">
              <w:rPr>
                <w:sz w:val="22"/>
                <w:szCs w:val="22"/>
              </w:rPr>
              <w:t>Uninfected</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4AE4ED52" w14:textId="77777777" w:rsidR="008260A4" w:rsidRPr="0082709E" w:rsidRDefault="008260A4" w:rsidP="00105865">
            <w:pPr>
              <w:pStyle w:val="NoSpacing"/>
              <w:rPr>
                <w:sz w:val="22"/>
                <w:szCs w:val="22"/>
              </w:rPr>
            </w:pPr>
            <w:r w:rsidRPr="0082709E">
              <w:rPr>
                <w:sz w:val="22"/>
                <w:szCs w:val="22"/>
              </w:rPr>
              <w:t>0.00</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4B714E89" w14:textId="77777777" w:rsidR="008260A4" w:rsidRPr="0082709E" w:rsidRDefault="008260A4" w:rsidP="00105865">
            <w:pPr>
              <w:pStyle w:val="NoSpacing"/>
              <w:rPr>
                <w:sz w:val="22"/>
                <w:szCs w:val="22"/>
              </w:rPr>
            </w:pPr>
            <w:r w:rsidRPr="0082709E">
              <w:rPr>
                <w:sz w:val="22"/>
                <w:szCs w:val="22"/>
              </w:rPr>
              <w:t>Constant</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54DEBF40" w14:textId="327B5A67"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&lt;EndNote&gt;&lt;Cite&gt;&lt;Author&gt;Wright&lt;/Author&gt;&lt;Year&gt;2006&lt;/Year&gt;&lt;RecNum&gt;322&lt;/RecNum&gt;&lt;DisplayText&gt;[6]&lt;/DisplayText&gt;&lt;record&gt;&lt;rec-number&gt;322&lt;/rec-number&gt;&lt;foreign-keys&gt;&lt;key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rPr>
                <w:sz w:val="22"/>
                <w:szCs w:val="22"/>
              </w:rPr>
              <w:fldChar w:fldCharType="separate"/>
            </w:r>
            <w:r>
              <w:rPr>
                <w:noProof/>
                <w:sz w:val="22"/>
                <w:szCs w:val="22"/>
              </w:rPr>
              <w:t>[6]</w:t>
            </w:r>
            <w:r>
              <w:rPr>
                <w:sz w:val="22"/>
                <w:szCs w:val="22"/>
              </w:rPr>
              <w:fldChar w:fldCharType="end"/>
            </w:r>
          </w:p>
        </w:tc>
      </w:tr>
      <w:tr w:rsidR="008260A4" w:rsidRPr="0082709E" w14:paraId="5DE4911C"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5FB31334" w14:textId="77777777" w:rsidR="008260A4" w:rsidRPr="0082709E" w:rsidRDefault="008260A4" w:rsidP="00105865">
            <w:pPr>
              <w:pStyle w:val="NoSpacing"/>
              <w:rPr>
                <w:sz w:val="22"/>
                <w:szCs w:val="22"/>
              </w:rPr>
            </w:pPr>
            <w:r w:rsidRPr="0082709E">
              <w:rPr>
                <w:sz w:val="22"/>
                <w:szCs w:val="22"/>
              </w:rPr>
              <w:t xml:space="preserve">F0 and F1 Mild HCV </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73F4A654" w14:textId="77777777" w:rsidR="008260A4" w:rsidRPr="0082709E" w:rsidRDefault="008260A4" w:rsidP="00105865">
            <w:pPr>
              <w:pStyle w:val="NoSpacing"/>
              <w:rPr>
                <w:sz w:val="22"/>
                <w:szCs w:val="22"/>
              </w:rPr>
            </w:pPr>
            <w:r w:rsidRPr="0082709E">
              <w:rPr>
                <w:sz w:val="22"/>
                <w:szCs w:val="22"/>
              </w:rPr>
              <w:t>187.59</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0B9DD716"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(0.659,289)</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41511021" w14:textId="1FABF409"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&lt;EndNote&gt;&lt;Cite&gt;&lt;Author&gt;Wright&lt;/Author&gt;&lt;Year&gt;2006&lt;/Year&gt;&lt;RecNum&gt;322&lt;/RecNum&gt;&lt;DisplayText&gt;[6]&lt;/DisplayText&gt;&lt;record&gt;&lt;rec-number&gt;322&lt;/rec-number&gt;&lt;foreign-keys&gt;&lt;key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rPr>
                <w:sz w:val="22"/>
                <w:szCs w:val="22"/>
              </w:rPr>
              <w:fldChar w:fldCharType="separate"/>
            </w:r>
            <w:r>
              <w:rPr>
                <w:noProof/>
                <w:sz w:val="22"/>
                <w:szCs w:val="22"/>
              </w:rPr>
              <w:t>[6]</w:t>
            </w:r>
            <w:r>
              <w:rPr>
                <w:sz w:val="22"/>
                <w:szCs w:val="22"/>
              </w:rPr>
              <w:fldChar w:fldCharType="end"/>
            </w:r>
          </w:p>
        </w:tc>
      </w:tr>
      <w:tr w:rsidR="008260A4" w:rsidRPr="0082709E" w14:paraId="796888A5" w14:textId="77777777" w:rsidTr="008260A4">
        <w:trPr>
          <w:trHeight w:val="315"/>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249FD82F" w14:textId="77777777" w:rsidR="008260A4" w:rsidRPr="0082709E" w:rsidRDefault="008260A4" w:rsidP="00105865">
            <w:pPr>
              <w:pStyle w:val="NoSpacing"/>
              <w:rPr>
                <w:sz w:val="22"/>
                <w:szCs w:val="22"/>
              </w:rPr>
            </w:pPr>
            <w:r w:rsidRPr="0082709E">
              <w:rPr>
                <w:sz w:val="22"/>
                <w:szCs w:val="22"/>
              </w:rPr>
              <w:t xml:space="preserve">F2 and F3 Moderate HCV </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233543F7" w14:textId="77777777" w:rsidR="008260A4" w:rsidRPr="0082709E" w:rsidRDefault="008260A4" w:rsidP="00105865">
            <w:pPr>
              <w:pStyle w:val="NoSpacing"/>
              <w:rPr>
                <w:sz w:val="22"/>
                <w:szCs w:val="22"/>
              </w:rPr>
            </w:pPr>
            <w:r w:rsidRPr="0082709E">
              <w:rPr>
                <w:sz w:val="22"/>
                <w:szCs w:val="22"/>
              </w:rPr>
              <w:t>974.68</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4D7D19BF"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(0.485,2038)</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53518502" w14:textId="6CC8C60B"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&lt;EndNote&gt;&lt;Cite&gt;&lt;Author&gt;Wright&lt;/Author&gt;&lt;Year&gt;2006&lt;/Year&gt;&lt;RecNum&gt;322&lt;/RecNum&gt;&lt;DisplayText&gt;[6]&lt;/DisplayText&gt;&lt;record&gt;&lt;rec-number&gt;322&lt;/rec-number&gt;&lt;foreign-keys&gt;&lt;key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rPr>
                <w:sz w:val="22"/>
                <w:szCs w:val="22"/>
              </w:rPr>
              <w:fldChar w:fldCharType="separate"/>
            </w:r>
            <w:r>
              <w:rPr>
                <w:noProof/>
                <w:sz w:val="22"/>
                <w:szCs w:val="22"/>
              </w:rPr>
              <w:t>[6]</w:t>
            </w:r>
            <w:r>
              <w:rPr>
                <w:sz w:val="22"/>
                <w:szCs w:val="22"/>
              </w:rPr>
              <w:fldChar w:fldCharType="end"/>
            </w:r>
          </w:p>
        </w:tc>
      </w:tr>
      <w:tr w:rsidR="008260A4" w:rsidRPr="0082709E" w14:paraId="121B5952"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3A4F29DD" w14:textId="77777777" w:rsidR="008260A4" w:rsidRPr="0082709E" w:rsidRDefault="008260A4" w:rsidP="00105865">
            <w:pPr>
              <w:pStyle w:val="NoSpacing"/>
              <w:rPr>
                <w:sz w:val="22"/>
                <w:szCs w:val="22"/>
              </w:rPr>
            </w:pPr>
            <w:r w:rsidRPr="0082709E">
              <w:rPr>
                <w:sz w:val="22"/>
                <w:szCs w:val="22"/>
              </w:rPr>
              <w:t xml:space="preserve">Compensated Cirrhosis </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0A05C9F2" w14:textId="77777777" w:rsidR="008260A4" w:rsidRPr="0082709E" w:rsidRDefault="008260A4" w:rsidP="00105865">
            <w:pPr>
              <w:pStyle w:val="NoSpacing"/>
              <w:rPr>
                <w:sz w:val="22"/>
                <w:szCs w:val="22"/>
              </w:rPr>
            </w:pPr>
            <w:r w:rsidRPr="0082709E">
              <w:rPr>
                <w:sz w:val="22"/>
                <w:szCs w:val="22"/>
              </w:rPr>
              <w:t>1,546.98</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1B210768"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(0.211,7452)</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5D25E6FD" w14:textId="1F09B9A8"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&lt;EndNote&gt;&lt;Cite&gt;&lt;Author&gt;Wright&lt;/Author&gt;&lt;Year&gt;2006&lt;/Year&gt;&lt;RecNum&gt;322&lt;/RecNum&gt;&lt;DisplayText&gt;[6]&lt;/DisplayText&gt;&lt;record&gt;&lt;rec-number&gt;322&lt;/rec-number&gt;&lt;foreign-keys&gt;&lt;key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rPr>
                <w:sz w:val="22"/>
                <w:szCs w:val="22"/>
              </w:rPr>
              <w:fldChar w:fldCharType="separate"/>
            </w:r>
            <w:r>
              <w:rPr>
                <w:noProof/>
                <w:sz w:val="22"/>
                <w:szCs w:val="22"/>
              </w:rPr>
              <w:t>[6]</w:t>
            </w:r>
            <w:r>
              <w:rPr>
                <w:sz w:val="22"/>
                <w:szCs w:val="22"/>
              </w:rPr>
              <w:fldChar w:fldCharType="end"/>
            </w:r>
          </w:p>
        </w:tc>
      </w:tr>
      <w:tr w:rsidR="008260A4" w:rsidRPr="0082709E" w14:paraId="118AE92E"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3E3E575C" w14:textId="77777777" w:rsidR="008260A4" w:rsidRPr="0082709E" w:rsidRDefault="008260A4" w:rsidP="00105865">
            <w:pPr>
              <w:pStyle w:val="NoSpacing"/>
              <w:rPr>
                <w:sz w:val="22"/>
                <w:szCs w:val="22"/>
              </w:rPr>
            </w:pPr>
            <w:r w:rsidRPr="0082709E">
              <w:rPr>
                <w:sz w:val="22"/>
                <w:szCs w:val="22"/>
              </w:rPr>
              <w:t>Decompensated cirrhosis</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78AA4394" w14:textId="77777777" w:rsidR="008260A4" w:rsidRPr="0082709E" w:rsidRDefault="008260A4" w:rsidP="00105865">
            <w:pPr>
              <w:pStyle w:val="NoSpacing"/>
              <w:rPr>
                <w:sz w:val="22"/>
                <w:szCs w:val="22"/>
              </w:rPr>
            </w:pPr>
            <w:r w:rsidRPr="0082709E">
              <w:rPr>
                <w:sz w:val="22"/>
                <w:szCs w:val="22"/>
              </w:rPr>
              <w:t>12,397.57</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36EF78D5"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(0.901,13974)</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1BFB44CB" w14:textId="6864BF7E"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&lt;EndNote&gt;&lt;Cite&gt;&lt;Author&gt;Wright&lt;/Author&gt;&lt;Year&gt;2006&lt;/Year&gt;&lt;RecNum&gt;322&lt;/RecNum&gt;&lt;DisplayText&gt;[6]&lt;/DisplayText&gt;&lt;record&gt;&lt;rec-number&gt;322&lt;/rec-number&gt;&lt;foreign-keys&gt;&lt;key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rPr>
                <w:sz w:val="22"/>
                <w:szCs w:val="22"/>
              </w:rPr>
              <w:fldChar w:fldCharType="separate"/>
            </w:r>
            <w:r>
              <w:rPr>
                <w:noProof/>
                <w:sz w:val="22"/>
                <w:szCs w:val="22"/>
              </w:rPr>
              <w:t>[6]</w:t>
            </w:r>
            <w:r>
              <w:rPr>
                <w:sz w:val="22"/>
                <w:szCs w:val="22"/>
              </w:rPr>
              <w:fldChar w:fldCharType="end"/>
            </w:r>
          </w:p>
        </w:tc>
      </w:tr>
      <w:tr w:rsidR="008260A4" w:rsidRPr="0082709E" w14:paraId="74C7F05C"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19203D7D" w14:textId="77777777" w:rsidR="008260A4" w:rsidRPr="0082709E" w:rsidRDefault="008260A4" w:rsidP="00105865">
            <w:pPr>
              <w:pStyle w:val="NoSpacing"/>
              <w:rPr>
                <w:sz w:val="22"/>
                <w:szCs w:val="22"/>
              </w:rPr>
            </w:pPr>
            <w:r w:rsidRPr="0082709E">
              <w:rPr>
                <w:sz w:val="22"/>
                <w:szCs w:val="22"/>
              </w:rPr>
              <w:t>Hepatocellular Carcinoma</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04E3AB99" w14:textId="77777777" w:rsidR="008260A4" w:rsidRPr="0082709E" w:rsidRDefault="008260A4" w:rsidP="00105865">
            <w:pPr>
              <w:pStyle w:val="NoSpacing"/>
              <w:rPr>
                <w:sz w:val="22"/>
                <w:szCs w:val="22"/>
              </w:rPr>
            </w:pPr>
            <w:r w:rsidRPr="0082709E">
              <w:rPr>
                <w:sz w:val="22"/>
                <w:szCs w:val="22"/>
              </w:rPr>
              <w:t>11,170.04</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2D3AAF20"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(0.926,12251)</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3F5D2E59" w14:textId="3D2E7A7D"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&lt;EndNote&gt;&lt;Cite&gt;&lt;Author&gt;Wright&lt;/Author&gt;&lt;Year&gt;2006&lt;/Year&gt;&lt;RecNum&gt;322&lt;/RecNum&gt;&lt;DisplayText&gt;[6]&lt;/DisplayText&gt;&lt;record&gt;&lt;rec-number&gt;322&lt;/rec-number&gt;&lt;foreign-keys&gt;&lt;key app="EN" db-id="dv90zpt5cw99wwe2zwp5tvd5ze0rd5tzaed0" timestamp="1489485019"&gt;322&lt;/key&gt;&lt;/foreign-keys&gt;&lt;ref-type name="Journal Article"&gt;17&lt;/ref-type&gt;&lt;contributors&gt;&lt;authors&gt;&lt;author&gt;Wright, M&lt;/author&gt;&lt;author&gt;Grieve, R&lt;/author&gt;&lt;author&gt;Roberts, J&lt;/author&gt;&lt;author&gt;Main, J&lt;/author&gt;&lt;author&gt;Thomas, H C&lt;/author&gt;&lt;author&gt;Investigators, U K Mild Hepatitis C Trial&lt;/author&gt;&lt;/authors&gt;&lt;/contributors&gt;&lt;titles&gt;&lt;title&gt;Health benefits of antiviral therapy for mild chronic hepatitis C: randomised controlled trial and economic evaluation&lt;/title&gt;&lt;secondary-title&gt;Health technology assessment (Winchester, England)&lt;/secondary-title&gt;&lt;/titles&gt;&lt;periodical&gt;&lt;full-title&gt;Health technology assessment (Winchester, England)&lt;/full-title&gt;&lt;/periodical&gt;&lt;pages&gt;1-113, iii&lt;/pages&gt;&lt;volume&gt;10&lt;/volume&gt;&lt;keywords&gt;&lt;keyword&gt;Adult&lt;/keyword&gt;&lt;keyword&gt;Analysis of Variance&lt;/keyword&gt;&lt;keyword&gt;Antiviral Agents&lt;/keyword&gt;&lt;keyword&gt;Chronic&lt;/keyword&gt;&lt;keyword&gt;Combination&lt;/keyword&gt;&lt;keyword&gt;Cost of Illness&lt;/keyword&gt;&lt;keyword&gt;Cost-Benefit Analysis&lt;/keyword&gt;&lt;keyword&gt;Drug Therapy&lt;/keyword&gt;&lt;keyword&gt;Female&lt;/keyword&gt;&lt;keyword&gt;Genotype&lt;/keyword&gt;&lt;keyword&gt;Great Britain&lt;/keyword&gt;&lt;keyword&gt;Hepacivirus&lt;/keyword&gt;&lt;keyword&gt;Hepatitis C&lt;/keyword&gt;&lt;keyword&gt;Humans&lt;/keyword&gt;&lt;keyword&gt;Interferon-alpha&lt;/keyword&gt;&lt;keyword&gt;Male&lt;/keyword&gt;&lt;keyword&gt;Polyethylene Glycols&lt;/keyword&gt;&lt;keyword&gt;Quality of Life&lt;/keyword&gt;&lt;keyword&gt;Quality-Adjusted Life Years&lt;/keyword&gt;&lt;keyword&gt;Questionnaires&lt;/keyword&gt;&lt;keyword&gt;Recombinant Proteins&lt;/keyword&gt;&lt;keyword&gt;Ribavirin&lt;/keyword&gt;&lt;keyword&gt;Treatment Outcome&lt;/keyword&gt;&lt;keyword&gt;Viral Load&lt;/keyword&gt;&lt;/keywords&gt;&lt;dates&gt;&lt;year&gt;2006&lt;/year&gt;&lt;/dates&gt;&lt;isbn&gt;1366-5278&lt;/isbn&gt;&lt;accession-num&gt;16750059&lt;/accession-num&gt;&lt;urls&gt;&lt;/urls&gt;&lt;/record&gt;&lt;/Cite&gt;&lt;/EndNote&gt;</w:instrText>
            </w:r>
            <w:r>
              <w:rPr>
                <w:sz w:val="22"/>
                <w:szCs w:val="22"/>
              </w:rPr>
              <w:fldChar w:fldCharType="separate"/>
            </w:r>
            <w:r>
              <w:rPr>
                <w:noProof/>
                <w:sz w:val="22"/>
                <w:szCs w:val="22"/>
              </w:rPr>
              <w:t>[6]</w:t>
            </w:r>
            <w:r>
              <w:rPr>
                <w:sz w:val="22"/>
                <w:szCs w:val="22"/>
              </w:rPr>
              <w:fldChar w:fldCharType="end"/>
            </w:r>
          </w:p>
        </w:tc>
      </w:tr>
      <w:tr w:rsidR="008260A4" w:rsidRPr="0082709E" w14:paraId="6248876B"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355CE612" w14:textId="77777777" w:rsidR="008260A4" w:rsidRPr="0082709E" w:rsidRDefault="008260A4" w:rsidP="00105865">
            <w:pPr>
              <w:pStyle w:val="NoSpacing"/>
              <w:rPr>
                <w:sz w:val="22"/>
                <w:szCs w:val="22"/>
              </w:rPr>
            </w:pPr>
            <w:r w:rsidRPr="0082709E">
              <w:rPr>
                <w:sz w:val="22"/>
                <w:szCs w:val="22"/>
              </w:rPr>
              <w:t>Liver transplant</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47F302B3" w14:textId="77777777" w:rsidR="008260A4" w:rsidRPr="0082709E" w:rsidRDefault="008260A4" w:rsidP="00105865">
            <w:pPr>
              <w:pStyle w:val="NoSpacing"/>
              <w:rPr>
                <w:sz w:val="22"/>
                <w:szCs w:val="22"/>
              </w:rPr>
            </w:pPr>
            <w:r w:rsidRPr="0082709E">
              <w:rPr>
                <w:sz w:val="22"/>
                <w:szCs w:val="22"/>
              </w:rPr>
              <w:t>40,273.00</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50BB75C7"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(89.75,304.5)</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42A22A96" w14:textId="3B572017"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243D8B51"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1380064A" w14:textId="77777777" w:rsidR="008260A4" w:rsidRPr="0082709E" w:rsidRDefault="008260A4" w:rsidP="00105865">
            <w:pPr>
              <w:pStyle w:val="NoSpacing"/>
              <w:rPr>
                <w:sz w:val="22"/>
                <w:szCs w:val="22"/>
              </w:rPr>
            </w:pPr>
            <w:r w:rsidRPr="0082709E">
              <w:rPr>
                <w:sz w:val="22"/>
                <w:szCs w:val="22"/>
              </w:rPr>
              <w:t>Post-transplant</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317E065F" w14:textId="77777777" w:rsidR="008260A4" w:rsidRPr="0082709E" w:rsidRDefault="008260A4" w:rsidP="00105865">
            <w:pPr>
              <w:pStyle w:val="NoSpacing"/>
              <w:rPr>
                <w:sz w:val="22"/>
                <w:szCs w:val="22"/>
              </w:rPr>
            </w:pPr>
            <w:r w:rsidRPr="0082709E">
              <w:rPr>
                <w:sz w:val="22"/>
                <w:szCs w:val="22"/>
              </w:rPr>
              <w:t>2,041.00</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4AC73AE9"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(15.22,91.1)</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582BD2A9" w14:textId="2F10C1C3"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1FA9727B"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bottom"/>
            <w:hideMark/>
          </w:tcPr>
          <w:p w14:paraId="681667CF" w14:textId="77777777" w:rsidR="008260A4" w:rsidRPr="0082709E" w:rsidRDefault="008260A4" w:rsidP="00105865">
            <w:pPr>
              <w:pStyle w:val="NoSpacing"/>
              <w:rPr>
                <w:sz w:val="22"/>
                <w:szCs w:val="22"/>
              </w:rPr>
            </w:pPr>
            <w:r w:rsidRPr="0082709E">
              <w:rPr>
                <w:sz w:val="22"/>
                <w:szCs w:val="22"/>
              </w:rPr>
              <w:t>Hospital costs year of transplant</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3E9951AE" w14:textId="77777777" w:rsidR="008260A4" w:rsidRPr="0082709E" w:rsidRDefault="008260A4" w:rsidP="00105865">
            <w:pPr>
              <w:pStyle w:val="NoSpacing"/>
              <w:rPr>
                <w:sz w:val="22"/>
                <w:szCs w:val="22"/>
              </w:rPr>
            </w:pPr>
            <w:r w:rsidRPr="0082709E">
              <w:rPr>
                <w:sz w:val="22"/>
                <w:szCs w:val="22"/>
              </w:rPr>
              <w:t>13,937.00</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1ADF661E" w14:textId="77777777" w:rsidR="008260A4" w:rsidRPr="0082709E" w:rsidRDefault="008260A4" w:rsidP="00105865">
            <w:pPr>
              <w:pStyle w:val="NoSpacing"/>
              <w:rPr>
                <w:sz w:val="22"/>
                <w:szCs w:val="22"/>
              </w:rPr>
            </w:pPr>
            <w:r w:rsidRPr="0082709E">
              <w:rPr>
                <w:sz w:val="22"/>
                <w:szCs w:val="22"/>
              </w:rPr>
              <w:t>Gamma</w:t>
            </w:r>
            <w:r>
              <w:rPr>
                <w:sz w:val="22"/>
                <w:szCs w:val="22"/>
              </w:rPr>
              <w:t xml:space="preserve"> </w:t>
            </w:r>
            <w:r w:rsidRPr="0082709E">
              <w:rPr>
                <w:sz w:val="22"/>
                <w:szCs w:val="22"/>
              </w:rPr>
              <w:t>(13.78,686.4)</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075D4194" w14:textId="2ED9E147"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4B685417"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2999680" w14:textId="77777777" w:rsidR="008260A4" w:rsidRPr="008C53F5" w:rsidRDefault="008260A4" w:rsidP="00105865">
            <w:pPr>
              <w:pStyle w:val="NoSpacing"/>
              <w:rPr>
                <w:b/>
                <w:bCs/>
                <w:sz w:val="22"/>
                <w:szCs w:val="22"/>
              </w:rPr>
            </w:pPr>
            <w:r w:rsidRPr="00B26F01">
              <w:rPr>
                <w:b/>
                <w:bCs/>
                <w:sz w:val="22"/>
                <w:szCs w:val="22"/>
              </w:rPr>
              <w:t>QALY Weights</w:t>
            </w:r>
          </w:p>
        </w:tc>
        <w:tc>
          <w:tcPr>
            <w:tcW w:w="82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92F80B9" w14:textId="77777777" w:rsidR="008260A4" w:rsidRPr="0082709E" w:rsidRDefault="008260A4" w:rsidP="00105865">
            <w:pPr>
              <w:pStyle w:val="NoSpacing"/>
              <w:rPr>
                <w:sz w:val="22"/>
                <w:szCs w:val="22"/>
              </w:rPr>
            </w:pPr>
          </w:p>
        </w:tc>
        <w:tc>
          <w:tcPr>
            <w:tcW w:w="1221"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E69F2FA" w14:textId="77777777" w:rsidR="008260A4" w:rsidRPr="0082709E" w:rsidRDefault="008260A4" w:rsidP="00105865">
            <w:pPr>
              <w:pStyle w:val="NoSpacing"/>
              <w:rPr>
                <w:sz w:val="22"/>
                <w:szCs w:val="22"/>
              </w:rPr>
            </w:pPr>
          </w:p>
        </w:tc>
        <w:tc>
          <w:tcPr>
            <w:tcW w:w="1102"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19B3C62" w14:textId="77777777" w:rsidR="008260A4" w:rsidRPr="0082709E" w:rsidRDefault="008260A4" w:rsidP="00105865">
            <w:pPr>
              <w:pStyle w:val="NoSpacing"/>
              <w:rPr>
                <w:sz w:val="22"/>
                <w:szCs w:val="22"/>
              </w:rPr>
            </w:pPr>
          </w:p>
        </w:tc>
      </w:tr>
      <w:tr w:rsidR="008260A4" w:rsidRPr="0082709E" w14:paraId="6695C031"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7C6EE40C" w14:textId="77777777" w:rsidR="008260A4" w:rsidRPr="008C53F5" w:rsidRDefault="008260A4" w:rsidP="00105865">
            <w:pPr>
              <w:pStyle w:val="NoSpacing"/>
              <w:rPr>
                <w:i/>
                <w:iCs/>
                <w:sz w:val="22"/>
                <w:szCs w:val="22"/>
              </w:rPr>
            </w:pPr>
            <w:r w:rsidRPr="00B26F01">
              <w:rPr>
                <w:i/>
                <w:iCs/>
                <w:sz w:val="22"/>
                <w:szCs w:val="22"/>
              </w:rPr>
              <w:t>Uninfected</w:t>
            </w:r>
          </w:p>
        </w:tc>
        <w:tc>
          <w:tcPr>
            <w:tcW w:w="827" w:type="pct"/>
            <w:tcBorders>
              <w:top w:val="single" w:sz="4" w:space="0" w:color="auto"/>
              <w:left w:val="single" w:sz="4" w:space="0" w:color="auto"/>
              <w:bottom w:val="single" w:sz="4" w:space="0" w:color="auto"/>
              <w:right w:val="single" w:sz="4" w:space="0" w:color="auto"/>
            </w:tcBorders>
            <w:noWrap/>
            <w:vAlign w:val="center"/>
          </w:tcPr>
          <w:p w14:paraId="452F9D91" w14:textId="77777777" w:rsidR="008260A4" w:rsidRPr="0082709E" w:rsidRDefault="008260A4" w:rsidP="00105865">
            <w:pPr>
              <w:pStyle w:val="NoSpacing"/>
              <w:rPr>
                <w:sz w:val="22"/>
                <w:szCs w:val="22"/>
              </w:rPr>
            </w:pPr>
          </w:p>
        </w:tc>
        <w:tc>
          <w:tcPr>
            <w:tcW w:w="1221" w:type="pct"/>
            <w:tcBorders>
              <w:top w:val="single" w:sz="4" w:space="0" w:color="auto"/>
              <w:left w:val="single" w:sz="4" w:space="0" w:color="auto"/>
              <w:bottom w:val="single" w:sz="4" w:space="0" w:color="auto"/>
              <w:right w:val="single" w:sz="4" w:space="0" w:color="auto"/>
            </w:tcBorders>
            <w:noWrap/>
            <w:vAlign w:val="center"/>
          </w:tcPr>
          <w:p w14:paraId="4EBC8B3B" w14:textId="77777777" w:rsidR="008260A4" w:rsidRPr="0082709E" w:rsidRDefault="008260A4" w:rsidP="00105865">
            <w:pPr>
              <w:pStyle w:val="NoSpacing"/>
              <w:rPr>
                <w:sz w:val="22"/>
                <w:szCs w:val="22"/>
              </w:rPr>
            </w:pPr>
          </w:p>
        </w:tc>
        <w:tc>
          <w:tcPr>
            <w:tcW w:w="1102" w:type="pct"/>
            <w:tcBorders>
              <w:top w:val="single" w:sz="4" w:space="0" w:color="auto"/>
              <w:left w:val="single" w:sz="4" w:space="0" w:color="auto"/>
              <w:bottom w:val="single" w:sz="4" w:space="0" w:color="auto"/>
              <w:right w:val="single" w:sz="4" w:space="0" w:color="auto"/>
            </w:tcBorders>
            <w:noWrap/>
            <w:vAlign w:val="center"/>
          </w:tcPr>
          <w:p w14:paraId="3236422F" w14:textId="77777777" w:rsidR="008260A4" w:rsidRPr="0082709E" w:rsidRDefault="008260A4" w:rsidP="00105865">
            <w:pPr>
              <w:pStyle w:val="NoSpacing"/>
              <w:rPr>
                <w:sz w:val="22"/>
                <w:szCs w:val="22"/>
              </w:rPr>
            </w:pPr>
          </w:p>
        </w:tc>
      </w:tr>
      <w:tr w:rsidR="008260A4" w:rsidRPr="0082709E" w14:paraId="5F1403FF"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19FAFDB5" w14:textId="77777777" w:rsidR="008260A4" w:rsidRPr="0082709E" w:rsidRDefault="008260A4" w:rsidP="00105865">
            <w:pPr>
              <w:pStyle w:val="NoSpacing"/>
              <w:rPr>
                <w:sz w:val="22"/>
                <w:szCs w:val="22"/>
              </w:rPr>
            </w:pPr>
            <w:r w:rsidRPr="0082709E">
              <w:rPr>
                <w:sz w:val="22"/>
                <w:szCs w:val="22"/>
              </w:rPr>
              <w:t>Ex</w:t>
            </w:r>
            <w:r>
              <w:rPr>
                <w:sz w:val="22"/>
                <w:szCs w:val="22"/>
              </w:rPr>
              <w:t>-injector</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4CE3BD6E" w14:textId="77777777" w:rsidR="008260A4" w:rsidRPr="0082709E" w:rsidRDefault="008260A4" w:rsidP="00105865">
            <w:pPr>
              <w:pStyle w:val="NoSpacing"/>
              <w:rPr>
                <w:sz w:val="22"/>
                <w:szCs w:val="22"/>
              </w:rPr>
            </w:pPr>
            <w:r w:rsidRPr="0082709E">
              <w:rPr>
                <w:sz w:val="22"/>
                <w:szCs w:val="22"/>
              </w:rPr>
              <w:t>0.</w:t>
            </w:r>
            <w:r>
              <w:rPr>
                <w:sz w:val="22"/>
                <w:szCs w:val="22"/>
              </w:rPr>
              <w:t>85</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57E6F309" w14:textId="77777777" w:rsidR="008260A4" w:rsidRPr="0082709E" w:rsidRDefault="008260A4" w:rsidP="00105865">
            <w:pPr>
              <w:pStyle w:val="NoSpacing"/>
              <w:rPr>
                <w:sz w:val="22"/>
                <w:szCs w:val="22"/>
              </w:rPr>
            </w:pPr>
            <w:r>
              <w:rPr>
                <w:sz w:val="22"/>
                <w:szCs w:val="22"/>
              </w:rPr>
              <w:t>U</w:t>
            </w:r>
            <w:r>
              <w:t>niform (0.8,0.9)</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52068473" w14:textId="77777777" w:rsidR="008260A4" w:rsidRPr="0082709E" w:rsidRDefault="008260A4" w:rsidP="00105865">
            <w:pPr>
              <w:pStyle w:val="NoSpacing"/>
              <w:rPr>
                <w:sz w:val="22"/>
                <w:szCs w:val="22"/>
              </w:rPr>
            </w:pPr>
            <w:r>
              <w:rPr>
                <w:sz w:val="22"/>
                <w:szCs w:val="22"/>
              </w:rPr>
              <w:t>Assumption</w:t>
            </w:r>
          </w:p>
        </w:tc>
      </w:tr>
      <w:tr w:rsidR="008260A4" w:rsidRPr="0082709E" w14:paraId="0B674A4C"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1DEA2DC6" w14:textId="77777777" w:rsidR="008260A4" w:rsidRPr="0082709E" w:rsidRDefault="008260A4" w:rsidP="00105865">
            <w:pPr>
              <w:pStyle w:val="NoSpacing"/>
              <w:rPr>
                <w:sz w:val="22"/>
                <w:szCs w:val="22"/>
              </w:rPr>
            </w:pPr>
            <w:r w:rsidRPr="0082709E">
              <w:rPr>
                <w:sz w:val="22"/>
                <w:szCs w:val="22"/>
              </w:rPr>
              <w:t>PWID</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3BEABA21" w14:textId="77777777" w:rsidR="008260A4" w:rsidRPr="0082709E" w:rsidRDefault="008260A4" w:rsidP="00105865">
            <w:pPr>
              <w:pStyle w:val="NoSpacing"/>
              <w:rPr>
                <w:sz w:val="22"/>
                <w:szCs w:val="22"/>
              </w:rPr>
            </w:pPr>
            <w:r w:rsidRPr="0082709E">
              <w:rPr>
                <w:sz w:val="22"/>
                <w:szCs w:val="22"/>
              </w:rPr>
              <w:t>0.</w:t>
            </w:r>
            <w:r>
              <w:rPr>
                <w:sz w:val="22"/>
                <w:szCs w:val="22"/>
              </w:rPr>
              <w:t>73</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36F35C7B" w14:textId="77777777" w:rsidR="008260A4" w:rsidRPr="0082709E" w:rsidRDefault="008260A4" w:rsidP="00105865">
            <w:pPr>
              <w:pStyle w:val="NoSpacing"/>
              <w:rPr>
                <w:sz w:val="22"/>
                <w:szCs w:val="22"/>
              </w:rPr>
            </w:pPr>
            <w:r w:rsidRPr="0082709E">
              <w:rPr>
                <w:sz w:val="22"/>
                <w:szCs w:val="22"/>
              </w:rPr>
              <w:t>Uniform (0.</w:t>
            </w:r>
            <w:r>
              <w:rPr>
                <w:sz w:val="22"/>
                <w:szCs w:val="22"/>
              </w:rPr>
              <w:t>6</w:t>
            </w:r>
            <w:r w:rsidRPr="0082709E">
              <w:rPr>
                <w:sz w:val="22"/>
                <w:szCs w:val="22"/>
              </w:rPr>
              <w:t>8, 0.</w:t>
            </w:r>
            <w:r>
              <w:rPr>
                <w:sz w:val="22"/>
                <w:szCs w:val="22"/>
              </w:rPr>
              <w:t>78</w:t>
            </w:r>
            <w:r w:rsidRPr="0082709E">
              <w:rPr>
                <w:sz w:val="22"/>
                <w:szCs w:val="22"/>
              </w:rPr>
              <w:t>)</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312FA204" w14:textId="6532DB85"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&lt;EndNote&gt;&lt;Cite&gt;&lt;Author&gt;McDonald&lt;/Author&gt;&lt;Year&gt;2013&lt;/Year&gt;&lt;RecNum&gt;599&lt;/RecNum&gt;&lt;DisplayText&gt;[8]&lt;/DisplayText&gt;&lt;record&gt;&lt;rec-number&gt;599&lt;/rec-number&gt;&lt;foreign-keys&gt;&lt;key app="EN" db-id="dv90zpt5cw99wwe2zwp5tvd5ze0rd5tzaed0" timestamp="1551193383"&gt;599&lt;/key&gt;&lt;/foreign-keys&gt;&lt;ref-type name="Journal Article"&gt;17&lt;/ref-type&gt;&lt;contributors&gt;&lt;authors&gt;&lt;author&gt;McDonald, S. A.&lt;/author&gt;&lt;author&gt;Hutchinson, S. J.&lt;/author&gt;&lt;author&gt;Palmateer, N. E.&lt;/author&gt;&lt;author&gt;Allen, E.&lt;/author&gt;&lt;author&gt;Cameron, S. O.&lt;/author&gt;&lt;author&gt;Goldberg, D. J.&lt;/author&gt;&lt;author&gt;Taylor, A.&lt;/author&gt;&lt;/authors&gt;&lt;/contributors&gt;&lt;auth-address&gt;Health Protection Scotland, Meridian Court, 5 Cadogan Street, Glasgow G2 6QE, Scotland, UK. smcdonald4@nhs.net&lt;/auth-address&gt;&lt;titles&gt;&lt;title&gt;Decrease in health-related quality of life associated with awareness of hepatitis C virus infection among people who inject drugs in Scotland&lt;/title&gt;&lt;secondary-title&gt;J Hepatol&lt;/secondary-title&gt;&lt;alt-title&gt;Journal of hepatology&lt;/alt-title&gt;&lt;/titles&gt;&lt;periodical&gt;&lt;full-title&gt;J Hepatol&lt;/full-title&gt;&lt;/periodical&gt;&lt;alt-periodical&gt;&lt;full-title&gt;Journal of Hepatology&lt;/full-title&gt;&lt;/alt-periodical&gt;&lt;pages&gt;460-6&lt;/pages&gt;&lt;volume&gt;58&lt;/volume&gt;&lt;number&gt;3&lt;/number&gt;&lt;edition&gt;2012/11/15&lt;/edition&gt;&lt;keywords&gt;&lt;keyword&gt;Adult&lt;/keyword&gt;&lt;keyword&gt;*Awareness&lt;/keyword&gt;&lt;keyword&gt;Cross-Sectional Studies&lt;/keyword&gt;&lt;keyword&gt;Female&lt;/keyword&gt;&lt;keyword&gt;Hepatitis C, Chronic/*psychology&lt;/keyword&gt;&lt;keyword&gt;Humans&lt;/keyword&gt;&lt;keyword&gt;Male&lt;/keyword&gt;&lt;keyword&gt;*Quality of Life&lt;/keyword&gt;&lt;keyword&gt;Substance Abuse, Intravenous/*complications&lt;/keyword&gt;&lt;/keywords&gt;&lt;dates&gt;&lt;year&gt;2013&lt;/year&gt;&lt;pub-dates&gt;&lt;date&gt;Mar&lt;/date&gt;&lt;/pub-dates&gt;&lt;/dates&gt;&lt;isbn&gt;0168-8278&lt;/isbn&gt;&lt;accession-num&gt;23149064&lt;/accession-num&gt;&lt;urls&gt;&lt;/urls&gt;&lt;electronic-resource-num&gt;10.1016/j.jhep.2012.11.004&lt;/electronic-resource-num&gt;&lt;remote-database-provider&gt;NLM&lt;/remote-database-provider&gt;&lt;language&gt;eng&lt;/language&gt;&lt;/record&gt;&lt;/Cite&gt;&lt;/EndNote&gt;</w:instrText>
            </w:r>
            <w:r>
              <w:rPr>
                <w:sz w:val="22"/>
                <w:szCs w:val="22"/>
              </w:rPr>
              <w:fldChar w:fldCharType="separate"/>
            </w:r>
            <w:r>
              <w:rPr>
                <w:noProof/>
                <w:sz w:val="22"/>
                <w:szCs w:val="22"/>
              </w:rPr>
              <w:t>[8]</w:t>
            </w:r>
            <w:r>
              <w:rPr>
                <w:sz w:val="22"/>
                <w:szCs w:val="22"/>
              </w:rPr>
              <w:fldChar w:fldCharType="end"/>
            </w:r>
          </w:p>
        </w:tc>
      </w:tr>
      <w:tr w:rsidR="008260A4" w:rsidRPr="0082709E" w14:paraId="0CC12342"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tcPr>
          <w:p w14:paraId="149A0D18" w14:textId="77777777" w:rsidR="008260A4" w:rsidRPr="0082709E" w:rsidRDefault="008260A4" w:rsidP="00105865">
            <w:pPr>
              <w:pStyle w:val="NoSpacing"/>
              <w:rPr>
                <w:sz w:val="22"/>
                <w:szCs w:val="22"/>
              </w:rPr>
            </w:pPr>
            <w:r>
              <w:rPr>
                <w:sz w:val="22"/>
                <w:szCs w:val="22"/>
              </w:rPr>
              <w:t>Homeless Ex-injector</w:t>
            </w:r>
          </w:p>
        </w:tc>
        <w:tc>
          <w:tcPr>
            <w:tcW w:w="827" w:type="pct"/>
            <w:tcBorders>
              <w:top w:val="single" w:sz="4" w:space="0" w:color="auto"/>
              <w:left w:val="single" w:sz="4" w:space="0" w:color="auto"/>
              <w:bottom w:val="single" w:sz="4" w:space="0" w:color="auto"/>
              <w:right w:val="single" w:sz="4" w:space="0" w:color="auto"/>
            </w:tcBorders>
            <w:noWrap/>
            <w:vAlign w:val="center"/>
          </w:tcPr>
          <w:p w14:paraId="74F51022" w14:textId="77777777" w:rsidR="008260A4" w:rsidRPr="0082709E" w:rsidRDefault="008260A4" w:rsidP="00105865">
            <w:pPr>
              <w:pStyle w:val="NoSpacing"/>
              <w:rPr>
                <w:sz w:val="22"/>
                <w:szCs w:val="22"/>
              </w:rPr>
            </w:pPr>
            <w:r>
              <w:rPr>
                <w:sz w:val="22"/>
                <w:szCs w:val="22"/>
              </w:rPr>
              <w:t>0.76</w:t>
            </w:r>
          </w:p>
        </w:tc>
        <w:tc>
          <w:tcPr>
            <w:tcW w:w="1221" w:type="pct"/>
            <w:tcBorders>
              <w:top w:val="single" w:sz="4" w:space="0" w:color="auto"/>
              <w:left w:val="single" w:sz="4" w:space="0" w:color="auto"/>
              <w:bottom w:val="single" w:sz="4" w:space="0" w:color="auto"/>
              <w:right w:val="single" w:sz="4" w:space="0" w:color="auto"/>
            </w:tcBorders>
            <w:noWrap/>
            <w:vAlign w:val="center"/>
          </w:tcPr>
          <w:p w14:paraId="7878CDF4" w14:textId="77777777" w:rsidR="008260A4" w:rsidRPr="0082709E" w:rsidRDefault="008260A4" w:rsidP="00105865">
            <w:pPr>
              <w:pStyle w:val="NoSpacing"/>
              <w:rPr>
                <w:sz w:val="22"/>
                <w:szCs w:val="22"/>
              </w:rPr>
            </w:pPr>
            <w:r>
              <w:rPr>
                <w:sz w:val="22"/>
                <w:szCs w:val="22"/>
              </w:rPr>
              <w:t>Uniform (0.7,0.81)</w:t>
            </w:r>
          </w:p>
        </w:tc>
        <w:tc>
          <w:tcPr>
            <w:tcW w:w="1102" w:type="pct"/>
            <w:tcBorders>
              <w:top w:val="single" w:sz="4" w:space="0" w:color="auto"/>
              <w:left w:val="single" w:sz="4" w:space="0" w:color="auto"/>
              <w:bottom w:val="single" w:sz="4" w:space="0" w:color="auto"/>
              <w:right w:val="single" w:sz="4" w:space="0" w:color="auto"/>
            </w:tcBorders>
            <w:noWrap/>
            <w:vAlign w:val="center"/>
          </w:tcPr>
          <w:p w14:paraId="4D81EF2B" w14:textId="77777777" w:rsidR="008260A4" w:rsidRDefault="008260A4" w:rsidP="00105865">
            <w:pPr>
              <w:pStyle w:val="NoSpacing"/>
              <w:rPr>
                <w:sz w:val="22"/>
                <w:szCs w:val="22"/>
              </w:rPr>
            </w:pPr>
            <w:r>
              <w:rPr>
                <w:sz w:val="22"/>
                <w:szCs w:val="22"/>
              </w:rPr>
              <w:t>Unpublished data</w:t>
            </w:r>
          </w:p>
        </w:tc>
      </w:tr>
      <w:tr w:rsidR="008260A4" w:rsidRPr="0082709E" w14:paraId="42488A56"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68725E43" w14:textId="77777777" w:rsidR="008260A4" w:rsidRPr="008C53F5" w:rsidRDefault="008260A4" w:rsidP="00105865">
            <w:pPr>
              <w:pStyle w:val="NoSpacing"/>
              <w:rPr>
                <w:i/>
                <w:iCs/>
                <w:sz w:val="22"/>
                <w:szCs w:val="22"/>
              </w:rPr>
            </w:pPr>
            <w:r w:rsidRPr="00B26F01">
              <w:rPr>
                <w:i/>
                <w:iCs/>
                <w:sz w:val="22"/>
                <w:szCs w:val="22"/>
              </w:rPr>
              <w:t xml:space="preserve">Mild HCV </w:t>
            </w:r>
            <w:r w:rsidRPr="0082709E">
              <w:rPr>
                <w:sz w:val="22"/>
                <w:szCs w:val="22"/>
              </w:rPr>
              <w:t>(F0 and F1)</w:t>
            </w:r>
          </w:p>
        </w:tc>
        <w:tc>
          <w:tcPr>
            <w:tcW w:w="827" w:type="pct"/>
            <w:tcBorders>
              <w:top w:val="single" w:sz="4" w:space="0" w:color="auto"/>
              <w:left w:val="single" w:sz="4" w:space="0" w:color="auto"/>
              <w:bottom w:val="single" w:sz="4" w:space="0" w:color="auto"/>
              <w:right w:val="single" w:sz="4" w:space="0" w:color="auto"/>
            </w:tcBorders>
            <w:noWrap/>
            <w:vAlign w:val="center"/>
          </w:tcPr>
          <w:p w14:paraId="06970E87" w14:textId="77777777" w:rsidR="008260A4" w:rsidRPr="0082709E" w:rsidRDefault="008260A4" w:rsidP="00105865">
            <w:pPr>
              <w:pStyle w:val="NoSpacing"/>
              <w:rPr>
                <w:sz w:val="22"/>
                <w:szCs w:val="22"/>
              </w:rPr>
            </w:pPr>
          </w:p>
        </w:tc>
        <w:tc>
          <w:tcPr>
            <w:tcW w:w="1221" w:type="pct"/>
            <w:tcBorders>
              <w:top w:val="single" w:sz="4" w:space="0" w:color="auto"/>
              <w:left w:val="single" w:sz="4" w:space="0" w:color="auto"/>
              <w:bottom w:val="single" w:sz="4" w:space="0" w:color="auto"/>
              <w:right w:val="single" w:sz="4" w:space="0" w:color="auto"/>
            </w:tcBorders>
            <w:noWrap/>
            <w:vAlign w:val="center"/>
          </w:tcPr>
          <w:p w14:paraId="6C1510E1" w14:textId="77777777" w:rsidR="008260A4" w:rsidRPr="0082709E" w:rsidRDefault="008260A4" w:rsidP="00105865">
            <w:pPr>
              <w:pStyle w:val="NoSpacing"/>
              <w:rPr>
                <w:sz w:val="22"/>
                <w:szCs w:val="22"/>
              </w:rPr>
            </w:pPr>
          </w:p>
        </w:tc>
        <w:tc>
          <w:tcPr>
            <w:tcW w:w="1102" w:type="pct"/>
            <w:tcBorders>
              <w:top w:val="single" w:sz="4" w:space="0" w:color="auto"/>
              <w:left w:val="single" w:sz="4" w:space="0" w:color="auto"/>
              <w:bottom w:val="single" w:sz="4" w:space="0" w:color="auto"/>
              <w:right w:val="single" w:sz="4" w:space="0" w:color="auto"/>
            </w:tcBorders>
            <w:noWrap/>
            <w:vAlign w:val="center"/>
          </w:tcPr>
          <w:p w14:paraId="7F357EA5" w14:textId="77777777" w:rsidR="008260A4" w:rsidRPr="0082709E" w:rsidRDefault="008260A4" w:rsidP="00105865">
            <w:pPr>
              <w:pStyle w:val="NoSpacing"/>
              <w:rPr>
                <w:sz w:val="22"/>
                <w:szCs w:val="22"/>
              </w:rPr>
            </w:pPr>
          </w:p>
        </w:tc>
      </w:tr>
      <w:tr w:rsidR="008260A4" w:rsidRPr="0082709E" w14:paraId="503CF9AF"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73EFCB99" w14:textId="77777777" w:rsidR="008260A4" w:rsidRPr="0082709E" w:rsidRDefault="008260A4" w:rsidP="00105865">
            <w:pPr>
              <w:pStyle w:val="NoSpacing"/>
              <w:rPr>
                <w:sz w:val="22"/>
                <w:szCs w:val="22"/>
              </w:rPr>
            </w:pPr>
            <w:r w:rsidRPr="0082709E">
              <w:rPr>
                <w:sz w:val="22"/>
                <w:szCs w:val="22"/>
              </w:rPr>
              <w:t xml:space="preserve">Without Treatment </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51629BED" w14:textId="77777777" w:rsidR="008260A4" w:rsidRPr="0082709E" w:rsidRDefault="008260A4" w:rsidP="00105865">
            <w:pPr>
              <w:pStyle w:val="NoSpacing"/>
              <w:rPr>
                <w:sz w:val="22"/>
                <w:szCs w:val="22"/>
              </w:rPr>
            </w:pPr>
            <w:r w:rsidRPr="0082709E">
              <w:rPr>
                <w:sz w:val="22"/>
                <w:szCs w:val="22"/>
              </w:rPr>
              <w:t>0.77</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4F04A9F0" w14:textId="77777777" w:rsidR="008260A4" w:rsidRPr="0082709E" w:rsidRDefault="008260A4" w:rsidP="00105865">
            <w:pPr>
              <w:pStyle w:val="NoSpacing"/>
              <w:rPr>
                <w:sz w:val="22"/>
                <w:szCs w:val="22"/>
              </w:rPr>
            </w:pPr>
            <w:r w:rsidRPr="0082709E">
              <w:rPr>
                <w:sz w:val="22"/>
                <w:szCs w:val="22"/>
              </w:rPr>
              <w:t>Beta (521.2375,155.6943)</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00F84A09" w14:textId="7E96C9C6"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6CD95731"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4E43942D" w14:textId="77777777" w:rsidR="008260A4" w:rsidRPr="0082709E" w:rsidRDefault="008260A4" w:rsidP="00105865">
            <w:pPr>
              <w:pStyle w:val="NoSpacing"/>
              <w:rPr>
                <w:sz w:val="22"/>
                <w:szCs w:val="22"/>
              </w:rPr>
            </w:pPr>
            <w:r w:rsidRPr="0082709E">
              <w:rPr>
                <w:sz w:val="22"/>
                <w:szCs w:val="22"/>
              </w:rPr>
              <w:t xml:space="preserve">SVR </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11987358" w14:textId="77777777" w:rsidR="008260A4" w:rsidRPr="0082709E" w:rsidRDefault="008260A4" w:rsidP="00105865">
            <w:pPr>
              <w:pStyle w:val="NoSpacing"/>
              <w:rPr>
                <w:sz w:val="22"/>
                <w:szCs w:val="22"/>
              </w:rPr>
            </w:pPr>
            <w:r w:rsidRPr="0082709E">
              <w:rPr>
                <w:sz w:val="22"/>
                <w:szCs w:val="22"/>
              </w:rPr>
              <w:t>0.82</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208DA726" w14:textId="77777777" w:rsidR="008260A4" w:rsidRPr="0082709E" w:rsidRDefault="008260A4" w:rsidP="00105865">
            <w:pPr>
              <w:pStyle w:val="NoSpacing"/>
              <w:rPr>
                <w:sz w:val="22"/>
                <w:szCs w:val="22"/>
              </w:rPr>
            </w:pPr>
            <w:r w:rsidRPr="0082709E">
              <w:rPr>
                <w:sz w:val="22"/>
                <w:szCs w:val="22"/>
              </w:rPr>
              <w:t>Beta (65.8678,14.4588)</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75522EC6" w14:textId="172DD2EE"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5B63C5B6"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68F2D6FA" w14:textId="77777777" w:rsidR="008260A4" w:rsidRPr="008C53F5" w:rsidRDefault="008260A4" w:rsidP="00105865">
            <w:pPr>
              <w:pStyle w:val="NoSpacing"/>
              <w:rPr>
                <w:i/>
                <w:iCs/>
                <w:sz w:val="22"/>
                <w:szCs w:val="22"/>
              </w:rPr>
            </w:pPr>
            <w:r w:rsidRPr="00B26F01">
              <w:rPr>
                <w:i/>
                <w:iCs/>
                <w:sz w:val="22"/>
                <w:szCs w:val="22"/>
              </w:rPr>
              <w:t>Moderate HCV (F2 and F3)</w:t>
            </w:r>
          </w:p>
        </w:tc>
        <w:tc>
          <w:tcPr>
            <w:tcW w:w="827" w:type="pct"/>
            <w:tcBorders>
              <w:top w:val="single" w:sz="4" w:space="0" w:color="auto"/>
              <w:left w:val="single" w:sz="4" w:space="0" w:color="auto"/>
              <w:bottom w:val="single" w:sz="4" w:space="0" w:color="auto"/>
              <w:right w:val="single" w:sz="4" w:space="0" w:color="auto"/>
            </w:tcBorders>
            <w:noWrap/>
            <w:vAlign w:val="center"/>
          </w:tcPr>
          <w:p w14:paraId="472E2F7A" w14:textId="77777777" w:rsidR="008260A4" w:rsidRPr="0082709E" w:rsidRDefault="008260A4" w:rsidP="00105865">
            <w:pPr>
              <w:pStyle w:val="NoSpacing"/>
              <w:rPr>
                <w:sz w:val="22"/>
                <w:szCs w:val="22"/>
              </w:rPr>
            </w:pPr>
          </w:p>
        </w:tc>
        <w:tc>
          <w:tcPr>
            <w:tcW w:w="1221" w:type="pct"/>
            <w:tcBorders>
              <w:top w:val="single" w:sz="4" w:space="0" w:color="auto"/>
              <w:left w:val="single" w:sz="4" w:space="0" w:color="auto"/>
              <w:bottom w:val="single" w:sz="4" w:space="0" w:color="auto"/>
              <w:right w:val="single" w:sz="4" w:space="0" w:color="auto"/>
            </w:tcBorders>
            <w:noWrap/>
            <w:vAlign w:val="center"/>
          </w:tcPr>
          <w:p w14:paraId="51E0426C" w14:textId="77777777" w:rsidR="008260A4" w:rsidRPr="0082709E" w:rsidRDefault="008260A4" w:rsidP="00105865">
            <w:pPr>
              <w:pStyle w:val="NoSpacing"/>
              <w:rPr>
                <w:sz w:val="22"/>
                <w:szCs w:val="22"/>
              </w:rPr>
            </w:pP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236100AE" w14:textId="229EC570"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4D12C028"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1DA4C14B" w14:textId="77777777" w:rsidR="008260A4" w:rsidRPr="0082709E" w:rsidRDefault="008260A4" w:rsidP="00105865">
            <w:pPr>
              <w:pStyle w:val="NoSpacing"/>
              <w:rPr>
                <w:sz w:val="22"/>
                <w:szCs w:val="22"/>
              </w:rPr>
            </w:pPr>
            <w:r w:rsidRPr="0082709E">
              <w:rPr>
                <w:sz w:val="22"/>
                <w:szCs w:val="22"/>
              </w:rPr>
              <w:t>Without Treatment</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54981C7B" w14:textId="77777777" w:rsidR="008260A4" w:rsidRPr="0082709E" w:rsidRDefault="008260A4" w:rsidP="00105865">
            <w:pPr>
              <w:pStyle w:val="NoSpacing"/>
              <w:rPr>
                <w:sz w:val="22"/>
                <w:szCs w:val="22"/>
              </w:rPr>
            </w:pPr>
            <w:r w:rsidRPr="0082709E">
              <w:rPr>
                <w:sz w:val="22"/>
                <w:szCs w:val="22"/>
              </w:rPr>
              <w:t>0.66</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6A898A66" w14:textId="77777777" w:rsidR="008260A4" w:rsidRPr="0082709E" w:rsidRDefault="008260A4" w:rsidP="00105865">
            <w:pPr>
              <w:pStyle w:val="NoSpacing"/>
              <w:rPr>
                <w:sz w:val="22"/>
                <w:szCs w:val="22"/>
              </w:rPr>
            </w:pPr>
            <w:r w:rsidRPr="0082709E">
              <w:rPr>
                <w:sz w:val="22"/>
                <w:szCs w:val="22"/>
              </w:rPr>
              <w:t>Beta (168.2461, 86.6723)</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398F6497" w14:textId="0C1314C3"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590D53F1"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6362AD6C" w14:textId="77777777" w:rsidR="008260A4" w:rsidRPr="0082709E" w:rsidRDefault="008260A4" w:rsidP="00105865">
            <w:pPr>
              <w:pStyle w:val="NoSpacing"/>
              <w:rPr>
                <w:sz w:val="22"/>
                <w:szCs w:val="22"/>
              </w:rPr>
            </w:pPr>
            <w:r w:rsidRPr="0082709E">
              <w:rPr>
                <w:sz w:val="22"/>
                <w:szCs w:val="22"/>
              </w:rPr>
              <w:t>SVR</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5BA401D7" w14:textId="77777777" w:rsidR="008260A4" w:rsidRPr="0082709E" w:rsidRDefault="008260A4" w:rsidP="00105865">
            <w:pPr>
              <w:pStyle w:val="NoSpacing"/>
              <w:rPr>
                <w:sz w:val="22"/>
                <w:szCs w:val="22"/>
              </w:rPr>
            </w:pPr>
            <w:r w:rsidRPr="0082709E">
              <w:rPr>
                <w:sz w:val="22"/>
                <w:szCs w:val="22"/>
              </w:rPr>
              <w:t>0.72</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3DE78DBE" w14:textId="77777777" w:rsidR="008260A4" w:rsidRPr="0082709E" w:rsidRDefault="008260A4" w:rsidP="00105865">
            <w:pPr>
              <w:pStyle w:val="NoSpacing"/>
              <w:rPr>
                <w:sz w:val="22"/>
                <w:szCs w:val="22"/>
              </w:rPr>
            </w:pPr>
            <w:r w:rsidRPr="0082709E">
              <w:rPr>
                <w:sz w:val="22"/>
                <w:szCs w:val="22"/>
              </w:rPr>
              <w:t>Beta (58.0608,22.592)</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7735766E" w14:textId="45DC9E65"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72E3484D"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6F5A39A9" w14:textId="77777777" w:rsidR="008260A4" w:rsidRPr="008C53F5" w:rsidRDefault="008260A4" w:rsidP="00105865">
            <w:pPr>
              <w:pStyle w:val="NoSpacing"/>
              <w:rPr>
                <w:i/>
                <w:iCs/>
                <w:sz w:val="22"/>
                <w:szCs w:val="22"/>
              </w:rPr>
            </w:pPr>
            <w:r w:rsidRPr="00B26F01">
              <w:rPr>
                <w:i/>
                <w:iCs/>
                <w:sz w:val="22"/>
                <w:szCs w:val="22"/>
              </w:rPr>
              <w:t xml:space="preserve">Compensated Cirrhosis </w:t>
            </w:r>
          </w:p>
        </w:tc>
        <w:tc>
          <w:tcPr>
            <w:tcW w:w="827" w:type="pct"/>
            <w:tcBorders>
              <w:top w:val="single" w:sz="4" w:space="0" w:color="auto"/>
              <w:left w:val="single" w:sz="4" w:space="0" w:color="auto"/>
              <w:bottom w:val="single" w:sz="4" w:space="0" w:color="auto"/>
              <w:right w:val="single" w:sz="4" w:space="0" w:color="auto"/>
            </w:tcBorders>
            <w:noWrap/>
            <w:vAlign w:val="center"/>
          </w:tcPr>
          <w:p w14:paraId="736304EC" w14:textId="77777777" w:rsidR="008260A4" w:rsidRPr="0082709E" w:rsidRDefault="008260A4" w:rsidP="00105865">
            <w:pPr>
              <w:pStyle w:val="NoSpacing"/>
              <w:rPr>
                <w:sz w:val="22"/>
                <w:szCs w:val="22"/>
              </w:rPr>
            </w:pPr>
          </w:p>
        </w:tc>
        <w:tc>
          <w:tcPr>
            <w:tcW w:w="1221" w:type="pct"/>
            <w:tcBorders>
              <w:top w:val="single" w:sz="4" w:space="0" w:color="auto"/>
              <w:left w:val="single" w:sz="4" w:space="0" w:color="auto"/>
              <w:bottom w:val="single" w:sz="4" w:space="0" w:color="auto"/>
              <w:right w:val="single" w:sz="4" w:space="0" w:color="auto"/>
            </w:tcBorders>
            <w:noWrap/>
            <w:vAlign w:val="center"/>
          </w:tcPr>
          <w:p w14:paraId="38C0CDBE" w14:textId="77777777" w:rsidR="008260A4" w:rsidRPr="0082709E" w:rsidRDefault="008260A4" w:rsidP="00105865">
            <w:pPr>
              <w:pStyle w:val="NoSpacing"/>
              <w:rPr>
                <w:sz w:val="22"/>
                <w:szCs w:val="22"/>
              </w:rPr>
            </w:pPr>
          </w:p>
        </w:tc>
        <w:tc>
          <w:tcPr>
            <w:tcW w:w="1102" w:type="pct"/>
            <w:tcBorders>
              <w:top w:val="single" w:sz="4" w:space="0" w:color="auto"/>
              <w:left w:val="single" w:sz="4" w:space="0" w:color="auto"/>
              <w:bottom w:val="single" w:sz="4" w:space="0" w:color="auto"/>
              <w:right w:val="single" w:sz="4" w:space="0" w:color="auto"/>
            </w:tcBorders>
            <w:noWrap/>
            <w:vAlign w:val="center"/>
          </w:tcPr>
          <w:p w14:paraId="57A1BD2D" w14:textId="77777777" w:rsidR="008260A4" w:rsidRPr="0082709E" w:rsidRDefault="008260A4" w:rsidP="00105865">
            <w:pPr>
              <w:pStyle w:val="NoSpacing"/>
              <w:rPr>
                <w:sz w:val="22"/>
                <w:szCs w:val="22"/>
              </w:rPr>
            </w:pPr>
          </w:p>
        </w:tc>
      </w:tr>
      <w:tr w:rsidR="008260A4" w:rsidRPr="0082709E" w14:paraId="7D7DB2C1"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1459B3D4" w14:textId="77777777" w:rsidR="008260A4" w:rsidRPr="0082709E" w:rsidRDefault="008260A4" w:rsidP="00105865">
            <w:pPr>
              <w:pStyle w:val="NoSpacing"/>
              <w:rPr>
                <w:sz w:val="22"/>
                <w:szCs w:val="22"/>
              </w:rPr>
            </w:pPr>
            <w:r w:rsidRPr="0082709E">
              <w:rPr>
                <w:sz w:val="22"/>
                <w:szCs w:val="22"/>
              </w:rPr>
              <w:t>Without Treatment</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50547740" w14:textId="77777777" w:rsidR="008260A4" w:rsidRPr="0082709E" w:rsidRDefault="008260A4" w:rsidP="00105865">
            <w:pPr>
              <w:pStyle w:val="NoSpacing"/>
              <w:rPr>
                <w:sz w:val="22"/>
                <w:szCs w:val="22"/>
              </w:rPr>
            </w:pPr>
            <w:r w:rsidRPr="0082709E">
              <w:rPr>
                <w:sz w:val="22"/>
                <w:szCs w:val="22"/>
              </w:rPr>
              <w:t>0.55</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536FA4AC" w14:textId="77777777" w:rsidR="008260A4" w:rsidRPr="0082709E" w:rsidRDefault="008260A4" w:rsidP="00105865">
            <w:pPr>
              <w:pStyle w:val="NoSpacing"/>
              <w:rPr>
                <w:sz w:val="22"/>
                <w:szCs w:val="22"/>
              </w:rPr>
            </w:pPr>
            <w:r w:rsidRPr="0082709E">
              <w:rPr>
                <w:sz w:val="22"/>
                <w:szCs w:val="22"/>
              </w:rPr>
              <w:t>Beta (47.1021, 38.5381)</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7D0D2CD4" w14:textId="6C5A1594"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6C3283D8"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5A3F8C20" w14:textId="77777777" w:rsidR="008260A4" w:rsidRPr="0082709E" w:rsidRDefault="008260A4" w:rsidP="00105865">
            <w:pPr>
              <w:pStyle w:val="NoSpacing"/>
              <w:rPr>
                <w:sz w:val="22"/>
                <w:szCs w:val="22"/>
              </w:rPr>
            </w:pPr>
            <w:r w:rsidRPr="0082709E">
              <w:rPr>
                <w:sz w:val="22"/>
                <w:szCs w:val="22"/>
              </w:rPr>
              <w:t>SVR</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52EF84C3" w14:textId="77777777" w:rsidR="008260A4" w:rsidRPr="0082709E" w:rsidRDefault="008260A4" w:rsidP="00105865">
            <w:pPr>
              <w:pStyle w:val="NoSpacing"/>
              <w:rPr>
                <w:sz w:val="22"/>
                <w:szCs w:val="22"/>
              </w:rPr>
            </w:pPr>
            <w:r w:rsidRPr="0082709E">
              <w:rPr>
                <w:sz w:val="22"/>
                <w:szCs w:val="22"/>
              </w:rPr>
              <w:t>0.61</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49C4FE36" w14:textId="77777777" w:rsidR="008260A4" w:rsidRPr="0082709E" w:rsidRDefault="008260A4" w:rsidP="00105865">
            <w:pPr>
              <w:pStyle w:val="NoSpacing"/>
              <w:rPr>
                <w:sz w:val="22"/>
                <w:szCs w:val="22"/>
              </w:rPr>
            </w:pPr>
            <w:r w:rsidRPr="0082709E">
              <w:rPr>
                <w:sz w:val="22"/>
                <w:szCs w:val="22"/>
              </w:rPr>
              <w:t>Beta (58.0608,37.1124)</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25594180" w14:textId="428D498E"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4A8A6792"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68F8E615" w14:textId="77777777" w:rsidR="008260A4" w:rsidRPr="0082709E" w:rsidRDefault="008260A4" w:rsidP="00105865">
            <w:pPr>
              <w:pStyle w:val="NoSpacing"/>
              <w:rPr>
                <w:sz w:val="22"/>
                <w:szCs w:val="22"/>
              </w:rPr>
            </w:pPr>
            <w:r w:rsidRPr="0082709E">
              <w:rPr>
                <w:sz w:val="22"/>
                <w:szCs w:val="22"/>
              </w:rPr>
              <w:t>Decompensated cirrhosis</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2F9FB422" w14:textId="77777777" w:rsidR="008260A4" w:rsidRPr="0082709E" w:rsidRDefault="008260A4" w:rsidP="00105865">
            <w:pPr>
              <w:pStyle w:val="NoSpacing"/>
              <w:rPr>
                <w:sz w:val="22"/>
                <w:szCs w:val="22"/>
              </w:rPr>
            </w:pPr>
            <w:r w:rsidRPr="0082709E">
              <w:rPr>
                <w:sz w:val="22"/>
                <w:szCs w:val="22"/>
              </w:rPr>
              <w:t>0.45</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1CCE4389" w14:textId="77777777" w:rsidR="008260A4" w:rsidRPr="0082709E" w:rsidRDefault="008260A4" w:rsidP="00105865">
            <w:pPr>
              <w:pStyle w:val="NoSpacing"/>
              <w:rPr>
                <w:sz w:val="22"/>
                <w:szCs w:val="22"/>
              </w:rPr>
            </w:pPr>
            <w:r w:rsidRPr="0082709E">
              <w:rPr>
                <w:sz w:val="22"/>
                <w:szCs w:val="22"/>
              </w:rPr>
              <w:t>Beta (123.75, 151.25)</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3001A7AD" w14:textId="6D28FD00"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52B72C92"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3AB43012" w14:textId="77777777" w:rsidR="008260A4" w:rsidRPr="0082709E" w:rsidRDefault="008260A4" w:rsidP="00105865">
            <w:pPr>
              <w:pStyle w:val="NoSpacing"/>
              <w:rPr>
                <w:sz w:val="22"/>
                <w:szCs w:val="22"/>
              </w:rPr>
            </w:pPr>
            <w:r w:rsidRPr="0082709E">
              <w:rPr>
                <w:sz w:val="22"/>
                <w:szCs w:val="22"/>
              </w:rPr>
              <w:t>Hepatocellular Carcinoma</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2DA4E8D3" w14:textId="77777777" w:rsidR="008260A4" w:rsidRPr="0082709E" w:rsidRDefault="008260A4" w:rsidP="00105865">
            <w:pPr>
              <w:pStyle w:val="NoSpacing"/>
              <w:rPr>
                <w:sz w:val="22"/>
                <w:szCs w:val="22"/>
              </w:rPr>
            </w:pPr>
            <w:r w:rsidRPr="0082709E">
              <w:rPr>
                <w:sz w:val="22"/>
                <w:szCs w:val="22"/>
              </w:rPr>
              <w:t>0.45</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2A84A8AA" w14:textId="77777777" w:rsidR="008260A4" w:rsidRPr="0082709E" w:rsidRDefault="008260A4" w:rsidP="00105865">
            <w:pPr>
              <w:pStyle w:val="NoSpacing"/>
              <w:rPr>
                <w:sz w:val="22"/>
                <w:szCs w:val="22"/>
              </w:rPr>
            </w:pPr>
            <w:r w:rsidRPr="0082709E">
              <w:rPr>
                <w:sz w:val="22"/>
                <w:szCs w:val="22"/>
              </w:rPr>
              <w:t>Beta (123.75, 151.25)</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3E475C92" w14:textId="0F656A41"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7DC20C31"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5835CD95" w14:textId="77777777" w:rsidR="008260A4" w:rsidRPr="0082709E" w:rsidRDefault="008260A4" w:rsidP="00105865">
            <w:pPr>
              <w:pStyle w:val="NoSpacing"/>
              <w:rPr>
                <w:sz w:val="22"/>
                <w:szCs w:val="22"/>
              </w:rPr>
            </w:pPr>
            <w:r w:rsidRPr="0082709E">
              <w:rPr>
                <w:sz w:val="22"/>
                <w:szCs w:val="22"/>
              </w:rPr>
              <w:t>Liver transplant</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231CA03A" w14:textId="77777777" w:rsidR="008260A4" w:rsidRPr="0082709E" w:rsidRDefault="008260A4" w:rsidP="00105865">
            <w:pPr>
              <w:pStyle w:val="NoSpacing"/>
              <w:rPr>
                <w:sz w:val="22"/>
                <w:szCs w:val="22"/>
              </w:rPr>
            </w:pPr>
            <w:r w:rsidRPr="0082709E">
              <w:rPr>
                <w:sz w:val="22"/>
                <w:szCs w:val="22"/>
              </w:rPr>
              <w:t>0.45</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1C3B9568" w14:textId="77777777" w:rsidR="008260A4" w:rsidRPr="0082709E" w:rsidRDefault="008260A4" w:rsidP="00105865">
            <w:pPr>
              <w:pStyle w:val="NoSpacing"/>
              <w:rPr>
                <w:sz w:val="22"/>
                <w:szCs w:val="22"/>
              </w:rPr>
            </w:pPr>
            <w:r w:rsidRPr="0082709E">
              <w:rPr>
                <w:sz w:val="22"/>
                <w:szCs w:val="22"/>
              </w:rPr>
              <w:t>Beta (123.75, 151.25)</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34DF836F" w14:textId="284C0198"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r w:rsidR="008260A4" w:rsidRPr="0082709E" w14:paraId="36CC8CDE" w14:textId="77777777" w:rsidTr="008260A4">
        <w:trPr>
          <w:trHeight w:val="283"/>
        </w:trPr>
        <w:tc>
          <w:tcPr>
            <w:tcW w:w="1850" w:type="pct"/>
            <w:tcBorders>
              <w:top w:val="single" w:sz="4" w:space="0" w:color="auto"/>
              <w:left w:val="single" w:sz="4" w:space="0" w:color="auto"/>
              <w:bottom w:val="single" w:sz="4" w:space="0" w:color="auto"/>
              <w:right w:val="single" w:sz="4" w:space="0" w:color="auto"/>
            </w:tcBorders>
            <w:noWrap/>
            <w:vAlign w:val="center"/>
            <w:hideMark/>
          </w:tcPr>
          <w:p w14:paraId="185AAFF6" w14:textId="77777777" w:rsidR="008260A4" w:rsidRPr="0082709E" w:rsidRDefault="008260A4" w:rsidP="00105865">
            <w:pPr>
              <w:pStyle w:val="NoSpacing"/>
              <w:rPr>
                <w:sz w:val="22"/>
                <w:szCs w:val="22"/>
              </w:rPr>
            </w:pPr>
            <w:r w:rsidRPr="0082709E">
              <w:rPr>
                <w:sz w:val="22"/>
                <w:szCs w:val="22"/>
              </w:rPr>
              <w:t>Post-transplant</w:t>
            </w:r>
          </w:p>
        </w:tc>
        <w:tc>
          <w:tcPr>
            <w:tcW w:w="827" w:type="pct"/>
            <w:tcBorders>
              <w:top w:val="single" w:sz="4" w:space="0" w:color="auto"/>
              <w:left w:val="single" w:sz="4" w:space="0" w:color="auto"/>
              <w:bottom w:val="single" w:sz="4" w:space="0" w:color="auto"/>
              <w:right w:val="single" w:sz="4" w:space="0" w:color="auto"/>
            </w:tcBorders>
            <w:noWrap/>
            <w:vAlign w:val="center"/>
            <w:hideMark/>
          </w:tcPr>
          <w:p w14:paraId="6A1D2317" w14:textId="77777777" w:rsidR="008260A4" w:rsidRPr="0082709E" w:rsidRDefault="008260A4" w:rsidP="00105865">
            <w:pPr>
              <w:pStyle w:val="NoSpacing"/>
              <w:rPr>
                <w:sz w:val="22"/>
                <w:szCs w:val="22"/>
              </w:rPr>
            </w:pPr>
            <w:r w:rsidRPr="0082709E">
              <w:rPr>
                <w:sz w:val="22"/>
                <w:szCs w:val="22"/>
              </w:rPr>
              <w:t>0.67</w:t>
            </w:r>
          </w:p>
        </w:tc>
        <w:tc>
          <w:tcPr>
            <w:tcW w:w="1221" w:type="pct"/>
            <w:tcBorders>
              <w:top w:val="single" w:sz="4" w:space="0" w:color="auto"/>
              <w:left w:val="single" w:sz="4" w:space="0" w:color="auto"/>
              <w:bottom w:val="single" w:sz="4" w:space="0" w:color="auto"/>
              <w:right w:val="single" w:sz="4" w:space="0" w:color="auto"/>
            </w:tcBorders>
            <w:noWrap/>
            <w:vAlign w:val="center"/>
            <w:hideMark/>
          </w:tcPr>
          <w:p w14:paraId="7AD8286E" w14:textId="77777777" w:rsidR="008260A4" w:rsidRPr="0082709E" w:rsidRDefault="008260A4" w:rsidP="00105865">
            <w:pPr>
              <w:pStyle w:val="NoSpacing"/>
              <w:rPr>
                <w:sz w:val="22"/>
                <w:szCs w:val="22"/>
              </w:rPr>
            </w:pPr>
            <w:r w:rsidRPr="0082709E">
              <w:rPr>
                <w:sz w:val="22"/>
                <w:szCs w:val="22"/>
              </w:rPr>
              <w:t>Beta (59.2548, 29.1852)</w:t>
            </w:r>
          </w:p>
        </w:tc>
        <w:tc>
          <w:tcPr>
            <w:tcW w:w="1102" w:type="pct"/>
            <w:tcBorders>
              <w:top w:val="single" w:sz="4" w:space="0" w:color="auto"/>
              <w:left w:val="single" w:sz="4" w:space="0" w:color="auto"/>
              <w:bottom w:val="single" w:sz="4" w:space="0" w:color="auto"/>
              <w:right w:val="single" w:sz="4" w:space="0" w:color="auto"/>
            </w:tcBorders>
            <w:noWrap/>
            <w:vAlign w:val="center"/>
            <w:hideMark/>
          </w:tcPr>
          <w:p w14:paraId="5194068F" w14:textId="6ECC894C" w:rsidR="008260A4" w:rsidRPr="0082709E" w:rsidRDefault="00066223" w:rsidP="00105865">
            <w:pPr>
              <w:pStyle w:val="NoSpacing"/>
              <w:rPr>
                <w:sz w:val="22"/>
                <w:szCs w:val="22"/>
              </w:rPr>
            </w:pPr>
            <w:r>
              <w:rPr>
                <w:sz w:val="22"/>
                <w:szCs w:val="22"/>
              </w:rPr>
              <w:fldChar w:fldCharType="begin"/>
            </w:r>
            <w:r>
              <w:rPr>
                <w:sz w:val="22"/>
                <w:szCs w:val="22"/>
              </w:rPr>
              <w:instrText xml:space="preserve"> ADDIN EN.CITE &lt;EndNote&gt;&lt;Cite&gt;&lt;Author&gt;Martin&lt;/Author&gt;&lt;Year&gt;2016&lt;/Year&gt;&lt;RecNum&gt;584&lt;/RecNum&gt;&lt;DisplayText&gt;[7]&lt;/DisplayText&gt;&lt;record&gt;&lt;rec-number&gt;584&lt;/rec-number&gt;&lt;foreign-keys&gt;&lt;key app="EN" db-id="dv90zpt5cw99wwe2zwp5tvd5ze0rd5tzaed0" timestamp="1551189031"&gt;584&lt;/key&gt;&lt;/foreign-keys&gt;&lt;ref-type name="Journal Article"&gt;17&lt;/ref-type&gt;&lt;contributors&gt;&lt;authors&gt;&lt;author&gt;Martin, Natasha K.&lt;/author&gt;&lt;author&gt;Vickerman, Peter&lt;/author&gt;&lt;author&gt;Dore, Gregory J.&lt;/author&gt;&lt;author&gt;Grebely, Jason&lt;/author&gt;&lt;author&gt;Miners, Alec&lt;/author&gt;&lt;author&gt;Cairns, John&lt;/author&gt;&lt;author&gt;Foster, Graham R.&lt;/author&gt;&lt;author&gt;Hutchinson, Sharon J.&lt;/author&gt;&lt;author&gt;Goldberg, David J.&lt;/author&gt;&lt;author&gt;Martin, Thomas C. S.&lt;/author&gt;&lt;author&gt;Ramsay, Mary&lt;/author&gt;&lt;author&gt;Stop-Hcv Consortium&lt;/author&gt;&lt;author&gt;Hickman, Matthew&lt;/author&gt;&lt;/authors&gt;&lt;/contributors&gt;&lt;titles&gt;&lt;title&gt;Prioritization of HCV treatment in the direct-acting antiviral era: An economic evaluation&lt;/title&gt;&lt;secondary-title&gt;Journal of hepatology&lt;/secondary-title&gt;&lt;/titles&gt;&lt;periodical&gt;&lt;full-title&gt;Journal of Hepatology&lt;/full-title&gt;&lt;/periodical&gt;&lt;pages&gt;17-25&lt;/pages&gt;&lt;volume&gt;65&lt;/volume&gt;&lt;number&gt;1&lt;/number&gt;&lt;dates&gt;&lt;year&gt;2016&lt;/year&gt;&lt;/dates&gt;&lt;publisher&gt;Elsevier&lt;/publisher&gt;&lt;isbn&gt;1600-0641&amp;#xD;0168-8278&lt;/isbn&gt;&lt;accession-num&gt;26867489&lt;/accession-num&gt;&lt;urls&gt;&lt;related-urls&gt;&lt;url&gt;https://www.ncbi.nlm.nih.gov/pubmed/26867489&lt;/url&gt;&lt;url&gt;https://www.ncbi.nlm.nih.gov/pmc/PMC4914770/&lt;/url&gt;&lt;/related-urls&gt;&lt;/urls&gt;&lt;electronic-resource-num&gt;10.1016/j.jhep.2016.02.007&lt;/electronic-resource-num&gt;&lt;remote-database-name&gt;PubMed&lt;/remote-database-name&gt;&lt;/record&gt;&lt;/Cite&gt;&lt;/EndNote&gt;</w:instrText>
            </w:r>
            <w:r>
              <w:rPr>
                <w:sz w:val="22"/>
                <w:szCs w:val="22"/>
              </w:rPr>
              <w:fldChar w:fldCharType="separate"/>
            </w:r>
            <w:r>
              <w:rPr>
                <w:noProof/>
                <w:sz w:val="22"/>
                <w:szCs w:val="22"/>
              </w:rPr>
              <w:t>[7]</w:t>
            </w:r>
            <w:r>
              <w:rPr>
                <w:sz w:val="22"/>
                <w:szCs w:val="22"/>
              </w:rPr>
              <w:fldChar w:fldCharType="end"/>
            </w:r>
          </w:p>
        </w:tc>
      </w:tr>
    </w:tbl>
    <w:p w14:paraId="6044F038" w14:textId="77777777" w:rsidR="008260A4" w:rsidRDefault="008260A4" w:rsidP="00105865">
      <w:pPr>
        <w:spacing w:line="240" w:lineRule="auto"/>
      </w:pPr>
    </w:p>
    <w:p w14:paraId="4FC090CD" w14:textId="3E66C227" w:rsidR="008260A4" w:rsidRDefault="008260A4" w:rsidP="00105865">
      <w:pPr>
        <w:spacing w:line="240" w:lineRule="auto"/>
      </w:pPr>
      <w:r>
        <w:t>Intervention Inputs for the model</w:t>
      </w:r>
      <w:r w:rsidR="005328D1">
        <w:t>: Additional Information</w:t>
      </w:r>
    </w:p>
    <w:p w14:paraId="297FD700" w14:textId="77777777" w:rsidR="008260A4" w:rsidRDefault="008260A4" w:rsidP="00105865">
      <w:pPr>
        <w:spacing w:line="240" w:lineRule="auto"/>
      </w:pPr>
      <w:r>
        <w:t>When the treatment start date was not available, the mean time from screening to commencing treatment (206 Days) was used to estimate when treatment started. All individuals were assumed to be at least Metavir F1 as there is no defined cut off fibrosis score for F0.</w:t>
      </w:r>
    </w:p>
    <w:p w14:paraId="2867DC44" w14:textId="77777777" w:rsidR="008260A4" w:rsidRDefault="008260A4" w:rsidP="00105865">
      <w:pPr>
        <w:spacing w:line="240" w:lineRule="auto"/>
      </w:pPr>
    </w:p>
    <w:p w14:paraId="7B4A83F3" w14:textId="77777777" w:rsidR="005328D1" w:rsidRDefault="005328D1" w:rsidP="00105865">
      <w:pPr>
        <w:spacing w:line="240" w:lineRule="auto"/>
        <w:rPr>
          <w:b/>
        </w:rPr>
      </w:pPr>
      <w:r>
        <w:rPr>
          <w:b/>
        </w:rPr>
        <w:br w:type="page"/>
      </w:r>
    </w:p>
    <w:p w14:paraId="3379D833" w14:textId="7259D4ED" w:rsidR="008260A4" w:rsidRPr="001F3CF6" w:rsidRDefault="008260A4" w:rsidP="00105865">
      <w:pPr>
        <w:spacing w:line="240" w:lineRule="auto"/>
        <w:rPr>
          <w:b/>
        </w:rPr>
      </w:pPr>
      <w:r w:rsidRPr="001F3CF6">
        <w:rPr>
          <w:b/>
        </w:rPr>
        <w:lastRenderedPageBreak/>
        <w:t>Table S3: Breakdown of costs and steps relating to the model inputs</w:t>
      </w:r>
    </w:p>
    <w:tbl>
      <w:tblPr>
        <w:tblW w:w="8359" w:type="dxa"/>
        <w:tblLook w:val="04A0" w:firstRow="1" w:lastRow="0" w:firstColumn="1" w:lastColumn="0" w:noHBand="0" w:noVBand="1"/>
      </w:tblPr>
      <w:tblGrid>
        <w:gridCol w:w="3256"/>
        <w:gridCol w:w="1701"/>
        <w:gridCol w:w="1559"/>
        <w:gridCol w:w="1843"/>
      </w:tblGrid>
      <w:tr w:rsidR="008260A4" w:rsidRPr="002306A4" w14:paraId="6A084E73" w14:textId="77777777" w:rsidTr="008260A4">
        <w:trPr>
          <w:trHeight w:val="990"/>
        </w:trPr>
        <w:tc>
          <w:tcPr>
            <w:tcW w:w="3256" w:type="dxa"/>
            <w:tcBorders>
              <w:top w:val="single" w:sz="4" w:space="0" w:color="000000"/>
              <w:left w:val="single" w:sz="4" w:space="0" w:color="000000"/>
              <w:bottom w:val="single" w:sz="4" w:space="0" w:color="000000"/>
              <w:right w:val="single" w:sz="4" w:space="0" w:color="000000"/>
            </w:tcBorders>
            <w:shd w:val="clear" w:color="F7CAAC" w:fill="F7CAAC"/>
            <w:vAlign w:val="bottom"/>
            <w:hideMark/>
          </w:tcPr>
          <w:p w14:paraId="6467D88B" w14:textId="77777777" w:rsidR="008260A4" w:rsidRPr="002306A4" w:rsidRDefault="008260A4" w:rsidP="0010586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Base Case: Cost per activity</w:t>
            </w:r>
          </w:p>
        </w:tc>
        <w:tc>
          <w:tcPr>
            <w:tcW w:w="1701" w:type="dxa"/>
            <w:tcBorders>
              <w:top w:val="single" w:sz="4" w:space="0" w:color="000000"/>
              <w:left w:val="nil"/>
              <w:bottom w:val="single" w:sz="4" w:space="0" w:color="000000"/>
              <w:right w:val="single" w:sz="4" w:space="0" w:color="000000"/>
            </w:tcBorders>
            <w:shd w:val="clear" w:color="F7CAAC" w:fill="F7CAAC"/>
            <w:vAlign w:val="bottom"/>
            <w:hideMark/>
          </w:tcPr>
          <w:p w14:paraId="7EEB394A"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 xml:space="preserve">Total Economic Cost </w:t>
            </w:r>
            <w:r>
              <w:rPr>
                <w:rFonts w:ascii="Calibri" w:eastAsia="Times New Roman" w:hAnsi="Calibri" w:cs="Times New Roman"/>
                <w:b/>
                <w:bCs/>
                <w:color w:val="000000"/>
                <w:lang w:eastAsia="en-GB"/>
              </w:rPr>
              <w:t>(£) 2017/18</w:t>
            </w:r>
          </w:p>
        </w:tc>
        <w:tc>
          <w:tcPr>
            <w:tcW w:w="1559" w:type="dxa"/>
            <w:tcBorders>
              <w:top w:val="single" w:sz="4" w:space="0" w:color="000000"/>
              <w:left w:val="nil"/>
              <w:bottom w:val="single" w:sz="4" w:space="0" w:color="000000"/>
              <w:right w:val="single" w:sz="4" w:space="0" w:color="000000"/>
            </w:tcBorders>
            <w:shd w:val="clear" w:color="F7CAAC" w:fill="F7CAAC"/>
            <w:vAlign w:val="bottom"/>
            <w:hideMark/>
          </w:tcPr>
          <w:p w14:paraId="2101C232"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 xml:space="preserve">% of </w:t>
            </w:r>
            <w:r>
              <w:rPr>
                <w:rFonts w:ascii="Calibri" w:eastAsia="Times New Roman" w:hAnsi="Calibri" w:cs="Times New Roman"/>
                <w:b/>
                <w:bCs/>
                <w:color w:val="000000"/>
                <w:lang w:eastAsia="en-GB"/>
              </w:rPr>
              <w:t>T</w:t>
            </w:r>
            <w:r w:rsidRPr="002306A4">
              <w:rPr>
                <w:rFonts w:ascii="Calibri" w:eastAsia="Times New Roman" w:hAnsi="Calibri" w:cs="Times New Roman"/>
                <w:b/>
                <w:bCs/>
                <w:color w:val="000000"/>
                <w:lang w:eastAsia="en-GB"/>
              </w:rPr>
              <w:t xml:space="preserve">otal </w:t>
            </w:r>
            <w:r>
              <w:rPr>
                <w:rFonts w:ascii="Calibri" w:eastAsia="Times New Roman" w:hAnsi="Calibri" w:cs="Times New Roman"/>
                <w:b/>
                <w:bCs/>
                <w:color w:val="000000"/>
                <w:lang w:eastAsia="en-GB"/>
              </w:rPr>
              <w:t>C</w:t>
            </w:r>
            <w:r w:rsidRPr="002306A4">
              <w:rPr>
                <w:rFonts w:ascii="Calibri" w:eastAsia="Times New Roman" w:hAnsi="Calibri" w:cs="Times New Roman"/>
                <w:b/>
                <w:bCs/>
                <w:color w:val="000000"/>
                <w:lang w:eastAsia="en-GB"/>
              </w:rPr>
              <w:t>ost</w:t>
            </w:r>
          </w:p>
        </w:tc>
        <w:tc>
          <w:tcPr>
            <w:tcW w:w="1843" w:type="dxa"/>
            <w:tcBorders>
              <w:top w:val="single" w:sz="4" w:space="0" w:color="000000"/>
              <w:left w:val="nil"/>
              <w:bottom w:val="single" w:sz="4" w:space="0" w:color="000000"/>
              <w:right w:val="single" w:sz="4" w:space="0" w:color="000000"/>
            </w:tcBorders>
            <w:shd w:val="clear" w:color="F7CAAC" w:fill="F7CAAC"/>
            <w:vAlign w:val="bottom"/>
            <w:hideMark/>
          </w:tcPr>
          <w:p w14:paraId="5B83CACF"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Step in the model</w:t>
            </w:r>
          </w:p>
        </w:tc>
      </w:tr>
      <w:tr w:rsidR="008260A4" w:rsidRPr="002306A4" w14:paraId="75106284" w14:textId="77777777" w:rsidTr="008260A4">
        <w:trPr>
          <w:trHeight w:val="654"/>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5BB67727"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Initial Contact in Outreach Location</w:t>
            </w:r>
          </w:p>
        </w:tc>
        <w:tc>
          <w:tcPr>
            <w:tcW w:w="1701" w:type="dxa"/>
            <w:tcBorders>
              <w:top w:val="nil"/>
              <w:left w:val="nil"/>
              <w:bottom w:val="single" w:sz="4" w:space="0" w:color="000000"/>
              <w:right w:val="single" w:sz="4" w:space="0" w:color="000000"/>
            </w:tcBorders>
            <w:shd w:val="clear" w:color="auto" w:fill="auto"/>
            <w:noWrap/>
            <w:vAlign w:val="bottom"/>
            <w:hideMark/>
          </w:tcPr>
          <w:p w14:paraId="02060A28"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16202.85</w:t>
            </w:r>
          </w:p>
        </w:tc>
        <w:tc>
          <w:tcPr>
            <w:tcW w:w="1559" w:type="dxa"/>
            <w:tcBorders>
              <w:top w:val="nil"/>
              <w:left w:val="nil"/>
              <w:bottom w:val="single" w:sz="4" w:space="0" w:color="000000"/>
              <w:right w:val="single" w:sz="4" w:space="0" w:color="000000"/>
            </w:tcBorders>
            <w:shd w:val="clear" w:color="auto" w:fill="auto"/>
            <w:noWrap/>
            <w:vAlign w:val="bottom"/>
            <w:hideMark/>
          </w:tcPr>
          <w:p w14:paraId="3CC06517"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12.64%</w:t>
            </w:r>
          </w:p>
        </w:tc>
        <w:tc>
          <w:tcPr>
            <w:tcW w:w="1843" w:type="dxa"/>
            <w:tcBorders>
              <w:top w:val="nil"/>
              <w:left w:val="nil"/>
              <w:bottom w:val="single" w:sz="4" w:space="0" w:color="000000"/>
              <w:right w:val="single" w:sz="4" w:space="0" w:color="000000"/>
            </w:tcBorders>
            <w:shd w:val="clear" w:color="auto" w:fill="auto"/>
            <w:noWrap/>
            <w:vAlign w:val="bottom"/>
            <w:hideMark/>
          </w:tcPr>
          <w:p w14:paraId="3BF304EA"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Chron-Diagnosed</w:t>
            </w:r>
          </w:p>
        </w:tc>
      </w:tr>
      <w:tr w:rsidR="008260A4" w:rsidRPr="002306A4" w14:paraId="328DFE43" w14:textId="77777777" w:rsidTr="008260A4">
        <w:trPr>
          <w:trHeight w:val="480"/>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10A0562C"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Initial Contact in Outreach Van</w:t>
            </w:r>
          </w:p>
        </w:tc>
        <w:tc>
          <w:tcPr>
            <w:tcW w:w="1701" w:type="dxa"/>
            <w:tcBorders>
              <w:top w:val="nil"/>
              <w:left w:val="nil"/>
              <w:bottom w:val="single" w:sz="4" w:space="0" w:color="000000"/>
              <w:right w:val="single" w:sz="4" w:space="0" w:color="000000"/>
            </w:tcBorders>
            <w:shd w:val="clear" w:color="auto" w:fill="auto"/>
            <w:noWrap/>
            <w:vAlign w:val="bottom"/>
            <w:hideMark/>
          </w:tcPr>
          <w:p w14:paraId="72167EF8"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24454.91</w:t>
            </w:r>
          </w:p>
        </w:tc>
        <w:tc>
          <w:tcPr>
            <w:tcW w:w="1559" w:type="dxa"/>
            <w:tcBorders>
              <w:top w:val="nil"/>
              <w:left w:val="nil"/>
              <w:bottom w:val="single" w:sz="4" w:space="0" w:color="000000"/>
              <w:right w:val="single" w:sz="4" w:space="0" w:color="000000"/>
            </w:tcBorders>
            <w:shd w:val="clear" w:color="auto" w:fill="auto"/>
            <w:noWrap/>
            <w:vAlign w:val="bottom"/>
            <w:hideMark/>
          </w:tcPr>
          <w:p w14:paraId="6411D7A5"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19.09%</w:t>
            </w:r>
          </w:p>
        </w:tc>
        <w:tc>
          <w:tcPr>
            <w:tcW w:w="1843" w:type="dxa"/>
            <w:tcBorders>
              <w:top w:val="nil"/>
              <w:left w:val="nil"/>
              <w:bottom w:val="single" w:sz="4" w:space="0" w:color="000000"/>
              <w:right w:val="single" w:sz="4" w:space="0" w:color="000000"/>
            </w:tcBorders>
            <w:shd w:val="clear" w:color="auto" w:fill="auto"/>
            <w:noWrap/>
            <w:vAlign w:val="bottom"/>
            <w:hideMark/>
          </w:tcPr>
          <w:p w14:paraId="1B8AAFFB"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Chron-Diagnosed</w:t>
            </w:r>
          </w:p>
        </w:tc>
      </w:tr>
      <w:tr w:rsidR="008260A4" w:rsidRPr="002306A4" w14:paraId="69949C3F" w14:textId="77777777" w:rsidTr="008260A4">
        <w:trPr>
          <w:trHeight w:val="416"/>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0C600E29"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POCT (includes staff time)</w:t>
            </w:r>
          </w:p>
        </w:tc>
        <w:tc>
          <w:tcPr>
            <w:tcW w:w="1701" w:type="dxa"/>
            <w:tcBorders>
              <w:top w:val="nil"/>
              <w:left w:val="nil"/>
              <w:bottom w:val="single" w:sz="4" w:space="0" w:color="000000"/>
              <w:right w:val="single" w:sz="4" w:space="0" w:color="000000"/>
            </w:tcBorders>
            <w:shd w:val="clear" w:color="auto" w:fill="auto"/>
            <w:noWrap/>
            <w:vAlign w:val="bottom"/>
            <w:hideMark/>
          </w:tcPr>
          <w:p w14:paraId="5C0BE8C0"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6942.41</w:t>
            </w:r>
          </w:p>
        </w:tc>
        <w:tc>
          <w:tcPr>
            <w:tcW w:w="1559" w:type="dxa"/>
            <w:tcBorders>
              <w:top w:val="nil"/>
              <w:left w:val="nil"/>
              <w:bottom w:val="single" w:sz="4" w:space="0" w:color="000000"/>
              <w:right w:val="single" w:sz="4" w:space="0" w:color="000000"/>
            </w:tcBorders>
            <w:shd w:val="clear" w:color="auto" w:fill="auto"/>
            <w:noWrap/>
            <w:vAlign w:val="bottom"/>
            <w:hideMark/>
          </w:tcPr>
          <w:p w14:paraId="4FECEDE2"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5.42%</w:t>
            </w:r>
          </w:p>
        </w:tc>
        <w:tc>
          <w:tcPr>
            <w:tcW w:w="1843" w:type="dxa"/>
            <w:tcBorders>
              <w:top w:val="nil"/>
              <w:left w:val="nil"/>
              <w:bottom w:val="single" w:sz="4" w:space="0" w:color="000000"/>
              <w:right w:val="single" w:sz="4" w:space="0" w:color="000000"/>
            </w:tcBorders>
            <w:shd w:val="clear" w:color="auto" w:fill="auto"/>
            <w:noWrap/>
            <w:vAlign w:val="bottom"/>
            <w:hideMark/>
          </w:tcPr>
          <w:p w14:paraId="4F6ED2AA"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Chron-Diagnosed</w:t>
            </w:r>
          </w:p>
        </w:tc>
      </w:tr>
      <w:tr w:rsidR="008260A4" w:rsidRPr="002306A4" w14:paraId="1F7B8356" w14:textId="77777777" w:rsidTr="008260A4">
        <w:trPr>
          <w:trHeight w:val="383"/>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053B0A96"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DBS Test (includes staff time)</w:t>
            </w:r>
          </w:p>
        </w:tc>
        <w:tc>
          <w:tcPr>
            <w:tcW w:w="1701" w:type="dxa"/>
            <w:tcBorders>
              <w:top w:val="nil"/>
              <w:left w:val="nil"/>
              <w:bottom w:val="single" w:sz="4" w:space="0" w:color="000000"/>
              <w:right w:val="single" w:sz="4" w:space="0" w:color="000000"/>
            </w:tcBorders>
            <w:shd w:val="clear" w:color="auto" w:fill="auto"/>
            <w:noWrap/>
            <w:vAlign w:val="bottom"/>
            <w:hideMark/>
          </w:tcPr>
          <w:p w14:paraId="4511CCF9"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8533.07</w:t>
            </w:r>
          </w:p>
        </w:tc>
        <w:tc>
          <w:tcPr>
            <w:tcW w:w="1559" w:type="dxa"/>
            <w:tcBorders>
              <w:top w:val="nil"/>
              <w:left w:val="nil"/>
              <w:bottom w:val="single" w:sz="4" w:space="0" w:color="000000"/>
              <w:right w:val="single" w:sz="4" w:space="0" w:color="000000"/>
            </w:tcBorders>
            <w:shd w:val="clear" w:color="auto" w:fill="auto"/>
            <w:noWrap/>
            <w:vAlign w:val="bottom"/>
            <w:hideMark/>
          </w:tcPr>
          <w:p w14:paraId="56F133F0"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6.66%</w:t>
            </w:r>
          </w:p>
        </w:tc>
        <w:tc>
          <w:tcPr>
            <w:tcW w:w="1843" w:type="dxa"/>
            <w:tcBorders>
              <w:top w:val="nil"/>
              <w:left w:val="nil"/>
              <w:bottom w:val="single" w:sz="4" w:space="0" w:color="000000"/>
              <w:right w:val="single" w:sz="4" w:space="0" w:color="000000"/>
            </w:tcBorders>
            <w:shd w:val="clear" w:color="auto" w:fill="auto"/>
            <w:noWrap/>
            <w:vAlign w:val="bottom"/>
            <w:hideMark/>
          </w:tcPr>
          <w:p w14:paraId="7E6262F6"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Chron-Diagnosed</w:t>
            </w:r>
          </w:p>
        </w:tc>
      </w:tr>
      <w:tr w:rsidR="008260A4" w:rsidRPr="002306A4" w14:paraId="6C6BE77A" w14:textId="77777777" w:rsidTr="008260A4">
        <w:trPr>
          <w:trHeight w:val="493"/>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606A3968"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Fibroscan (includes staff time)</w:t>
            </w:r>
          </w:p>
        </w:tc>
        <w:tc>
          <w:tcPr>
            <w:tcW w:w="1701" w:type="dxa"/>
            <w:tcBorders>
              <w:top w:val="nil"/>
              <w:left w:val="nil"/>
              <w:bottom w:val="single" w:sz="4" w:space="0" w:color="000000"/>
              <w:right w:val="single" w:sz="4" w:space="0" w:color="000000"/>
            </w:tcBorders>
            <w:shd w:val="clear" w:color="auto" w:fill="auto"/>
            <w:noWrap/>
            <w:vAlign w:val="bottom"/>
            <w:hideMark/>
          </w:tcPr>
          <w:p w14:paraId="66292957"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15142.15</w:t>
            </w:r>
          </w:p>
        </w:tc>
        <w:tc>
          <w:tcPr>
            <w:tcW w:w="1559" w:type="dxa"/>
            <w:tcBorders>
              <w:top w:val="nil"/>
              <w:left w:val="nil"/>
              <w:bottom w:val="single" w:sz="4" w:space="0" w:color="000000"/>
              <w:right w:val="single" w:sz="4" w:space="0" w:color="000000"/>
            </w:tcBorders>
            <w:shd w:val="clear" w:color="auto" w:fill="auto"/>
            <w:noWrap/>
            <w:vAlign w:val="bottom"/>
            <w:hideMark/>
          </w:tcPr>
          <w:p w14:paraId="5423D149"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11.82%</w:t>
            </w:r>
          </w:p>
        </w:tc>
        <w:tc>
          <w:tcPr>
            <w:tcW w:w="1843" w:type="dxa"/>
            <w:tcBorders>
              <w:top w:val="nil"/>
              <w:left w:val="nil"/>
              <w:bottom w:val="single" w:sz="4" w:space="0" w:color="000000"/>
              <w:right w:val="single" w:sz="4" w:space="0" w:color="000000"/>
            </w:tcBorders>
            <w:shd w:val="clear" w:color="auto" w:fill="auto"/>
            <w:noWrap/>
            <w:vAlign w:val="bottom"/>
            <w:hideMark/>
          </w:tcPr>
          <w:p w14:paraId="7D20BFD2" w14:textId="77777777" w:rsidR="008260A4" w:rsidRPr="002306A4" w:rsidRDefault="008260A4" w:rsidP="00105865">
            <w:pPr>
              <w:spacing w:after="0" w:line="240" w:lineRule="auto"/>
              <w:rPr>
                <w:rFonts w:ascii="Calibri" w:eastAsia="Times New Roman" w:hAnsi="Calibri" w:cs="Times New Roman"/>
                <w:color w:val="000000"/>
                <w:lang w:eastAsia="en-GB"/>
              </w:rPr>
            </w:pPr>
            <w:proofErr w:type="spellStart"/>
            <w:r w:rsidRPr="002306A4">
              <w:rPr>
                <w:rFonts w:ascii="Calibri" w:eastAsia="Times New Roman" w:hAnsi="Calibri" w:cs="Times New Roman"/>
                <w:color w:val="000000"/>
                <w:lang w:eastAsia="en-GB"/>
              </w:rPr>
              <w:t>Diag</w:t>
            </w:r>
            <w:proofErr w:type="spellEnd"/>
            <w:r w:rsidRPr="002306A4">
              <w:rPr>
                <w:rFonts w:ascii="Calibri" w:eastAsia="Times New Roman" w:hAnsi="Calibri" w:cs="Times New Roman"/>
                <w:color w:val="000000"/>
                <w:lang w:eastAsia="en-GB"/>
              </w:rPr>
              <w:t>-Engaged</w:t>
            </w:r>
          </w:p>
        </w:tc>
      </w:tr>
      <w:tr w:rsidR="008260A4" w:rsidRPr="002306A4" w14:paraId="6D54218D" w14:textId="77777777" w:rsidTr="008260A4">
        <w:trPr>
          <w:trHeight w:val="461"/>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029C2DD5"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Active Follow up on HCV+</w:t>
            </w:r>
          </w:p>
        </w:tc>
        <w:tc>
          <w:tcPr>
            <w:tcW w:w="1701" w:type="dxa"/>
            <w:tcBorders>
              <w:top w:val="nil"/>
              <w:left w:val="nil"/>
              <w:bottom w:val="single" w:sz="4" w:space="0" w:color="000000"/>
              <w:right w:val="single" w:sz="4" w:space="0" w:color="000000"/>
            </w:tcBorders>
            <w:shd w:val="clear" w:color="auto" w:fill="auto"/>
            <w:noWrap/>
            <w:vAlign w:val="bottom"/>
            <w:hideMark/>
          </w:tcPr>
          <w:p w14:paraId="3C96F741"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7908.27</w:t>
            </w:r>
          </w:p>
        </w:tc>
        <w:tc>
          <w:tcPr>
            <w:tcW w:w="1559" w:type="dxa"/>
            <w:tcBorders>
              <w:top w:val="nil"/>
              <w:left w:val="nil"/>
              <w:bottom w:val="single" w:sz="4" w:space="0" w:color="000000"/>
              <w:right w:val="single" w:sz="4" w:space="0" w:color="000000"/>
            </w:tcBorders>
            <w:shd w:val="clear" w:color="auto" w:fill="auto"/>
            <w:noWrap/>
            <w:vAlign w:val="bottom"/>
            <w:hideMark/>
          </w:tcPr>
          <w:p w14:paraId="06985F45"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6.17%</w:t>
            </w:r>
          </w:p>
        </w:tc>
        <w:tc>
          <w:tcPr>
            <w:tcW w:w="1843" w:type="dxa"/>
            <w:tcBorders>
              <w:top w:val="nil"/>
              <w:left w:val="nil"/>
              <w:bottom w:val="single" w:sz="4" w:space="0" w:color="000000"/>
              <w:right w:val="single" w:sz="4" w:space="0" w:color="000000"/>
            </w:tcBorders>
            <w:shd w:val="clear" w:color="auto" w:fill="auto"/>
            <w:noWrap/>
            <w:vAlign w:val="bottom"/>
            <w:hideMark/>
          </w:tcPr>
          <w:p w14:paraId="1E8B9EB4" w14:textId="77777777" w:rsidR="008260A4" w:rsidRPr="002306A4" w:rsidRDefault="008260A4" w:rsidP="00105865">
            <w:pPr>
              <w:spacing w:after="0" w:line="240" w:lineRule="auto"/>
              <w:rPr>
                <w:rFonts w:ascii="Calibri" w:eastAsia="Times New Roman" w:hAnsi="Calibri" w:cs="Times New Roman"/>
                <w:color w:val="000000"/>
                <w:lang w:eastAsia="en-GB"/>
              </w:rPr>
            </w:pPr>
            <w:proofErr w:type="spellStart"/>
            <w:r w:rsidRPr="002306A4">
              <w:rPr>
                <w:rFonts w:ascii="Calibri" w:eastAsia="Times New Roman" w:hAnsi="Calibri" w:cs="Times New Roman"/>
                <w:color w:val="000000"/>
                <w:lang w:eastAsia="en-GB"/>
              </w:rPr>
              <w:t>Diag</w:t>
            </w:r>
            <w:proofErr w:type="spellEnd"/>
            <w:r w:rsidRPr="002306A4">
              <w:rPr>
                <w:rFonts w:ascii="Calibri" w:eastAsia="Times New Roman" w:hAnsi="Calibri" w:cs="Times New Roman"/>
                <w:color w:val="000000"/>
                <w:lang w:eastAsia="en-GB"/>
              </w:rPr>
              <w:t>-Engaged</w:t>
            </w:r>
          </w:p>
        </w:tc>
      </w:tr>
      <w:tr w:rsidR="008260A4" w:rsidRPr="002306A4" w14:paraId="77D44E98" w14:textId="77777777" w:rsidTr="008260A4">
        <w:trPr>
          <w:trHeight w:val="428"/>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4F9806F9"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Follow up on HCV-</w:t>
            </w:r>
          </w:p>
        </w:tc>
        <w:tc>
          <w:tcPr>
            <w:tcW w:w="1701" w:type="dxa"/>
            <w:tcBorders>
              <w:top w:val="nil"/>
              <w:left w:val="nil"/>
              <w:bottom w:val="single" w:sz="4" w:space="0" w:color="000000"/>
              <w:right w:val="single" w:sz="4" w:space="0" w:color="000000"/>
            </w:tcBorders>
            <w:shd w:val="clear" w:color="auto" w:fill="auto"/>
            <w:noWrap/>
            <w:vAlign w:val="bottom"/>
            <w:hideMark/>
          </w:tcPr>
          <w:p w14:paraId="165055E7"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4999.31</w:t>
            </w:r>
          </w:p>
        </w:tc>
        <w:tc>
          <w:tcPr>
            <w:tcW w:w="1559" w:type="dxa"/>
            <w:tcBorders>
              <w:top w:val="nil"/>
              <w:left w:val="nil"/>
              <w:bottom w:val="single" w:sz="4" w:space="0" w:color="000000"/>
              <w:right w:val="single" w:sz="4" w:space="0" w:color="000000"/>
            </w:tcBorders>
            <w:shd w:val="clear" w:color="auto" w:fill="auto"/>
            <w:noWrap/>
            <w:vAlign w:val="bottom"/>
            <w:hideMark/>
          </w:tcPr>
          <w:p w14:paraId="22FC316C"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3.90%</w:t>
            </w:r>
          </w:p>
        </w:tc>
        <w:tc>
          <w:tcPr>
            <w:tcW w:w="1843" w:type="dxa"/>
            <w:tcBorders>
              <w:top w:val="nil"/>
              <w:left w:val="nil"/>
              <w:bottom w:val="single" w:sz="4" w:space="0" w:color="000000"/>
              <w:right w:val="single" w:sz="4" w:space="0" w:color="000000"/>
            </w:tcBorders>
            <w:shd w:val="clear" w:color="auto" w:fill="auto"/>
            <w:noWrap/>
            <w:vAlign w:val="bottom"/>
            <w:hideMark/>
          </w:tcPr>
          <w:p w14:paraId="4000C00B"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Chron-Diagnosed</w:t>
            </w:r>
          </w:p>
        </w:tc>
      </w:tr>
      <w:tr w:rsidR="008260A4" w:rsidRPr="002306A4" w14:paraId="1F2E02E5" w14:textId="77777777" w:rsidTr="008260A4">
        <w:trPr>
          <w:trHeight w:val="525"/>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26D80CF0"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SCREENING TOTAL</w:t>
            </w:r>
          </w:p>
        </w:tc>
        <w:tc>
          <w:tcPr>
            <w:tcW w:w="1701" w:type="dxa"/>
            <w:tcBorders>
              <w:top w:val="nil"/>
              <w:left w:val="nil"/>
              <w:bottom w:val="single" w:sz="4" w:space="0" w:color="000000"/>
              <w:right w:val="single" w:sz="4" w:space="0" w:color="000000"/>
            </w:tcBorders>
            <w:shd w:val="clear" w:color="auto" w:fill="auto"/>
            <w:noWrap/>
            <w:vAlign w:val="bottom"/>
            <w:hideMark/>
          </w:tcPr>
          <w:p w14:paraId="4975266F"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84182.97</w:t>
            </w:r>
          </w:p>
        </w:tc>
        <w:tc>
          <w:tcPr>
            <w:tcW w:w="1559" w:type="dxa"/>
            <w:tcBorders>
              <w:top w:val="nil"/>
              <w:left w:val="nil"/>
              <w:bottom w:val="single" w:sz="4" w:space="0" w:color="000000"/>
              <w:right w:val="single" w:sz="4" w:space="0" w:color="000000"/>
            </w:tcBorders>
            <w:shd w:val="clear" w:color="auto" w:fill="auto"/>
            <w:noWrap/>
            <w:vAlign w:val="bottom"/>
            <w:hideMark/>
          </w:tcPr>
          <w:p w14:paraId="2E504299"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5817ABFE"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 </w:t>
            </w:r>
          </w:p>
        </w:tc>
      </w:tr>
      <w:tr w:rsidR="008260A4" w:rsidRPr="002306A4" w14:paraId="1F39FF9F" w14:textId="77777777" w:rsidTr="008260A4">
        <w:trPr>
          <w:trHeight w:val="300"/>
        </w:trPr>
        <w:tc>
          <w:tcPr>
            <w:tcW w:w="3256" w:type="dxa"/>
            <w:tcBorders>
              <w:top w:val="nil"/>
              <w:left w:val="single" w:sz="4" w:space="0" w:color="000000"/>
              <w:bottom w:val="single" w:sz="4" w:space="0" w:color="000000"/>
              <w:right w:val="single" w:sz="4" w:space="0" w:color="000000"/>
            </w:tcBorders>
            <w:shd w:val="clear" w:color="A5A5A5" w:fill="A5A5A5"/>
            <w:noWrap/>
            <w:vAlign w:val="bottom"/>
            <w:hideMark/>
          </w:tcPr>
          <w:p w14:paraId="4331D9F1"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Treatment</w:t>
            </w:r>
          </w:p>
        </w:tc>
        <w:tc>
          <w:tcPr>
            <w:tcW w:w="1701" w:type="dxa"/>
            <w:tcBorders>
              <w:top w:val="nil"/>
              <w:left w:val="nil"/>
              <w:bottom w:val="single" w:sz="4" w:space="0" w:color="000000"/>
              <w:right w:val="single" w:sz="4" w:space="0" w:color="000000"/>
            </w:tcBorders>
            <w:shd w:val="clear" w:color="A5A5A5" w:fill="A5A5A5"/>
            <w:noWrap/>
            <w:vAlign w:val="bottom"/>
            <w:hideMark/>
          </w:tcPr>
          <w:p w14:paraId="6A82C8B7"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 </w:t>
            </w:r>
          </w:p>
        </w:tc>
        <w:tc>
          <w:tcPr>
            <w:tcW w:w="1559" w:type="dxa"/>
            <w:tcBorders>
              <w:top w:val="nil"/>
              <w:left w:val="nil"/>
              <w:bottom w:val="single" w:sz="4" w:space="0" w:color="000000"/>
              <w:right w:val="single" w:sz="4" w:space="0" w:color="000000"/>
            </w:tcBorders>
            <w:shd w:val="clear" w:color="A5A5A5" w:fill="A5A5A5"/>
            <w:noWrap/>
            <w:vAlign w:val="bottom"/>
            <w:hideMark/>
          </w:tcPr>
          <w:p w14:paraId="365B1056"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 </w:t>
            </w:r>
          </w:p>
        </w:tc>
        <w:tc>
          <w:tcPr>
            <w:tcW w:w="1843" w:type="dxa"/>
            <w:tcBorders>
              <w:top w:val="nil"/>
              <w:left w:val="nil"/>
              <w:bottom w:val="single" w:sz="4" w:space="0" w:color="000000"/>
              <w:right w:val="single" w:sz="4" w:space="0" w:color="000000"/>
            </w:tcBorders>
            <w:shd w:val="clear" w:color="A5A5A5" w:fill="A5A5A5"/>
            <w:noWrap/>
            <w:vAlign w:val="bottom"/>
            <w:hideMark/>
          </w:tcPr>
          <w:p w14:paraId="5E8E96BF"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 </w:t>
            </w:r>
          </w:p>
        </w:tc>
      </w:tr>
      <w:tr w:rsidR="008260A4" w:rsidRPr="002306A4" w14:paraId="47BDB339" w14:textId="77777777" w:rsidTr="008260A4">
        <w:trPr>
          <w:trHeight w:val="609"/>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0F102F43"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Peer support:</w:t>
            </w:r>
            <w:r>
              <w:rPr>
                <w:rFonts w:ascii="Calibri" w:eastAsia="Times New Roman" w:hAnsi="Calibri" w:cs="Times New Roman"/>
                <w:b/>
                <w:bCs/>
                <w:color w:val="000000"/>
                <w:lang w:eastAsia="en-GB"/>
              </w:rPr>
              <w:t xml:space="preserve"> </w:t>
            </w:r>
            <w:r w:rsidRPr="002306A4">
              <w:rPr>
                <w:rFonts w:ascii="Calibri" w:eastAsia="Times New Roman" w:hAnsi="Calibri" w:cs="Times New Roman"/>
                <w:b/>
                <w:bCs/>
                <w:color w:val="000000"/>
                <w:lang w:eastAsia="en-GB"/>
              </w:rPr>
              <w:t>Evaluation of a new patient</w:t>
            </w:r>
          </w:p>
        </w:tc>
        <w:tc>
          <w:tcPr>
            <w:tcW w:w="1701" w:type="dxa"/>
            <w:tcBorders>
              <w:top w:val="nil"/>
              <w:left w:val="nil"/>
              <w:bottom w:val="single" w:sz="4" w:space="0" w:color="000000"/>
              <w:right w:val="single" w:sz="4" w:space="0" w:color="000000"/>
            </w:tcBorders>
            <w:shd w:val="clear" w:color="auto" w:fill="auto"/>
            <w:noWrap/>
            <w:vAlign w:val="bottom"/>
            <w:hideMark/>
          </w:tcPr>
          <w:p w14:paraId="7AF1CF2A"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13288.37</w:t>
            </w:r>
          </w:p>
        </w:tc>
        <w:tc>
          <w:tcPr>
            <w:tcW w:w="1559" w:type="dxa"/>
            <w:tcBorders>
              <w:top w:val="nil"/>
              <w:left w:val="nil"/>
              <w:bottom w:val="single" w:sz="4" w:space="0" w:color="000000"/>
              <w:right w:val="single" w:sz="4" w:space="0" w:color="000000"/>
            </w:tcBorders>
            <w:shd w:val="clear" w:color="auto" w:fill="auto"/>
            <w:noWrap/>
            <w:vAlign w:val="bottom"/>
            <w:hideMark/>
          </w:tcPr>
          <w:p w14:paraId="29A57672"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10.37%</w:t>
            </w:r>
          </w:p>
        </w:tc>
        <w:tc>
          <w:tcPr>
            <w:tcW w:w="1843" w:type="dxa"/>
            <w:tcBorders>
              <w:top w:val="nil"/>
              <w:left w:val="nil"/>
              <w:bottom w:val="single" w:sz="4" w:space="0" w:color="000000"/>
              <w:right w:val="single" w:sz="4" w:space="0" w:color="000000"/>
            </w:tcBorders>
            <w:shd w:val="clear" w:color="auto" w:fill="auto"/>
            <w:noWrap/>
            <w:vAlign w:val="bottom"/>
            <w:hideMark/>
          </w:tcPr>
          <w:p w14:paraId="4BBDB460" w14:textId="77777777" w:rsidR="008260A4" w:rsidRPr="002306A4" w:rsidRDefault="008260A4" w:rsidP="00105865">
            <w:pPr>
              <w:spacing w:after="0" w:line="240" w:lineRule="auto"/>
              <w:rPr>
                <w:rFonts w:ascii="Calibri" w:eastAsia="Times New Roman" w:hAnsi="Calibri" w:cs="Times New Roman"/>
                <w:color w:val="000000"/>
                <w:lang w:eastAsia="en-GB"/>
              </w:rPr>
            </w:pPr>
            <w:proofErr w:type="spellStart"/>
            <w:r w:rsidRPr="002306A4">
              <w:rPr>
                <w:rFonts w:ascii="Calibri" w:eastAsia="Times New Roman" w:hAnsi="Calibri" w:cs="Times New Roman"/>
                <w:color w:val="000000"/>
                <w:lang w:eastAsia="en-GB"/>
              </w:rPr>
              <w:t>Diag</w:t>
            </w:r>
            <w:proofErr w:type="spellEnd"/>
            <w:r w:rsidRPr="002306A4">
              <w:rPr>
                <w:rFonts w:ascii="Calibri" w:eastAsia="Times New Roman" w:hAnsi="Calibri" w:cs="Times New Roman"/>
                <w:color w:val="000000"/>
                <w:lang w:eastAsia="en-GB"/>
              </w:rPr>
              <w:t>-Engaged</w:t>
            </w:r>
          </w:p>
        </w:tc>
      </w:tr>
      <w:tr w:rsidR="008260A4" w:rsidRPr="002306A4" w14:paraId="17FCB051" w14:textId="77777777" w:rsidTr="008260A4">
        <w:trPr>
          <w:trHeight w:val="862"/>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53915E35"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Peer support: Treatment initiation and subsequent visits 0,2,4,6,8, 10 weeks</w:t>
            </w:r>
          </w:p>
        </w:tc>
        <w:tc>
          <w:tcPr>
            <w:tcW w:w="1701" w:type="dxa"/>
            <w:tcBorders>
              <w:top w:val="nil"/>
              <w:left w:val="nil"/>
              <w:bottom w:val="single" w:sz="4" w:space="0" w:color="000000"/>
              <w:right w:val="single" w:sz="4" w:space="0" w:color="000000"/>
            </w:tcBorders>
            <w:shd w:val="clear" w:color="auto" w:fill="auto"/>
            <w:noWrap/>
            <w:vAlign w:val="bottom"/>
            <w:hideMark/>
          </w:tcPr>
          <w:p w14:paraId="0AD8028E"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14111.91</w:t>
            </w:r>
          </w:p>
        </w:tc>
        <w:tc>
          <w:tcPr>
            <w:tcW w:w="1559" w:type="dxa"/>
            <w:tcBorders>
              <w:top w:val="nil"/>
              <w:left w:val="nil"/>
              <w:bottom w:val="single" w:sz="4" w:space="0" w:color="000000"/>
              <w:right w:val="single" w:sz="4" w:space="0" w:color="000000"/>
            </w:tcBorders>
            <w:shd w:val="clear" w:color="auto" w:fill="auto"/>
            <w:noWrap/>
            <w:vAlign w:val="bottom"/>
            <w:hideMark/>
          </w:tcPr>
          <w:p w14:paraId="1BE6B943"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11.01%</w:t>
            </w:r>
          </w:p>
        </w:tc>
        <w:tc>
          <w:tcPr>
            <w:tcW w:w="1843" w:type="dxa"/>
            <w:tcBorders>
              <w:top w:val="nil"/>
              <w:left w:val="nil"/>
              <w:bottom w:val="single" w:sz="4" w:space="0" w:color="000000"/>
              <w:right w:val="single" w:sz="4" w:space="0" w:color="000000"/>
            </w:tcBorders>
            <w:shd w:val="clear" w:color="auto" w:fill="auto"/>
            <w:noWrap/>
            <w:vAlign w:val="bottom"/>
            <w:hideMark/>
          </w:tcPr>
          <w:p w14:paraId="7D5DF13D" w14:textId="77777777" w:rsidR="008260A4" w:rsidRPr="002306A4" w:rsidRDefault="008260A4" w:rsidP="00105865">
            <w:pPr>
              <w:spacing w:after="0" w:line="240" w:lineRule="auto"/>
              <w:rPr>
                <w:rFonts w:ascii="Calibri" w:eastAsia="Times New Roman" w:hAnsi="Calibri" w:cs="Times New Roman"/>
                <w:color w:val="000000"/>
                <w:lang w:eastAsia="en-GB"/>
              </w:rPr>
            </w:pPr>
            <w:proofErr w:type="spellStart"/>
            <w:r w:rsidRPr="002306A4">
              <w:rPr>
                <w:rFonts w:ascii="Calibri" w:eastAsia="Times New Roman" w:hAnsi="Calibri" w:cs="Times New Roman"/>
                <w:color w:val="000000"/>
                <w:lang w:eastAsia="en-GB"/>
              </w:rPr>
              <w:t>Eng</w:t>
            </w:r>
            <w:proofErr w:type="spellEnd"/>
            <w:r w:rsidRPr="002306A4">
              <w:rPr>
                <w:rFonts w:ascii="Calibri" w:eastAsia="Times New Roman" w:hAnsi="Calibri" w:cs="Times New Roman"/>
                <w:color w:val="000000"/>
                <w:lang w:eastAsia="en-GB"/>
              </w:rPr>
              <w:t>-Treatment</w:t>
            </w:r>
          </w:p>
        </w:tc>
      </w:tr>
      <w:tr w:rsidR="008260A4" w:rsidRPr="002306A4" w14:paraId="5FCBA2C8" w14:textId="77777777" w:rsidTr="008260A4">
        <w:trPr>
          <w:trHeight w:val="388"/>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5404D057"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Adherence Support</w:t>
            </w:r>
          </w:p>
        </w:tc>
        <w:tc>
          <w:tcPr>
            <w:tcW w:w="1701" w:type="dxa"/>
            <w:tcBorders>
              <w:top w:val="nil"/>
              <w:left w:val="nil"/>
              <w:bottom w:val="single" w:sz="4" w:space="0" w:color="000000"/>
              <w:right w:val="single" w:sz="4" w:space="0" w:color="000000"/>
            </w:tcBorders>
            <w:shd w:val="clear" w:color="auto" w:fill="auto"/>
            <w:noWrap/>
            <w:vAlign w:val="bottom"/>
            <w:hideMark/>
          </w:tcPr>
          <w:p w14:paraId="57B98D4B"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8289.22</w:t>
            </w:r>
          </w:p>
        </w:tc>
        <w:tc>
          <w:tcPr>
            <w:tcW w:w="1559" w:type="dxa"/>
            <w:tcBorders>
              <w:top w:val="nil"/>
              <w:left w:val="nil"/>
              <w:bottom w:val="single" w:sz="4" w:space="0" w:color="000000"/>
              <w:right w:val="single" w:sz="4" w:space="0" w:color="000000"/>
            </w:tcBorders>
            <w:shd w:val="clear" w:color="auto" w:fill="auto"/>
            <w:noWrap/>
            <w:vAlign w:val="bottom"/>
            <w:hideMark/>
          </w:tcPr>
          <w:p w14:paraId="046E6179"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6.47%</w:t>
            </w:r>
          </w:p>
        </w:tc>
        <w:tc>
          <w:tcPr>
            <w:tcW w:w="1843" w:type="dxa"/>
            <w:tcBorders>
              <w:top w:val="nil"/>
              <w:left w:val="nil"/>
              <w:bottom w:val="single" w:sz="4" w:space="0" w:color="000000"/>
              <w:right w:val="single" w:sz="4" w:space="0" w:color="000000"/>
            </w:tcBorders>
            <w:shd w:val="clear" w:color="auto" w:fill="auto"/>
            <w:noWrap/>
            <w:vAlign w:val="bottom"/>
            <w:hideMark/>
          </w:tcPr>
          <w:p w14:paraId="199E0FAA" w14:textId="77777777" w:rsidR="008260A4" w:rsidRPr="002306A4" w:rsidRDefault="008260A4" w:rsidP="00105865">
            <w:pPr>
              <w:spacing w:after="0" w:line="240" w:lineRule="auto"/>
              <w:rPr>
                <w:rFonts w:ascii="Calibri" w:eastAsia="Times New Roman" w:hAnsi="Calibri" w:cs="Times New Roman"/>
                <w:color w:val="000000"/>
                <w:lang w:eastAsia="en-GB"/>
              </w:rPr>
            </w:pPr>
            <w:proofErr w:type="spellStart"/>
            <w:r w:rsidRPr="002306A4">
              <w:rPr>
                <w:rFonts w:ascii="Calibri" w:eastAsia="Times New Roman" w:hAnsi="Calibri" w:cs="Times New Roman"/>
                <w:color w:val="000000"/>
                <w:lang w:eastAsia="en-GB"/>
              </w:rPr>
              <w:t>Eng</w:t>
            </w:r>
            <w:proofErr w:type="spellEnd"/>
            <w:r w:rsidRPr="002306A4">
              <w:rPr>
                <w:rFonts w:ascii="Calibri" w:eastAsia="Times New Roman" w:hAnsi="Calibri" w:cs="Times New Roman"/>
                <w:color w:val="000000"/>
                <w:lang w:eastAsia="en-GB"/>
              </w:rPr>
              <w:t>-Treatment</w:t>
            </w:r>
          </w:p>
        </w:tc>
      </w:tr>
      <w:tr w:rsidR="008260A4" w:rsidRPr="002306A4" w14:paraId="58E83F5F" w14:textId="77777777" w:rsidTr="008260A4">
        <w:trPr>
          <w:trHeight w:val="564"/>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2230AB13"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Peer support: Post treatment visits 12 weeks and 1 year</w:t>
            </w:r>
          </w:p>
        </w:tc>
        <w:tc>
          <w:tcPr>
            <w:tcW w:w="1701" w:type="dxa"/>
            <w:tcBorders>
              <w:top w:val="nil"/>
              <w:left w:val="nil"/>
              <w:bottom w:val="single" w:sz="4" w:space="0" w:color="000000"/>
              <w:right w:val="single" w:sz="4" w:space="0" w:color="000000"/>
            </w:tcBorders>
            <w:shd w:val="clear" w:color="auto" w:fill="auto"/>
            <w:noWrap/>
            <w:vAlign w:val="bottom"/>
            <w:hideMark/>
          </w:tcPr>
          <w:p w14:paraId="401FB844"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8264.22</w:t>
            </w:r>
          </w:p>
        </w:tc>
        <w:tc>
          <w:tcPr>
            <w:tcW w:w="1559" w:type="dxa"/>
            <w:tcBorders>
              <w:top w:val="nil"/>
              <w:left w:val="nil"/>
              <w:bottom w:val="single" w:sz="4" w:space="0" w:color="000000"/>
              <w:right w:val="single" w:sz="4" w:space="0" w:color="000000"/>
            </w:tcBorders>
            <w:shd w:val="clear" w:color="auto" w:fill="auto"/>
            <w:noWrap/>
            <w:vAlign w:val="bottom"/>
            <w:hideMark/>
          </w:tcPr>
          <w:p w14:paraId="1BECE3AB"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6.45%</w:t>
            </w:r>
          </w:p>
        </w:tc>
        <w:tc>
          <w:tcPr>
            <w:tcW w:w="1843" w:type="dxa"/>
            <w:tcBorders>
              <w:top w:val="nil"/>
              <w:left w:val="nil"/>
              <w:bottom w:val="single" w:sz="4" w:space="0" w:color="000000"/>
              <w:right w:val="single" w:sz="4" w:space="0" w:color="000000"/>
            </w:tcBorders>
            <w:shd w:val="clear" w:color="auto" w:fill="auto"/>
            <w:noWrap/>
            <w:vAlign w:val="bottom"/>
            <w:hideMark/>
          </w:tcPr>
          <w:p w14:paraId="69E6DE3A"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Treatment</w:t>
            </w:r>
          </w:p>
        </w:tc>
      </w:tr>
      <w:tr w:rsidR="008260A4" w:rsidRPr="002306A4" w14:paraId="2CB2C9A8" w14:textId="77777777" w:rsidTr="008260A4">
        <w:trPr>
          <w:trHeight w:val="403"/>
        </w:trPr>
        <w:tc>
          <w:tcPr>
            <w:tcW w:w="3256" w:type="dxa"/>
            <w:tcBorders>
              <w:top w:val="nil"/>
              <w:left w:val="single" w:sz="4" w:space="0" w:color="000000"/>
              <w:bottom w:val="single" w:sz="4" w:space="0" w:color="000000"/>
              <w:right w:val="single" w:sz="4" w:space="0" w:color="000000"/>
            </w:tcBorders>
            <w:shd w:val="clear" w:color="F7CAAC" w:fill="F7CAAC"/>
            <w:vAlign w:val="bottom"/>
            <w:hideMark/>
          </w:tcPr>
          <w:p w14:paraId="60D3F35B"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TREATMENT TOTAL</w:t>
            </w:r>
          </w:p>
        </w:tc>
        <w:tc>
          <w:tcPr>
            <w:tcW w:w="1701" w:type="dxa"/>
            <w:tcBorders>
              <w:top w:val="nil"/>
              <w:left w:val="nil"/>
              <w:bottom w:val="single" w:sz="4" w:space="0" w:color="000000"/>
              <w:right w:val="single" w:sz="4" w:space="0" w:color="000000"/>
            </w:tcBorders>
            <w:shd w:val="clear" w:color="auto" w:fill="auto"/>
            <w:noWrap/>
            <w:vAlign w:val="bottom"/>
            <w:hideMark/>
          </w:tcPr>
          <w:p w14:paraId="3E2BCDB7"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43953.73</w:t>
            </w:r>
          </w:p>
        </w:tc>
        <w:tc>
          <w:tcPr>
            <w:tcW w:w="1559" w:type="dxa"/>
            <w:tcBorders>
              <w:top w:val="nil"/>
              <w:left w:val="nil"/>
              <w:bottom w:val="single" w:sz="4" w:space="0" w:color="000000"/>
              <w:right w:val="single" w:sz="4" w:space="0" w:color="000000"/>
            </w:tcBorders>
            <w:shd w:val="clear" w:color="auto" w:fill="auto"/>
            <w:noWrap/>
            <w:vAlign w:val="bottom"/>
            <w:hideMark/>
          </w:tcPr>
          <w:p w14:paraId="317FAF49"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 </w:t>
            </w:r>
          </w:p>
        </w:tc>
        <w:tc>
          <w:tcPr>
            <w:tcW w:w="1843" w:type="dxa"/>
            <w:tcBorders>
              <w:top w:val="nil"/>
              <w:left w:val="nil"/>
              <w:bottom w:val="single" w:sz="4" w:space="0" w:color="000000"/>
              <w:right w:val="single" w:sz="4" w:space="0" w:color="000000"/>
            </w:tcBorders>
            <w:shd w:val="clear" w:color="auto" w:fill="auto"/>
            <w:noWrap/>
            <w:vAlign w:val="bottom"/>
            <w:hideMark/>
          </w:tcPr>
          <w:p w14:paraId="0A745A24"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 </w:t>
            </w:r>
          </w:p>
        </w:tc>
      </w:tr>
      <w:tr w:rsidR="008260A4" w:rsidRPr="002306A4" w14:paraId="615A9F96" w14:textId="77777777" w:rsidTr="008260A4">
        <w:trPr>
          <w:trHeight w:val="423"/>
        </w:trPr>
        <w:tc>
          <w:tcPr>
            <w:tcW w:w="3256" w:type="dxa"/>
            <w:tcBorders>
              <w:top w:val="nil"/>
              <w:left w:val="single" w:sz="4" w:space="0" w:color="000000"/>
              <w:bottom w:val="single" w:sz="4" w:space="0" w:color="000000"/>
              <w:right w:val="single" w:sz="4" w:space="0" w:color="000000"/>
            </w:tcBorders>
            <w:shd w:val="clear" w:color="A5A5A5" w:fill="A5A5A5"/>
            <w:noWrap/>
            <w:vAlign w:val="bottom"/>
            <w:hideMark/>
          </w:tcPr>
          <w:p w14:paraId="61EEFCCF" w14:textId="77777777" w:rsidR="008260A4" w:rsidRPr="002306A4" w:rsidRDefault="008260A4" w:rsidP="00105865">
            <w:pPr>
              <w:spacing w:after="0" w:line="240" w:lineRule="auto"/>
              <w:rPr>
                <w:rFonts w:ascii="Calibri" w:eastAsia="Times New Roman" w:hAnsi="Calibri" w:cs="Times New Roman"/>
                <w:b/>
                <w:bCs/>
                <w:color w:val="000000"/>
                <w:lang w:eastAsia="en-GB"/>
              </w:rPr>
            </w:pPr>
            <w:r w:rsidRPr="002306A4">
              <w:rPr>
                <w:rFonts w:ascii="Calibri" w:eastAsia="Times New Roman" w:hAnsi="Calibri" w:cs="Times New Roman"/>
                <w:b/>
                <w:bCs/>
                <w:color w:val="000000"/>
                <w:lang w:eastAsia="en-GB"/>
              </w:rPr>
              <w:t xml:space="preserve">TOTAL </w:t>
            </w:r>
          </w:p>
        </w:tc>
        <w:tc>
          <w:tcPr>
            <w:tcW w:w="1701" w:type="dxa"/>
            <w:tcBorders>
              <w:top w:val="nil"/>
              <w:left w:val="nil"/>
              <w:bottom w:val="single" w:sz="4" w:space="0" w:color="000000"/>
              <w:right w:val="single" w:sz="4" w:space="0" w:color="000000"/>
            </w:tcBorders>
            <w:shd w:val="clear" w:color="auto" w:fill="auto"/>
            <w:noWrap/>
            <w:vAlign w:val="bottom"/>
            <w:hideMark/>
          </w:tcPr>
          <w:p w14:paraId="286575AE" w14:textId="77777777" w:rsidR="008260A4" w:rsidRPr="002306A4" w:rsidRDefault="008260A4" w:rsidP="00105865">
            <w:pPr>
              <w:spacing w:after="0" w:line="240" w:lineRule="auto"/>
              <w:jc w:val="right"/>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128136.70</w:t>
            </w:r>
          </w:p>
        </w:tc>
        <w:tc>
          <w:tcPr>
            <w:tcW w:w="1559" w:type="dxa"/>
            <w:tcBorders>
              <w:top w:val="nil"/>
              <w:left w:val="nil"/>
              <w:bottom w:val="single" w:sz="4" w:space="0" w:color="000000"/>
              <w:right w:val="single" w:sz="4" w:space="0" w:color="000000"/>
            </w:tcBorders>
            <w:shd w:val="clear" w:color="auto" w:fill="auto"/>
            <w:noWrap/>
            <w:vAlign w:val="bottom"/>
            <w:hideMark/>
          </w:tcPr>
          <w:p w14:paraId="57605DF0" w14:textId="77777777" w:rsidR="008260A4" w:rsidRPr="002306A4" w:rsidRDefault="008260A4" w:rsidP="00105865">
            <w:pPr>
              <w:spacing w:after="0" w:line="240" w:lineRule="auto"/>
              <w:rPr>
                <w:rFonts w:ascii="Calibri" w:eastAsia="Times New Roman" w:hAnsi="Calibri" w:cs="Times New Roman"/>
                <w:color w:val="000000"/>
                <w:lang w:eastAsia="en-GB"/>
              </w:rPr>
            </w:pPr>
            <w:r w:rsidRPr="002306A4">
              <w:rPr>
                <w:rFonts w:ascii="Calibri" w:eastAsia="Times New Roman" w:hAnsi="Calibri" w:cs="Times New Roman"/>
                <w:color w:val="000000"/>
                <w:lang w:eastAsia="en-GB"/>
              </w:rPr>
              <w:t> </w:t>
            </w:r>
          </w:p>
        </w:tc>
        <w:tc>
          <w:tcPr>
            <w:tcW w:w="1843" w:type="dxa"/>
            <w:tcBorders>
              <w:top w:val="nil"/>
              <w:left w:val="nil"/>
              <w:bottom w:val="single" w:sz="4" w:space="0" w:color="000000"/>
              <w:right w:val="single" w:sz="4" w:space="0" w:color="000000"/>
            </w:tcBorders>
            <w:shd w:val="clear" w:color="A5A5A5" w:fill="A5A5A5"/>
            <w:vAlign w:val="bottom"/>
          </w:tcPr>
          <w:p w14:paraId="2700B634" w14:textId="77777777" w:rsidR="008260A4" w:rsidRPr="002306A4" w:rsidRDefault="008260A4" w:rsidP="00105865">
            <w:pPr>
              <w:spacing w:after="0" w:line="240" w:lineRule="auto"/>
              <w:rPr>
                <w:rFonts w:ascii="Calibri" w:eastAsia="Times New Roman" w:hAnsi="Calibri" w:cs="Times New Roman"/>
                <w:b/>
                <w:bCs/>
                <w:color w:val="000000"/>
                <w:lang w:eastAsia="en-GB"/>
              </w:rPr>
            </w:pPr>
          </w:p>
        </w:tc>
      </w:tr>
    </w:tbl>
    <w:p w14:paraId="6CA92E42" w14:textId="215B1718" w:rsidR="0006432F" w:rsidRDefault="0006432F" w:rsidP="00105865">
      <w:pPr>
        <w:spacing w:line="240" w:lineRule="auto"/>
      </w:pPr>
    </w:p>
    <w:p w14:paraId="3E91B222" w14:textId="77777777" w:rsidR="0006432F" w:rsidRDefault="0006432F">
      <w:r>
        <w:br w:type="page"/>
      </w:r>
    </w:p>
    <w:p w14:paraId="1242E67D" w14:textId="62E4C491" w:rsidR="008260A4" w:rsidRDefault="008260A4" w:rsidP="00105865">
      <w:pPr>
        <w:spacing w:line="240" w:lineRule="auto"/>
      </w:pPr>
      <w:r>
        <w:lastRenderedPageBreak/>
        <w:t>Figure S</w:t>
      </w:r>
      <w:r w:rsidR="00960E38">
        <w:t>3</w:t>
      </w:r>
      <w:r>
        <w:t>: Results of the ANCOVA sensitivity analysis</w:t>
      </w:r>
    </w:p>
    <w:p w14:paraId="2B910847" w14:textId="1BA7FC90" w:rsidR="008260A4" w:rsidRDefault="00762E8A" w:rsidP="00105865">
      <w:pPr>
        <w:spacing w:line="240" w:lineRule="auto"/>
      </w:pPr>
      <w:r>
        <w:rPr>
          <w:noProof/>
        </w:rPr>
        <w:drawing>
          <wp:inline distT="0" distB="0" distL="0" distR="0" wp14:anchorId="1690E254" wp14:editId="6FDA56FB">
            <wp:extent cx="5476875" cy="7648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ova pie charts.png"/>
                    <pic:cNvPicPr/>
                  </pic:nvPicPr>
                  <pic:blipFill rotWithShape="1">
                    <a:blip r:embed="rId6">
                      <a:extLst>
                        <a:ext uri="{28A0092B-C50C-407E-A947-70E740481C1C}">
                          <a14:useLocalDpi xmlns:a14="http://schemas.microsoft.com/office/drawing/2010/main" val="0"/>
                        </a:ext>
                      </a:extLst>
                    </a:blip>
                    <a:srcRect l="32406" r="30036"/>
                    <a:stretch/>
                  </pic:blipFill>
                  <pic:spPr bwMode="auto">
                    <a:xfrm>
                      <a:off x="0" y="0"/>
                      <a:ext cx="5494121" cy="7672321"/>
                    </a:xfrm>
                    <a:prstGeom prst="rect">
                      <a:avLst/>
                    </a:prstGeom>
                    <a:ln>
                      <a:noFill/>
                    </a:ln>
                    <a:extLst>
                      <a:ext uri="{53640926-AAD7-44D8-BBD7-CCE9431645EC}">
                        <a14:shadowObscured xmlns:a14="http://schemas.microsoft.com/office/drawing/2010/main"/>
                      </a:ext>
                    </a:extLst>
                  </pic:spPr>
                </pic:pic>
              </a:graphicData>
            </a:graphic>
          </wp:inline>
        </w:drawing>
      </w:r>
    </w:p>
    <w:p w14:paraId="75F74E7A" w14:textId="77777777" w:rsidR="008260A4" w:rsidRDefault="008260A4" w:rsidP="00105865">
      <w:pPr>
        <w:spacing w:line="240" w:lineRule="auto"/>
        <w:rPr>
          <w:b/>
        </w:rPr>
      </w:pPr>
    </w:p>
    <w:p w14:paraId="2B8A917D" w14:textId="77777777" w:rsidR="008260A4" w:rsidRDefault="008260A4" w:rsidP="00105865">
      <w:pPr>
        <w:spacing w:line="240" w:lineRule="auto"/>
      </w:pPr>
    </w:p>
    <w:p w14:paraId="1E333EDB" w14:textId="4B96C292" w:rsidR="00105865" w:rsidRPr="00091C92" w:rsidRDefault="00142F4A" w:rsidP="00105865">
      <w:pPr>
        <w:spacing w:line="240" w:lineRule="auto"/>
        <w:rPr>
          <w:b/>
        </w:rPr>
      </w:pPr>
      <w:r w:rsidRPr="00091C92">
        <w:rPr>
          <w:b/>
        </w:rPr>
        <w:t xml:space="preserve">Table S4 Itemised costing of </w:t>
      </w:r>
      <w:r w:rsidR="00091C92" w:rsidRPr="00091C92">
        <w:rPr>
          <w:b/>
        </w:rPr>
        <w:t>HCV treatment in hospital</w:t>
      </w:r>
    </w:p>
    <w:tbl>
      <w:tblPr>
        <w:tblW w:w="8300" w:type="dxa"/>
        <w:tblLook w:val="04A0" w:firstRow="1" w:lastRow="0" w:firstColumn="1" w:lastColumn="0" w:noHBand="0" w:noVBand="1"/>
      </w:tblPr>
      <w:tblGrid>
        <w:gridCol w:w="2780"/>
        <w:gridCol w:w="1960"/>
        <w:gridCol w:w="1057"/>
        <w:gridCol w:w="1175"/>
        <w:gridCol w:w="1328"/>
      </w:tblGrid>
      <w:tr w:rsidR="00142F4A" w:rsidRPr="00142F4A" w14:paraId="0D75F853" w14:textId="77777777" w:rsidTr="00142F4A">
        <w:trPr>
          <w:trHeight w:val="600"/>
        </w:trPr>
        <w:tc>
          <w:tcPr>
            <w:tcW w:w="2780" w:type="dxa"/>
            <w:tcBorders>
              <w:top w:val="nil"/>
              <w:left w:val="nil"/>
              <w:bottom w:val="nil"/>
              <w:right w:val="nil"/>
            </w:tcBorders>
            <w:shd w:val="clear" w:color="auto" w:fill="auto"/>
            <w:noWrap/>
            <w:vAlign w:val="bottom"/>
            <w:hideMark/>
          </w:tcPr>
          <w:p w14:paraId="5B41FF5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lastRenderedPageBreak/>
              <w:t>Item</w:t>
            </w:r>
          </w:p>
        </w:tc>
        <w:tc>
          <w:tcPr>
            <w:tcW w:w="1960" w:type="dxa"/>
            <w:tcBorders>
              <w:top w:val="nil"/>
              <w:left w:val="nil"/>
              <w:bottom w:val="nil"/>
              <w:right w:val="nil"/>
            </w:tcBorders>
            <w:shd w:val="clear" w:color="auto" w:fill="auto"/>
            <w:noWrap/>
            <w:vAlign w:val="bottom"/>
            <w:hideMark/>
          </w:tcPr>
          <w:p w14:paraId="0DEEC59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Lab</w:t>
            </w:r>
          </w:p>
        </w:tc>
        <w:tc>
          <w:tcPr>
            <w:tcW w:w="1057" w:type="dxa"/>
            <w:tcBorders>
              <w:top w:val="nil"/>
              <w:left w:val="nil"/>
              <w:bottom w:val="nil"/>
              <w:right w:val="nil"/>
            </w:tcBorders>
            <w:shd w:val="clear" w:color="auto" w:fill="auto"/>
            <w:vAlign w:val="bottom"/>
            <w:hideMark/>
          </w:tcPr>
          <w:p w14:paraId="1C1E0E4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Time in minutes</w:t>
            </w:r>
          </w:p>
        </w:tc>
        <w:tc>
          <w:tcPr>
            <w:tcW w:w="1175" w:type="dxa"/>
            <w:tcBorders>
              <w:top w:val="nil"/>
              <w:left w:val="nil"/>
              <w:bottom w:val="nil"/>
              <w:right w:val="nil"/>
            </w:tcBorders>
            <w:shd w:val="clear" w:color="auto" w:fill="auto"/>
            <w:vAlign w:val="bottom"/>
            <w:hideMark/>
          </w:tcPr>
          <w:p w14:paraId="4816F2B7"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Cost per hour</w:t>
            </w:r>
          </w:p>
        </w:tc>
        <w:tc>
          <w:tcPr>
            <w:tcW w:w="1328" w:type="dxa"/>
            <w:tcBorders>
              <w:top w:val="nil"/>
              <w:left w:val="nil"/>
              <w:bottom w:val="nil"/>
              <w:right w:val="nil"/>
            </w:tcBorders>
            <w:shd w:val="clear" w:color="auto" w:fill="auto"/>
            <w:noWrap/>
            <w:vAlign w:val="bottom"/>
            <w:hideMark/>
          </w:tcPr>
          <w:p w14:paraId="336A3B69"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Cost</w:t>
            </w:r>
          </w:p>
        </w:tc>
      </w:tr>
      <w:tr w:rsidR="00142F4A" w:rsidRPr="00142F4A" w14:paraId="167FEF6A" w14:textId="77777777" w:rsidTr="00142F4A">
        <w:trPr>
          <w:trHeight w:val="300"/>
        </w:trPr>
        <w:tc>
          <w:tcPr>
            <w:tcW w:w="4740" w:type="dxa"/>
            <w:gridSpan w:val="2"/>
            <w:tcBorders>
              <w:top w:val="nil"/>
              <w:left w:val="nil"/>
              <w:bottom w:val="nil"/>
              <w:right w:val="nil"/>
            </w:tcBorders>
            <w:shd w:val="clear" w:color="auto" w:fill="auto"/>
            <w:noWrap/>
            <w:vAlign w:val="bottom"/>
            <w:hideMark/>
          </w:tcPr>
          <w:p w14:paraId="01C43F14" w14:textId="77777777" w:rsidR="00142F4A" w:rsidRPr="00142F4A" w:rsidRDefault="00142F4A" w:rsidP="00142F4A">
            <w:pPr>
              <w:spacing w:after="0" w:line="240" w:lineRule="auto"/>
              <w:rPr>
                <w:rFonts w:ascii="Calibri" w:eastAsia="Times New Roman" w:hAnsi="Calibri" w:cs="Calibri"/>
                <w:b/>
                <w:bCs/>
                <w:color w:val="000000"/>
                <w:lang w:eastAsia="en-GB"/>
              </w:rPr>
            </w:pPr>
            <w:r w:rsidRPr="00142F4A">
              <w:rPr>
                <w:rFonts w:ascii="Calibri" w:eastAsia="Times New Roman" w:hAnsi="Calibri" w:cs="Calibri"/>
                <w:b/>
                <w:bCs/>
                <w:color w:val="000000"/>
                <w:lang w:eastAsia="en-GB"/>
              </w:rPr>
              <w:t>Evaluation of a new patient with confirmed HCV</w:t>
            </w:r>
          </w:p>
        </w:tc>
        <w:tc>
          <w:tcPr>
            <w:tcW w:w="1057" w:type="dxa"/>
            <w:tcBorders>
              <w:top w:val="nil"/>
              <w:left w:val="nil"/>
              <w:bottom w:val="nil"/>
              <w:right w:val="nil"/>
            </w:tcBorders>
            <w:shd w:val="clear" w:color="auto" w:fill="auto"/>
            <w:vAlign w:val="bottom"/>
            <w:hideMark/>
          </w:tcPr>
          <w:p w14:paraId="60B49B36" w14:textId="77777777" w:rsidR="00142F4A" w:rsidRPr="00142F4A" w:rsidRDefault="00142F4A" w:rsidP="00142F4A">
            <w:pPr>
              <w:spacing w:after="0" w:line="240" w:lineRule="auto"/>
              <w:rPr>
                <w:rFonts w:ascii="Calibri" w:eastAsia="Times New Roman" w:hAnsi="Calibri" w:cs="Calibri"/>
                <w:b/>
                <w:bCs/>
                <w:color w:val="000000"/>
                <w:lang w:eastAsia="en-GB"/>
              </w:rPr>
            </w:pPr>
          </w:p>
        </w:tc>
        <w:tc>
          <w:tcPr>
            <w:tcW w:w="1175" w:type="dxa"/>
            <w:tcBorders>
              <w:top w:val="nil"/>
              <w:left w:val="nil"/>
              <w:bottom w:val="nil"/>
              <w:right w:val="nil"/>
            </w:tcBorders>
            <w:shd w:val="clear" w:color="auto" w:fill="auto"/>
            <w:vAlign w:val="bottom"/>
            <w:hideMark/>
          </w:tcPr>
          <w:p w14:paraId="0BB34243"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nil"/>
            </w:tcBorders>
            <w:shd w:val="clear" w:color="auto" w:fill="auto"/>
            <w:noWrap/>
            <w:vAlign w:val="bottom"/>
            <w:hideMark/>
          </w:tcPr>
          <w:p w14:paraId="7701AE12"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r>
      <w:tr w:rsidR="00142F4A" w:rsidRPr="00142F4A" w14:paraId="6857F08B" w14:textId="77777777" w:rsidTr="00142F4A">
        <w:trPr>
          <w:trHeight w:val="300"/>
        </w:trPr>
        <w:tc>
          <w:tcPr>
            <w:tcW w:w="2780" w:type="dxa"/>
            <w:tcBorders>
              <w:top w:val="single" w:sz="4" w:space="0" w:color="auto"/>
              <w:left w:val="single" w:sz="4" w:space="0" w:color="auto"/>
              <w:bottom w:val="nil"/>
              <w:right w:val="nil"/>
            </w:tcBorders>
            <w:shd w:val="clear" w:color="auto" w:fill="auto"/>
            <w:noWrap/>
            <w:vAlign w:val="bottom"/>
            <w:hideMark/>
          </w:tcPr>
          <w:p w14:paraId="4510672F" w14:textId="77777777" w:rsidR="00142F4A" w:rsidRPr="00142F4A" w:rsidRDefault="00142F4A" w:rsidP="00142F4A">
            <w:pPr>
              <w:spacing w:after="0" w:line="240" w:lineRule="auto"/>
              <w:rPr>
                <w:rFonts w:ascii="Calibri" w:eastAsia="Times New Roman" w:hAnsi="Calibri" w:cs="Calibri"/>
                <w:color w:val="000000"/>
                <w:u w:val="single"/>
                <w:lang w:eastAsia="en-GB"/>
              </w:rPr>
            </w:pPr>
            <w:r w:rsidRPr="00142F4A">
              <w:rPr>
                <w:rFonts w:ascii="Calibri" w:eastAsia="Times New Roman" w:hAnsi="Calibri" w:cs="Calibri"/>
                <w:color w:val="000000"/>
                <w:u w:val="single"/>
                <w:lang w:eastAsia="en-GB"/>
              </w:rPr>
              <w:t>Staff</w:t>
            </w:r>
          </w:p>
        </w:tc>
        <w:tc>
          <w:tcPr>
            <w:tcW w:w="1960" w:type="dxa"/>
            <w:tcBorders>
              <w:top w:val="single" w:sz="4" w:space="0" w:color="auto"/>
              <w:left w:val="nil"/>
              <w:bottom w:val="nil"/>
              <w:right w:val="nil"/>
            </w:tcBorders>
            <w:shd w:val="clear" w:color="auto" w:fill="auto"/>
            <w:noWrap/>
            <w:vAlign w:val="bottom"/>
            <w:hideMark/>
          </w:tcPr>
          <w:p w14:paraId="21536053"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057" w:type="dxa"/>
            <w:tcBorders>
              <w:top w:val="single" w:sz="4" w:space="0" w:color="auto"/>
              <w:left w:val="nil"/>
              <w:bottom w:val="nil"/>
              <w:right w:val="nil"/>
            </w:tcBorders>
            <w:shd w:val="clear" w:color="auto" w:fill="auto"/>
            <w:vAlign w:val="bottom"/>
            <w:hideMark/>
          </w:tcPr>
          <w:p w14:paraId="16A3195C"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175" w:type="dxa"/>
            <w:tcBorders>
              <w:top w:val="single" w:sz="4" w:space="0" w:color="auto"/>
              <w:left w:val="nil"/>
              <w:bottom w:val="nil"/>
              <w:right w:val="nil"/>
            </w:tcBorders>
            <w:shd w:val="clear" w:color="auto" w:fill="auto"/>
            <w:vAlign w:val="bottom"/>
            <w:hideMark/>
          </w:tcPr>
          <w:p w14:paraId="0A10A3A9"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328" w:type="dxa"/>
            <w:tcBorders>
              <w:top w:val="single" w:sz="4" w:space="0" w:color="auto"/>
              <w:left w:val="nil"/>
              <w:bottom w:val="nil"/>
              <w:right w:val="single" w:sz="4" w:space="0" w:color="auto"/>
            </w:tcBorders>
            <w:shd w:val="clear" w:color="auto" w:fill="auto"/>
            <w:noWrap/>
            <w:vAlign w:val="bottom"/>
            <w:hideMark/>
          </w:tcPr>
          <w:p w14:paraId="3B63379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5E8D13E6"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10B40527"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Specialist Nurse</w:t>
            </w:r>
          </w:p>
        </w:tc>
        <w:tc>
          <w:tcPr>
            <w:tcW w:w="1960" w:type="dxa"/>
            <w:tcBorders>
              <w:top w:val="nil"/>
              <w:left w:val="nil"/>
              <w:bottom w:val="nil"/>
              <w:right w:val="nil"/>
            </w:tcBorders>
            <w:shd w:val="clear" w:color="auto" w:fill="auto"/>
            <w:noWrap/>
            <w:vAlign w:val="bottom"/>
            <w:hideMark/>
          </w:tcPr>
          <w:p w14:paraId="653657EC"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70D7DFC2" w14:textId="77777777" w:rsidR="00142F4A" w:rsidRPr="00142F4A" w:rsidRDefault="00142F4A" w:rsidP="00142F4A">
            <w:pPr>
              <w:spacing w:after="0" w:line="240" w:lineRule="auto"/>
              <w:jc w:val="right"/>
              <w:rPr>
                <w:rFonts w:ascii="Calibri" w:eastAsia="Times New Roman" w:hAnsi="Calibri" w:cs="Calibri"/>
                <w:color w:val="000000"/>
                <w:lang w:eastAsia="en-GB"/>
              </w:rPr>
            </w:pPr>
            <w:r w:rsidRPr="00142F4A">
              <w:rPr>
                <w:rFonts w:ascii="Calibri" w:eastAsia="Times New Roman" w:hAnsi="Calibri" w:cs="Calibri"/>
                <w:color w:val="000000"/>
                <w:lang w:eastAsia="en-GB"/>
              </w:rPr>
              <w:t>0</w:t>
            </w:r>
          </w:p>
        </w:tc>
        <w:tc>
          <w:tcPr>
            <w:tcW w:w="1175" w:type="dxa"/>
            <w:tcBorders>
              <w:top w:val="nil"/>
              <w:left w:val="nil"/>
              <w:bottom w:val="nil"/>
              <w:right w:val="nil"/>
            </w:tcBorders>
            <w:shd w:val="clear" w:color="auto" w:fill="auto"/>
            <w:vAlign w:val="bottom"/>
            <w:hideMark/>
          </w:tcPr>
          <w:p w14:paraId="24B00C5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15.72 </w:t>
            </w:r>
          </w:p>
        </w:tc>
        <w:tc>
          <w:tcPr>
            <w:tcW w:w="1328" w:type="dxa"/>
            <w:tcBorders>
              <w:top w:val="nil"/>
              <w:left w:val="nil"/>
              <w:bottom w:val="nil"/>
              <w:right w:val="single" w:sz="4" w:space="0" w:color="auto"/>
            </w:tcBorders>
            <w:shd w:val="clear" w:color="auto" w:fill="auto"/>
            <w:noWrap/>
            <w:vAlign w:val="bottom"/>
            <w:hideMark/>
          </w:tcPr>
          <w:p w14:paraId="10D5363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   </w:t>
            </w:r>
          </w:p>
        </w:tc>
      </w:tr>
      <w:tr w:rsidR="00142F4A" w:rsidRPr="00142F4A" w14:paraId="5F545BF8"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6541426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Consultant</w:t>
            </w:r>
          </w:p>
        </w:tc>
        <w:tc>
          <w:tcPr>
            <w:tcW w:w="1960" w:type="dxa"/>
            <w:tcBorders>
              <w:top w:val="nil"/>
              <w:left w:val="nil"/>
              <w:bottom w:val="nil"/>
              <w:right w:val="nil"/>
            </w:tcBorders>
            <w:shd w:val="clear" w:color="auto" w:fill="auto"/>
            <w:noWrap/>
            <w:vAlign w:val="bottom"/>
            <w:hideMark/>
          </w:tcPr>
          <w:p w14:paraId="139E7B09"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41E2D286" w14:textId="77777777" w:rsidR="00142F4A" w:rsidRPr="00142F4A" w:rsidRDefault="00142F4A" w:rsidP="00142F4A">
            <w:pPr>
              <w:spacing w:after="0" w:line="240" w:lineRule="auto"/>
              <w:jc w:val="right"/>
              <w:rPr>
                <w:rFonts w:ascii="Calibri" w:eastAsia="Times New Roman" w:hAnsi="Calibri" w:cs="Calibri"/>
                <w:color w:val="000000"/>
                <w:lang w:eastAsia="en-GB"/>
              </w:rPr>
            </w:pPr>
            <w:r w:rsidRPr="00142F4A">
              <w:rPr>
                <w:rFonts w:ascii="Calibri" w:eastAsia="Times New Roman" w:hAnsi="Calibri" w:cs="Calibri"/>
                <w:color w:val="000000"/>
                <w:lang w:eastAsia="en-GB"/>
              </w:rPr>
              <w:t>10</w:t>
            </w:r>
          </w:p>
        </w:tc>
        <w:tc>
          <w:tcPr>
            <w:tcW w:w="1175" w:type="dxa"/>
            <w:tcBorders>
              <w:top w:val="nil"/>
              <w:left w:val="nil"/>
              <w:bottom w:val="nil"/>
              <w:right w:val="nil"/>
            </w:tcBorders>
            <w:shd w:val="clear" w:color="auto" w:fill="auto"/>
            <w:vAlign w:val="bottom"/>
            <w:hideMark/>
          </w:tcPr>
          <w:p w14:paraId="35B338B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47.22 </w:t>
            </w:r>
          </w:p>
        </w:tc>
        <w:tc>
          <w:tcPr>
            <w:tcW w:w="1328" w:type="dxa"/>
            <w:tcBorders>
              <w:top w:val="nil"/>
              <w:left w:val="nil"/>
              <w:bottom w:val="nil"/>
              <w:right w:val="single" w:sz="4" w:space="0" w:color="auto"/>
            </w:tcBorders>
            <w:shd w:val="clear" w:color="auto" w:fill="auto"/>
            <w:noWrap/>
            <w:vAlign w:val="bottom"/>
            <w:hideMark/>
          </w:tcPr>
          <w:p w14:paraId="3794B79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7.87 </w:t>
            </w:r>
          </w:p>
        </w:tc>
      </w:tr>
      <w:tr w:rsidR="00142F4A" w:rsidRPr="00142F4A" w14:paraId="640BA35A"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2592ECE"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Phlebotomist</w:t>
            </w:r>
          </w:p>
        </w:tc>
        <w:tc>
          <w:tcPr>
            <w:tcW w:w="1960" w:type="dxa"/>
            <w:tcBorders>
              <w:top w:val="nil"/>
              <w:left w:val="nil"/>
              <w:bottom w:val="nil"/>
              <w:right w:val="nil"/>
            </w:tcBorders>
            <w:shd w:val="clear" w:color="auto" w:fill="auto"/>
            <w:noWrap/>
            <w:vAlign w:val="bottom"/>
            <w:hideMark/>
          </w:tcPr>
          <w:p w14:paraId="72657C62"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3A61BCDB" w14:textId="77777777" w:rsidR="00142F4A" w:rsidRPr="00142F4A" w:rsidRDefault="00142F4A" w:rsidP="00142F4A">
            <w:pPr>
              <w:spacing w:after="0" w:line="240" w:lineRule="auto"/>
              <w:jc w:val="right"/>
              <w:rPr>
                <w:rFonts w:ascii="Calibri" w:eastAsia="Times New Roman" w:hAnsi="Calibri" w:cs="Calibri"/>
                <w:color w:val="000000"/>
                <w:lang w:eastAsia="en-GB"/>
              </w:rPr>
            </w:pPr>
            <w:r w:rsidRPr="00142F4A">
              <w:rPr>
                <w:rFonts w:ascii="Calibri" w:eastAsia="Times New Roman" w:hAnsi="Calibri" w:cs="Calibri"/>
                <w:color w:val="000000"/>
                <w:lang w:eastAsia="en-GB"/>
              </w:rPr>
              <w:t>10</w:t>
            </w:r>
          </w:p>
        </w:tc>
        <w:tc>
          <w:tcPr>
            <w:tcW w:w="1175" w:type="dxa"/>
            <w:tcBorders>
              <w:top w:val="nil"/>
              <w:left w:val="nil"/>
              <w:bottom w:val="nil"/>
              <w:right w:val="nil"/>
            </w:tcBorders>
            <w:shd w:val="clear" w:color="auto" w:fill="auto"/>
            <w:vAlign w:val="bottom"/>
            <w:hideMark/>
          </w:tcPr>
          <w:p w14:paraId="5296DDC5"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9.40 </w:t>
            </w:r>
          </w:p>
        </w:tc>
        <w:tc>
          <w:tcPr>
            <w:tcW w:w="1328" w:type="dxa"/>
            <w:tcBorders>
              <w:top w:val="nil"/>
              <w:left w:val="nil"/>
              <w:bottom w:val="nil"/>
              <w:right w:val="single" w:sz="4" w:space="0" w:color="auto"/>
            </w:tcBorders>
            <w:shd w:val="clear" w:color="auto" w:fill="auto"/>
            <w:noWrap/>
            <w:vAlign w:val="bottom"/>
            <w:hideMark/>
          </w:tcPr>
          <w:p w14:paraId="00C6C1F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1.57 </w:t>
            </w:r>
          </w:p>
        </w:tc>
      </w:tr>
      <w:tr w:rsidR="00142F4A" w:rsidRPr="00142F4A" w14:paraId="0636242D"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2D869B40"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14:paraId="1FFEA63E"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073C50A6"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2FEEA5A8"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7155DE18"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07B77BF8"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661683B9" w14:textId="77777777" w:rsidR="00142F4A" w:rsidRPr="00142F4A" w:rsidRDefault="00142F4A" w:rsidP="00142F4A">
            <w:pPr>
              <w:spacing w:after="0" w:line="240" w:lineRule="auto"/>
              <w:rPr>
                <w:rFonts w:ascii="Calibri" w:eastAsia="Times New Roman" w:hAnsi="Calibri" w:cs="Calibri"/>
                <w:color w:val="000000"/>
                <w:u w:val="single"/>
                <w:lang w:eastAsia="en-GB"/>
              </w:rPr>
            </w:pPr>
            <w:r w:rsidRPr="00142F4A">
              <w:rPr>
                <w:rFonts w:ascii="Calibri" w:eastAsia="Times New Roman" w:hAnsi="Calibri" w:cs="Calibri"/>
                <w:color w:val="000000"/>
                <w:u w:val="single"/>
                <w:lang w:eastAsia="en-GB"/>
              </w:rPr>
              <w:t>Tests and investigations</w:t>
            </w:r>
          </w:p>
        </w:tc>
        <w:tc>
          <w:tcPr>
            <w:tcW w:w="1960" w:type="dxa"/>
            <w:tcBorders>
              <w:top w:val="nil"/>
              <w:left w:val="nil"/>
              <w:bottom w:val="nil"/>
              <w:right w:val="nil"/>
            </w:tcBorders>
            <w:shd w:val="clear" w:color="auto" w:fill="auto"/>
            <w:noWrap/>
            <w:vAlign w:val="bottom"/>
            <w:hideMark/>
          </w:tcPr>
          <w:p w14:paraId="08C844F3" w14:textId="77777777" w:rsidR="00142F4A" w:rsidRPr="00142F4A" w:rsidRDefault="00142F4A" w:rsidP="00142F4A">
            <w:pPr>
              <w:spacing w:after="0" w:line="240" w:lineRule="auto"/>
              <w:rPr>
                <w:rFonts w:ascii="Calibri" w:eastAsia="Times New Roman" w:hAnsi="Calibri" w:cs="Calibri"/>
                <w:color w:val="000000"/>
                <w:u w:val="single"/>
                <w:lang w:eastAsia="en-GB"/>
              </w:rPr>
            </w:pPr>
          </w:p>
        </w:tc>
        <w:tc>
          <w:tcPr>
            <w:tcW w:w="1057" w:type="dxa"/>
            <w:tcBorders>
              <w:top w:val="nil"/>
              <w:left w:val="nil"/>
              <w:bottom w:val="nil"/>
              <w:right w:val="nil"/>
            </w:tcBorders>
            <w:shd w:val="clear" w:color="auto" w:fill="auto"/>
            <w:vAlign w:val="bottom"/>
            <w:hideMark/>
          </w:tcPr>
          <w:p w14:paraId="0609D19B"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41BAEB0B"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3AD7E6A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7AC7BEF6"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251B8587"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Full blood count</w:t>
            </w:r>
          </w:p>
        </w:tc>
        <w:tc>
          <w:tcPr>
            <w:tcW w:w="1960" w:type="dxa"/>
            <w:tcBorders>
              <w:top w:val="nil"/>
              <w:left w:val="nil"/>
              <w:bottom w:val="nil"/>
              <w:right w:val="nil"/>
            </w:tcBorders>
            <w:shd w:val="clear" w:color="auto" w:fill="auto"/>
            <w:noWrap/>
            <w:vAlign w:val="bottom"/>
            <w:hideMark/>
          </w:tcPr>
          <w:p w14:paraId="2BDE5ADE"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Haematology</w:t>
            </w:r>
          </w:p>
        </w:tc>
        <w:tc>
          <w:tcPr>
            <w:tcW w:w="1057" w:type="dxa"/>
            <w:tcBorders>
              <w:top w:val="nil"/>
              <w:left w:val="nil"/>
              <w:bottom w:val="nil"/>
              <w:right w:val="nil"/>
            </w:tcBorders>
            <w:shd w:val="clear" w:color="auto" w:fill="auto"/>
            <w:vAlign w:val="bottom"/>
            <w:hideMark/>
          </w:tcPr>
          <w:p w14:paraId="0C50D3CA"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13D99765"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1D91BB3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3.00 </w:t>
            </w:r>
          </w:p>
        </w:tc>
      </w:tr>
      <w:tr w:rsidR="00142F4A" w:rsidRPr="00142F4A" w14:paraId="079E921D"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5BF5D3FC"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Liver function tests</w:t>
            </w:r>
          </w:p>
        </w:tc>
        <w:tc>
          <w:tcPr>
            <w:tcW w:w="1960" w:type="dxa"/>
            <w:tcBorders>
              <w:top w:val="nil"/>
              <w:left w:val="nil"/>
              <w:bottom w:val="nil"/>
              <w:right w:val="nil"/>
            </w:tcBorders>
            <w:shd w:val="clear" w:color="auto" w:fill="auto"/>
            <w:noWrap/>
            <w:vAlign w:val="bottom"/>
            <w:hideMark/>
          </w:tcPr>
          <w:p w14:paraId="00D244B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Chemical Pathology</w:t>
            </w:r>
          </w:p>
        </w:tc>
        <w:tc>
          <w:tcPr>
            <w:tcW w:w="1057" w:type="dxa"/>
            <w:tcBorders>
              <w:top w:val="nil"/>
              <w:left w:val="nil"/>
              <w:bottom w:val="nil"/>
              <w:right w:val="nil"/>
            </w:tcBorders>
            <w:shd w:val="clear" w:color="auto" w:fill="auto"/>
            <w:vAlign w:val="bottom"/>
            <w:hideMark/>
          </w:tcPr>
          <w:p w14:paraId="1DA1DB1F"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655FFD2B"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2E8035D9"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3.00 </w:t>
            </w:r>
          </w:p>
        </w:tc>
      </w:tr>
      <w:tr w:rsidR="00142F4A" w:rsidRPr="00142F4A" w14:paraId="3902EDFA"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69581290"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HCV viral load</w:t>
            </w:r>
          </w:p>
        </w:tc>
        <w:tc>
          <w:tcPr>
            <w:tcW w:w="1960" w:type="dxa"/>
            <w:tcBorders>
              <w:top w:val="nil"/>
              <w:left w:val="nil"/>
              <w:bottom w:val="nil"/>
              <w:right w:val="nil"/>
            </w:tcBorders>
            <w:shd w:val="clear" w:color="auto" w:fill="auto"/>
            <w:noWrap/>
            <w:vAlign w:val="bottom"/>
            <w:hideMark/>
          </w:tcPr>
          <w:p w14:paraId="72CD08B5"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Virology</w:t>
            </w:r>
          </w:p>
        </w:tc>
        <w:tc>
          <w:tcPr>
            <w:tcW w:w="1057" w:type="dxa"/>
            <w:tcBorders>
              <w:top w:val="nil"/>
              <w:left w:val="nil"/>
              <w:bottom w:val="nil"/>
              <w:right w:val="nil"/>
            </w:tcBorders>
            <w:shd w:val="clear" w:color="auto" w:fill="auto"/>
            <w:vAlign w:val="bottom"/>
            <w:hideMark/>
          </w:tcPr>
          <w:p w14:paraId="3ED40542"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66DA9868"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6B15A90B"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64.20 </w:t>
            </w:r>
          </w:p>
        </w:tc>
      </w:tr>
      <w:tr w:rsidR="00142F4A" w:rsidRPr="00142F4A" w14:paraId="728116E4"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07067B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HCV genotype</w:t>
            </w:r>
          </w:p>
        </w:tc>
        <w:tc>
          <w:tcPr>
            <w:tcW w:w="1960" w:type="dxa"/>
            <w:tcBorders>
              <w:top w:val="nil"/>
              <w:left w:val="nil"/>
              <w:bottom w:val="nil"/>
              <w:right w:val="nil"/>
            </w:tcBorders>
            <w:shd w:val="clear" w:color="auto" w:fill="auto"/>
            <w:noWrap/>
            <w:vAlign w:val="bottom"/>
            <w:hideMark/>
          </w:tcPr>
          <w:p w14:paraId="33478D6E"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Virology</w:t>
            </w:r>
          </w:p>
        </w:tc>
        <w:tc>
          <w:tcPr>
            <w:tcW w:w="1057" w:type="dxa"/>
            <w:tcBorders>
              <w:top w:val="nil"/>
              <w:left w:val="nil"/>
              <w:bottom w:val="nil"/>
              <w:right w:val="nil"/>
            </w:tcBorders>
            <w:shd w:val="clear" w:color="auto" w:fill="auto"/>
            <w:vAlign w:val="bottom"/>
            <w:hideMark/>
          </w:tcPr>
          <w:p w14:paraId="5B098668"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17762EA2"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2BE7B11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64.20 </w:t>
            </w:r>
          </w:p>
        </w:tc>
      </w:tr>
      <w:tr w:rsidR="00142F4A" w:rsidRPr="00142F4A" w14:paraId="069928E6"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5D5825BB"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Fibroscan</w:t>
            </w:r>
          </w:p>
        </w:tc>
        <w:tc>
          <w:tcPr>
            <w:tcW w:w="1960" w:type="dxa"/>
            <w:tcBorders>
              <w:top w:val="nil"/>
              <w:left w:val="nil"/>
              <w:bottom w:val="nil"/>
              <w:right w:val="nil"/>
            </w:tcBorders>
            <w:shd w:val="clear" w:color="auto" w:fill="auto"/>
            <w:noWrap/>
            <w:vAlign w:val="bottom"/>
            <w:hideMark/>
          </w:tcPr>
          <w:p w14:paraId="19AC6F59"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Imaging</w:t>
            </w:r>
          </w:p>
        </w:tc>
        <w:tc>
          <w:tcPr>
            <w:tcW w:w="1057" w:type="dxa"/>
            <w:tcBorders>
              <w:top w:val="nil"/>
              <w:left w:val="nil"/>
              <w:bottom w:val="nil"/>
              <w:right w:val="nil"/>
            </w:tcBorders>
            <w:shd w:val="clear" w:color="auto" w:fill="auto"/>
            <w:vAlign w:val="bottom"/>
            <w:hideMark/>
          </w:tcPr>
          <w:p w14:paraId="073858D7"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17B4E9BA"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12775233"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131.00 </w:t>
            </w:r>
          </w:p>
        </w:tc>
      </w:tr>
      <w:tr w:rsidR="00142F4A" w:rsidRPr="00142F4A" w14:paraId="6E62388D"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3CC2C623"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Ultrasound</w:t>
            </w:r>
          </w:p>
        </w:tc>
        <w:tc>
          <w:tcPr>
            <w:tcW w:w="1960" w:type="dxa"/>
            <w:tcBorders>
              <w:top w:val="nil"/>
              <w:left w:val="nil"/>
              <w:bottom w:val="nil"/>
              <w:right w:val="nil"/>
            </w:tcBorders>
            <w:shd w:val="clear" w:color="auto" w:fill="auto"/>
            <w:noWrap/>
            <w:vAlign w:val="bottom"/>
            <w:hideMark/>
          </w:tcPr>
          <w:p w14:paraId="17380A9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Radiology</w:t>
            </w:r>
          </w:p>
        </w:tc>
        <w:tc>
          <w:tcPr>
            <w:tcW w:w="1057" w:type="dxa"/>
            <w:tcBorders>
              <w:top w:val="nil"/>
              <w:left w:val="nil"/>
              <w:bottom w:val="nil"/>
              <w:right w:val="nil"/>
            </w:tcBorders>
            <w:shd w:val="clear" w:color="auto" w:fill="auto"/>
            <w:vAlign w:val="bottom"/>
            <w:hideMark/>
          </w:tcPr>
          <w:p w14:paraId="5BFB8046"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5A74DE76"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50873753"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51.00 </w:t>
            </w:r>
          </w:p>
        </w:tc>
      </w:tr>
      <w:tr w:rsidR="00142F4A" w:rsidRPr="00142F4A" w14:paraId="18885F58"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9206B6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14:paraId="7BC59473"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65DD02E6"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6AC52CF6"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295AB96D"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1F6CCCAF" w14:textId="77777777" w:rsidTr="00142F4A">
        <w:trPr>
          <w:trHeight w:val="300"/>
        </w:trPr>
        <w:tc>
          <w:tcPr>
            <w:tcW w:w="2780" w:type="dxa"/>
            <w:tcBorders>
              <w:top w:val="nil"/>
              <w:left w:val="single" w:sz="4" w:space="0" w:color="auto"/>
              <w:bottom w:val="single" w:sz="4" w:space="0" w:color="auto"/>
              <w:right w:val="nil"/>
            </w:tcBorders>
            <w:shd w:val="clear" w:color="auto" w:fill="auto"/>
            <w:noWrap/>
            <w:vAlign w:val="bottom"/>
            <w:hideMark/>
          </w:tcPr>
          <w:p w14:paraId="42BE7727"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Total</w:t>
            </w:r>
          </w:p>
        </w:tc>
        <w:tc>
          <w:tcPr>
            <w:tcW w:w="1960" w:type="dxa"/>
            <w:tcBorders>
              <w:top w:val="nil"/>
              <w:left w:val="nil"/>
              <w:bottom w:val="single" w:sz="4" w:space="0" w:color="auto"/>
              <w:right w:val="nil"/>
            </w:tcBorders>
            <w:shd w:val="clear" w:color="auto" w:fill="auto"/>
            <w:noWrap/>
            <w:vAlign w:val="bottom"/>
            <w:hideMark/>
          </w:tcPr>
          <w:p w14:paraId="1FEDF840"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057" w:type="dxa"/>
            <w:tcBorders>
              <w:top w:val="nil"/>
              <w:left w:val="nil"/>
              <w:bottom w:val="single" w:sz="4" w:space="0" w:color="auto"/>
              <w:right w:val="nil"/>
            </w:tcBorders>
            <w:shd w:val="clear" w:color="auto" w:fill="auto"/>
            <w:vAlign w:val="bottom"/>
            <w:hideMark/>
          </w:tcPr>
          <w:p w14:paraId="0759640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175" w:type="dxa"/>
            <w:tcBorders>
              <w:top w:val="nil"/>
              <w:left w:val="nil"/>
              <w:bottom w:val="single" w:sz="4" w:space="0" w:color="auto"/>
              <w:right w:val="nil"/>
            </w:tcBorders>
            <w:shd w:val="clear" w:color="auto" w:fill="auto"/>
            <w:vAlign w:val="bottom"/>
            <w:hideMark/>
          </w:tcPr>
          <w:p w14:paraId="0B5E290C"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328" w:type="dxa"/>
            <w:tcBorders>
              <w:top w:val="nil"/>
              <w:left w:val="nil"/>
              <w:bottom w:val="single" w:sz="4" w:space="0" w:color="auto"/>
              <w:right w:val="single" w:sz="4" w:space="0" w:color="auto"/>
            </w:tcBorders>
            <w:shd w:val="clear" w:color="auto" w:fill="auto"/>
            <w:noWrap/>
            <w:vAlign w:val="bottom"/>
            <w:hideMark/>
          </w:tcPr>
          <w:p w14:paraId="36596B0E"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325.84 </w:t>
            </w:r>
          </w:p>
        </w:tc>
      </w:tr>
      <w:tr w:rsidR="00142F4A" w:rsidRPr="00142F4A" w14:paraId="4905615C" w14:textId="77777777" w:rsidTr="00142F4A">
        <w:trPr>
          <w:trHeight w:val="300"/>
        </w:trPr>
        <w:tc>
          <w:tcPr>
            <w:tcW w:w="2780" w:type="dxa"/>
            <w:tcBorders>
              <w:top w:val="nil"/>
              <w:left w:val="nil"/>
              <w:bottom w:val="nil"/>
              <w:right w:val="nil"/>
            </w:tcBorders>
            <w:shd w:val="clear" w:color="auto" w:fill="auto"/>
            <w:noWrap/>
            <w:vAlign w:val="bottom"/>
            <w:hideMark/>
          </w:tcPr>
          <w:p w14:paraId="2BF50BD3"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960" w:type="dxa"/>
            <w:tcBorders>
              <w:top w:val="nil"/>
              <w:left w:val="nil"/>
              <w:bottom w:val="nil"/>
              <w:right w:val="nil"/>
            </w:tcBorders>
            <w:shd w:val="clear" w:color="auto" w:fill="auto"/>
            <w:noWrap/>
            <w:vAlign w:val="bottom"/>
            <w:hideMark/>
          </w:tcPr>
          <w:p w14:paraId="72D3649B"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057" w:type="dxa"/>
            <w:tcBorders>
              <w:top w:val="nil"/>
              <w:left w:val="nil"/>
              <w:bottom w:val="nil"/>
              <w:right w:val="nil"/>
            </w:tcBorders>
            <w:shd w:val="clear" w:color="auto" w:fill="auto"/>
            <w:vAlign w:val="bottom"/>
            <w:hideMark/>
          </w:tcPr>
          <w:p w14:paraId="32C78F09"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2CC72882"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nil"/>
            </w:tcBorders>
            <w:shd w:val="clear" w:color="auto" w:fill="auto"/>
            <w:noWrap/>
            <w:vAlign w:val="bottom"/>
            <w:hideMark/>
          </w:tcPr>
          <w:p w14:paraId="6F69CDB4"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r>
      <w:tr w:rsidR="00142F4A" w:rsidRPr="00142F4A" w14:paraId="17305879" w14:textId="77777777" w:rsidTr="00142F4A">
        <w:trPr>
          <w:trHeight w:val="300"/>
        </w:trPr>
        <w:tc>
          <w:tcPr>
            <w:tcW w:w="2780" w:type="dxa"/>
            <w:tcBorders>
              <w:top w:val="nil"/>
              <w:left w:val="nil"/>
              <w:bottom w:val="nil"/>
              <w:right w:val="nil"/>
            </w:tcBorders>
            <w:shd w:val="clear" w:color="auto" w:fill="auto"/>
            <w:noWrap/>
            <w:vAlign w:val="bottom"/>
            <w:hideMark/>
          </w:tcPr>
          <w:p w14:paraId="6E74E0B5"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14DD7B3D"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057" w:type="dxa"/>
            <w:tcBorders>
              <w:top w:val="nil"/>
              <w:left w:val="nil"/>
              <w:bottom w:val="nil"/>
              <w:right w:val="nil"/>
            </w:tcBorders>
            <w:shd w:val="clear" w:color="auto" w:fill="auto"/>
            <w:vAlign w:val="bottom"/>
            <w:hideMark/>
          </w:tcPr>
          <w:p w14:paraId="0FCD93D4"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5CACD620"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nil"/>
            </w:tcBorders>
            <w:shd w:val="clear" w:color="auto" w:fill="auto"/>
            <w:noWrap/>
            <w:vAlign w:val="bottom"/>
            <w:hideMark/>
          </w:tcPr>
          <w:p w14:paraId="6D9F669C"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r>
      <w:tr w:rsidR="00142F4A" w:rsidRPr="00142F4A" w14:paraId="199F683F" w14:textId="77777777" w:rsidTr="00142F4A">
        <w:trPr>
          <w:trHeight w:val="300"/>
        </w:trPr>
        <w:tc>
          <w:tcPr>
            <w:tcW w:w="5797" w:type="dxa"/>
            <w:gridSpan w:val="3"/>
            <w:tcBorders>
              <w:top w:val="nil"/>
              <w:left w:val="nil"/>
              <w:bottom w:val="nil"/>
              <w:right w:val="nil"/>
            </w:tcBorders>
            <w:shd w:val="clear" w:color="auto" w:fill="auto"/>
            <w:noWrap/>
            <w:vAlign w:val="bottom"/>
            <w:hideMark/>
          </w:tcPr>
          <w:p w14:paraId="34BEDFB7" w14:textId="77777777" w:rsidR="00142F4A" w:rsidRPr="00142F4A" w:rsidRDefault="00142F4A" w:rsidP="00142F4A">
            <w:pPr>
              <w:spacing w:after="0" w:line="240" w:lineRule="auto"/>
              <w:rPr>
                <w:rFonts w:ascii="Calibri" w:eastAsia="Times New Roman" w:hAnsi="Calibri" w:cs="Calibri"/>
                <w:b/>
                <w:bCs/>
                <w:color w:val="000000"/>
                <w:lang w:eastAsia="en-GB"/>
              </w:rPr>
            </w:pPr>
            <w:r w:rsidRPr="00142F4A">
              <w:rPr>
                <w:rFonts w:ascii="Calibri" w:eastAsia="Times New Roman" w:hAnsi="Calibri" w:cs="Calibri"/>
                <w:b/>
                <w:bCs/>
                <w:color w:val="000000"/>
                <w:lang w:eastAsia="en-GB"/>
              </w:rPr>
              <w:t>Treatment initiation and subsequent visits 0,2,4,8,12 weeks</w:t>
            </w:r>
          </w:p>
        </w:tc>
        <w:tc>
          <w:tcPr>
            <w:tcW w:w="1175" w:type="dxa"/>
            <w:tcBorders>
              <w:top w:val="nil"/>
              <w:left w:val="nil"/>
              <w:bottom w:val="nil"/>
              <w:right w:val="nil"/>
            </w:tcBorders>
            <w:shd w:val="clear" w:color="auto" w:fill="auto"/>
            <w:vAlign w:val="bottom"/>
            <w:hideMark/>
          </w:tcPr>
          <w:p w14:paraId="19994D71" w14:textId="77777777" w:rsidR="00142F4A" w:rsidRPr="00142F4A" w:rsidRDefault="00142F4A" w:rsidP="00142F4A">
            <w:pPr>
              <w:spacing w:after="0" w:line="240" w:lineRule="auto"/>
              <w:rPr>
                <w:rFonts w:ascii="Calibri" w:eastAsia="Times New Roman" w:hAnsi="Calibri" w:cs="Calibri"/>
                <w:b/>
                <w:bCs/>
                <w:color w:val="000000"/>
                <w:lang w:eastAsia="en-GB"/>
              </w:rPr>
            </w:pPr>
          </w:p>
        </w:tc>
        <w:tc>
          <w:tcPr>
            <w:tcW w:w="1328" w:type="dxa"/>
            <w:tcBorders>
              <w:top w:val="nil"/>
              <w:left w:val="nil"/>
              <w:bottom w:val="nil"/>
              <w:right w:val="nil"/>
            </w:tcBorders>
            <w:shd w:val="clear" w:color="auto" w:fill="auto"/>
            <w:noWrap/>
            <w:vAlign w:val="bottom"/>
            <w:hideMark/>
          </w:tcPr>
          <w:p w14:paraId="293CB95A"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r>
      <w:tr w:rsidR="00142F4A" w:rsidRPr="00142F4A" w14:paraId="04C66FE1" w14:textId="77777777" w:rsidTr="00142F4A">
        <w:trPr>
          <w:trHeight w:val="300"/>
        </w:trPr>
        <w:tc>
          <w:tcPr>
            <w:tcW w:w="2780" w:type="dxa"/>
            <w:tcBorders>
              <w:top w:val="single" w:sz="4" w:space="0" w:color="auto"/>
              <w:left w:val="single" w:sz="4" w:space="0" w:color="auto"/>
              <w:bottom w:val="nil"/>
              <w:right w:val="nil"/>
            </w:tcBorders>
            <w:shd w:val="clear" w:color="auto" w:fill="auto"/>
            <w:noWrap/>
            <w:vAlign w:val="bottom"/>
            <w:hideMark/>
          </w:tcPr>
          <w:p w14:paraId="136EF55B" w14:textId="77777777" w:rsidR="00142F4A" w:rsidRPr="00142F4A" w:rsidRDefault="00142F4A" w:rsidP="00142F4A">
            <w:pPr>
              <w:spacing w:after="0" w:line="240" w:lineRule="auto"/>
              <w:rPr>
                <w:rFonts w:ascii="Calibri" w:eastAsia="Times New Roman" w:hAnsi="Calibri" w:cs="Calibri"/>
                <w:color w:val="000000"/>
                <w:u w:val="single"/>
                <w:lang w:eastAsia="en-GB"/>
              </w:rPr>
            </w:pPr>
            <w:r w:rsidRPr="00142F4A">
              <w:rPr>
                <w:rFonts w:ascii="Calibri" w:eastAsia="Times New Roman" w:hAnsi="Calibri" w:cs="Calibri"/>
                <w:color w:val="000000"/>
                <w:u w:val="single"/>
                <w:lang w:eastAsia="en-GB"/>
              </w:rPr>
              <w:t>Staff</w:t>
            </w:r>
          </w:p>
        </w:tc>
        <w:tc>
          <w:tcPr>
            <w:tcW w:w="1960" w:type="dxa"/>
            <w:tcBorders>
              <w:top w:val="single" w:sz="4" w:space="0" w:color="auto"/>
              <w:left w:val="nil"/>
              <w:bottom w:val="nil"/>
              <w:right w:val="nil"/>
            </w:tcBorders>
            <w:shd w:val="clear" w:color="auto" w:fill="auto"/>
            <w:noWrap/>
            <w:vAlign w:val="bottom"/>
            <w:hideMark/>
          </w:tcPr>
          <w:p w14:paraId="22C76DF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057" w:type="dxa"/>
            <w:tcBorders>
              <w:top w:val="single" w:sz="4" w:space="0" w:color="auto"/>
              <w:left w:val="nil"/>
              <w:bottom w:val="nil"/>
              <w:right w:val="nil"/>
            </w:tcBorders>
            <w:shd w:val="clear" w:color="auto" w:fill="auto"/>
            <w:vAlign w:val="bottom"/>
            <w:hideMark/>
          </w:tcPr>
          <w:p w14:paraId="57D16DC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175" w:type="dxa"/>
            <w:tcBorders>
              <w:top w:val="single" w:sz="4" w:space="0" w:color="auto"/>
              <w:left w:val="nil"/>
              <w:bottom w:val="nil"/>
              <w:right w:val="nil"/>
            </w:tcBorders>
            <w:shd w:val="clear" w:color="auto" w:fill="auto"/>
            <w:vAlign w:val="bottom"/>
            <w:hideMark/>
          </w:tcPr>
          <w:p w14:paraId="186D19C0"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328" w:type="dxa"/>
            <w:tcBorders>
              <w:top w:val="single" w:sz="4" w:space="0" w:color="auto"/>
              <w:left w:val="nil"/>
              <w:bottom w:val="nil"/>
              <w:right w:val="single" w:sz="4" w:space="0" w:color="auto"/>
            </w:tcBorders>
            <w:shd w:val="clear" w:color="auto" w:fill="auto"/>
            <w:noWrap/>
            <w:vAlign w:val="bottom"/>
            <w:hideMark/>
          </w:tcPr>
          <w:p w14:paraId="2C81A5E8"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78149BE7"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BBEBFDD"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Specialist Nurse</w:t>
            </w:r>
          </w:p>
        </w:tc>
        <w:tc>
          <w:tcPr>
            <w:tcW w:w="1960" w:type="dxa"/>
            <w:tcBorders>
              <w:top w:val="nil"/>
              <w:left w:val="nil"/>
              <w:bottom w:val="nil"/>
              <w:right w:val="nil"/>
            </w:tcBorders>
            <w:shd w:val="clear" w:color="auto" w:fill="auto"/>
            <w:noWrap/>
            <w:vAlign w:val="bottom"/>
            <w:hideMark/>
          </w:tcPr>
          <w:p w14:paraId="6FD352CE"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191C9AA8" w14:textId="77777777" w:rsidR="00142F4A" w:rsidRPr="00142F4A" w:rsidRDefault="00142F4A" w:rsidP="00142F4A">
            <w:pPr>
              <w:spacing w:after="0" w:line="240" w:lineRule="auto"/>
              <w:jc w:val="right"/>
              <w:rPr>
                <w:rFonts w:ascii="Calibri" w:eastAsia="Times New Roman" w:hAnsi="Calibri" w:cs="Calibri"/>
                <w:color w:val="000000"/>
                <w:lang w:eastAsia="en-GB"/>
              </w:rPr>
            </w:pPr>
            <w:r w:rsidRPr="00142F4A">
              <w:rPr>
                <w:rFonts w:ascii="Calibri" w:eastAsia="Times New Roman" w:hAnsi="Calibri" w:cs="Calibri"/>
                <w:color w:val="000000"/>
                <w:lang w:eastAsia="en-GB"/>
              </w:rPr>
              <w:t>20</w:t>
            </w:r>
          </w:p>
        </w:tc>
        <w:tc>
          <w:tcPr>
            <w:tcW w:w="1175" w:type="dxa"/>
            <w:tcBorders>
              <w:top w:val="nil"/>
              <w:left w:val="nil"/>
              <w:bottom w:val="nil"/>
              <w:right w:val="nil"/>
            </w:tcBorders>
            <w:shd w:val="clear" w:color="auto" w:fill="auto"/>
            <w:vAlign w:val="bottom"/>
            <w:hideMark/>
          </w:tcPr>
          <w:p w14:paraId="7965CF35"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15.72 </w:t>
            </w:r>
          </w:p>
        </w:tc>
        <w:tc>
          <w:tcPr>
            <w:tcW w:w="1328" w:type="dxa"/>
            <w:tcBorders>
              <w:top w:val="nil"/>
              <w:left w:val="nil"/>
              <w:bottom w:val="nil"/>
              <w:right w:val="single" w:sz="4" w:space="0" w:color="auto"/>
            </w:tcBorders>
            <w:shd w:val="clear" w:color="auto" w:fill="auto"/>
            <w:noWrap/>
            <w:vAlign w:val="bottom"/>
            <w:hideMark/>
          </w:tcPr>
          <w:p w14:paraId="51CB1C97"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5.24 </w:t>
            </w:r>
          </w:p>
        </w:tc>
      </w:tr>
      <w:tr w:rsidR="00142F4A" w:rsidRPr="00142F4A" w14:paraId="7157881F"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9ADDEF5"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Phlebotomist</w:t>
            </w:r>
          </w:p>
        </w:tc>
        <w:tc>
          <w:tcPr>
            <w:tcW w:w="1960" w:type="dxa"/>
            <w:tcBorders>
              <w:top w:val="nil"/>
              <w:left w:val="nil"/>
              <w:bottom w:val="nil"/>
              <w:right w:val="nil"/>
            </w:tcBorders>
            <w:shd w:val="clear" w:color="auto" w:fill="auto"/>
            <w:noWrap/>
            <w:vAlign w:val="bottom"/>
            <w:hideMark/>
          </w:tcPr>
          <w:p w14:paraId="2E4F4887"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329E2F9F" w14:textId="77777777" w:rsidR="00142F4A" w:rsidRPr="00142F4A" w:rsidRDefault="00142F4A" w:rsidP="00142F4A">
            <w:pPr>
              <w:spacing w:after="0" w:line="240" w:lineRule="auto"/>
              <w:jc w:val="right"/>
              <w:rPr>
                <w:rFonts w:ascii="Calibri" w:eastAsia="Times New Roman" w:hAnsi="Calibri" w:cs="Calibri"/>
                <w:color w:val="000000"/>
                <w:lang w:eastAsia="en-GB"/>
              </w:rPr>
            </w:pPr>
            <w:r w:rsidRPr="00142F4A">
              <w:rPr>
                <w:rFonts w:ascii="Calibri" w:eastAsia="Times New Roman" w:hAnsi="Calibri" w:cs="Calibri"/>
                <w:color w:val="000000"/>
                <w:lang w:eastAsia="en-GB"/>
              </w:rPr>
              <w:t>10</w:t>
            </w:r>
          </w:p>
        </w:tc>
        <w:tc>
          <w:tcPr>
            <w:tcW w:w="1175" w:type="dxa"/>
            <w:tcBorders>
              <w:top w:val="nil"/>
              <w:left w:val="nil"/>
              <w:bottom w:val="nil"/>
              <w:right w:val="nil"/>
            </w:tcBorders>
            <w:shd w:val="clear" w:color="auto" w:fill="auto"/>
            <w:vAlign w:val="bottom"/>
            <w:hideMark/>
          </w:tcPr>
          <w:p w14:paraId="7995B2A9"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9.40 </w:t>
            </w:r>
          </w:p>
        </w:tc>
        <w:tc>
          <w:tcPr>
            <w:tcW w:w="1328" w:type="dxa"/>
            <w:tcBorders>
              <w:top w:val="nil"/>
              <w:left w:val="nil"/>
              <w:bottom w:val="nil"/>
              <w:right w:val="single" w:sz="4" w:space="0" w:color="auto"/>
            </w:tcBorders>
            <w:shd w:val="clear" w:color="auto" w:fill="auto"/>
            <w:noWrap/>
            <w:vAlign w:val="bottom"/>
            <w:hideMark/>
          </w:tcPr>
          <w:p w14:paraId="7EF3FDAB"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1.57 </w:t>
            </w:r>
          </w:p>
        </w:tc>
      </w:tr>
      <w:tr w:rsidR="00142F4A" w:rsidRPr="00142F4A" w14:paraId="76CCF927"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60E08F8"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14:paraId="237AE7BD"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3D1908BD"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047114A7"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013203EB"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70700358"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307F4282" w14:textId="77777777" w:rsidR="00142F4A" w:rsidRPr="00142F4A" w:rsidRDefault="00142F4A" w:rsidP="00142F4A">
            <w:pPr>
              <w:spacing w:after="0" w:line="240" w:lineRule="auto"/>
              <w:rPr>
                <w:rFonts w:ascii="Calibri" w:eastAsia="Times New Roman" w:hAnsi="Calibri" w:cs="Calibri"/>
                <w:color w:val="000000"/>
                <w:u w:val="single"/>
                <w:lang w:eastAsia="en-GB"/>
              </w:rPr>
            </w:pPr>
            <w:r w:rsidRPr="00142F4A">
              <w:rPr>
                <w:rFonts w:ascii="Calibri" w:eastAsia="Times New Roman" w:hAnsi="Calibri" w:cs="Calibri"/>
                <w:color w:val="000000"/>
                <w:u w:val="single"/>
                <w:lang w:eastAsia="en-GB"/>
              </w:rPr>
              <w:t>Tests and investigations</w:t>
            </w:r>
          </w:p>
        </w:tc>
        <w:tc>
          <w:tcPr>
            <w:tcW w:w="1960" w:type="dxa"/>
            <w:tcBorders>
              <w:top w:val="nil"/>
              <w:left w:val="nil"/>
              <w:bottom w:val="nil"/>
              <w:right w:val="nil"/>
            </w:tcBorders>
            <w:shd w:val="clear" w:color="auto" w:fill="auto"/>
            <w:noWrap/>
            <w:vAlign w:val="bottom"/>
            <w:hideMark/>
          </w:tcPr>
          <w:p w14:paraId="1D27457A" w14:textId="77777777" w:rsidR="00142F4A" w:rsidRPr="00142F4A" w:rsidRDefault="00142F4A" w:rsidP="00142F4A">
            <w:pPr>
              <w:spacing w:after="0" w:line="240" w:lineRule="auto"/>
              <w:rPr>
                <w:rFonts w:ascii="Calibri" w:eastAsia="Times New Roman" w:hAnsi="Calibri" w:cs="Calibri"/>
                <w:color w:val="000000"/>
                <w:u w:val="single"/>
                <w:lang w:eastAsia="en-GB"/>
              </w:rPr>
            </w:pPr>
          </w:p>
        </w:tc>
        <w:tc>
          <w:tcPr>
            <w:tcW w:w="1057" w:type="dxa"/>
            <w:tcBorders>
              <w:top w:val="nil"/>
              <w:left w:val="nil"/>
              <w:bottom w:val="nil"/>
              <w:right w:val="nil"/>
            </w:tcBorders>
            <w:shd w:val="clear" w:color="auto" w:fill="auto"/>
            <w:vAlign w:val="bottom"/>
            <w:hideMark/>
          </w:tcPr>
          <w:p w14:paraId="06A12168"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6E8B3C37"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6E91F4F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7042754C"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143D2FCC"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Full blood count</w:t>
            </w:r>
          </w:p>
        </w:tc>
        <w:tc>
          <w:tcPr>
            <w:tcW w:w="1960" w:type="dxa"/>
            <w:tcBorders>
              <w:top w:val="nil"/>
              <w:left w:val="nil"/>
              <w:bottom w:val="nil"/>
              <w:right w:val="nil"/>
            </w:tcBorders>
            <w:shd w:val="clear" w:color="auto" w:fill="auto"/>
            <w:noWrap/>
            <w:vAlign w:val="bottom"/>
            <w:hideMark/>
          </w:tcPr>
          <w:p w14:paraId="0A5F5D1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Haematology</w:t>
            </w:r>
          </w:p>
        </w:tc>
        <w:tc>
          <w:tcPr>
            <w:tcW w:w="1057" w:type="dxa"/>
            <w:tcBorders>
              <w:top w:val="nil"/>
              <w:left w:val="nil"/>
              <w:bottom w:val="nil"/>
              <w:right w:val="nil"/>
            </w:tcBorders>
            <w:shd w:val="clear" w:color="auto" w:fill="auto"/>
            <w:vAlign w:val="bottom"/>
            <w:hideMark/>
          </w:tcPr>
          <w:p w14:paraId="0782BC69"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3D82AA16"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58C3F2B2"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3.00 </w:t>
            </w:r>
          </w:p>
        </w:tc>
      </w:tr>
      <w:tr w:rsidR="00142F4A" w:rsidRPr="00142F4A" w14:paraId="2F2F8D78"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09ACE42"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Liver function tests</w:t>
            </w:r>
          </w:p>
        </w:tc>
        <w:tc>
          <w:tcPr>
            <w:tcW w:w="1960" w:type="dxa"/>
            <w:tcBorders>
              <w:top w:val="nil"/>
              <w:left w:val="nil"/>
              <w:bottom w:val="nil"/>
              <w:right w:val="nil"/>
            </w:tcBorders>
            <w:shd w:val="clear" w:color="auto" w:fill="auto"/>
            <w:noWrap/>
            <w:vAlign w:val="bottom"/>
            <w:hideMark/>
          </w:tcPr>
          <w:p w14:paraId="0DE7985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Chemical Pathology</w:t>
            </w:r>
          </w:p>
        </w:tc>
        <w:tc>
          <w:tcPr>
            <w:tcW w:w="1057" w:type="dxa"/>
            <w:tcBorders>
              <w:top w:val="nil"/>
              <w:left w:val="nil"/>
              <w:bottom w:val="nil"/>
              <w:right w:val="nil"/>
            </w:tcBorders>
            <w:shd w:val="clear" w:color="auto" w:fill="auto"/>
            <w:vAlign w:val="bottom"/>
            <w:hideMark/>
          </w:tcPr>
          <w:p w14:paraId="08CB02D7"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6F38BA69"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6E5432D8"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3.00 </w:t>
            </w:r>
          </w:p>
        </w:tc>
      </w:tr>
      <w:tr w:rsidR="00142F4A" w:rsidRPr="00142F4A" w14:paraId="05756DEA"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E52F7F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HCV viral load</w:t>
            </w:r>
          </w:p>
        </w:tc>
        <w:tc>
          <w:tcPr>
            <w:tcW w:w="1960" w:type="dxa"/>
            <w:tcBorders>
              <w:top w:val="nil"/>
              <w:left w:val="nil"/>
              <w:bottom w:val="nil"/>
              <w:right w:val="nil"/>
            </w:tcBorders>
            <w:shd w:val="clear" w:color="auto" w:fill="auto"/>
            <w:noWrap/>
            <w:vAlign w:val="bottom"/>
            <w:hideMark/>
          </w:tcPr>
          <w:p w14:paraId="5FFF30CB"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Virology</w:t>
            </w:r>
          </w:p>
        </w:tc>
        <w:tc>
          <w:tcPr>
            <w:tcW w:w="1057" w:type="dxa"/>
            <w:tcBorders>
              <w:top w:val="nil"/>
              <w:left w:val="nil"/>
              <w:bottom w:val="nil"/>
              <w:right w:val="nil"/>
            </w:tcBorders>
            <w:shd w:val="clear" w:color="auto" w:fill="auto"/>
            <w:vAlign w:val="bottom"/>
            <w:hideMark/>
          </w:tcPr>
          <w:p w14:paraId="5BFFBDD3"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7D223EEF"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25D55D9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64.20 </w:t>
            </w:r>
          </w:p>
        </w:tc>
      </w:tr>
      <w:tr w:rsidR="00142F4A" w:rsidRPr="00142F4A" w14:paraId="3543AB5E"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0506529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14:paraId="5E9C6278"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307A8517"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6750819E"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1689886E"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0146C360" w14:textId="77777777" w:rsidTr="00142F4A">
        <w:trPr>
          <w:trHeight w:val="300"/>
        </w:trPr>
        <w:tc>
          <w:tcPr>
            <w:tcW w:w="2780" w:type="dxa"/>
            <w:tcBorders>
              <w:top w:val="nil"/>
              <w:left w:val="single" w:sz="4" w:space="0" w:color="auto"/>
              <w:bottom w:val="single" w:sz="4" w:space="0" w:color="auto"/>
              <w:right w:val="nil"/>
            </w:tcBorders>
            <w:shd w:val="clear" w:color="auto" w:fill="auto"/>
            <w:noWrap/>
            <w:vAlign w:val="bottom"/>
            <w:hideMark/>
          </w:tcPr>
          <w:p w14:paraId="001212F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Total for each treatment visit</w:t>
            </w:r>
          </w:p>
        </w:tc>
        <w:tc>
          <w:tcPr>
            <w:tcW w:w="1960" w:type="dxa"/>
            <w:tcBorders>
              <w:top w:val="nil"/>
              <w:left w:val="nil"/>
              <w:bottom w:val="single" w:sz="4" w:space="0" w:color="auto"/>
              <w:right w:val="nil"/>
            </w:tcBorders>
            <w:shd w:val="clear" w:color="auto" w:fill="auto"/>
            <w:noWrap/>
            <w:vAlign w:val="bottom"/>
            <w:hideMark/>
          </w:tcPr>
          <w:p w14:paraId="506E2AB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057" w:type="dxa"/>
            <w:tcBorders>
              <w:top w:val="nil"/>
              <w:left w:val="nil"/>
              <w:bottom w:val="single" w:sz="4" w:space="0" w:color="auto"/>
              <w:right w:val="nil"/>
            </w:tcBorders>
            <w:shd w:val="clear" w:color="auto" w:fill="auto"/>
            <w:vAlign w:val="bottom"/>
            <w:hideMark/>
          </w:tcPr>
          <w:p w14:paraId="2D6A06B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175" w:type="dxa"/>
            <w:tcBorders>
              <w:top w:val="nil"/>
              <w:left w:val="nil"/>
              <w:bottom w:val="single" w:sz="4" w:space="0" w:color="auto"/>
              <w:right w:val="nil"/>
            </w:tcBorders>
            <w:shd w:val="clear" w:color="auto" w:fill="auto"/>
            <w:vAlign w:val="bottom"/>
            <w:hideMark/>
          </w:tcPr>
          <w:p w14:paraId="5790D6ED"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328" w:type="dxa"/>
            <w:tcBorders>
              <w:top w:val="nil"/>
              <w:left w:val="nil"/>
              <w:bottom w:val="single" w:sz="4" w:space="0" w:color="auto"/>
              <w:right w:val="single" w:sz="4" w:space="0" w:color="auto"/>
            </w:tcBorders>
            <w:shd w:val="clear" w:color="auto" w:fill="auto"/>
            <w:noWrap/>
            <w:vAlign w:val="bottom"/>
            <w:hideMark/>
          </w:tcPr>
          <w:p w14:paraId="6A92154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77.01 </w:t>
            </w:r>
          </w:p>
        </w:tc>
      </w:tr>
      <w:tr w:rsidR="00142F4A" w:rsidRPr="00142F4A" w14:paraId="385A8110" w14:textId="77777777" w:rsidTr="00142F4A">
        <w:trPr>
          <w:trHeight w:val="300"/>
        </w:trPr>
        <w:tc>
          <w:tcPr>
            <w:tcW w:w="2780" w:type="dxa"/>
            <w:tcBorders>
              <w:top w:val="nil"/>
              <w:left w:val="nil"/>
              <w:bottom w:val="nil"/>
              <w:right w:val="nil"/>
            </w:tcBorders>
            <w:shd w:val="clear" w:color="auto" w:fill="auto"/>
            <w:noWrap/>
            <w:vAlign w:val="bottom"/>
            <w:hideMark/>
          </w:tcPr>
          <w:p w14:paraId="12C1DC0C"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960" w:type="dxa"/>
            <w:tcBorders>
              <w:top w:val="nil"/>
              <w:left w:val="nil"/>
              <w:bottom w:val="nil"/>
              <w:right w:val="nil"/>
            </w:tcBorders>
            <w:shd w:val="clear" w:color="auto" w:fill="auto"/>
            <w:noWrap/>
            <w:vAlign w:val="bottom"/>
            <w:hideMark/>
          </w:tcPr>
          <w:p w14:paraId="3223653E"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057" w:type="dxa"/>
            <w:tcBorders>
              <w:top w:val="nil"/>
              <w:left w:val="nil"/>
              <w:bottom w:val="nil"/>
              <w:right w:val="nil"/>
            </w:tcBorders>
            <w:shd w:val="clear" w:color="auto" w:fill="auto"/>
            <w:vAlign w:val="bottom"/>
            <w:hideMark/>
          </w:tcPr>
          <w:p w14:paraId="12EFD94D"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16700BAC"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nil"/>
            </w:tcBorders>
            <w:shd w:val="clear" w:color="auto" w:fill="auto"/>
            <w:noWrap/>
            <w:vAlign w:val="bottom"/>
            <w:hideMark/>
          </w:tcPr>
          <w:p w14:paraId="637C7327"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r>
      <w:tr w:rsidR="00142F4A" w:rsidRPr="00142F4A" w14:paraId="2E428B20" w14:textId="77777777" w:rsidTr="00142F4A">
        <w:trPr>
          <w:trHeight w:val="300"/>
        </w:trPr>
        <w:tc>
          <w:tcPr>
            <w:tcW w:w="2780" w:type="dxa"/>
            <w:tcBorders>
              <w:top w:val="nil"/>
              <w:left w:val="nil"/>
              <w:bottom w:val="nil"/>
              <w:right w:val="nil"/>
            </w:tcBorders>
            <w:shd w:val="clear" w:color="auto" w:fill="auto"/>
            <w:noWrap/>
            <w:vAlign w:val="bottom"/>
            <w:hideMark/>
          </w:tcPr>
          <w:p w14:paraId="0316158A"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960" w:type="dxa"/>
            <w:tcBorders>
              <w:top w:val="nil"/>
              <w:left w:val="nil"/>
              <w:bottom w:val="nil"/>
              <w:right w:val="nil"/>
            </w:tcBorders>
            <w:shd w:val="clear" w:color="auto" w:fill="auto"/>
            <w:noWrap/>
            <w:vAlign w:val="bottom"/>
            <w:hideMark/>
          </w:tcPr>
          <w:p w14:paraId="0144F0A1"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057" w:type="dxa"/>
            <w:tcBorders>
              <w:top w:val="nil"/>
              <w:left w:val="nil"/>
              <w:bottom w:val="nil"/>
              <w:right w:val="nil"/>
            </w:tcBorders>
            <w:shd w:val="clear" w:color="auto" w:fill="auto"/>
            <w:vAlign w:val="bottom"/>
            <w:hideMark/>
          </w:tcPr>
          <w:p w14:paraId="4CD00B62"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64519698"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nil"/>
            </w:tcBorders>
            <w:shd w:val="clear" w:color="auto" w:fill="auto"/>
            <w:noWrap/>
            <w:vAlign w:val="bottom"/>
            <w:hideMark/>
          </w:tcPr>
          <w:p w14:paraId="290B36D0"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r>
      <w:tr w:rsidR="00142F4A" w:rsidRPr="00142F4A" w14:paraId="36A231AD" w14:textId="77777777" w:rsidTr="00142F4A">
        <w:trPr>
          <w:trHeight w:val="300"/>
        </w:trPr>
        <w:tc>
          <w:tcPr>
            <w:tcW w:w="4740" w:type="dxa"/>
            <w:gridSpan w:val="2"/>
            <w:tcBorders>
              <w:top w:val="nil"/>
              <w:left w:val="nil"/>
              <w:bottom w:val="nil"/>
              <w:right w:val="nil"/>
            </w:tcBorders>
            <w:shd w:val="clear" w:color="auto" w:fill="auto"/>
            <w:noWrap/>
            <w:vAlign w:val="bottom"/>
            <w:hideMark/>
          </w:tcPr>
          <w:p w14:paraId="49E021FE" w14:textId="77777777" w:rsidR="00142F4A" w:rsidRPr="00142F4A" w:rsidRDefault="00142F4A" w:rsidP="00142F4A">
            <w:pPr>
              <w:spacing w:after="0" w:line="240" w:lineRule="auto"/>
              <w:rPr>
                <w:rFonts w:ascii="Calibri" w:eastAsia="Times New Roman" w:hAnsi="Calibri" w:cs="Calibri"/>
                <w:b/>
                <w:bCs/>
                <w:color w:val="000000"/>
                <w:lang w:eastAsia="en-GB"/>
              </w:rPr>
            </w:pPr>
            <w:r w:rsidRPr="00142F4A">
              <w:rPr>
                <w:rFonts w:ascii="Calibri" w:eastAsia="Times New Roman" w:hAnsi="Calibri" w:cs="Calibri"/>
                <w:b/>
                <w:bCs/>
                <w:color w:val="000000"/>
                <w:lang w:eastAsia="en-GB"/>
              </w:rPr>
              <w:t>Post treatment visits 12 weeks and 1 year</w:t>
            </w:r>
          </w:p>
        </w:tc>
        <w:tc>
          <w:tcPr>
            <w:tcW w:w="1057" w:type="dxa"/>
            <w:tcBorders>
              <w:top w:val="nil"/>
              <w:left w:val="nil"/>
              <w:bottom w:val="nil"/>
              <w:right w:val="nil"/>
            </w:tcBorders>
            <w:shd w:val="clear" w:color="auto" w:fill="auto"/>
            <w:vAlign w:val="bottom"/>
            <w:hideMark/>
          </w:tcPr>
          <w:p w14:paraId="3684DF2C" w14:textId="77777777" w:rsidR="00142F4A" w:rsidRPr="00142F4A" w:rsidRDefault="00142F4A" w:rsidP="00142F4A">
            <w:pPr>
              <w:spacing w:after="0" w:line="240" w:lineRule="auto"/>
              <w:rPr>
                <w:rFonts w:ascii="Calibri" w:eastAsia="Times New Roman" w:hAnsi="Calibri" w:cs="Calibri"/>
                <w:b/>
                <w:bCs/>
                <w:color w:val="000000"/>
                <w:lang w:eastAsia="en-GB"/>
              </w:rPr>
            </w:pPr>
          </w:p>
        </w:tc>
        <w:tc>
          <w:tcPr>
            <w:tcW w:w="1175" w:type="dxa"/>
            <w:tcBorders>
              <w:top w:val="nil"/>
              <w:left w:val="nil"/>
              <w:bottom w:val="nil"/>
              <w:right w:val="nil"/>
            </w:tcBorders>
            <w:shd w:val="clear" w:color="auto" w:fill="auto"/>
            <w:vAlign w:val="bottom"/>
            <w:hideMark/>
          </w:tcPr>
          <w:p w14:paraId="227262EB"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nil"/>
            </w:tcBorders>
            <w:shd w:val="clear" w:color="auto" w:fill="auto"/>
            <w:noWrap/>
            <w:vAlign w:val="bottom"/>
            <w:hideMark/>
          </w:tcPr>
          <w:p w14:paraId="1949933C"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r>
      <w:tr w:rsidR="00142F4A" w:rsidRPr="00142F4A" w14:paraId="1638BB85" w14:textId="77777777" w:rsidTr="00142F4A">
        <w:trPr>
          <w:trHeight w:val="300"/>
        </w:trPr>
        <w:tc>
          <w:tcPr>
            <w:tcW w:w="2780" w:type="dxa"/>
            <w:tcBorders>
              <w:top w:val="single" w:sz="4" w:space="0" w:color="auto"/>
              <w:left w:val="single" w:sz="4" w:space="0" w:color="auto"/>
              <w:bottom w:val="nil"/>
              <w:right w:val="nil"/>
            </w:tcBorders>
            <w:shd w:val="clear" w:color="auto" w:fill="auto"/>
            <w:noWrap/>
            <w:vAlign w:val="bottom"/>
            <w:hideMark/>
          </w:tcPr>
          <w:p w14:paraId="07587B44" w14:textId="77777777" w:rsidR="00142F4A" w:rsidRPr="00142F4A" w:rsidRDefault="00142F4A" w:rsidP="00142F4A">
            <w:pPr>
              <w:spacing w:after="0" w:line="240" w:lineRule="auto"/>
              <w:rPr>
                <w:rFonts w:ascii="Calibri" w:eastAsia="Times New Roman" w:hAnsi="Calibri" w:cs="Calibri"/>
                <w:color w:val="000000"/>
                <w:u w:val="single"/>
                <w:lang w:eastAsia="en-GB"/>
              </w:rPr>
            </w:pPr>
            <w:r w:rsidRPr="00142F4A">
              <w:rPr>
                <w:rFonts w:ascii="Calibri" w:eastAsia="Times New Roman" w:hAnsi="Calibri" w:cs="Calibri"/>
                <w:color w:val="000000"/>
                <w:u w:val="single"/>
                <w:lang w:eastAsia="en-GB"/>
              </w:rPr>
              <w:lastRenderedPageBreak/>
              <w:t>Staff</w:t>
            </w:r>
          </w:p>
        </w:tc>
        <w:tc>
          <w:tcPr>
            <w:tcW w:w="1960" w:type="dxa"/>
            <w:tcBorders>
              <w:top w:val="single" w:sz="4" w:space="0" w:color="auto"/>
              <w:left w:val="nil"/>
              <w:bottom w:val="nil"/>
              <w:right w:val="nil"/>
            </w:tcBorders>
            <w:shd w:val="clear" w:color="auto" w:fill="auto"/>
            <w:noWrap/>
            <w:vAlign w:val="bottom"/>
            <w:hideMark/>
          </w:tcPr>
          <w:p w14:paraId="687D82C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057" w:type="dxa"/>
            <w:tcBorders>
              <w:top w:val="single" w:sz="4" w:space="0" w:color="auto"/>
              <w:left w:val="nil"/>
              <w:bottom w:val="nil"/>
              <w:right w:val="nil"/>
            </w:tcBorders>
            <w:shd w:val="clear" w:color="auto" w:fill="auto"/>
            <w:vAlign w:val="bottom"/>
            <w:hideMark/>
          </w:tcPr>
          <w:p w14:paraId="320E99B5"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175" w:type="dxa"/>
            <w:tcBorders>
              <w:top w:val="single" w:sz="4" w:space="0" w:color="auto"/>
              <w:left w:val="nil"/>
              <w:bottom w:val="nil"/>
              <w:right w:val="nil"/>
            </w:tcBorders>
            <w:shd w:val="clear" w:color="auto" w:fill="auto"/>
            <w:vAlign w:val="bottom"/>
            <w:hideMark/>
          </w:tcPr>
          <w:p w14:paraId="752B7BE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328" w:type="dxa"/>
            <w:tcBorders>
              <w:top w:val="single" w:sz="4" w:space="0" w:color="auto"/>
              <w:left w:val="nil"/>
              <w:bottom w:val="nil"/>
              <w:right w:val="single" w:sz="4" w:space="0" w:color="auto"/>
            </w:tcBorders>
            <w:shd w:val="clear" w:color="auto" w:fill="auto"/>
            <w:noWrap/>
            <w:vAlign w:val="bottom"/>
            <w:hideMark/>
          </w:tcPr>
          <w:p w14:paraId="203E6F18"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2253CE63"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197EA1F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Specialist nurse</w:t>
            </w:r>
          </w:p>
        </w:tc>
        <w:tc>
          <w:tcPr>
            <w:tcW w:w="1960" w:type="dxa"/>
            <w:tcBorders>
              <w:top w:val="nil"/>
              <w:left w:val="nil"/>
              <w:bottom w:val="nil"/>
              <w:right w:val="nil"/>
            </w:tcBorders>
            <w:shd w:val="clear" w:color="auto" w:fill="auto"/>
            <w:noWrap/>
            <w:vAlign w:val="bottom"/>
            <w:hideMark/>
          </w:tcPr>
          <w:p w14:paraId="2A17CFCE"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6E8BD438" w14:textId="77777777" w:rsidR="00142F4A" w:rsidRPr="00142F4A" w:rsidRDefault="00142F4A" w:rsidP="00142F4A">
            <w:pPr>
              <w:spacing w:after="0" w:line="240" w:lineRule="auto"/>
              <w:jc w:val="right"/>
              <w:rPr>
                <w:rFonts w:ascii="Calibri" w:eastAsia="Times New Roman" w:hAnsi="Calibri" w:cs="Calibri"/>
                <w:color w:val="000000"/>
                <w:lang w:eastAsia="en-GB"/>
              </w:rPr>
            </w:pPr>
            <w:r w:rsidRPr="00142F4A">
              <w:rPr>
                <w:rFonts w:ascii="Calibri" w:eastAsia="Times New Roman" w:hAnsi="Calibri" w:cs="Calibri"/>
                <w:color w:val="000000"/>
                <w:lang w:eastAsia="en-GB"/>
              </w:rPr>
              <w:t>20</w:t>
            </w:r>
          </w:p>
        </w:tc>
        <w:tc>
          <w:tcPr>
            <w:tcW w:w="1175" w:type="dxa"/>
            <w:tcBorders>
              <w:top w:val="nil"/>
              <w:left w:val="nil"/>
              <w:bottom w:val="nil"/>
              <w:right w:val="nil"/>
            </w:tcBorders>
            <w:shd w:val="clear" w:color="auto" w:fill="auto"/>
            <w:vAlign w:val="bottom"/>
            <w:hideMark/>
          </w:tcPr>
          <w:p w14:paraId="0559660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15.72 </w:t>
            </w:r>
          </w:p>
        </w:tc>
        <w:tc>
          <w:tcPr>
            <w:tcW w:w="1328" w:type="dxa"/>
            <w:tcBorders>
              <w:top w:val="nil"/>
              <w:left w:val="nil"/>
              <w:bottom w:val="nil"/>
              <w:right w:val="single" w:sz="4" w:space="0" w:color="auto"/>
            </w:tcBorders>
            <w:shd w:val="clear" w:color="auto" w:fill="auto"/>
            <w:noWrap/>
            <w:vAlign w:val="bottom"/>
            <w:hideMark/>
          </w:tcPr>
          <w:p w14:paraId="51AAD90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5.24 </w:t>
            </w:r>
          </w:p>
        </w:tc>
      </w:tr>
      <w:tr w:rsidR="00142F4A" w:rsidRPr="00142F4A" w14:paraId="16E0CC45"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0421695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Phlebotomist</w:t>
            </w:r>
          </w:p>
        </w:tc>
        <w:tc>
          <w:tcPr>
            <w:tcW w:w="1960" w:type="dxa"/>
            <w:tcBorders>
              <w:top w:val="nil"/>
              <w:left w:val="nil"/>
              <w:bottom w:val="nil"/>
              <w:right w:val="nil"/>
            </w:tcBorders>
            <w:shd w:val="clear" w:color="auto" w:fill="auto"/>
            <w:noWrap/>
            <w:vAlign w:val="bottom"/>
            <w:hideMark/>
          </w:tcPr>
          <w:p w14:paraId="10D2B2A8"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7E1C8329" w14:textId="77777777" w:rsidR="00142F4A" w:rsidRPr="00142F4A" w:rsidRDefault="00142F4A" w:rsidP="00142F4A">
            <w:pPr>
              <w:spacing w:after="0" w:line="240" w:lineRule="auto"/>
              <w:jc w:val="right"/>
              <w:rPr>
                <w:rFonts w:ascii="Calibri" w:eastAsia="Times New Roman" w:hAnsi="Calibri" w:cs="Calibri"/>
                <w:color w:val="000000"/>
                <w:lang w:eastAsia="en-GB"/>
              </w:rPr>
            </w:pPr>
            <w:r w:rsidRPr="00142F4A">
              <w:rPr>
                <w:rFonts w:ascii="Calibri" w:eastAsia="Times New Roman" w:hAnsi="Calibri" w:cs="Calibri"/>
                <w:color w:val="000000"/>
                <w:lang w:eastAsia="en-GB"/>
              </w:rPr>
              <w:t>10</w:t>
            </w:r>
          </w:p>
        </w:tc>
        <w:tc>
          <w:tcPr>
            <w:tcW w:w="1175" w:type="dxa"/>
            <w:tcBorders>
              <w:top w:val="nil"/>
              <w:left w:val="nil"/>
              <w:bottom w:val="nil"/>
              <w:right w:val="nil"/>
            </w:tcBorders>
            <w:shd w:val="clear" w:color="auto" w:fill="auto"/>
            <w:vAlign w:val="bottom"/>
            <w:hideMark/>
          </w:tcPr>
          <w:p w14:paraId="26E0BB93"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9.40 </w:t>
            </w:r>
          </w:p>
        </w:tc>
        <w:tc>
          <w:tcPr>
            <w:tcW w:w="1328" w:type="dxa"/>
            <w:tcBorders>
              <w:top w:val="nil"/>
              <w:left w:val="nil"/>
              <w:bottom w:val="nil"/>
              <w:right w:val="single" w:sz="4" w:space="0" w:color="auto"/>
            </w:tcBorders>
            <w:shd w:val="clear" w:color="auto" w:fill="auto"/>
            <w:noWrap/>
            <w:vAlign w:val="bottom"/>
            <w:hideMark/>
          </w:tcPr>
          <w:p w14:paraId="1688BDA9"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1.57 </w:t>
            </w:r>
          </w:p>
        </w:tc>
      </w:tr>
      <w:tr w:rsidR="00142F4A" w:rsidRPr="00142F4A" w14:paraId="44AF57DC"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49093EAB"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14:paraId="02B60A87"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1CBE9FCE"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5805759B"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647DAEF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2A642DFF"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15CA69FE" w14:textId="77777777" w:rsidR="00142F4A" w:rsidRPr="00142F4A" w:rsidRDefault="00142F4A" w:rsidP="00142F4A">
            <w:pPr>
              <w:spacing w:after="0" w:line="240" w:lineRule="auto"/>
              <w:rPr>
                <w:rFonts w:ascii="Calibri" w:eastAsia="Times New Roman" w:hAnsi="Calibri" w:cs="Calibri"/>
                <w:color w:val="000000"/>
                <w:u w:val="single"/>
                <w:lang w:eastAsia="en-GB"/>
              </w:rPr>
            </w:pPr>
            <w:r w:rsidRPr="00142F4A">
              <w:rPr>
                <w:rFonts w:ascii="Calibri" w:eastAsia="Times New Roman" w:hAnsi="Calibri" w:cs="Calibri"/>
                <w:color w:val="000000"/>
                <w:u w:val="single"/>
                <w:lang w:eastAsia="en-GB"/>
              </w:rPr>
              <w:t>Tests and investigations</w:t>
            </w:r>
          </w:p>
        </w:tc>
        <w:tc>
          <w:tcPr>
            <w:tcW w:w="1960" w:type="dxa"/>
            <w:tcBorders>
              <w:top w:val="nil"/>
              <w:left w:val="nil"/>
              <w:bottom w:val="nil"/>
              <w:right w:val="nil"/>
            </w:tcBorders>
            <w:shd w:val="clear" w:color="auto" w:fill="auto"/>
            <w:noWrap/>
            <w:vAlign w:val="bottom"/>
            <w:hideMark/>
          </w:tcPr>
          <w:p w14:paraId="1150EB4D" w14:textId="77777777" w:rsidR="00142F4A" w:rsidRPr="00142F4A" w:rsidRDefault="00142F4A" w:rsidP="00142F4A">
            <w:pPr>
              <w:spacing w:after="0" w:line="240" w:lineRule="auto"/>
              <w:rPr>
                <w:rFonts w:ascii="Calibri" w:eastAsia="Times New Roman" w:hAnsi="Calibri" w:cs="Calibri"/>
                <w:color w:val="000000"/>
                <w:u w:val="single"/>
                <w:lang w:eastAsia="en-GB"/>
              </w:rPr>
            </w:pPr>
          </w:p>
        </w:tc>
        <w:tc>
          <w:tcPr>
            <w:tcW w:w="1057" w:type="dxa"/>
            <w:tcBorders>
              <w:top w:val="nil"/>
              <w:left w:val="nil"/>
              <w:bottom w:val="nil"/>
              <w:right w:val="nil"/>
            </w:tcBorders>
            <w:shd w:val="clear" w:color="auto" w:fill="auto"/>
            <w:vAlign w:val="bottom"/>
            <w:hideMark/>
          </w:tcPr>
          <w:p w14:paraId="685F9B06"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36CB1BE8"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28FA6E3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6A92D3CB"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60455192"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Full blood count</w:t>
            </w:r>
          </w:p>
        </w:tc>
        <w:tc>
          <w:tcPr>
            <w:tcW w:w="1960" w:type="dxa"/>
            <w:tcBorders>
              <w:top w:val="nil"/>
              <w:left w:val="nil"/>
              <w:bottom w:val="nil"/>
              <w:right w:val="nil"/>
            </w:tcBorders>
            <w:shd w:val="clear" w:color="auto" w:fill="auto"/>
            <w:noWrap/>
            <w:vAlign w:val="bottom"/>
            <w:hideMark/>
          </w:tcPr>
          <w:p w14:paraId="5E57483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Haematology</w:t>
            </w:r>
          </w:p>
        </w:tc>
        <w:tc>
          <w:tcPr>
            <w:tcW w:w="1057" w:type="dxa"/>
            <w:tcBorders>
              <w:top w:val="nil"/>
              <w:left w:val="nil"/>
              <w:bottom w:val="nil"/>
              <w:right w:val="nil"/>
            </w:tcBorders>
            <w:shd w:val="clear" w:color="auto" w:fill="auto"/>
            <w:vAlign w:val="bottom"/>
            <w:hideMark/>
          </w:tcPr>
          <w:p w14:paraId="557B7C8A"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7D65AA4C"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40432297"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3.00 </w:t>
            </w:r>
          </w:p>
        </w:tc>
      </w:tr>
      <w:tr w:rsidR="00142F4A" w:rsidRPr="00142F4A" w14:paraId="747B6BC6"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1DD403E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Liver function tests</w:t>
            </w:r>
          </w:p>
        </w:tc>
        <w:tc>
          <w:tcPr>
            <w:tcW w:w="1960" w:type="dxa"/>
            <w:tcBorders>
              <w:top w:val="nil"/>
              <w:left w:val="nil"/>
              <w:bottom w:val="nil"/>
              <w:right w:val="nil"/>
            </w:tcBorders>
            <w:shd w:val="clear" w:color="auto" w:fill="auto"/>
            <w:noWrap/>
            <w:vAlign w:val="bottom"/>
            <w:hideMark/>
          </w:tcPr>
          <w:p w14:paraId="69A5FFF1"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Chemical Pathology</w:t>
            </w:r>
          </w:p>
        </w:tc>
        <w:tc>
          <w:tcPr>
            <w:tcW w:w="1057" w:type="dxa"/>
            <w:tcBorders>
              <w:top w:val="nil"/>
              <w:left w:val="nil"/>
              <w:bottom w:val="nil"/>
              <w:right w:val="nil"/>
            </w:tcBorders>
            <w:shd w:val="clear" w:color="auto" w:fill="auto"/>
            <w:vAlign w:val="bottom"/>
            <w:hideMark/>
          </w:tcPr>
          <w:p w14:paraId="2058B0A5"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057D7998"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39AE72EB"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3.00 </w:t>
            </w:r>
          </w:p>
        </w:tc>
      </w:tr>
      <w:tr w:rsidR="00142F4A" w:rsidRPr="00142F4A" w14:paraId="605967B4"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3DE272EE"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HCV viral load</w:t>
            </w:r>
          </w:p>
        </w:tc>
        <w:tc>
          <w:tcPr>
            <w:tcW w:w="1960" w:type="dxa"/>
            <w:tcBorders>
              <w:top w:val="nil"/>
              <w:left w:val="nil"/>
              <w:bottom w:val="nil"/>
              <w:right w:val="nil"/>
            </w:tcBorders>
            <w:shd w:val="clear" w:color="auto" w:fill="auto"/>
            <w:noWrap/>
            <w:vAlign w:val="bottom"/>
            <w:hideMark/>
          </w:tcPr>
          <w:p w14:paraId="335FF2CC"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Virology</w:t>
            </w:r>
          </w:p>
        </w:tc>
        <w:tc>
          <w:tcPr>
            <w:tcW w:w="1057" w:type="dxa"/>
            <w:tcBorders>
              <w:top w:val="nil"/>
              <w:left w:val="nil"/>
              <w:bottom w:val="nil"/>
              <w:right w:val="nil"/>
            </w:tcBorders>
            <w:shd w:val="clear" w:color="auto" w:fill="auto"/>
            <w:vAlign w:val="bottom"/>
            <w:hideMark/>
          </w:tcPr>
          <w:p w14:paraId="02F249E4"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175" w:type="dxa"/>
            <w:tcBorders>
              <w:top w:val="nil"/>
              <w:left w:val="nil"/>
              <w:bottom w:val="nil"/>
              <w:right w:val="nil"/>
            </w:tcBorders>
            <w:shd w:val="clear" w:color="auto" w:fill="auto"/>
            <w:vAlign w:val="bottom"/>
            <w:hideMark/>
          </w:tcPr>
          <w:p w14:paraId="240951C6"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1492D746"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64.20 </w:t>
            </w:r>
          </w:p>
        </w:tc>
      </w:tr>
      <w:tr w:rsidR="00142F4A" w:rsidRPr="00142F4A" w14:paraId="50D26B35" w14:textId="77777777" w:rsidTr="00142F4A">
        <w:trPr>
          <w:trHeight w:val="300"/>
        </w:trPr>
        <w:tc>
          <w:tcPr>
            <w:tcW w:w="2780" w:type="dxa"/>
            <w:tcBorders>
              <w:top w:val="nil"/>
              <w:left w:val="single" w:sz="4" w:space="0" w:color="auto"/>
              <w:bottom w:val="nil"/>
              <w:right w:val="nil"/>
            </w:tcBorders>
            <w:shd w:val="clear" w:color="auto" w:fill="auto"/>
            <w:noWrap/>
            <w:vAlign w:val="bottom"/>
            <w:hideMark/>
          </w:tcPr>
          <w:p w14:paraId="60EC44F9"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960" w:type="dxa"/>
            <w:tcBorders>
              <w:top w:val="nil"/>
              <w:left w:val="nil"/>
              <w:bottom w:val="nil"/>
              <w:right w:val="nil"/>
            </w:tcBorders>
            <w:shd w:val="clear" w:color="auto" w:fill="auto"/>
            <w:noWrap/>
            <w:vAlign w:val="bottom"/>
            <w:hideMark/>
          </w:tcPr>
          <w:p w14:paraId="631EE377" w14:textId="77777777" w:rsidR="00142F4A" w:rsidRPr="00142F4A" w:rsidRDefault="00142F4A" w:rsidP="00142F4A">
            <w:pPr>
              <w:spacing w:after="0" w:line="240" w:lineRule="auto"/>
              <w:rPr>
                <w:rFonts w:ascii="Calibri" w:eastAsia="Times New Roman" w:hAnsi="Calibri" w:cs="Calibri"/>
                <w:color w:val="000000"/>
                <w:lang w:eastAsia="en-GB"/>
              </w:rPr>
            </w:pPr>
          </w:p>
        </w:tc>
        <w:tc>
          <w:tcPr>
            <w:tcW w:w="1057" w:type="dxa"/>
            <w:tcBorders>
              <w:top w:val="nil"/>
              <w:left w:val="nil"/>
              <w:bottom w:val="nil"/>
              <w:right w:val="nil"/>
            </w:tcBorders>
            <w:shd w:val="clear" w:color="auto" w:fill="auto"/>
            <w:vAlign w:val="bottom"/>
            <w:hideMark/>
          </w:tcPr>
          <w:p w14:paraId="3309325C"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175" w:type="dxa"/>
            <w:tcBorders>
              <w:top w:val="nil"/>
              <w:left w:val="nil"/>
              <w:bottom w:val="nil"/>
              <w:right w:val="nil"/>
            </w:tcBorders>
            <w:shd w:val="clear" w:color="auto" w:fill="auto"/>
            <w:vAlign w:val="bottom"/>
            <w:hideMark/>
          </w:tcPr>
          <w:p w14:paraId="02DDBD01" w14:textId="77777777" w:rsidR="00142F4A" w:rsidRPr="00142F4A" w:rsidRDefault="00142F4A" w:rsidP="00142F4A">
            <w:pPr>
              <w:spacing w:after="0" w:line="240" w:lineRule="auto"/>
              <w:rPr>
                <w:rFonts w:ascii="Times New Roman" w:eastAsia="Times New Roman" w:hAnsi="Times New Roman" w:cs="Times New Roman"/>
                <w:sz w:val="20"/>
                <w:szCs w:val="20"/>
                <w:lang w:eastAsia="en-GB"/>
              </w:rPr>
            </w:pPr>
          </w:p>
        </w:tc>
        <w:tc>
          <w:tcPr>
            <w:tcW w:w="1328" w:type="dxa"/>
            <w:tcBorders>
              <w:top w:val="nil"/>
              <w:left w:val="nil"/>
              <w:bottom w:val="nil"/>
              <w:right w:val="single" w:sz="4" w:space="0" w:color="auto"/>
            </w:tcBorders>
            <w:shd w:val="clear" w:color="auto" w:fill="auto"/>
            <w:noWrap/>
            <w:vAlign w:val="bottom"/>
            <w:hideMark/>
          </w:tcPr>
          <w:p w14:paraId="0FA8911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r>
      <w:tr w:rsidR="00142F4A" w:rsidRPr="00142F4A" w14:paraId="05E7D5B7" w14:textId="77777777" w:rsidTr="00142F4A">
        <w:trPr>
          <w:trHeight w:val="300"/>
        </w:trPr>
        <w:tc>
          <w:tcPr>
            <w:tcW w:w="2780" w:type="dxa"/>
            <w:tcBorders>
              <w:top w:val="nil"/>
              <w:left w:val="single" w:sz="4" w:space="0" w:color="auto"/>
              <w:bottom w:val="single" w:sz="4" w:space="0" w:color="auto"/>
              <w:right w:val="nil"/>
            </w:tcBorders>
            <w:shd w:val="clear" w:color="auto" w:fill="auto"/>
            <w:noWrap/>
            <w:vAlign w:val="bottom"/>
            <w:hideMark/>
          </w:tcPr>
          <w:p w14:paraId="3367B0EA"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Total for SVR visits</w:t>
            </w:r>
          </w:p>
        </w:tc>
        <w:tc>
          <w:tcPr>
            <w:tcW w:w="1960" w:type="dxa"/>
            <w:tcBorders>
              <w:top w:val="nil"/>
              <w:left w:val="nil"/>
              <w:bottom w:val="single" w:sz="4" w:space="0" w:color="auto"/>
              <w:right w:val="nil"/>
            </w:tcBorders>
            <w:shd w:val="clear" w:color="auto" w:fill="auto"/>
            <w:noWrap/>
            <w:vAlign w:val="bottom"/>
            <w:hideMark/>
          </w:tcPr>
          <w:p w14:paraId="2BFAC0A0"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057" w:type="dxa"/>
            <w:tcBorders>
              <w:top w:val="nil"/>
              <w:left w:val="nil"/>
              <w:bottom w:val="single" w:sz="4" w:space="0" w:color="auto"/>
              <w:right w:val="nil"/>
            </w:tcBorders>
            <w:shd w:val="clear" w:color="auto" w:fill="auto"/>
            <w:vAlign w:val="bottom"/>
            <w:hideMark/>
          </w:tcPr>
          <w:p w14:paraId="4DBC75C4"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175" w:type="dxa"/>
            <w:tcBorders>
              <w:top w:val="nil"/>
              <w:left w:val="nil"/>
              <w:bottom w:val="single" w:sz="4" w:space="0" w:color="auto"/>
              <w:right w:val="nil"/>
            </w:tcBorders>
            <w:shd w:val="clear" w:color="auto" w:fill="auto"/>
            <w:vAlign w:val="bottom"/>
            <w:hideMark/>
          </w:tcPr>
          <w:p w14:paraId="51FED085"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w:t>
            </w:r>
          </w:p>
        </w:tc>
        <w:tc>
          <w:tcPr>
            <w:tcW w:w="1328" w:type="dxa"/>
            <w:tcBorders>
              <w:top w:val="nil"/>
              <w:left w:val="nil"/>
              <w:bottom w:val="single" w:sz="4" w:space="0" w:color="auto"/>
              <w:right w:val="single" w:sz="4" w:space="0" w:color="auto"/>
            </w:tcBorders>
            <w:shd w:val="clear" w:color="auto" w:fill="auto"/>
            <w:noWrap/>
            <w:vAlign w:val="bottom"/>
            <w:hideMark/>
          </w:tcPr>
          <w:p w14:paraId="379262DF" w14:textId="77777777" w:rsidR="00142F4A" w:rsidRPr="00142F4A" w:rsidRDefault="00142F4A" w:rsidP="00142F4A">
            <w:pPr>
              <w:spacing w:after="0" w:line="240" w:lineRule="auto"/>
              <w:rPr>
                <w:rFonts w:ascii="Calibri" w:eastAsia="Times New Roman" w:hAnsi="Calibri" w:cs="Calibri"/>
                <w:color w:val="000000"/>
                <w:lang w:eastAsia="en-GB"/>
              </w:rPr>
            </w:pPr>
            <w:r w:rsidRPr="00142F4A">
              <w:rPr>
                <w:rFonts w:ascii="Calibri" w:eastAsia="Times New Roman" w:hAnsi="Calibri" w:cs="Calibri"/>
                <w:color w:val="000000"/>
                <w:lang w:eastAsia="en-GB"/>
              </w:rPr>
              <w:t xml:space="preserve"> £            77.01 </w:t>
            </w:r>
          </w:p>
        </w:tc>
      </w:tr>
    </w:tbl>
    <w:p w14:paraId="09F822B4" w14:textId="329927A4" w:rsidR="00105865" w:rsidRDefault="00131470" w:rsidP="00105865">
      <w:pPr>
        <w:spacing w:line="240" w:lineRule="auto"/>
      </w:pPr>
      <w:r>
        <w:t>Protocol obtained by personal communication G Foster, HCV clinical lead in England</w:t>
      </w:r>
    </w:p>
    <w:p w14:paraId="3EE40622" w14:textId="77777777" w:rsidR="00105865" w:rsidRDefault="00105865" w:rsidP="00105865">
      <w:pPr>
        <w:spacing w:line="240" w:lineRule="auto"/>
      </w:pPr>
    </w:p>
    <w:p w14:paraId="4B106B19" w14:textId="77777777" w:rsidR="00105865" w:rsidRDefault="00105865" w:rsidP="00105865">
      <w:pPr>
        <w:spacing w:line="240" w:lineRule="auto"/>
      </w:pPr>
    </w:p>
    <w:p w14:paraId="71190718" w14:textId="77777777" w:rsidR="007361AD" w:rsidRDefault="007361AD" w:rsidP="00105865">
      <w:pPr>
        <w:spacing w:line="240" w:lineRule="auto"/>
      </w:pPr>
    </w:p>
    <w:p w14:paraId="661D4BF7" w14:textId="77777777" w:rsidR="007361AD" w:rsidRDefault="007361AD" w:rsidP="00105865">
      <w:pPr>
        <w:spacing w:line="240" w:lineRule="auto"/>
      </w:pPr>
    </w:p>
    <w:p w14:paraId="28EAD67E" w14:textId="77777777" w:rsidR="007361AD" w:rsidRDefault="007361AD" w:rsidP="00105865">
      <w:pPr>
        <w:spacing w:line="240" w:lineRule="auto"/>
      </w:pPr>
    </w:p>
    <w:p w14:paraId="53634983" w14:textId="77777777" w:rsidR="007361AD" w:rsidRDefault="007361AD" w:rsidP="00105865">
      <w:pPr>
        <w:spacing w:line="240" w:lineRule="auto"/>
      </w:pPr>
    </w:p>
    <w:p w14:paraId="0580E813" w14:textId="77777777" w:rsidR="007361AD" w:rsidRDefault="007361AD" w:rsidP="00105865">
      <w:pPr>
        <w:spacing w:line="240" w:lineRule="auto"/>
      </w:pPr>
    </w:p>
    <w:p w14:paraId="5626A677" w14:textId="77777777" w:rsidR="007361AD" w:rsidRDefault="007361AD" w:rsidP="00105865">
      <w:pPr>
        <w:spacing w:line="240" w:lineRule="auto"/>
      </w:pPr>
    </w:p>
    <w:p w14:paraId="0E065FD2" w14:textId="77777777" w:rsidR="007361AD" w:rsidRDefault="007361AD" w:rsidP="00105865">
      <w:pPr>
        <w:spacing w:line="240" w:lineRule="auto"/>
      </w:pPr>
    </w:p>
    <w:p w14:paraId="225C3420" w14:textId="77777777" w:rsidR="007361AD" w:rsidRDefault="007361AD" w:rsidP="00105865">
      <w:pPr>
        <w:spacing w:line="240" w:lineRule="auto"/>
      </w:pPr>
    </w:p>
    <w:p w14:paraId="646D32D4" w14:textId="77777777" w:rsidR="007361AD" w:rsidRDefault="007361AD" w:rsidP="00105865">
      <w:pPr>
        <w:spacing w:line="240" w:lineRule="auto"/>
      </w:pPr>
    </w:p>
    <w:p w14:paraId="615795E4" w14:textId="77777777" w:rsidR="007361AD" w:rsidRDefault="007361AD" w:rsidP="00105865">
      <w:pPr>
        <w:spacing w:line="240" w:lineRule="auto"/>
      </w:pPr>
    </w:p>
    <w:p w14:paraId="391BF156" w14:textId="77777777" w:rsidR="007361AD" w:rsidRDefault="007361AD" w:rsidP="00105865">
      <w:pPr>
        <w:spacing w:line="240" w:lineRule="auto"/>
      </w:pPr>
    </w:p>
    <w:p w14:paraId="0963BB30" w14:textId="77777777" w:rsidR="007361AD" w:rsidRDefault="007361AD" w:rsidP="00105865">
      <w:pPr>
        <w:spacing w:line="240" w:lineRule="auto"/>
      </w:pPr>
    </w:p>
    <w:p w14:paraId="6B620E8A" w14:textId="77777777" w:rsidR="007361AD" w:rsidRDefault="007361AD" w:rsidP="00105865">
      <w:pPr>
        <w:spacing w:line="240" w:lineRule="auto"/>
      </w:pPr>
    </w:p>
    <w:p w14:paraId="19D3A7B7" w14:textId="77777777" w:rsidR="007361AD" w:rsidRDefault="007361AD" w:rsidP="00105865">
      <w:pPr>
        <w:spacing w:line="240" w:lineRule="auto"/>
      </w:pPr>
    </w:p>
    <w:p w14:paraId="1480D502" w14:textId="77777777" w:rsidR="007361AD" w:rsidRDefault="007361AD" w:rsidP="00105865">
      <w:pPr>
        <w:spacing w:line="240" w:lineRule="auto"/>
      </w:pPr>
    </w:p>
    <w:p w14:paraId="008E9E8A" w14:textId="77777777" w:rsidR="007361AD" w:rsidRDefault="007361AD" w:rsidP="00105865">
      <w:pPr>
        <w:spacing w:line="240" w:lineRule="auto"/>
      </w:pPr>
    </w:p>
    <w:p w14:paraId="62A7BFEE" w14:textId="388775E3" w:rsidR="008260A4" w:rsidRDefault="008260A4" w:rsidP="00105865">
      <w:pPr>
        <w:spacing w:line="240" w:lineRule="auto"/>
        <w:rPr>
          <w:b/>
        </w:rPr>
      </w:pPr>
      <w:r>
        <w:t>Table S</w:t>
      </w:r>
      <w:r w:rsidR="00091C92">
        <w:t>5</w:t>
      </w:r>
      <w:r>
        <w:t xml:space="preserve">: </w:t>
      </w:r>
      <w:r>
        <w:rPr>
          <w:b/>
        </w:rPr>
        <w:t>Scenario 1: Start-up costs annualised over 3 years</w:t>
      </w:r>
    </w:p>
    <w:tbl>
      <w:tblPr>
        <w:tblStyle w:val="TableGrid"/>
        <w:tblW w:w="10343" w:type="dxa"/>
        <w:tblLayout w:type="fixed"/>
        <w:tblLook w:val="04A0" w:firstRow="1" w:lastRow="0" w:firstColumn="1" w:lastColumn="0" w:noHBand="0" w:noVBand="1"/>
      </w:tblPr>
      <w:tblGrid>
        <w:gridCol w:w="2122"/>
        <w:gridCol w:w="1984"/>
        <w:gridCol w:w="1843"/>
        <w:gridCol w:w="2126"/>
        <w:gridCol w:w="2268"/>
      </w:tblGrid>
      <w:tr w:rsidR="008260A4" w14:paraId="1A630641" w14:textId="77777777" w:rsidTr="008260A4">
        <w:trPr>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7B02CC" w14:textId="77777777" w:rsidR="008260A4" w:rsidRDefault="008260A4" w:rsidP="00105865">
            <w:pPr>
              <w:rPr>
                <w:b/>
              </w:rPr>
            </w:pPr>
          </w:p>
          <w:p w14:paraId="02273730" w14:textId="77777777" w:rsidR="008260A4" w:rsidRDefault="008260A4" w:rsidP="00105865">
            <w:pPr>
              <w:rPr>
                <w:b/>
              </w:rPr>
            </w:pPr>
            <w:r>
              <w:rPr>
                <w:b/>
              </w:rPr>
              <w:t>Activity Cost for 1 year 2017/2018</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7CCF35" w14:textId="77777777" w:rsidR="008260A4" w:rsidRDefault="008260A4" w:rsidP="00105865">
            <w:pPr>
              <w:rPr>
                <w:b/>
              </w:rPr>
            </w:pPr>
            <w:r>
              <w:rPr>
                <w:b/>
              </w:rPr>
              <w:t>Costs (£) 2017/18</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25E286" w14:textId="77777777" w:rsidR="008260A4" w:rsidRDefault="008260A4" w:rsidP="00105865">
            <w:pPr>
              <w:rPr>
                <w:b/>
              </w:rPr>
            </w:pPr>
            <w:r>
              <w:rPr>
                <w:b/>
              </w:rPr>
              <w:t>Model Input</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86FF6FD" w14:textId="77777777" w:rsidR="008260A4" w:rsidRDefault="008260A4" w:rsidP="00105865">
            <w:pPr>
              <w:rPr>
                <w:b/>
              </w:rPr>
            </w:pPr>
            <w:r>
              <w:rPr>
                <w:b/>
              </w:rPr>
              <w:t>Source</w:t>
            </w:r>
          </w:p>
        </w:tc>
      </w:tr>
      <w:tr w:rsidR="008260A4" w14:paraId="7DD14916" w14:textId="77777777" w:rsidTr="008260A4">
        <w:trPr>
          <w:trHeight w:val="580"/>
          <w:tblHeader/>
        </w:trPr>
        <w:tc>
          <w:tcPr>
            <w:tcW w:w="4106" w:type="dxa"/>
            <w:gridSpan w:val="2"/>
            <w:tcBorders>
              <w:top w:val="single" w:sz="4" w:space="0" w:color="auto"/>
              <w:left w:val="single" w:sz="4" w:space="0" w:color="auto"/>
              <w:bottom w:val="single" w:sz="4" w:space="0" w:color="auto"/>
              <w:right w:val="single" w:sz="4" w:space="0" w:color="auto"/>
            </w:tcBorders>
            <w:hideMark/>
          </w:tcPr>
          <w:p w14:paraId="63F3A3E2" w14:textId="77777777" w:rsidR="008260A4" w:rsidRPr="00A7323A" w:rsidRDefault="008260A4" w:rsidP="00105865">
            <w:pPr>
              <w:rPr>
                <w:sz w:val="20"/>
                <w:szCs w:val="20"/>
              </w:rPr>
            </w:pPr>
            <w:r w:rsidRPr="00A7323A">
              <w:rPr>
                <w:sz w:val="20"/>
                <w:szCs w:val="20"/>
              </w:rPr>
              <w:t xml:space="preserve">Total Cost </w:t>
            </w:r>
          </w:p>
        </w:tc>
        <w:tc>
          <w:tcPr>
            <w:tcW w:w="1843" w:type="dxa"/>
            <w:tcBorders>
              <w:top w:val="single" w:sz="4" w:space="0" w:color="auto"/>
              <w:left w:val="single" w:sz="4" w:space="0" w:color="auto"/>
              <w:bottom w:val="single" w:sz="4" w:space="0" w:color="auto"/>
              <w:right w:val="single" w:sz="4" w:space="0" w:color="auto"/>
            </w:tcBorders>
          </w:tcPr>
          <w:p w14:paraId="14E2FEC1" w14:textId="77777777" w:rsidR="008260A4" w:rsidRPr="00A7323A" w:rsidRDefault="008260A4" w:rsidP="00105865">
            <w:pPr>
              <w:rPr>
                <w:sz w:val="20"/>
                <w:szCs w:val="20"/>
              </w:rPr>
            </w:pPr>
            <w:r w:rsidRPr="00A7323A">
              <w:rPr>
                <w:sz w:val="20"/>
                <w:szCs w:val="20"/>
              </w:rPr>
              <w:t>1</w:t>
            </w:r>
            <w:r>
              <w:rPr>
                <w:sz w:val="20"/>
                <w:szCs w:val="20"/>
              </w:rPr>
              <w:t>34,965.45</w:t>
            </w:r>
          </w:p>
        </w:tc>
        <w:tc>
          <w:tcPr>
            <w:tcW w:w="2126" w:type="dxa"/>
            <w:tcBorders>
              <w:top w:val="single" w:sz="4" w:space="0" w:color="auto"/>
              <w:left w:val="single" w:sz="4" w:space="0" w:color="auto"/>
              <w:bottom w:val="single" w:sz="4" w:space="0" w:color="auto"/>
              <w:right w:val="single" w:sz="4" w:space="0" w:color="auto"/>
            </w:tcBorders>
          </w:tcPr>
          <w:p w14:paraId="6353E9EF"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5425C07" w14:textId="77777777" w:rsidR="008260A4" w:rsidRPr="00A7323A" w:rsidRDefault="008260A4" w:rsidP="00105865">
            <w:pPr>
              <w:rPr>
                <w:sz w:val="20"/>
                <w:szCs w:val="20"/>
              </w:rPr>
            </w:pPr>
            <w:r w:rsidRPr="00A7323A">
              <w:rPr>
                <w:sz w:val="20"/>
                <w:szCs w:val="20"/>
              </w:rPr>
              <w:t>UCH and Groundswell financial records</w:t>
            </w:r>
          </w:p>
        </w:tc>
      </w:tr>
      <w:tr w:rsidR="008260A4" w14:paraId="439C0D6C" w14:textId="77777777" w:rsidTr="008260A4">
        <w:trPr>
          <w:trHeight w:val="418"/>
          <w:tblHeader/>
        </w:trPr>
        <w:tc>
          <w:tcPr>
            <w:tcW w:w="2122" w:type="dxa"/>
            <w:vMerge w:val="restart"/>
            <w:tcBorders>
              <w:top w:val="single" w:sz="4" w:space="0" w:color="auto"/>
              <w:left w:val="single" w:sz="4" w:space="0" w:color="auto"/>
              <w:right w:val="single" w:sz="4" w:space="0" w:color="auto"/>
            </w:tcBorders>
            <w:hideMark/>
          </w:tcPr>
          <w:p w14:paraId="60EDDB4F" w14:textId="77777777" w:rsidR="008260A4" w:rsidRPr="00A7323A" w:rsidRDefault="008260A4" w:rsidP="00105865">
            <w:pPr>
              <w:rPr>
                <w:sz w:val="20"/>
                <w:szCs w:val="20"/>
              </w:rPr>
            </w:pPr>
            <w:r w:rsidRPr="00A7323A">
              <w:rPr>
                <w:sz w:val="20"/>
                <w:szCs w:val="20"/>
              </w:rPr>
              <w:t xml:space="preserve">Total cost of Outreach </w:t>
            </w:r>
          </w:p>
        </w:tc>
        <w:tc>
          <w:tcPr>
            <w:tcW w:w="1984" w:type="dxa"/>
            <w:tcBorders>
              <w:top w:val="single" w:sz="4" w:space="0" w:color="auto"/>
              <w:left w:val="single" w:sz="4" w:space="0" w:color="auto"/>
              <w:bottom w:val="single" w:sz="4" w:space="0" w:color="auto"/>
              <w:right w:val="single" w:sz="4" w:space="0" w:color="auto"/>
            </w:tcBorders>
            <w:hideMark/>
          </w:tcPr>
          <w:p w14:paraId="20034B87" w14:textId="77777777" w:rsidR="008260A4" w:rsidRPr="00A7323A" w:rsidRDefault="008260A4" w:rsidP="00105865">
            <w:pPr>
              <w:rPr>
                <w:sz w:val="20"/>
                <w:szCs w:val="20"/>
              </w:rPr>
            </w:pPr>
            <w:r w:rsidRPr="00A7323A">
              <w:rPr>
                <w:sz w:val="20"/>
                <w:szCs w:val="20"/>
              </w:rPr>
              <w:t>In outreach location</w:t>
            </w:r>
          </w:p>
        </w:tc>
        <w:tc>
          <w:tcPr>
            <w:tcW w:w="1843" w:type="dxa"/>
            <w:tcBorders>
              <w:top w:val="single" w:sz="4" w:space="0" w:color="auto"/>
              <w:left w:val="single" w:sz="4" w:space="0" w:color="auto"/>
              <w:bottom w:val="single" w:sz="4" w:space="0" w:color="auto"/>
              <w:right w:val="single" w:sz="4" w:space="0" w:color="auto"/>
            </w:tcBorders>
          </w:tcPr>
          <w:p w14:paraId="39754E1D" w14:textId="77777777" w:rsidR="008260A4" w:rsidRPr="00A7323A" w:rsidRDefault="008260A4" w:rsidP="00105865">
            <w:pPr>
              <w:rPr>
                <w:sz w:val="20"/>
                <w:szCs w:val="20"/>
              </w:rPr>
            </w:pPr>
            <w:r w:rsidRPr="00A7323A">
              <w:rPr>
                <w:sz w:val="20"/>
                <w:szCs w:val="20"/>
              </w:rPr>
              <w:t>1</w:t>
            </w:r>
            <w:r>
              <w:rPr>
                <w:sz w:val="20"/>
                <w:szCs w:val="20"/>
              </w:rPr>
              <w:t>6,546.82</w:t>
            </w:r>
          </w:p>
        </w:tc>
        <w:tc>
          <w:tcPr>
            <w:tcW w:w="2126" w:type="dxa"/>
            <w:vMerge w:val="restart"/>
            <w:tcBorders>
              <w:top w:val="single" w:sz="4" w:space="0" w:color="auto"/>
              <w:left w:val="single" w:sz="4" w:space="0" w:color="auto"/>
              <w:right w:val="single" w:sz="4" w:space="0" w:color="auto"/>
            </w:tcBorders>
          </w:tcPr>
          <w:p w14:paraId="644280BB" w14:textId="77777777" w:rsidR="008260A4" w:rsidRDefault="008260A4" w:rsidP="00105865">
            <w:pPr>
              <w:rPr>
                <w:sz w:val="20"/>
                <w:szCs w:val="20"/>
              </w:rPr>
            </w:pPr>
            <w:r w:rsidRPr="00A7323A">
              <w:rPr>
                <w:sz w:val="20"/>
                <w:szCs w:val="20"/>
              </w:rPr>
              <w:t xml:space="preserve">Total Cost of </w:t>
            </w:r>
            <w:r>
              <w:rPr>
                <w:sz w:val="20"/>
                <w:szCs w:val="20"/>
              </w:rPr>
              <w:t>Diagnosis</w:t>
            </w:r>
          </w:p>
          <w:p w14:paraId="665169BC" w14:textId="77777777" w:rsidR="008260A4" w:rsidRDefault="008260A4" w:rsidP="00105865">
            <w:pPr>
              <w:rPr>
                <w:sz w:val="20"/>
                <w:szCs w:val="20"/>
              </w:rPr>
            </w:pPr>
            <w:r w:rsidRPr="00A7323A">
              <w:rPr>
                <w:sz w:val="20"/>
                <w:szCs w:val="20"/>
              </w:rPr>
              <w:t>(1 year)</w:t>
            </w:r>
          </w:p>
          <w:p w14:paraId="5C524F66" w14:textId="77777777" w:rsidR="008260A4" w:rsidRDefault="008260A4" w:rsidP="00105865">
            <w:pPr>
              <w:rPr>
                <w:sz w:val="20"/>
                <w:szCs w:val="20"/>
              </w:rPr>
            </w:pPr>
          </w:p>
          <w:p w14:paraId="5CBCF0CB" w14:textId="77777777" w:rsidR="008260A4" w:rsidRPr="00A7323A" w:rsidRDefault="008260A4" w:rsidP="00105865">
            <w:pPr>
              <w:rPr>
                <w:sz w:val="20"/>
                <w:szCs w:val="20"/>
              </w:rPr>
            </w:pPr>
            <w:r w:rsidRPr="00A7323A">
              <w:rPr>
                <w:sz w:val="20"/>
                <w:szCs w:val="20"/>
              </w:rPr>
              <w:t>6</w:t>
            </w:r>
            <w:r>
              <w:rPr>
                <w:sz w:val="20"/>
                <w:szCs w:val="20"/>
              </w:rPr>
              <w:t>2,324.36</w:t>
            </w:r>
          </w:p>
        </w:tc>
        <w:tc>
          <w:tcPr>
            <w:tcW w:w="2268" w:type="dxa"/>
            <w:tcBorders>
              <w:top w:val="single" w:sz="4" w:space="0" w:color="auto"/>
              <w:left w:val="single" w:sz="4" w:space="0" w:color="auto"/>
              <w:bottom w:val="single" w:sz="4" w:space="0" w:color="auto"/>
              <w:right w:val="single" w:sz="4" w:space="0" w:color="auto"/>
            </w:tcBorders>
          </w:tcPr>
          <w:p w14:paraId="576E756F" w14:textId="77777777" w:rsidR="008260A4" w:rsidRPr="00A7323A" w:rsidRDefault="008260A4" w:rsidP="00105865">
            <w:pPr>
              <w:rPr>
                <w:sz w:val="20"/>
                <w:szCs w:val="20"/>
              </w:rPr>
            </w:pPr>
            <w:r w:rsidRPr="00A7323A">
              <w:rPr>
                <w:sz w:val="20"/>
                <w:szCs w:val="20"/>
              </w:rPr>
              <w:t>UCH and Groundswell financial records</w:t>
            </w:r>
          </w:p>
        </w:tc>
      </w:tr>
      <w:tr w:rsidR="008260A4" w14:paraId="78257C29" w14:textId="77777777" w:rsidTr="008260A4">
        <w:trPr>
          <w:trHeight w:val="481"/>
          <w:tblHeader/>
        </w:trPr>
        <w:tc>
          <w:tcPr>
            <w:tcW w:w="2122" w:type="dxa"/>
            <w:vMerge/>
            <w:tcBorders>
              <w:left w:val="single" w:sz="4" w:space="0" w:color="auto"/>
              <w:right w:val="single" w:sz="4" w:space="0" w:color="auto"/>
            </w:tcBorders>
          </w:tcPr>
          <w:p w14:paraId="54BBC9DD"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3C1720" w14:textId="77777777" w:rsidR="008260A4" w:rsidRDefault="008260A4" w:rsidP="00105865">
            <w:pPr>
              <w:rPr>
                <w:sz w:val="20"/>
                <w:szCs w:val="20"/>
              </w:rPr>
            </w:pPr>
            <w:r w:rsidRPr="00A7323A">
              <w:rPr>
                <w:sz w:val="20"/>
                <w:szCs w:val="20"/>
              </w:rPr>
              <w:t>In mobile health unit</w:t>
            </w:r>
          </w:p>
          <w:p w14:paraId="734FF96B" w14:textId="77777777" w:rsidR="008260A4" w:rsidRPr="00A7323A" w:rsidRDefault="008260A4" w:rsidP="00105865">
            <w:pPr>
              <w:rPr>
                <w:sz w:val="20"/>
                <w:szCs w:val="20"/>
              </w:rPr>
            </w:pPr>
          </w:p>
        </w:tc>
        <w:tc>
          <w:tcPr>
            <w:tcW w:w="1843" w:type="dxa"/>
            <w:tcBorders>
              <w:top w:val="single" w:sz="4" w:space="0" w:color="auto"/>
              <w:left w:val="single" w:sz="4" w:space="0" w:color="auto"/>
              <w:right w:val="single" w:sz="4" w:space="0" w:color="auto"/>
            </w:tcBorders>
          </w:tcPr>
          <w:p w14:paraId="5E20730F" w14:textId="77777777" w:rsidR="008260A4" w:rsidRPr="00A7323A" w:rsidRDefault="008260A4" w:rsidP="00105865">
            <w:pPr>
              <w:rPr>
                <w:sz w:val="20"/>
                <w:szCs w:val="20"/>
              </w:rPr>
            </w:pPr>
            <w:r w:rsidRPr="00A7323A">
              <w:rPr>
                <w:sz w:val="20"/>
                <w:szCs w:val="20"/>
              </w:rPr>
              <w:t>2</w:t>
            </w:r>
            <w:r>
              <w:rPr>
                <w:sz w:val="20"/>
                <w:szCs w:val="20"/>
              </w:rPr>
              <w:t>4,798.87</w:t>
            </w:r>
          </w:p>
        </w:tc>
        <w:tc>
          <w:tcPr>
            <w:tcW w:w="2126" w:type="dxa"/>
            <w:vMerge/>
            <w:tcBorders>
              <w:left w:val="single" w:sz="4" w:space="0" w:color="auto"/>
              <w:right w:val="single" w:sz="4" w:space="0" w:color="auto"/>
            </w:tcBorders>
          </w:tcPr>
          <w:p w14:paraId="1DEAE396"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5729C2DD" w14:textId="77777777" w:rsidR="008260A4" w:rsidRPr="00A7323A" w:rsidRDefault="008260A4" w:rsidP="00105865">
            <w:pPr>
              <w:rPr>
                <w:sz w:val="20"/>
                <w:szCs w:val="20"/>
              </w:rPr>
            </w:pPr>
            <w:r w:rsidRPr="00A7323A">
              <w:rPr>
                <w:sz w:val="20"/>
                <w:szCs w:val="20"/>
              </w:rPr>
              <w:t>UCH and Groundswell financial records</w:t>
            </w:r>
          </w:p>
        </w:tc>
      </w:tr>
      <w:tr w:rsidR="008260A4" w14:paraId="0BB1C212" w14:textId="77777777" w:rsidTr="008260A4">
        <w:trPr>
          <w:trHeight w:val="559"/>
          <w:tblHeader/>
        </w:trPr>
        <w:tc>
          <w:tcPr>
            <w:tcW w:w="2122" w:type="dxa"/>
            <w:vMerge/>
            <w:tcBorders>
              <w:left w:val="single" w:sz="4" w:space="0" w:color="auto"/>
              <w:bottom w:val="single" w:sz="4" w:space="0" w:color="auto"/>
              <w:right w:val="single" w:sz="4" w:space="0" w:color="auto"/>
            </w:tcBorders>
          </w:tcPr>
          <w:p w14:paraId="511935F7"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383559" w14:textId="77777777" w:rsidR="008260A4" w:rsidRPr="00A7323A" w:rsidRDefault="008260A4" w:rsidP="00105865">
            <w:pPr>
              <w:rPr>
                <w:sz w:val="20"/>
                <w:szCs w:val="20"/>
              </w:rPr>
            </w:pPr>
            <w:r>
              <w:rPr>
                <w:sz w:val="20"/>
                <w:szCs w:val="20"/>
              </w:rPr>
              <w:t>Informing HCV- patients of their status</w:t>
            </w:r>
          </w:p>
        </w:tc>
        <w:tc>
          <w:tcPr>
            <w:tcW w:w="1843" w:type="dxa"/>
            <w:tcBorders>
              <w:left w:val="single" w:sz="4" w:space="0" w:color="auto"/>
              <w:bottom w:val="single" w:sz="4" w:space="0" w:color="auto"/>
              <w:right w:val="single" w:sz="4" w:space="0" w:color="auto"/>
            </w:tcBorders>
          </w:tcPr>
          <w:p w14:paraId="3A637166" w14:textId="77777777" w:rsidR="008260A4" w:rsidRPr="00A7323A" w:rsidRDefault="008260A4" w:rsidP="00105865">
            <w:pPr>
              <w:rPr>
                <w:sz w:val="20"/>
                <w:szCs w:val="20"/>
              </w:rPr>
            </w:pPr>
            <w:r>
              <w:rPr>
                <w:sz w:val="20"/>
                <w:szCs w:val="20"/>
              </w:rPr>
              <w:t>5343.27</w:t>
            </w:r>
          </w:p>
        </w:tc>
        <w:tc>
          <w:tcPr>
            <w:tcW w:w="2126" w:type="dxa"/>
            <w:vMerge/>
            <w:tcBorders>
              <w:left w:val="single" w:sz="4" w:space="0" w:color="auto"/>
              <w:right w:val="single" w:sz="4" w:space="0" w:color="auto"/>
            </w:tcBorders>
          </w:tcPr>
          <w:p w14:paraId="14021645"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tcPr>
          <w:p w14:paraId="2F1D2218" w14:textId="77777777" w:rsidR="008260A4" w:rsidRPr="00A7323A" w:rsidRDefault="008260A4" w:rsidP="00105865">
            <w:pPr>
              <w:rPr>
                <w:sz w:val="20"/>
                <w:szCs w:val="20"/>
              </w:rPr>
            </w:pPr>
          </w:p>
        </w:tc>
      </w:tr>
      <w:tr w:rsidR="008260A4" w14:paraId="6CAAB6DD" w14:textId="77777777" w:rsidTr="008260A4">
        <w:trPr>
          <w:trHeight w:val="562"/>
          <w:tblHeader/>
        </w:trPr>
        <w:tc>
          <w:tcPr>
            <w:tcW w:w="2122" w:type="dxa"/>
            <w:vMerge w:val="restart"/>
            <w:tcBorders>
              <w:top w:val="single" w:sz="4" w:space="0" w:color="auto"/>
              <w:left w:val="single" w:sz="4" w:space="0" w:color="auto"/>
              <w:right w:val="single" w:sz="4" w:space="0" w:color="auto"/>
            </w:tcBorders>
            <w:hideMark/>
          </w:tcPr>
          <w:p w14:paraId="3D6EEDBA" w14:textId="77777777" w:rsidR="008260A4" w:rsidRDefault="008260A4" w:rsidP="00105865">
            <w:pPr>
              <w:rPr>
                <w:sz w:val="20"/>
                <w:szCs w:val="20"/>
              </w:rPr>
            </w:pPr>
            <w:r w:rsidRPr="00A7323A">
              <w:rPr>
                <w:sz w:val="20"/>
                <w:szCs w:val="20"/>
              </w:rPr>
              <w:t>Total Cost of Test</w:t>
            </w:r>
            <w:r>
              <w:rPr>
                <w:sz w:val="20"/>
                <w:szCs w:val="20"/>
              </w:rPr>
              <w:t>s</w:t>
            </w:r>
            <w:r w:rsidRPr="00A7323A">
              <w:rPr>
                <w:sz w:val="20"/>
                <w:szCs w:val="20"/>
              </w:rPr>
              <w:t xml:space="preserve"> </w:t>
            </w:r>
          </w:p>
          <w:p w14:paraId="63A2D375" w14:textId="77777777" w:rsidR="008260A4" w:rsidRPr="00A7323A" w:rsidRDefault="008260A4" w:rsidP="00105865">
            <w:pPr>
              <w:rPr>
                <w:sz w:val="20"/>
                <w:szCs w:val="20"/>
              </w:rPr>
            </w:pPr>
            <w:r w:rsidRPr="00A7323A">
              <w:rPr>
                <w:sz w:val="20"/>
                <w:szCs w:val="20"/>
              </w:rPr>
              <w:t>(includes admin &amp;management, staff time, medical supplies and test costs)</w:t>
            </w:r>
          </w:p>
        </w:tc>
        <w:tc>
          <w:tcPr>
            <w:tcW w:w="1984" w:type="dxa"/>
            <w:tcBorders>
              <w:top w:val="single" w:sz="4" w:space="0" w:color="auto"/>
              <w:left w:val="single" w:sz="4" w:space="0" w:color="auto"/>
              <w:bottom w:val="single" w:sz="4" w:space="0" w:color="auto"/>
              <w:right w:val="single" w:sz="4" w:space="0" w:color="auto"/>
            </w:tcBorders>
            <w:hideMark/>
          </w:tcPr>
          <w:p w14:paraId="78971601" w14:textId="77777777" w:rsidR="008260A4" w:rsidRPr="00A7323A" w:rsidRDefault="008260A4" w:rsidP="00105865">
            <w:pPr>
              <w:rPr>
                <w:sz w:val="20"/>
                <w:szCs w:val="20"/>
              </w:rPr>
            </w:pPr>
            <w:r w:rsidRPr="00A7323A">
              <w:rPr>
                <w:sz w:val="20"/>
                <w:szCs w:val="20"/>
              </w:rPr>
              <w:t xml:space="preserve">POCT </w:t>
            </w:r>
          </w:p>
          <w:p w14:paraId="573410C9" w14:textId="77777777" w:rsidR="008260A4" w:rsidRPr="00A7323A" w:rsidRDefault="008260A4" w:rsidP="00105865">
            <w:pPr>
              <w:rPr>
                <w:sz w:val="20"/>
                <w:szCs w:val="20"/>
              </w:rPr>
            </w:pPr>
            <w:r>
              <w:rPr>
                <w:sz w:val="20"/>
                <w:szCs w:val="20"/>
              </w:rPr>
              <w:t>(98 for the year)</w:t>
            </w:r>
          </w:p>
        </w:tc>
        <w:tc>
          <w:tcPr>
            <w:tcW w:w="1843" w:type="dxa"/>
            <w:tcBorders>
              <w:top w:val="single" w:sz="4" w:space="0" w:color="auto"/>
              <w:left w:val="single" w:sz="4" w:space="0" w:color="auto"/>
              <w:bottom w:val="single" w:sz="4" w:space="0" w:color="auto"/>
              <w:right w:val="single" w:sz="4" w:space="0" w:color="auto"/>
            </w:tcBorders>
          </w:tcPr>
          <w:p w14:paraId="0374C292" w14:textId="77777777" w:rsidR="008260A4" w:rsidRPr="00A7323A" w:rsidRDefault="008260A4" w:rsidP="00105865">
            <w:pPr>
              <w:rPr>
                <w:sz w:val="20"/>
                <w:szCs w:val="20"/>
              </w:rPr>
            </w:pPr>
            <w:r>
              <w:rPr>
                <w:sz w:val="20"/>
                <w:szCs w:val="20"/>
              </w:rPr>
              <w:t>7022.37</w:t>
            </w:r>
          </w:p>
        </w:tc>
        <w:tc>
          <w:tcPr>
            <w:tcW w:w="2126" w:type="dxa"/>
            <w:vMerge/>
            <w:tcBorders>
              <w:left w:val="single" w:sz="4" w:space="0" w:color="auto"/>
              <w:right w:val="single" w:sz="4" w:space="0" w:color="auto"/>
            </w:tcBorders>
          </w:tcPr>
          <w:p w14:paraId="3158FC75"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3DD9EECB" w14:textId="77777777" w:rsidR="008260A4" w:rsidRPr="00A7323A" w:rsidRDefault="008260A4" w:rsidP="00105865">
            <w:pPr>
              <w:rPr>
                <w:sz w:val="20"/>
                <w:szCs w:val="20"/>
              </w:rPr>
            </w:pPr>
            <w:r w:rsidRPr="00A7323A">
              <w:rPr>
                <w:sz w:val="20"/>
                <w:szCs w:val="20"/>
              </w:rPr>
              <w:t>UCH and Groundswell financial records</w:t>
            </w:r>
          </w:p>
        </w:tc>
      </w:tr>
      <w:tr w:rsidR="008260A4" w14:paraId="1E4CB709" w14:textId="77777777" w:rsidTr="008260A4">
        <w:trPr>
          <w:trHeight w:val="654"/>
          <w:tblHeader/>
        </w:trPr>
        <w:tc>
          <w:tcPr>
            <w:tcW w:w="2122" w:type="dxa"/>
            <w:vMerge/>
            <w:tcBorders>
              <w:left w:val="single" w:sz="4" w:space="0" w:color="auto"/>
              <w:bottom w:val="single" w:sz="4" w:space="0" w:color="auto"/>
              <w:right w:val="single" w:sz="4" w:space="0" w:color="auto"/>
            </w:tcBorders>
            <w:vAlign w:val="center"/>
            <w:hideMark/>
          </w:tcPr>
          <w:p w14:paraId="6C36234F"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73F5849C" w14:textId="77777777" w:rsidR="008260A4" w:rsidRDefault="008260A4" w:rsidP="00105865">
            <w:pPr>
              <w:rPr>
                <w:sz w:val="20"/>
                <w:szCs w:val="20"/>
              </w:rPr>
            </w:pPr>
            <w:r w:rsidRPr="00A7323A">
              <w:rPr>
                <w:sz w:val="20"/>
                <w:szCs w:val="20"/>
              </w:rPr>
              <w:t>RNA</w:t>
            </w:r>
          </w:p>
          <w:p w14:paraId="2CED38B4" w14:textId="77777777" w:rsidR="008260A4" w:rsidRPr="00A7323A" w:rsidRDefault="008260A4" w:rsidP="00105865">
            <w:pPr>
              <w:rPr>
                <w:sz w:val="20"/>
                <w:szCs w:val="20"/>
              </w:rPr>
            </w:pPr>
            <w:r>
              <w:rPr>
                <w:sz w:val="20"/>
                <w:szCs w:val="20"/>
              </w:rPr>
              <w:t>(62 for the year)</w:t>
            </w:r>
          </w:p>
        </w:tc>
        <w:tc>
          <w:tcPr>
            <w:tcW w:w="1843" w:type="dxa"/>
            <w:tcBorders>
              <w:top w:val="single" w:sz="4" w:space="0" w:color="auto"/>
              <w:left w:val="single" w:sz="4" w:space="0" w:color="auto"/>
              <w:bottom w:val="single" w:sz="4" w:space="0" w:color="auto"/>
              <w:right w:val="single" w:sz="4" w:space="0" w:color="auto"/>
            </w:tcBorders>
          </w:tcPr>
          <w:p w14:paraId="23A517C0" w14:textId="77777777" w:rsidR="008260A4" w:rsidRPr="00A7323A" w:rsidRDefault="008260A4" w:rsidP="00105865">
            <w:pPr>
              <w:rPr>
                <w:sz w:val="20"/>
                <w:szCs w:val="20"/>
              </w:rPr>
            </w:pPr>
            <w:r>
              <w:rPr>
                <w:sz w:val="20"/>
                <w:szCs w:val="20"/>
              </w:rPr>
              <w:t>8613.03</w:t>
            </w:r>
          </w:p>
        </w:tc>
        <w:tc>
          <w:tcPr>
            <w:tcW w:w="2126" w:type="dxa"/>
            <w:vMerge/>
            <w:tcBorders>
              <w:left w:val="single" w:sz="4" w:space="0" w:color="auto"/>
              <w:bottom w:val="single" w:sz="4" w:space="0" w:color="auto"/>
              <w:right w:val="single" w:sz="4" w:space="0" w:color="auto"/>
            </w:tcBorders>
          </w:tcPr>
          <w:p w14:paraId="0F8CE9BC"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vAlign w:val="center"/>
            <w:hideMark/>
          </w:tcPr>
          <w:p w14:paraId="2BEF81A1" w14:textId="77777777" w:rsidR="008260A4" w:rsidRPr="00A7323A" w:rsidRDefault="008260A4" w:rsidP="00105865">
            <w:pPr>
              <w:rPr>
                <w:sz w:val="20"/>
                <w:szCs w:val="20"/>
              </w:rPr>
            </w:pPr>
          </w:p>
        </w:tc>
      </w:tr>
      <w:tr w:rsidR="008260A4" w14:paraId="6F25EBAA" w14:textId="77777777" w:rsidTr="008260A4">
        <w:trPr>
          <w:trHeight w:val="423"/>
          <w:tblHeader/>
        </w:trPr>
        <w:tc>
          <w:tcPr>
            <w:tcW w:w="4106" w:type="dxa"/>
            <w:gridSpan w:val="2"/>
            <w:tcBorders>
              <w:top w:val="single" w:sz="4" w:space="0" w:color="auto"/>
              <w:left w:val="single" w:sz="4" w:space="0" w:color="auto"/>
              <w:right w:val="single" w:sz="4" w:space="0" w:color="auto"/>
            </w:tcBorders>
          </w:tcPr>
          <w:p w14:paraId="00169AEE" w14:textId="77777777" w:rsidR="008260A4" w:rsidRPr="00A7323A" w:rsidRDefault="008260A4" w:rsidP="00105865">
            <w:pPr>
              <w:rPr>
                <w:sz w:val="20"/>
                <w:szCs w:val="20"/>
              </w:rPr>
            </w:pPr>
            <w:r w:rsidRPr="00A7323A">
              <w:rPr>
                <w:sz w:val="20"/>
                <w:szCs w:val="20"/>
              </w:rPr>
              <w:t>Fibroscan</w:t>
            </w:r>
          </w:p>
        </w:tc>
        <w:tc>
          <w:tcPr>
            <w:tcW w:w="1843" w:type="dxa"/>
            <w:tcBorders>
              <w:top w:val="single" w:sz="4" w:space="0" w:color="auto"/>
              <w:left w:val="single" w:sz="4" w:space="0" w:color="auto"/>
              <w:right w:val="single" w:sz="4" w:space="0" w:color="auto"/>
            </w:tcBorders>
          </w:tcPr>
          <w:p w14:paraId="7E425AF3" w14:textId="77777777" w:rsidR="008260A4" w:rsidRPr="00A7323A" w:rsidRDefault="008260A4" w:rsidP="00105865">
            <w:pPr>
              <w:rPr>
                <w:sz w:val="20"/>
                <w:szCs w:val="20"/>
              </w:rPr>
            </w:pPr>
            <w:r w:rsidRPr="00A7323A">
              <w:rPr>
                <w:sz w:val="20"/>
                <w:szCs w:val="20"/>
              </w:rPr>
              <w:t>1</w:t>
            </w:r>
            <w:r>
              <w:rPr>
                <w:sz w:val="20"/>
                <w:szCs w:val="20"/>
              </w:rPr>
              <w:t>9,059.29</w:t>
            </w:r>
          </w:p>
        </w:tc>
        <w:tc>
          <w:tcPr>
            <w:tcW w:w="2126" w:type="dxa"/>
            <w:vMerge w:val="restart"/>
            <w:tcBorders>
              <w:top w:val="single" w:sz="4" w:space="0" w:color="auto"/>
              <w:left w:val="single" w:sz="4" w:space="0" w:color="auto"/>
              <w:right w:val="single" w:sz="4" w:space="0" w:color="auto"/>
            </w:tcBorders>
          </w:tcPr>
          <w:p w14:paraId="52A808D9" w14:textId="77777777" w:rsidR="008260A4" w:rsidRDefault="008260A4" w:rsidP="00105865">
            <w:pPr>
              <w:rPr>
                <w:sz w:val="20"/>
                <w:szCs w:val="20"/>
              </w:rPr>
            </w:pPr>
            <w:r>
              <w:rPr>
                <w:sz w:val="20"/>
                <w:szCs w:val="20"/>
              </w:rPr>
              <w:t>Total Cost of Engagement (1 year)</w:t>
            </w:r>
          </w:p>
          <w:p w14:paraId="13685BF4" w14:textId="77777777" w:rsidR="008260A4" w:rsidRDefault="008260A4" w:rsidP="00105865">
            <w:pPr>
              <w:rPr>
                <w:sz w:val="20"/>
                <w:szCs w:val="20"/>
              </w:rPr>
            </w:pPr>
          </w:p>
          <w:p w14:paraId="259C616E" w14:textId="77777777" w:rsidR="008260A4" w:rsidRDefault="008260A4" w:rsidP="00105865">
            <w:pPr>
              <w:rPr>
                <w:sz w:val="20"/>
                <w:szCs w:val="20"/>
              </w:rPr>
            </w:pPr>
            <w:r>
              <w:rPr>
                <w:sz w:val="20"/>
                <w:szCs w:val="20"/>
              </w:rPr>
              <w:t>40,943.85 + hospital costs</w:t>
            </w:r>
          </w:p>
          <w:p w14:paraId="7B527EDE" w14:textId="77777777" w:rsidR="008260A4" w:rsidRDefault="008260A4" w:rsidP="00105865">
            <w:pPr>
              <w:rPr>
                <w:sz w:val="20"/>
                <w:szCs w:val="20"/>
              </w:rPr>
            </w:pPr>
          </w:p>
          <w:p w14:paraId="26D9F68C"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12D421EB" w14:textId="77777777" w:rsidR="008260A4" w:rsidRPr="00A7323A" w:rsidRDefault="008260A4" w:rsidP="00105865">
            <w:pPr>
              <w:rPr>
                <w:sz w:val="20"/>
                <w:szCs w:val="20"/>
              </w:rPr>
            </w:pPr>
          </w:p>
        </w:tc>
      </w:tr>
      <w:tr w:rsidR="008260A4" w14:paraId="37E09955" w14:textId="77777777" w:rsidTr="008260A4">
        <w:trPr>
          <w:trHeight w:val="593"/>
          <w:tblHeader/>
        </w:trPr>
        <w:tc>
          <w:tcPr>
            <w:tcW w:w="4106" w:type="dxa"/>
            <w:gridSpan w:val="2"/>
            <w:tcBorders>
              <w:top w:val="single" w:sz="4" w:space="0" w:color="auto"/>
              <w:left w:val="single" w:sz="4" w:space="0" w:color="auto"/>
              <w:right w:val="single" w:sz="4" w:space="0" w:color="auto"/>
            </w:tcBorders>
            <w:hideMark/>
          </w:tcPr>
          <w:p w14:paraId="1CCEDAE9" w14:textId="77777777" w:rsidR="008260A4" w:rsidRPr="00A7323A" w:rsidRDefault="008260A4" w:rsidP="00105865">
            <w:pPr>
              <w:rPr>
                <w:sz w:val="20"/>
                <w:szCs w:val="20"/>
              </w:rPr>
            </w:pPr>
            <w:r>
              <w:rPr>
                <w:sz w:val="20"/>
                <w:szCs w:val="20"/>
              </w:rPr>
              <w:t>Engagement initiation of RNA+ patients (follow up of RNA+ tests)</w:t>
            </w:r>
          </w:p>
        </w:tc>
        <w:tc>
          <w:tcPr>
            <w:tcW w:w="1843" w:type="dxa"/>
            <w:tcBorders>
              <w:top w:val="single" w:sz="4" w:space="0" w:color="auto"/>
              <w:left w:val="single" w:sz="4" w:space="0" w:color="auto"/>
              <w:right w:val="single" w:sz="4" w:space="0" w:color="auto"/>
            </w:tcBorders>
          </w:tcPr>
          <w:p w14:paraId="46B0E3C0" w14:textId="77777777" w:rsidR="008260A4" w:rsidRPr="00A7323A" w:rsidRDefault="008260A4" w:rsidP="00105865">
            <w:pPr>
              <w:rPr>
                <w:sz w:val="20"/>
                <w:szCs w:val="20"/>
              </w:rPr>
            </w:pPr>
            <w:r>
              <w:rPr>
                <w:sz w:val="20"/>
                <w:szCs w:val="20"/>
              </w:rPr>
              <w:t>8,252.23</w:t>
            </w:r>
          </w:p>
        </w:tc>
        <w:tc>
          <w:tcPr>
            <w:tcW w:w="2126" w:type="dxa"/>
            <w:vMerge/>
            <w:tcBorders>
              <w:left w:val="single" w:sz="4" w:space="0" w:color="auto"/>
              <w:right w:val="single" w:sz="4" w:space="0" w:color="auto"/>
            </w:tcBorders>
          </w:tcPr>
          <w:p w14:paraId="0B1E250E"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1E803792" w14:textId="77777777" w:rsidR="008260A4" w:rsidRPr="00A7323A" w:rsidRDefault="008260A4" w:rsidP="00105865">
            <w:pPr>
              <w:rPr>
                <w:sz w:val="20"/>
                <w:szCs w:val="20"/>
              </w:rPr>
            </w:pPr>
            <w:r w:rsidRPr="00A7323A">
              <w:rPr>
                <w:sz w:val="20"/>
                <w:szCs w:val="20"/>
              </w:rPr>
              <w:t>UCH and Groundswell financial records</w:t>
            </w:r>
          </w:p>
        </w:tc>
      </w:tr>
      <w:tr w:rsidR="008260A4" w14:paraId="508EA05F" w14:textId="77777777" w:rsidTr="008260A4">
        <w:trPr>
          <w:trHeight w:val="543"/>
          <w:tblHeader/>
        </w:trPr>
        <w:tc>
          <w:tcPr>
            <w:tcW w:w="2122" w:type="dxa"/>
            <w:vMerge w:val="restart"/>
            <w:tcBorders>
              <w:top w:val="single" w:sz="4" w:space="0" w:color="auto"/>
              <w:left w:val="single" w:sz="4" w:space="0" w:color="auto"/>
              <w:right w:val="single" w:sz="4" w:space="0" w:color="auto"/>
            </w:tcBorders>
            <w:hideMark/>
          </w:tcPr>
          <w:p w14:paraId="3E671BAF" w14:textId="77777777" w:rsidR="008260A4" w:rsidRPr="00A7323A" w:rsidRDefault="008260A4" w:rsidP="00105865">
            <w:pPr>
              <w:rPr>
                <w:sz w:val="20"/>
                <w:szCs w:val="20"/>
              </w:rPr>
            </w:pPr>
            <w:r>
              <w:rPr>
                <w:sz w:val="20"/>
                <w:szCs w:val="20"/>
              </w:rPr>
              <w:t>P</w:t>
            </w:r>
            <w:r w:rsidRPr="00A7323A">
              <w:rPr>
                <w:sz w:val="20"/>
                <w:szCs w:val="20"/>
              </w:rPr>
              <w:t xml:space="preserve">eer support of </w:t>
            </w:r>
            <w:r>
              <w:rPr>
                <w:sz w:val="20"/>
                <w:szCs w:val="20"/>
              </w:rPr>
              <w:t>evaluation</w:t>
            </w:r>
            <w:r w:rsidRPr="00A7323A">
              <w:rPr>
                <w:sz w:val="20"/>
                <w:szCs w:val="20"/>
              </w:rPr>
              <w:t xml:space="preserve"> </w:t>
            </w:r>
            <w:r>
              <w:rPr>
                <w:sz w:val="20"/>
                <w:szCs w:val="20"/>
              </w:rPr>
              <w:t xml:space="preserve">visit in </w:t>
            </w:r>
            <w:r w:rsidRPr="00A7323A">
              <w:rPr>
                <w:sz w:val="20"/>
                <w:szCs w:val="20"/>
              </w:rPr>
              <w:t xml:space="preserve">hospital </w:t>
            </w:r>
          </w:p>
        </w:tc>
        <w:tc>
          <w:tcPr>
            <w:tcW w:w="1984" w:type="dxa"/>
            <w:tcBorders>
              <w:top w:val="single" w:sz="4" w:space="0" w:color="auto"/>
              <w:left w:val="single" w:sz="4" w:space="0" w:color="auto"/>
              <w:right w:val="single" w:sz="4" w:space="0" w:color="auto"/>
            </w:tcBorders>
            <w:hideMark/>
          </w:tcPr>
          <w:p w14:paraId="149DDF32" w14:textId="77777777" w:rsidR="008260A4" w:rsidRPr="00A7323A"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078833BF" w14:textId="77777777" w:rsidR="008260A4" w:rsidRPr="00A7323A" w:rsidRDefault="008260A4" w:rsidP="00105865">
            <w:pPr>
              <w:rPr>
                <w:sz w:val="20"/>
                <w:szCs w:val="20"/>
              </w:rPr>
            </w:pPr>
            <w:r>
              <w:rPr>
                <w:sz w:val="20"/>
                <w:szCs w:val="20"/>
              </w:rPr>
              <w:t>13,632.33</w:t>
            </w:r>
          </w:p>
        </w:tc>
        <w:tc>
          <w:tcPr>
            <w:tcW w:w="2126" w:type="dxa"/>
            <w:vMerge/>
            <w:tcBorders>
              <w:left w:val="single" w:sz="4" w:space="0" w:color="auto"/>
              <w:right w:val="single" w:sz="4" w:space="0" w:color="auto"/>
            </w:tcBorders>
          </w:tcPr>
          <w:p w14:paraId="0F35CACE"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1DB1FEF4" w14:textId="77777777" w:rsidR="008260A4" w:rsidRPr="00A7323A" w:rsidRDefault="008260A4" w:rsidP="00105865">
            <w:pPr>
              <w:rPr>
                <w:sz w:val="20"/>
                <w:szCs w:val="20"/>
              </w:rPr>
            </w:pPr>
            <w:r w:rsidRPr="00A7323A">
              <w:rPr>
                <w:sz w:val="20"/>
                <w:szCs w:val="20"/>
              </w:rPr>
              <w:t>UCH and Groundswell financial records</w:t>
            </w:r>
          </w:p>
        </w:tc>
      </w:tr>
      <w:tr w:rsidR="008260A4" w14:paraId="4E9FD30C" w14:textId="77777777" w:rsidTr="008260A4">
        <w:trPr>
          <w:trHeight w:val="698"/>
          <w:tblHeader/>
        </w:trPr>
        <w:tc>
          <w:tcPr>
            <w:tcW w:w="2122" w:type="dxa"/>
            <w:vMerge/>
            <w:tcBorders>
              <w:top w:val="single" w:sz="4" w:space="0" w:color="auto"/>
              <w:left w:val="single" w:sz="4" w:space="0" w:color="auto"/>
              <w:bottom w:val="single" w:sz="4" w:space="0" w:color="auto"/>
              <w:right w:val="single" w:sz="4" w:space="0" w:color="auto"/>
            </w:tcBorders>
            <w:hideMark/>
          </w:tcPr>
          <w:p w14:paraId="0AAB2C2A"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63C9FDF4"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top w:val="single" w:sz="4" w:space="0" w:color="auto"/>
              <w:left w:val="single" w:sz="4" w:space="0" w:color="auto"/>
              <w:bottom w:val="single" w:sz="4" w:space="0" w:color="auto"/>
              <w:right w:val="single" w:sz="4" w:space="0" w:color="auto"/>
            </w:tcBorders>
          </w:tcPr>
          <w:p w14:paraId="57206A68" w14:textId="77777777" w:rsidR="008260A4" w:rsidRPr="00A7323A" w:rsidRDefault="008260A4" w:rsidP="00105865">
            <w:pPr>
              <w:rPr>
                <w:sz w:val="20"/>
                <w:szCs w:val="20"/>
              </w:rPr>
            </w:pPr>
            <w:r>
              <w:rPr>
                <w:sz w:val="20"/>
                <w:szCs w:val="20"/>
              </w:rPr>
              <w:t>200.30 per person</w:t>
            </w:r>
          </w:p>
        </w:tc>
        <w:tc>
          <w:tcPr>
            <w:tcW w:w="2126" w:type="dxa"/>
            <w:vMerge/>
            <w:tcBorders>
              <w:left w:val="single" w:sz="4" w:space="0" w:color="auto"/>
              <w:bottom w:val="single" w:sz="4" w:space="0" w:color="auto"/>
              <w:right w:val="single" w:sz="4" w:space="0" w:color="auto"/>
            </w:tcBorders>
          </w:tcPr>
          <w:p w14:paraId="119EFFC9"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BC779FE" w14:textId="77777777" w:rsidR="008260A4" w:rsidRPr="00A7323A" w:rsidRDefault="008260A4" w:rsidP="00105865">
            <w:pPr>
              <w:rPr>
                <w:sz w:val="20"/>
                <w:szCs w:val="20"/>
              </w:rPr>
            </w:pPr>
            <w:r w:rsidRPr="00A7323A">
              <w:rPr>
                <w:sz w:val="20"/>
                <w:szCs w:val="20"/>
              </w:rPr>
              <w:t>Expert opinion (correspondence Graham Foster)</w:t>
            </w:r>
          </w:p>
        </w:tc>
      </w:tr>
      <w:tr w:rsidR="008260A4" w14:paraId="7B2E85C4" w14:textId="77777777" w:rsidTr="008260A4">
        <w:trPr>
          <w:trHeight w:val="307"/>
          <w:tblHeader/>
        </w:trPr>
        <w:tc>
          <w:tcPr>
            <w:tcW w:w="2122" w:type="dxa"/>
            <w:vMerge w:val="restart"/>
            <w:tcBorders>
              <w:top w:val="single" w:sz="4" w:space="0" w:color="auto"/>
              <w:left w:val="single" w:sz="4" w:space="0" w:color="auto"/>
              <w:right w:val="single" w:sz="4" w:space="0" w:color="auto"/>
            </w:tcBorders>
            <w:hideMark/>
          </w:tcPr>
          <w:p w14:paraId="64706207" w14:textId="77777777" w:rsidR="008260A4" w:rsidRPr="00A7323A" w:rsidRDefault="008260A4" w:rsidP="00105865">
            <w:pPr>
              <w:rPr>
                <w:sz w:val="20"/>
                <w:szCs w:val="20"/>
              </w:rPr>
            </w:pPr>
            <w:r w:rsidRPr="00572490">
              <w:rPr>
                <w:sz w:val="20"/>
                <w:szCs w:val="20"/>
              </w:rPr>
              <w:t xml:space="preserve">Peer support of </w:t>
            </w:r>
            <w:r>
              <w:rPr>
                <w:sz w:val="20"/>
                <w:szCs w:val="20"/>
              </w:rPr>
              <w:t>t</w:t>
            </w:r>
            <w:r w:rsidRPr="00546768">
              <w:rPr>
                <w:sz w:val="20"/>
                <w:szCs w:val="20"/>
              </w:rPr>
              <w:t>reatment initiation and subsequent visits 0,2,4,6,8, 10 weeks</w:t>
            </w:r>
          </w:p>
        </w:tc>
        <w:tc>
          <w:tcPr>
            <w:tcW w:w="1984" w:type="dxa"/>
            <w:tcBorders>
              <w:top w:val="single" w:sz="4" w:space="0" w:color="auto"/>
              <w:left w:val="single" w:sz="4" w:space="0" w:color="auto"/>
              <w:right w:val="single" w:sz="4" w:space="0" w:color="auto"/>
            </w:tcBorders>
            <w:hideMark/>
          </w:tcPr>
          <w:p w14:paraId="466D8B3F"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7383CE85" w14:textId="77777777" w:rsidR="008260A4" w:rsidRPr="00572490" w:rsidRDefault="008260A4" w:rsidP="00105865">
            <w:pPr>
              <w:rPr>
                <w:sz w:val="20"/>
                <w:szCs w:val="20"/>
              </w:rPr>
            </w:pPr>
            <w:r>
              <w:rPr>
                <w:sz w:val="20"/>
                <w:szCs w:val="20"/>
              </w:rPr>
              <w:t>14,455.87</w:t>
            </w:r>
          </w:p>
        </w:tc>
        <w:tc>
          <w:tcPr>
            <w:tcW w:w="2126" w:type="dxa"/>
            <w:vMerge w:val="restart"/>
            <w:tcBorders>
              <w:top w:val="single" w:sz="4" w:space="0" w:color="auto"/>
              <w:left w:val="single" w:sz="4" w:space="0" w:color="auto"/>
              <w:right w:val="single" w:sz="4" w:space="0" w:color="auto"/>
            </w:tcBorders>
          </w:tcPr>
          <w:p w14:paraId="2296ADF8" w14:textId="77777777" w:rsidR="008260A4" w:rsidRDefault="008260A4" w:rsidP="00105865">
            <w:pPr>
              <w:rPr>
                <w:sz w:val="20"/>
                <w:szCs w:val="20"/>
              </w:rPr>
            </w:pPr>
            <w:r w:rsidRPr="00A7323A">
              <w:rPr>
                <w:sz w:val="20"/>
                <w:szCs w:val="20"/>
              </w:rPr>
              <w:t>Total Cost of Treatment (1 year)</w:t>
            </w:r>
            <w:r w:rsidRPr="00572490">
              <w:rPr>
                <w:sz w:val="20"/>
                <w:szCs w:val="20"/>
              </w:rPr>
              <w:t xml:space="preserve"> </w:t>
            </w:r>
          </w:p>
          <w:p w14:paraId="099CBB12" w14:textId="77777777" w:rsidR="008260A4" w:rsidRDefault="008260A4" w:rsidP="00105865">
            <w:pPr>
              <w:rPr>
                <w:sz w:val="20"/>
                <w:szCs w:val="20"/>
              </w:rPr>
            </w:pPr>
          </w:p>
          <w:p w14:paraId="5CC148F3" w14:textId="77777777" w:rsidR="008260A4" w:rsidRDefault="008260A4" w:rsidP="00105865">
            <w:pPr>
              <w:rPr>
                <w:sz w:val="20"/>
                <w:szCs w:val="20"/>
              </w:rPr>
            </w:pPr>
            <w:r>
              <w:rPr>
                <w:sz w:val="20"/>
                <w:szCs w:val="20"/>
              </w:rPr>
              <w:t>31,697.24 + hospital costs +DAA’s</w:t>
            </w:r>
          </w:p>
          <w:p w14:paraId="7E1880F1" w14:textId="77777777" w:rsidR="008260A4" w:rsidRDefault="008260A4" w:rsidP="00105865">
            <w:pPr>
              <w:rPr>
                <w:sz w:val="20"/>
                <w:szCs w:val="20"/>
              </w:rPr>
            </w:pPr>
          </w:p>
          <w:p w14:paraId="0D17A89F" w14:textId="77777777" w:rsidR="008260A4" w:rsidRDefault="008260A4" w:rsidP="00105865">
            <w:pPr>
              <w:rPr>
                <w:sz w:val="20"/>
                <w:szCs w:val="20"/>
              </w:rPr>
            </w:pPr>
          </w:p>
          <w:p w14:paraId="5FAC9408"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7AB7E08D" w14:textId="77777777" w:rsidR="008260A4" w:rsidRPr="00572490" w:rsidRDefault="008260A4" w:rsidP="00105865">
            <w:pPr>
              <w:rPr>
                <w:sz w:val="20"/>
                <w:szCs w:val="20"/>
              </w:rPr>
            </w:pPr>
            <w:r w:rsidRPr="00572490">
              <w:rPr>
                <w:sz w:val="20"/>
                <w:szCs w:val="20"/>
              </w:rPr>
              <w:t>UCH and Groundswell financial records</w:t>
            </w:r>
          </w:p>
        </w:tc>
      </w:tr>
      <w:tr w:rsidR="008260A4" w14:paraId="7D20731B" w14:textId="77777777" w:rsidTr="008260A4">
        <w:trPr>
          <w:trHeight w:val="307"/>
          <w:tblHeader/>
        </w:trPr>
        <w:tc>
          <w:tcPr>
            <w:tcW w:w="2122" w:type="dxa"/>
            <w:vMerge/>
            <w:tcBorders>
              <w:left w:val="single" w:sz="4" w:space="0" w:color="auto"/>
              <w:right w:val="single" w:sz="4" w:space="0" w:color="auto"/>
            </w:tcBorders>
          </w:tcPr>
          <w:p w14:paraId="42CEBCD8" w14:textId="77777777" w:rsidR="008260A4" w:rsidRPr="00572490" w:rsidRDefault="008260A4" w:rsidP="00105865">
            <w:pPr>
              <w:rPr>
                <w:sz w:val="20"/>
                <w:szCs w:val="20"/>
              </w:rPr>
            </w:pPr>
          </w:p>
        </w:tc>
        <w:tc>
          <w:tcPr>
            <w:tcW w:w="1984" w:type="dxa"/>
            <w:tcBorders>
              <w:top w:val="single" w:sz="4" w:space="0" w:color="auto"/>
              <w:left w:val="single" w:sz="4" w:space="0" w:color="auto"/>
              <w:right w:val="single" w:sz="4" w:space="0" w:color="auto"/>
            </w:tcBorders>
          </w:tcPr>
          <w:p w14:paraId="102F8210" w14:textId="77777777" w:rsidR="008260A4" w:rsidRPr="00572490" w:rsidRDefault="008260A4" w:rsidP="00105865">
            <w:pPr>
              <w:rPr>
                <w:sz w:val="20"/>
                <w:szCs w:val="20"/>
              </w:rPr>
            </w:pPr>
            <w:r w:rsidRPr="00A7323A">
              <w:rPr>
                <w:sz w:val="20"/>
                <w:szCs w:val="20"/>
              </w:rPr>
              <w:t>Drugs and hospital costs</w:t>
            </w:r>
          </w:p>
        </w:tc>
        <w:tc>
          <w:tcPr>
            <w:tcW w:w="1843" w:type="dxa"/>
            <w:tcBorders>
              <w:left w:val="single" w:sz="4" w:space="0" w:color="auto"/>
              <w:right w:val="single" w:sz="4" w:space="0" w:color="auto"/>
            </w:tcBorders>
          </w:tcPr>
          <w:p w14:paraId="099D6041" w14:textId="77777777" w:rsidR="008260A4" w:rsidRDefault="008260A4" w:rsidP="00105865">
            <w:pPr>
              <w:rPr>
                <w:sz w:val="20"/>
                <w:szCs w:val="20"/>
              </w:rPr>
            </w:pPr>
            <w:r>
              <w:rPr>
                <w:sz w:val="20"/>
                <w:szCs w:val="20"/>
              </w:rPr>
              <w:t>395.78 per person for 12 weeks hospital costs</w:t>
            </w:r>
          </w:p>
          <w:p w14:paraId="7582592E" w14:textId="77777777" w:rsidR="008260A4" w:rsidRDefault="008260A4" w:rsidP="00105865">
            <w:pPr>
              <w:rPr>
                <w:sz w:val="20"/>
                <w:szCs w:val="20"/>
              </w:rPr>
            </w:pPr>
          </w:p>
          <w:p w14:paraId="24A42310" w14:textId="77777777" w:rsidR="008260A4" w:rsidRPr="00572490" w:rsidRDefault="008260A4" w:rsidP="00105865">
            <w:pPr>
              <w:rPr>
                <w:sz w:val="20"/>
                <w:szCs w:val="20"/>
              </w:rPr>
            </w:pPr>
            <w:r>
              <w:rPr>
                <w:sz w:val="20"/>
                <w:szCs w:val="20"/>
              </w:rPr>
              <w:t>38,982 DAA’s per person</w:t>
            </w:r>
          </w:p>
        </w:tc>
        <w:tc>
          <w:tcPr>
            <w:tcW w:w="2126" w:type="dxa"/>
            <w:vMerge/>
            <w:tcBorders>
              <w:left w:val="single" w:sz="4" w:space="0" w:color="auto"/>
              <w:right w:val="single" w:sz="4" w:space="0" w:color="auto"/>
            </w:tcBorders>
          </w:tcPr>
          <w:p w14:paraId="47E1DF46" w14:textId="77777777" w:rsidR="008260A4" w:rsidRPr="00A7323A" w:rsidRDefault="008260A4" w:rsidP="00105865">
            <w:pPr>
              <w:rPr>
                <w:sz w:val="20"/>
                <w:szCs w:val="20"/>
              </w:rPr>
            </w:pPr>
          </w:p>
        </w:tc>
        <w:tc>
          <w:tcPr>
            <w:tcW w:w="2268" w:type="dxa"/>
            <w:tcBorders>
              <w:left w:val="single" w:sz="4" w:space="0" w:color="auto"/>
              <w:bottom w:val="single" w:sz="4" w:space="0" w:color="auto"/>
              <w:right w:val="single" w:sz="4" w:space="0" w:color="auto"/>
            </w:tcBorders>
          </w:tcPr>
          <w:p w14:paraId="3F3F5EB1" w14:textId="77777777" w:rsidR="008260A4" w:rsidRPr="00572490" w:rsidRDefault="008260A4" w:rsidP="00105865">
            <w:pPr>
              <w:rPr>
                <w:sz w:val="20"/>
                <w:szCs w:val="20"/>
              </w:rPr>
            </w:pPr>
            <w:r w:rsidRPr="00A7323A">
              <w:rPr>
                <w:sz w:val="20"/>
                <w:szCs w:val="20"/>
              </w:rPr>
              <w:t>Expert opinion (correspondence Graham Foster)</w:t>
            </w:r>
          </w:p>
        </w:tc>
      </w:tr>
      <w:tr w:rsidR="008260A4" w14:paraId="6FA78E4F" w14:textId="77777777" w:rsidTr="008260A4">
        <w:trPr>
          <w:trHeight w:val="596"/>
          <w:tblHeader/>
        </w:trPr>
        <w:tc>
          <w:tcPr>
            <w:tcW w:w="2122" w:type="dxa"/>
            <w:tcBorders>
              <w:top w:val="single" w:sz="4" w:space="0" w:color="auto"/>
              <w:left w:val="single" w:sz="4" w:space="0" w:color="auto"/>
              <w:right w:val="single" w:sz="4" w:space="0" w:color="auto"/>
            </w:tcBorders>
            <w:hideMark/>
          </w:tcPr>
          <w:p w14:paraId="60ECC599" w14:textId="77777777" w:rsidR="008260A4" w:rsidRPr="00A7323A" w:rsidRDefault="008260A4" w:rsidP="00105865">
            <w:pPr>
              <w:rPr>
                <w:sz w:val="20"/>
                <w:szCs w:val="20"/>
              </w:rPr>
            </w:pPr>
            <w:r>
              <w:rPr>
                <w:sz w:val="20"/>
                <w:szCs w:val="20"/>
              </w:rPr>
              <w:t>Adherence Support</w:t>
            </w:r>
          </w:p>
        </w:tc>
        <w:tc>
          <w:tcPr>
            <w:tcW w:w="1984" w:type="dxa"/>
            <w:tcBorders>
              <w:top w:val="single" w:sz="4" w:space="0" w:color="auto"/>
              <w:left w:val="single" w:sz="4" w:space="0" w:color="auto"/>
              <w:right w:val="single" w:sz="4" w:space="0" w:color="auto"/>
            </w:tcBorders>
            <w:hideMark/>
          </w:tcPr>
          <w:p w14:paraId="766562E8" w14:textId="77777777" w:rsidR="008260A4" w:rsidRPr="00572490" w:rsidRDefault="008260A4" w:rsidP="00105865">
            <w:pPr>
              <w:rPr>
                <w:sz w:val="20"/>
                <w:szCs w:val="20"/>
              </w:rPr>
            </w:pPr>
          </w:p>
        </w:tc>
        <w:tc>
          <w:tcPr>
            <w:tcW w:w="1843" w:type="dxa"/>
            <w:tcBorders>
              <w:top w:val="single" w:sz="4" w:space="0" w:color="auto"/>
              <w:left w:val="single" w:sz="4" w:space="0" w:color="auto"/>
              <w:right w:val="single" w:sz="4" w:space="0" w:color="auto"/>
            </w:tcBorders>
            <w:hideMark/>
          </w:tcPr>
          <w:p w14:paraId="2A9066CD" w14:textId="77777777" w:rsidR="008260A4" w:rsidRPr="00572490" w:rsidRDefault="008260A4" w:rsidP="00105865">
            <w:pPr>
              <w:rPr>
                <w:sz w:val="20"/>
                <w:szCs w:val="20"/>
              </w:rPr>
            </w:pPr>
            <w:r>
              <w:rPr>
                <w:sz w:val="20"/>
                <w:szCs w:val="20"/>
              </w:rPr>
              <w:t>8,633.18</w:t>
            </w:r>
          </w:p>
        </w:tc>
        <w:tc>
          <w:tcPr>
            <w:tcW w:w="2126" w:type="dxa"/>
            <w:vMerge/>
            <w:tcBorders>
              <w:left w:val="single" w:sz="4" w:space="0" w:color="auto"/>
              <w:right w:val="single" w:sz="4" w:space="0" w:color="auto"/>
            </w:tcBorders>
          </w:tcPr>
          <w:p w14:paraId="00C49E85"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1201F1D7" w14:textId="77777777" w:rsidR="008260A4" w:rsidRPr="00572490" w:rsidRDefault="008260A4" w:rsidP="00105865">
            <w:pPr>
              <w:rPr>
                <w:sz w:val="20"/>
                <w:szCs w:val="20"/>
              </w:rPr>
            </w:pPr>
            <w:r w:rsidRPr="00572490">
              <w:rPr>
                <w:sz w:val="20"/>
                <w:szCs w:val="20"/>
              </w:rPr>
              <w:t>UCH and Groundswell financial records</w:t>
            </w:r>
          </w:p>
        </w:tc>
      </w:tr>
      <w:tr w:rsidR="008260A4" w14:paraId="3D3FE958" w14:textId="77777777" w:rsidTr="008260A4">
        <w:trPr>
          <w:trHeight w:val="307"/>
        </w:trPr>
        <w:tc>
          <w:tcPr>
            <w:tcW w:w="2122" w:type="dxa"/>
            <w:vMerge w:val="restart"/>
            <w:hideMark/>
          </w:tcPr>
          <w:p w14:paraId="0A0B63CD" w14:textId="77777777" w:rsidR="008260A4" w:rsidRPr="00A7323A" w:rsidRDefault="008260A4" w:rsidP="00105865">
            <w:pPr>
              <w:rPr>
                <w:sz w:val="20"/>
                <w:szCs w:val="20"/>
              </w:rPr>
            </w:pPr>
            <w:r w:rsidRPr="00572490">
              <w:rPr>
                <w:sz w:val="20"/>
                <w:szCs w:val="20"/>
              </w:rPr>
              <w:t xml:space="preserve">Peer support of </w:t>
            </w:r>
            <w:r>
              <w:rPr>
                <w:sz w:val="20"/>
                <w:szCs w:val="20"/>
              </w:rPr>
              <w:t>p</w:t>
            </w:r>
            <w:r w:rsidRPr="00546768">
              <w:rPr>
                <w:sz w:val="20"/>
                <w:szCs w:val="20"/>
              </w:rPr>
              <w:t>ost treatment visits 12 weeks and 1 year</w:t>
            </w:r>
          </w:p>
        </w:tc>
        <w:tc>
          <w:tcPr>
            <w:tcW w:w="1984" w:type="dxa"/>
            <w:hideMark/>
          </w:tcPr>
          <w:p w14:paraId="72006B56"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right w:val="single" w:sz="4" w:space="0" w:color="auto"/>
            </w:tcBorders>
            <w:hideMark/>
          </w:tcPr>
          <w:p w14:paraId="1522C778" w14:textId="77777777" w:rsidR="008260A4" w:rsidRPr="00572490" w:rsidRDefault="008260A4" w:rsidP="00105865">
            <w:pPr>
              <w:rPr>
                <w:sz w:val="20"/>
                <w:szCs w:val="20"/>
              </w:rPr>
            </w:pPr>
            <w:r>
              <w:rPr>
                <w:sz w:val="20"/>
                <w:szCs w:val="20"/>
              </w:rPr>
              <w:t>8,608.18</w:t>
            </w:r>
          </w:p>
        </w:tc>
        <w:tc>
          <w:tcPr>
            <w:tcW w:w="2126" w:type="dxa"/>
            <w:vMerge/>
            <w:tcBorders>
              <w:left w:val="single" w:sz="4" w:space="0" w:color="auto"/>
              <w:right w:val="single" w:sz="4" w:space="0" w:color="auto"/>
            </w:tcBorders>
          </w:tcPr>
          <w:p w14:paraId="724AF891" w14:textId="77777777" w:rsidR="008260A4" w:rsidRPr="00572490" w:rsidRDefault="008260A4" w:rsidP="00105865">
            <w:pPr>
              <w:rPr>
                <w:sz w:val="20"/>
                <w:szCs w:val="20"/>
              </w:rPr>
            </w:pPr>
          </w:p>
        </w:tc>
        <w:tc>
          <w:tcPr>
            <w:tcW w:w="2268" w:type="dxa"/>
            <w:vMerge w:val="restart"/>
            <w:tcBorders>
              <w:left w:val="single" w:sz="4" w:space="0" w:color="auto"/>
            </w:tcBorders>
            <w:hideMark/>
          </w:tcPr>
          <w:p w14:paraId="412ED8CC" w14:textId="77777777" w:rsidR="008260A4" w:rsidRPr="00572490" w:rsidRDefault="008260A4" w:rsidP="00105865">
            <w:pPr>
              <w:rPr>
                <w:sz w:val="20"/>
                <w:szCs w:val="20"/>
              </w:rPr>
            </w:pPr>
            <w:r w:rsidRPr="00572490">
              <w:rPr>
                <w:sz w:val="20"/>
                <w:szCs w:val="20"/>
              </w:rPr>
              <w:t>UCH and Groundswell financial records</w:t>
            </w:r>
          </w:p>
        </w:tc>
      </w:tr>
      <w:tr w:rsidR="008260A4" w14:paraId="3F5AC63F" w14:textId="77777777" w:rsidTr="008260A4">
        <w:trPr>
          <w:trHeight w:val="307"/>
        </w:trPr>
        <w:tc>
          <w:tcPr>
            <w:tcW w:w="2122" w:type="dxa"/>
            <w:vMerge/>
          </w:tcPr>
          <w:p w14:paraId="57E7A9A3" w14:textId="77777777" w:rsidR="008260A4" w:rsidRPr="00572490" w:rsidRDefault="008260A4" w:rsidP="00105865">
            <w:pPr>
              <w:rPr>
                <w:sz w:val="20"/>
                <w:szCs w:val="20"/>
              </w:rPr>
            </w:pPr>
          </w:p>
        </w:tc>
        <w:tc>
          <w:tcPr>
            <w:tcW w:w="1984" w:type="dxa"/>
          </w:tcPr>
          <w:p w14:paraId="6D63B5CB"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right w:val="single" w:sz="4" w:space="0" w:color="auto"/>
            </w:tcBorders>
          </w:tcPr>
          <w:p w14:paraId="254215F3" w14:textId="77777777" w:rsidR="008260A4" w:rsidRPr="00572490" w:rsidRDefault="008260A4" w:rsidP="00105865">
            <w:pPr>
              <w:rPr>
                <w:sz w:val="20"/>
                <w:szCs w:val="20"/>
              </w:rPr>
            </w:pPr>
            <w:r>
              <w:rPr>
                <w:sz w:val="20"/>
                <w:szCs w:val="20"/>
              </w:rPr>
              <w:t>158.33 per person</w:t>
            </w:r>
          </w:p>
        </w:tc>
        <w:tc>
          <w:tcPr>
            <w:tcW w:w="2126" w:type="dxa"/>
            <w:vMerge/>
            <w:tcBorders>
              <w:left w:val="single" w:sz="4" w:space="0" w:color="auto"/>
              <w:right w:val="single" w:sz="4" w:space="0" w:color="auto"/>
            </w:tcBorders>
          </w:tcPr>
          <w:p w14:paraId="7350BFA6" w14:textId="77777777" w:rsidR="008260A4" w:rsidRPr="00A7323A" w:rsidRDefault="008260A4" w:rsidP="00105865">
            <w:pPr>
              <w:rPr>
                <w:sz w:val="20"/>
                <w:szCs w:val="20"/>
              </w:rPr>
            </w:pPr>
          </w:p>
        </w:tc>
        <w:tc>
          <w:tcPr>
            <w:tcW w:w="2268" w:type="dxa"/>
            <w:vMerge/>
            <w:tcBorders>
              <w:left w:val="single" w:sz="4" w:space="0" w:color="auto"/>
            </w:tcBorders>
          </w:tcPr>
          <w:p w14:paraId="7BD5423B" w14:textId="77777777" w:rsidR="008260A4" w:rsidRPr="00572490" w:rsidRDefault="008260A4" w:rsidP="00105865">
            <w:pPr>
              <w:rPr>
                <w:sz w:val="20"/>
                <w:szCs w:val="20"/>
              </w:rPr>
            </w:pPr>
          </w:p>
        </w:tc>
      </w:tr>
    </w:tbl>
    <w:p w14:paraId="18743F9F" w14:textId="77777777" w:rsidR="008260A4" w:rsidRDefault="008260A4" w:rsidP="00105865">
      <w:pPr>
        <w:spacing w:line="240" w:lineRule="auto"/>
      </w:pPr>
    </w:p>
    <w:p w14:paraId="3EB97D58" w14:textId="77777777" w:rsidR="008260A4" w:rsidRDefault="008260A4" w:rsidP="00105865">
      <w:pPr>
        <w:spacing w:line="240" w:lineRule="auto"/>
      </w:pPr>
    </w:p>
    <w:p w14:paraId="6D0A76DA" w14:textId="77777777" w:rsidR="008260A4" w:rsidRDefault="008260A4" w:rsidP="00105865">
      <w:pPr>
        <w:spacing w:line="240" w:lineRule="auto"/>
      </w:pPr>
    </w:p>
    <w:p w14:paraId="457E79E3" w14:textId="77777777" w:rsidR="008260A4" w:rsidRDefault="008260A4" w:rsidP="00105865">
      <w:pPr>
        <w:spacing w:line="240" w:lineRule="auto"/>
      </w:pPr>
    </w:p>
    <w:p w14:paraId="2016DA80" w14:textId="77777777" w:rsidR="008260A4" w:rsidRDefault="008260A4" w:rsidP="00105865">
      <w:pPr>
        <w:spacing w:line="240" w:lineRule="auto"/>
      </w:pPr>
    </w:p>
    <w:p w14:paraId="27C91C98" w14:textId="77777777" w:rsidR="008260A4" w:rsidRDefault="008260A4" w:rsidP="00105865">
      <w:pPr>
        <w:spacing w:line="240" w:lineRule="auto"/>
      </w:pPr>
    </w:p>
    <w:p w14:paraId="695AC09E" w14:textId="77777777" w:rsidR="008260A4" w:rsidRDefault="008260A4" w:rsidP="00105865">
      <w:pPr>
        <w:spacing w:line="240" w:lineRule="auto"/>
      </w:pPr>
    </w:p>
    <w:p w14:paraId="1F2ADD3A" w14:textId="77777777" w:rsidR="005328D1" w:rsidRDefault="005328D1" w:rsidP="00105865">
      <w:pPr>
        <w:spacing w:line="240" w:lineRule="auto"/>
      </w:pPr>
    </w:p>
    <w:p w14:paraId="2F29EF16" w14:textId="77777777" w:rsidR="005328D1" w:rsidRDefault="005328D1" w:rsidP="00105865">
      <w:pPr>
        <w:spacing w:line="240" w:lineRule="auto"/>
      </w:pPr>
    </w:p>
    <w:p w14:paraId="599C5F97" w14:textId="39BED0EF" w:rsidR="008260A4" w:rsidRDefault="008260A4" w:rsidP="00105865">
      <w:pPr>
        <w:spacing w:line="240" w:lineRule="auto"/>
        <w:rPr>
          <w:b/>
        </w:rPr>
      </w:pPr>
      <w:r>
        <w:t>Table S</w:t>
      </w:r>
      <w:r w:rsidR="00091C92">
        <w:t>6</w:t>
      </w:r>
      <w:r>
        <w:t xml:space="preserve">: </w:t>
      </w:r>
      <w:r>
        <w:rPr>
          <w:b/>
        </w:rPr>
        <w:t>Scenario 2: Start-up costs annualised over 7 years</w:t>
      </w:r>
    </w:p>
    <w:tbl>
      <w:tblPr>
        <w:tblStyle w:val="TableGrid"/>
        <w:tblW w:w="10343" w:type="dxa"/>
        <w:tblLayout w:type="fixed"/>
        <w:tblLook w:val="04A0" w:firstRow="1" w:lastRow="0" w:firstColumn="1" w:lastColumn="0" w:noHBand="0" w:noVBand="1"/>
      </w:tblPr>
      <w:tblGrid>
        <w:gridCol w:w="2122"/>
        <w:gridCol w:w="1984"/>
        <w:gridCol w:w="1843"/>
        <w:gridCol w:w="2126"/>
        <w:gridCol w:w="2268"/>
      </w:tblGrid>
      <w:tr w:rsidR="008260A4" w14:paraId="46007F67" w14:textId="77777777" w:rsidTr="008260A4">
        <w:trPr>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F0BF6CD" w14:textId="77777777" w:rsidR="008260A4" w:rsidRDefault="008260A4" w:rsidP="00105865">
            <w:pPr>
              <w:rPr>
                <w:b/>
              </w:rPr>
            </w:pPr>
          </w:p>
          <w:p w14:paraId="6907F33B" w14:textId="77777777" w:rsidR="008260A4" w:rsidRDefault="008260A4" w:rsidP="00105865">
            <w:pPr>
              <w:rPr>
                <w:b/>
              </w:rPr>
            </w:pPr>
            <w:r>
              <w:rPr>
                <w:b/>
              </w:rPr>
              <w:t>Activity Cost for 1 year 2017/2018</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10B19B0" w14:textId="77777777" w:rsidR="008260A4" w:rsidRDefault="008260A4" w:rsidP="00105865">
            <w:pPr>
              <w:rPr>
                <w:b/>
              </w:rPr>
            </w:pPr>
            <w:r>
              <w:rPr>
                <w:b/>
              </w:rPr>
              <w:t>Costs (£) 2017/18</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E56D6C" w14:textId="77777777" w:rsidR="008260A4" w:rsidRDefault="008260A4" w:rsidP="00105865">
            <w:pPr>
              <w:rPr>
                <w:b/>
              </w:rPr>
            </w:pPr>
            <w:r>
              <w:rPr>
                <w:b/>
              </w:rPr>
              <w:t>Model Input</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A3A511" w14:textId="77777777" w:rsidR="008260A4" w:rsidRDefault="008260A4" w:rsidP="00105865">
            <w:pPr>
              <w:rPr>
                <w:b/>
              </w:rPr>
            </w:pPr>
            <w:r>
              <w:rPr>
                <w:b/>
              </w:rPr>
              <w:t>Source</w:t>
            </w:r>
          </w:p>
        </w:tc>
      </w:tr>
      <w:tr w:rsidR="008260A4" w14:paraId="039A5249" w14:textId="77777777" w:rsidTr="008260A4">
        <w:trPr>
          <w:trHeight w:val="580"/>
          <w:tblHeader/>
        </w:trPr>
        <w:tc>
          <w:tcPr>
            <w:tcW w:w="4106" w:type="dxa"/>
            <w:gridSpan w:val="2"/>
            <w:tcBorders>
              <w:top w:val="single" w:sz="4" w:space="0" w:color="auto"/>
              <w:left w:val="single" w:sz="4" w:space="0" w:color="auto"/>
              <w:bottom w:val="single" w:sz="4" w:space="0" w:color="auto"/>
              <w:right w:val="single" w:sz="4" w:space="0" w:color="auto"/>
            </w:tcBorders>
            <w:hideMark/>
          </w:tcPr>
          <w:p w14:paraId="1C24606C" w14:textId="77777777" w:rsidR="008260A4" w:rsidRPr="00A7323A" w:rsidRDefault="008260A4" w:rsidP="00105865">
            <w:pPr>
              <w:rPr>
                <w:sz w:val="20"/>
                <w:szCs w:val="20"/>
              </w:rPr>
            </w:pPr>
            <w:r w:rsidRPr="00A7323A">
              <w:rPr>
                <w:sz w:val="20"/>
                <w:szCs w:val="20"/>
              </w:rPr>
              <w:t xml:space="preserve">Total Cost </w:t>
            </w:r>
          </w:p>
        </w:tc>
        <w:tc>
          <w:tcPr>
            <w:tcW w:w="1843" w:type="dxa"/>
            <w:tcBorders>
              <w:top w:val="single" w:sz="4" w:space="0" w:color="auto"/>
              <w:left w:val="single" w:sz="4" w:space="0" w:color="auto"/>
              <w:bottom w:val="single" w:sz="4" w:space="0" w:color="auto"/>
              <w:right w:val="single" w:sz="4" w:space="0" w:color="auto"/>
            </w:tcBorders>
          </w:tcPr>
          <w:p w14:paraId="3A93C615" w14:textId="77777777" w:rsidR="008260A4" w:rsidRPr="00A7323A" w:rsidRDefault="008260A4" w:rsidP="00105865">
            <w:pPr>
              <w:rPr>
                <w:sz w:val="20"/>
                <w:szCs w:val="20"/>
              </w:rPr>
            </w:pPr>
            <w:r w:rsidRPr="00A7323A">
              <w:rPr>
                <w:sz w:val="20"/>
                <w:szCs w:val="20"/>
              </w:rPr>
              <w:t>1</w:t>
            </w:r>
            <w:r>
              <w:rPr>
                <w:sz w:val="20"/>
                <w:szCs w:val="20"/>
              </w:rPr>
              <w:t>25,210.09</w:t>
            </w:r>
          </w:p>
        </w:tc>
        <w:tc>
          <w:tcPr>
            <w:tcW w:w="2126" w:type="dxa"/>
            <w:tcBorders>
              <w:top w:val="single" w:sz="4" w:space="0" w:color="auto"/>
              <w:left w:val="single" w:sz="4" w:space="0" w:color="auto"/>
              <w:bottom w:val="single" w:sz="4" w:space="0" w:color="auto"/>
              <w:right w:val="single" w:sz="4" w:space="0" w:color="auto"/>
            </w:tcBorders>
          </w:tcPr>
          <w:p w14:paraId="5222EBF8"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0C368DB" w14:textId="77777777" w:rsidR="008260A4" w:rsidRPr="00A7323A" w:rsidRDefault="008260A4" w:rsidP="00105865">
            <w:pPr>
              <w:rPr>
                <w:sz w:val="20"/>
                <w:szCs w:val="20"/>
              </w:rPr>
            </w:pPr>
            <w:r w:rsidRPr="00A7323A">
              <w:rPr>
                <w:sz w:val="20"/>
                <w:szCs w:val="20"/>
              </w:rPr>
              <w:t>UCH and Groundswell financial records</w:t>
            </w:r>
          </w:p>
        </w:tc>
      </w:tr>
      <w:tr w:rsidR="008260A4" w14:paraId="61B69D3D" w14:textId="77777777" w:rsidTr="008260A4">
        <w:trPr>
          <w:trHeight w:val="418"/>
          <w:tblHeader/>
        </w:trPr>
        <w:tc>
          <w:tcPr>
            <w:tcW w:w="2122" w:type="dxa"/>
            <w:vMerge w:val="restart"/>
            <w:tcBorders>
              <w:top w:val="single" w:sz="4" w:space="0" w:color="auto"/>
              <w:left w:val="single" w:sz="4" w:space="0" w:color="auto"/>
              <w:right w:val="single" w:sz="4" w:space="0" w:color="auto"/>
            </w:tcBorders>
            <w:hideMark/>
          </w:tcPr>
          <w:p w14:paraId="52535AE3" w14:textId="77777777" w:rsidR="008260A4" w:rsidRPr="00A7323A" w:rsidRDefault="008260A4" w:rsidP="00105865">
            <w:pPr>
              <w:rPr>
                <w:sz w:val="20"/>
                <w:szCs w:val="20"/>
              </w:rPr>
            </w:pPr>
            <w:r w:rsidRPr="00A7323A">
              <w:rPr>
                <w:sz w:val="20"/>
                <w:szCs w:val="20"/>
              </w:rPr>
              <w:t xml:space="preserve">Total cost of Outreach </w:t>
            </w:r>
          </w:p>
        </w:tc>
        <w:tc>
          <w:tcPr>
            <w:tcW w:w="1984" w:type="dxa"/>
            <w:tcBorders>
              <w:top w:val="single" w:sz="4" w:space="0" w:color="auto"/>
              <w:left w:val="single" w:sz="4" w:space="0" w:color="auto"/>
              <w:bottom w:val="single" w:sz="4" w:space="0" w:color="auto"/>
              <w:right w:val="single" w:sz="4" w:space="0" w:color="auto"/>
            </w:tcBorders>
            <w:hideMark/>
          </w:tcPr>
          <w:p w14:paraId="62D2A249" w14:textId="77777777" w:rsidR="008260A4" w:rsidRPr="00A7323A" w:rsidRDefault="008260A4" w:rsidP="00105865">
            <w:pPr>
              <w:rPr>
                <w:sz w:val="20"/>
                <w:szCs w:val="20"/>
              </w:rPr>
            </w:pPr>
            <w:r w:rsidRPr="00A7323A">
              <w:rPr>
                <w:sz w:val="20"/>
                <w:szCs w:val="20"/>
              </w:rPr>
              <w:t>In outreach location</w:t>
            </w:r>
          </w:p>
        </w:tc>
        <w:tc>
          <w:tcPr>
            <w:tcW w:w="1843" w:type="dxa"/>
            <w:tcBorders>
              <w:top w:val="single" w:sz="4" w:space="0" w:color="auto"/>
              <w:left w:val="single" w:sz="4" w:space="0" w:color="auto"/>
              <w:bottom w:val="single" w:sz="4" w:space="0" w:color="auto"/>
              <w:right w:val="single" w:sz="4" w:space="0" w:color="auto"/>
            </w:tcBorders>
          </w:tcPr>
          <w:p w14:paraId="45A8B2F8" w14:textId="77777777" w:rsidR="008260A4" w:rsidRPr="00A7323A" w:rsidRDefault="008260A4" w:rsidP="00105865">
            <w:pPr>
              <w:rPr>
                <w:sz w:val="20"/>
                <w:szCs w:val="20"/>
              </w:rPr>
            </w:pPr>
            <w:r w:rsidRPr="00A7323A">
              <w:rPr>
                <w:sz w:val="20"/>
                <w:szCs w:val="20"/>
              </w:rPr>
              <w:t>1</w:t>
            </w:r>
            <w:r>
              <w:rPr>
                <w:sz w:val="20"/>
                <w:szCs w:val="20"/>
              </w:rPr>
              <w:t>6,086.30</w:t>
            </w:r>
          </w:p>
        </w:tc>
        <w:tc>
          <w:tcPr>
            <w:tcW w:w="2126" w:type="dxa"/>
            <w:vMerge w:val="restart"/>
            <w:tcBorders>
              <w:top w:val="single" w:sz="4" w:space="0" w:color="auto"/>
              <w:left w:val="single" w:sz="4" w:space="0" w:color="auto"/>
              <w:right w:val="single" w:sz="4" w:space="0" w:color="auto"/>
            </w:tcBorders>
          </w:tcPr>
          <w:p w14:paraId="73E6B5DF" w14:textId="77777777" w:rsidR="008260A4" w:rsidRDefault="008260A4" w:rsidP="00105865">
            <w:pPr>
              <w:rPr>
                <w:sz w:val="20"/>
                <w:szCs w:val="20"/>
              </w:rPr>
            </w:pPr>
            <w:r w:rsidRPr="00A7323A">
              <w:rPr>
                <w:sz w:val="20"/>
                <w:szCs w:val="20"/>
              </w:rPr>
              <w:t xml:space="preserve">Total Cost of </w:t>
            </w:r>
            <w:r>
              <w:rPr>
                <w:sz w:val="20"/>
                <w:szCs w:val="20"/>
              </w:rPr>
              <w:t>Diagnosis</w:t>
            </w:r>
          </w:p>
          <w:p w14:paraId="74DC2DC9" w14:textId="77777777" w:rsidR="008260A4" w:rsidRDefault="008260A4" w:rsidP="00105865">
            <w:pPr>
              <w:rPr>
                <w:sz w:val="20"/>
                <w:szCs w:val="20"/>
              </w:rPr>
            </w:pPr>
            <w:r w:rsidRPr="00A7323A">
              <w:rPr>
                <w:sz w:val="20"/>
                <w:szCs w:val="20"/>
              </w:rPr>
              <w:t>(1 year)</w:t>
            </w:r>
          </w:p>
          <w:p w14:paraId="3DD568F0" w14:textId="77777777" w:rsidR="008260A4" w:rsidRDefault="008260A4" w:rsidP="00105865">
            <w:pPr>
              <w:rPr>
                <w:sz w:val="20"/>
                <w:szCs w:val="20"/>
              </w:rPr>
            </w:pPr>
          </w:p>
          <w:p w14:paraId="3F278ED6" w14:textId="77777777" w:rsidR="008260A4" w:rsidRPr="00A7323A" w:rsidRDefault="008260A4" w:rsidP="00105865">
            <w:pPr>
              <w:rPr>
                <w:sz w:val="20"/>
                <w:szCs w:val="20"/>
              </w:rPr>
            </w:pPr>
            <w:r w:rsidRPr="00A7323A">
              <w:rPr>
                <w:sz w:val="20"/>
                <w:szCs w:val="20"/>
              </w:rPr>
              <w:t>6</w:t>
            </w:r>
            <w:r>
              <w:rPr>
                <w:sz w:val="20"/>
                <w:szCs w:val="20"/>
              </w:rPr>
              <w:t>0549.78</w:t>
            </w:r>
          </w:p>
        </w:tc>
        <w:tc>
          <w:tcPr>
            <w:tcW w:w="2268" w:type="dxa"/>
            <w:tcBorders>
              <w:top w:val="single" w:sz="4" w:space="0" w:color="auto"/>
              <w:left w:val="single" w:sz="4" w:space="0" w:color="auto"/>
              <w:bottom w:val="single" w:sz="4" w:space="0" w:color="auto"/>
              <w:right w:val="single" w:sz="4" w:space="0" w:color="auto"/>
            </w:tcBorders>
          </w:tcPr>
          <w:p w14:paraId="6B9F84CD" w14:textId="77777777" w:rsidR="008260A4" w:rsidRPr="00A7323A" w:rsidRDefault="008260A4" w:rsidP="00105865">
            <w:pPr>
              <w:rPr>
                <w:sz w:val="20"/>
                <w:szCs w:val="20"/>
              </w:rPr>
            </w:pPr>
            <w:r w:rsidRPr="00A7323A">
              <w:rPr>
                <w:sz w:val="20"/>
                <w:szCs w:val="20"/>
              </w:rPr>
              <w:t>UCH and Groundswell financial records</w:t>
            </w:r>
          </w:p>
        </w:tc>
      </w:tr>
      <w:tr w:rsidR="008260A4" w14:paraId="5D2D5497" w14:textId="77777777" w:rsidTr="008260A4">
        <w:trPr>
          <w:trHeight w:val="481"/>
          <w:tblHeader/>
        </w:trPr>
        <w:tc>
          <w:tcPr>
            <w:tcW w:w="2122" w:type="dxa"/>
            <w:vMerge/>
            <w:tcBorders>
              <w:left w:val="single" w:sz="4" w:space="0" w:color="auto"/>
              <w:right w:val="single" w:sz="4" w:space="0" w:color="auto"/>
            </w:tcBorders>
          </w:tcPr>
          <w:p w14:paraId="35BB153D"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2A8419" w14:textId="77777777" w:rsidR="008260A4" w:rsidRDefault="008260A4" w:rsidP="00105865">
            <w:pPr>
              <w:rPr>
                <w:sz w:val="20"/>
                <w:szCs w:val="20"/>
              </w:rPr>
            </w:pPr>
            <w:r w:rsidRPr="00A7323A">
              <w:rPr>
                <w:sz w:val="20"/>
                <w:szCs w:val="20"/>
              </w:rPr>
              <w:t>In mobile health unit</w:t>
            </w:r>
          </w:p>
          <w:p w14:paraId="2B1AA31A" w14:textId="77777777" w:rsidR="008260A4" w:rsidRPr="00A7323A" w:rsidRDefault="008260A4" w:rsidP="00105865">
            <w:pPr>
              <w:rPr>
                <w:sz w:val="20"/>
                <w:szCs w:val="20"/>
              </w:rPr>
            </w:pPr>
          </w:p>
        </w:tc>
        <w:tc>
          <w:tcPr>
            <w:tcW w:w="1843" w:type="dxa"/>
            <w:tcBorders>
              <w:top w:val="single" w:sz="4" w:space="0" w:color="auto"/>
              <w:left w:val="single" w:sz="4" w:space="0" w:color="auto"/>
              <w:right w:val="single" w:sz="4" w:space="0" w:color="auto"/>
            </w:tcBorders>
          </w:tcPr>
          <w:p w14:paraId="37EFE520" w14:textId="77777777" w:rsidR="008260A4" w:rsidRPr="00A7323A" w:rsidRDefault="008260A4" w:rsidP="00105865">
            <w:pPr>
              <w:rPr>
                <w:sz w:val="20"/>
                <w:szCs w:val="20"/>
              </w:rPr>
            </w:pPr>
            <w:r>
              <w:rPr>
                <w:sz w:val="20"/>
                <w:szCs w:val="20"/>
              </w:rPr>
              <w:t>24,338.36</w:t>
            </w:r>
          </w:p>
        </w:tc>
        <w:tc>
          <w:tcPr>
            <w:tcW w:w="2126" w:type="dxa"/>
            <w:vMerge/>
            <w:tcBorders>
              <w:left w:val="single" w:sz="4" w:space="0" w:color="auto"/>
              <w:right w:val="single" w:sz="4" w:space="0" w:color="auto"/>
            </w:tcBorders>
          </w:tcPr>
          <w:p w14:paraId="0935DDD0"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728B183A" w14:textId="77777777" w:rsidR="008260A4" w:rsidRPr="00A7323A" w:rsidRDefault="008260A4" w:rsidP="00105865">
            <w:pPr>
              <w:rPr>
                <w:sz w:val="20"/>
                <w:szCs w:val="20"/>
              </w:rPr>
            </w:pPr>
            <w:r w:rsidRPr="00A7323A">
              <w:rPr>
                <w:sz w:val="20"/>
                <w:szCs w:val="20"/>
              </w:rPr>
              <w:t>UCH and Groundswell financial records</w:t>
            </w:r>
          </w:p>
        </w:tc>
      </w:tr>
      <w:tr w:rsidR="008260A4" w14:paraId="3A30485C" w14:textId="77777777" w:rsidTr="008260A4">
        <w:trPr>
          <w:trHeight w:val="559"/>
          <w:tblHeader/>
        </w:trPr>
        <w:tc>
          <w:tcPr>
            <w:tcW w:w="2122" w:type="dxa"/>
            <w:vMerge/>
            <w:tcBorders>
              <w:left w:val="single" w:sz="4" w:space="0" w:color="auto"/>
              <w:bottom w:val="single" w:sz="4" w:space="0" w:color="auto"/>
              <w:right w:val="single" w:sz="4" w:space="0" w:color="auto"/>
            </w:tcBorders>
          </w:tcPr>
          <w:p w14:paraId="2F1317DF"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A8798E3" w14:textId="77777777" w:rsidR="008260A4" w:rsidRPr="00A7323A" w:rsidRDefault="008260A4" w:rsidP="00105865">
            <w:pPr>
              <w:rPr>
                <w:sz w:val="20"/>
                <w:szCs w:val="20"/>
              </w:rPr>
            </w:pPr>
            <w:r>
              <w:rPr>
                <w:sz w:val="20"/>
                <w:szCs w:val="20"/>
              </w:rPr>
              <w:t>Informing HCV- patients of their status</w:t>
            </w:r>
          </w:p>
        </w:tc>
        <w:tc>
          <w:tcPr>
            <w:tcW w:w="1843" w:type="dxa"/>
            <w:tcBorders>
              <w:left w:val="single" w:sz="4" w:space="0" w:color="auto"/>
              <w:bottom w:val="single" w:sz="4" w:space="0" w:color="auto"/>
              <w:right w:val="single" w:sz="4" w:space="0" w:color="auto"/>
            </w:tcBorders>
          </w:tcPr>
          <w:p w14:paraId="0F00EBE6" w14:textId="77777777" w:rsidR="008260A4" w:rsidRPr="00A7323A" w:rsidRDefault="008260A4" w:rsidP="00105865">
            <w:pPr>
              <w:rPr>
                <w:sz w:val="20"/>
                <w:szCs w:val="20"/>
              </w:rPr>
            </w:pPr>
            <w:r>
              <w:rPr>
                <w:sz w:val="20"/>
                <w:szCs w:val="20"/>
              </w:rPr>
              <w:t>4,882.75</w:t>
            </w:r>
          </w:p>
        </w:tc>
        <w:tc>
          <w:tcPr>
            <w:tcW w:w="2126" w:type="dxa"/>
            <w:vMerge/>
            <w:tcBorders>
              <w:left w:val="single" w:sz="4" w:space="0" w:color="auto"/>
              <w:right w:val="single" w:sz="4" w:space="0" w:color="auto"/>
            </w:tcBorders>
          </w:tcPr>
          <w:p w14:paraId="31668935"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tcPr>
          <w:p w14:paraId="45AA8800" w14:textId="77777777" w:rsidR="008260A4" w:rsidRPr="00A7323A" w:rsidRDefault="008260A4" w:rsidP="00105865">
            <w:pPr>
              <w:rPr>
                <w:sz w:val="20"/>
                <w:szCs w:val="20"/>
              </w:rPr>
            </w:pPr>
          </w:p>
        </w:tc>
      </w:tr>
      <w:tr w:rsidR="008260A4" w14:paraId="78E3846B" w14:textId="77777777" w:rsidTr="008260A4">
        <w:trPr>
          <w:trHeight w:val="562"/>
          <w:tblHeader/>
        </w:trPr>
        <w:tc>
          <w:tcPr>
            <w:tcW w:w="2122" w:type="dxa"/>
            <w:vMerge w:val="restart"/>
            <w:tcBorders>
              <w:top w:val="single" w:sz="4" w:space="0" w:color="auto"/>
              <w:left w:val="single" w:sz="4" w:space="0" w:color="auto"/>
              <w:right w:val="single" w:sz="4" w:space="0" w:color="auto"/>
            </w:tcBorders>
            <w:hideMark/>
          </w:tcPr>
          <w:p w14:paraId="6954BB86" w14:textId="77777777" w:rsidR="008260A4" w:rsidRDefault="008260A4" w:rsidP="00105865">
            <w:pPr>
              <w:rPr>
                <w:sz w:val="20"/>
                <w:szCs w:val="20"/>
              </w:rPr>
            </w:pPr>
            <w:r w:rsidRPr="00A7323A">
              <w:rPr>
                <w:sz w:val="20"/>
                <w:szCs w:val="20"/>
              </w:rPr>
              <w:t>Total Cost of Test</w:t>
            </w:r>
            <w:r>
              <w:rPr>
                <w:sz w:val="20"/>
                <w:szCs w:val="20"/>
              </w:rPr>
              <w:t>s</w:t>
            </w:r>
            <w:r w:rsidRPr="00A7323A">
              <w:rPr>
                <w:sz w:val="20"/>
                <w:szCs w:val="20"/>
              </w:rPr>
              <w:t xml:space="preserve"> </w:t>
            </w:r>
          </w:p>
          <w:p w14:paraId="72AAF62B" w14:textId="77777777" w:rsidR="008260A4" w:rsidRPr="00A7323A" w:rsidRDefault="008260A4" w:rsidP="00105865">
            <w:pPr>
              <w:rPr>
                <w:sz w:val="20"/>
                <w:szCs w:val="20"/>
              </w:rPr>
            </w:pPr>
            <w:r w:rsidRPr="00A7323A">
              <w:rPr>
                <w:sz w:val="20"/>
                <w:szCs w:val="20"/>
              </w:rPr>
              <w:t>(includes admin &amp;management, staff time, medical supplies and test costs)</w:t>
            </w:r>
          </w:p>
        </w:tc>
        <w:tc>
          <w:tcPr>
            <w:tcW w:w="1984" w:type="dxa"/>
            <w:tcBorders>
              <w:top w:val="single" w:sz="4" w:space="0" w:color="auto"/>
              <w:left w:val="single" w:sz="4" w:space="0" w:color="auto"/>
              <w:bottom w:val="single" w:sz="4" w:space="0" w:color="auto"/>
              <w:right w:val="single" w:sz="4" w:space="0" w:color="auto"/>
            </w:tcBorders>
            <w:hideMark/>
          </w:tcPr>
          <w:p w14:paraId="23B2BE71" w14:textId="77777777" w:rsidR="008260A4" w:rsidRPr="00A7323A" w:rsidRDefault="008260A4" w:rsidP="00105865">
            <w:pPr>
              <w:rPr>
                <w:sz w:val="20"/>
                <w:szCs w:val="20"/>
              </w:rPr>
            </w:pPr>
            <w:r w:rsidRPr="00A7323A">
              <w:rPr>
                <w:sz w:val="20"/>
                <w:szCs w:val="20"/>
              </w:rPr>
              <w:t xml:space="preserve">POCT </w:t>
            </w:r>
          </w:p>
          <w:p w14:paraId="1B40C168" w14:textId="77777777" w:rsidR="008260A4" w:rsidRPr="00A7323A" w:rsidRDefault="008260A4" w:rsidP="00105865">
            <w:pPr>
              <w:rPr>
                <w:sz w:val="20"/>
                <w:szCs w:val="20"/>
              </w:rPr>
            </w:pPr>
            <w:r>
              <w:rPr>
                <w:sz w:val="20"/>
                <w:szCs w:val="20"/>
              </w:rPr>
              <w:t>(98 for the year)</w:t>
            </w:r>
          </w:p>
        </w:tc>
        <w:tc>
          <w:tcPr>
            <w:tcW w:w="1843" w:type="dxa"/>
            <w:tcBorders>
              <w:top w:val="single" w:sz="4" w:space="0" w:color="auto"/>
              <w:left w:val="single" w:sz="4" w:space="0" w:color="auto"/>
              <w:bottom w:val="single" w:sz="4" w:space="0" w:color="auto"/>
              <w:right w:val="single" w:sz="4" w:space="0" w:color="auto"/>
            </w:tcBorders>
          </w:tcPr>
          <w:p w14:paraId="1E4869C8" w14:textId="77777777" w:rsidR="008260A4" w:rsidRPr="00A7323A" w:rsidRDefault="008260A4" w:rsidP="00105865">
            <w:pPr>
              <w:rPr>
                <w:sz w:val="20"/>
                <w:szCs w:val="20"/>
              </w:rPr>
            </w:pPr>
            <w:r>
              <w:rPr>
                <w:sz w:val="20"/>
                <w:szCs w:val="20"/>
              </w:rPr>
              <w:t>6,825.85</w:t>
            </w:r>
          </w:p>
        </w:tc>
        <w:tc>
          <w:tcPr>
            <w:tcW w:w="2126" w:type="dxa"/>
            <w:vMerge/>
            <w:tcBorders>
              <w:left w:val="single" w:sz="4" w:space="0" w:color="auto"/>
              <w:right w:val="single" w:sz="4" w:space="0" w:color="auto"/>
            </w:tcBorders>
          </w:tcPr>
          <w:p w14:paraId="5B0EDD92"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6457018E" w14:textId="77777777" w:rsidR="008260A4" w:rsidRPr="00A7323A" w:rsidRDefault="008260A4" w:rsidP="00105865">
            <w:pPr>
              <w:rPr>
                <w:sz w:val="20"/>
                <w:szCs w:val="20"/>
              </w:rPr>
            </w:pPr>
            <w:r w:rsidRPr="00A7323A">
              <w:rPr>
                <w:sz w:val="20"/>
                <w:szCs w:val="20"/>
              </w:rPr>
              <w:t>UCH and Groundswell financial records</w:t>
            </w:r>
          </w:p>
        </w:tc>
      </w:tr>
      <w:tr w:rsidR="008260A4" w14:paraId="29CFBF03" w14:textId="77777777" w:rsidTr="008260A4">
        <w:trPr>
          <w:trHeight w:val="654"/>
          <w:tblHeader/>
        </w:trPr>
        <w:tc>
          <w:tcPr>
            <w:tcW w:w="2122" w:type="dxa"/>
            <w:vMerge/>
            <w:tcBorders>
              <w:left w:val="single" w:sz="4" w:space="0" w:color="auto"/>
              <w:bottom w:val="single" w:sz="4" w:space="0" w:color="auto"/>
              <w:right w:val="single" w:sz="4" w:space="0" w:color="auto"/>
            </w:tcBorders>
            <w:vAlign w:val="center"/>
            <w:hideMark/>
          </w:tcPr>
          <w:p w14:paraId="4B5BE2EC"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F1D60DC" w14:textId="77777777" w:rsidR="008260A4" w:rsidRDefault="008260A4" w:rsidP="00105865">
            <w:pPr>
              <w:rPr>
                <w:sz w:val="20"/>
                <w:szCs w:val="20"/>
              </w:rPr>
            </w:pPr>
            <w:r w:rsidRPr="00A7323A">
              <w:rPr>
                <w:sz w:val="20"/>
                <w:szCs w:val="20"/>
              </w:rPr>
              <w:t>RNA</w:t>
            </w:r>
          </w:p>
          <w:p w14:paraId="4519ABB1" w14:textId="77777777" w:rsidR="008260A4" w:rsidRPr="00A7323A" w:rsidRDefault="008260A4" w:rsidP="00105865">
            <w:pPr>
              <w:rPr>
                <w:sz w:val="20"/>
                <w:szCs w:val="20"/>
              </w:rPr>
            </w:pPr>
            <w:r>
              <w:rPr>
                <w:sz w:val="20"/>
                <w:szCs w:val="20"/>
              </w:rPr>
              <w:t>(62 for the year)</w:t>
            </w:r>
          </w:p>
        </w:tc>
        <w:tc>
          <w:tcPr>
            <w:tcW w:w="1843" w:type="dxa"/>
            <w:tcBorders>
              <w:top w:val="single" w:sz="4" w:space="0" w:color="auto"/>
              <w:left w:val="single" w:sz="4" w:space="0" w:color="auto"/>
              <w:bottom w:val="single" w:sz="4" w:space="0" w:color="auto"/>
              <w:right w:val="single" w:sz="4" w:space="0" w:color="auto"/>
            </w:tcBorders>
          </w:tcPr>
          <w:p w14:paraId="04DC81FE" w14:textId="77777777" w:rsidR="008260A4" w:rsidRPr="00A7323A" w:rsidRDefault="008260A4" w:rsidP="00105865">
            <w:pPr>
              <w:rPr>
                <w:sz w:val="20"/>
                <w:szCs w:val="20"/>
              </w:rPr>
            </w:pPr>
            <w:r>
              <w:rPr>
                <w:sz w:val="20"/>
                <w:szCs w:val="20"/>
              </w:rPr>
              <w:t>8,416.51</w:t>
            </w:r>
          </w:p>
        </w:tc>
        <w:tc>
          <w:tcPr>
            <w:tcW w:w="2126" w:type="dxa"/>
            <w:vMerge/>
            <w:tcBorders>
              <w:left w:val="single" w:sz="4" w:space="0" w:color="auto"/>
              <w:bottom w:val="single" w:sz="4" w:space="0" w:color="auto"/>
              <w:right w:val="single" w:sz="4" w:space="0" w:color="auto"/>
            </w:tcBorders>
          </w:tcPr>
          <w:p w14:paraId="1A7394D7"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vAlign w:val="center"/>
            <w:hideMark/>
          </w:tcPr>
          <w:p w14:paraId="5F21ABFC" w14:textId="77777777" w:rsidR="008260A4" w:rsidRPr="00A7323A" w:rsidRDefault="008260A4" w:rsidP="00105865">
            <w:pPr>
              <w:rPr>
                <w:sz w:val="20"/>
                <w:szCs w:val="20"/>
              </w:rPr>
            </w:pPr>
          </w:p>
        </w:tc>
      </w:tr>
      <w:tr w:rsidR="008260A4" w14:paraId="44F60DA8" w14:textId="77777777" w:rsidTr="008260A4">
        <w:trPr>
          <w:trHeight w:val="423"/>
          <w:tblHeader/>
        </w:trPr>
        <w:tc>
          <w:tcPr>
            <w:tcW w:w="4106" w:type="dxa"/>
            <w:gridSpan w:val="2"/>
            <w:tcBorders>
              <w:top w:val="single" w:sz="4" w:space="0" w:color="auto"/>
              <w:left w:val="single" w:sz="4" w:space="0" w:color="auto"/>
              <w:right w:val="single" w:sz="4" w:space="0" w:color="auto"/>
            </w:tcBorders>
          </w:tcPr>
          <w:p w14:paraId="21DF8F1D" w14:textId="77777777" w:rsidR="008260A4" w:rsidRPr="00A7323A" w:rsidRDefault="008260A4" w:rsidP="00105865">
            <w:pPr>
              <w:rPr>
                <w:sz w:val="20"/>
                <w:szCs w:val="20"/>
              </w:rPr>
            </w:pPr>
            <w:r w:rsidRPr="00A7323A">
              <w:rPr>
                <w:sz w:val="20"/>
                <w:szCs w:val="20"/>
              </w:rPr>
              <w:t>Fibroscan</w:t>
            </w:r>
          </w:p>
        </w:tc>
        <w:tc>
          <w:tcPr>
            <w:tcW w:w="1843" w:type="dxa"/>
            <w:tcBorders>
              <w:top w:val="single" w:sz="4" w:space="0" w:color="auto"/>
              <w:left w:val="single" w:sz="4" w:space="0" w:color="auto"/>
              <w:right w:val="single" w:sz="4" w:space="0" w:color="auto"/>
            </w:tcBorders>
          </w:tcPr>
          <w:p w14:paraId="188207C8" w14:textId="77777777" w:rsidR="008260A4" w:rsidRPr="00A7323A" w:rsidRDefault="008260A4" w:rsidP="00105865">
            <w:pPr>
              <w:rPr>
                <w:sz w:val="20"/>
                <w:szCs w:val="20"/>
              </w:rPr>
            </w:pPr>
            <w:r w:rsidRPr="00A7323A">
              <w:rPr>
                <w:sz w:val="20"/>
                <w:szCs w:val="20"/>
              </w:rPr>
              <w:t>1</w:t>
            </w:r>
            <w:r>
              <w:rPr>
                <w:sz w:val="20"/>
                <w:szCs w:val="20"/>
              </w:rPr>
              <w:t>3,381.09</w:t>
            </w:r>
          </w:p>
        </w:tc>
        <w:tc>
          <w:tcPr>
            <w:tcW w:w="2126" w:type="dxa"/>
            <w:vMerge w:val="restart"/>
            <w:tcBorders>
              <w:top w:val="single" w:sz="4" w:space="0" w:color="auto"/>
              <w:left w:val="single" w:sz="4" w:space="0" w:color="auto"/>
              <w:right w:val="single" w:sz="4" w:space="0" w:color="auto"/>
            </w:tcBorders>
          </w:tcPr>
          <w:p w14:paraId="4F7138A1" w14:textId="77777777" w:rsidR="008260A4" w:rsidRDefault="008260A4" w:rsidP="00105865">
            <w:pPr>
              <w:rPr>
                <w:sz w:val="20"/>
                <w:szCs w:val="20"/>
              </w:rPr>
            </w:pPr>
            <w:r>
              <w:rPr>
                <w:sz w:val="20"/>
                <w:szCs w:val="20"/>
              </w:rPr>
              <w:t>Total Cost of Engagement (1 year)</w:t>
            </w:r>
          </w:p>
          <w:p w14:paraId="45966270" w14:textId="77777777" w:rsidR="008260A4" w:rsidRDefault="008260A4" w:rsidP="00105865">
            <w:pPr>
              <w:rPr>
                <w:sz w:val="20"/>
                <w:szCs w:val="20"/>
              </w:rPr>
            </w:pPr>
          </w:p>
          <w:p w14:paraId="354B3662" w14:textId="77777777" w:rsidR="008260A4" w:rsidRDefault="008260A4" w:rsidP="00105865">
            <w:pPr>
              <w:rPr>
                <w:sz w:val="20"/>
                <w:szCs w:val="20"/>
              </w:rPr>
            </w:pPr>
            <w:r w:rsidRPr="00A7323A">
              <w:rPr>
                <w:sz w:val="20"/>
                <w:szCs w:val="20"/>
              </w:rPr>
              <w:t>3</w:t>
            </w:r>
            <w:r>
              <w:rPr>
                <w:sz w:val="20"/>
                <w:szCs w:val="20"/>
              </w:rPr>
              <w:t>4344.62 + hospital costs</w:t>
            </w:r>
          </w:p>
          <w:p w14:paraId="21722352" w14:textId="77777777" w:rsidR="008260A4" w:rsidRDefault="008260A4" w:rsidP="00105865">
            <w:pPr>
              <w:rPr>
                <w:sz w:val="20"/>
                <w:szCs w:val="20"/>
              </w:rPr>
            </w:pPr>
          </w:p>
          <w:p w14:paraId="32C1D2D6"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50C2319C" w14:textId="77777777" w:rsidR="008260A4" w:rsidRPr="00A7323A" w:rsidRDefault="008260A4" w:rsidP="00105865">
            <w:pPr>
              <w:rPr>
                <w:sz w:val="20"/>
                <w:szCs w:val="20"/>
              </w:rPr>
            </w:pPr>
          </w:p>
        </w:tc>
      </w:tr>
      <w:tr w:rsidR="008260A4" w14:paraId="71708B9C" w14:textId="77777777" w:rsidTr="008260A4">
        <w:trPr>
          <w:trHeight w:val="593"/>
          <w:tblHeader/>
        </w:trPr>
        <w:tc>
          <w:tcPr>
            <w:tcW w:w="4106" w:type="dxa"/>
            <w:gridSpan w:val="2"/>
            <w:tcBorders>
              <w:top w:val="single" w:sz="4" w:space="0" w:color="auto"/>
              <w:left w:val="single" w:sz="4" w:space="0" w:color="auto"/>
              <w:right w:val="single" w:sz="4" w:space="0" w:color="auto"/>
            </w:tcBorders>
            <w:hideMark/>
          </w:tcPr>
          <w:p w14:paraId="2E76B3A9" w14:textId="77777777" w:rsidR="008260A4" w:rsidRPr="00A7323A" w:rsidRDefault="008260A4" w:rsidP="00105865">
            <w:pPr>
              <w:rPr>
                <w:sz w:val="20"/>
                <w:szCs w:val="20"/>
              </w:rPr>
            </w:pPr>
            <w:r>
              <w:rPr>
                <w:sz w:val="20"/>
                <w:szCs w:val="20"/>
              </w:rPr>
              <w:t>Engagement initiation of RNA+ patients (follow up of RNA+ tests)</w:t>
            </w:r>
          </w:p>
        </w:tc>
        <w:tc>
          <w:tcPr>
            <w:tcW w:w="1843" w:type="dxa"/>
            <w:tcBorders>
              <w:top w:val="single" w:sz="4" w:space="0" w:color="auto"/>
              <w:left w:val="single" w:sz="4" w:space="0" w:color="auto"/>
              <w:right w:val="single" w:sz="4" w:space="0" w:color="auto"/>
            </w:tcBorders>
          </w:tcPr>
          <w:p w14:paraId="1AD714C4" w14:textId="77777777" w:rsidR="008260A4" w:rsidRPr="00A7323A" w:rsidRDefault="008260A4" w:rsidP="00105865">
            <w:pPr>
              <w:rPr>
                <w:sz w:val="20"/>
                <w:szCs w:val="20"/>
              </w:rPr>
            </w:pPr>
            <w:r>
              <w:rPr>
                <w:sz w:val="20"/>
                <w:szCs w:val="20"/>
              </w:rPr>
              <w:t>8,252.23</w:t>
            </w:r>
          </w:p>
        </w:tc>
        <w:tc>
          <w:tcPr>
            <w:tcW w:w="2126" w:type="dxa"/>
            <w:vMerge/>
            <w:tcBorders>
              <w:left w:val="single" w:sz="4" w:space="0" w:color="auto"/>
              <w:right w:val="single" w:sz="4" w:space="0" w:color="auto"/>
            </w:tcBorders>
          </w:tcPr>
          <w:p w14:paraId="484469C9"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039B21E9" w14:textId="77777777" w:rsidR="008260A4" w:rsidRPr="00A7323A" w:rsidRDefault="008260A4" w:rsidP="00105865">
            <w:pPr>
              <w:rPr>
                <w:sz w:val="20"/>
                <w:szCs w:val="20"/>
              </w:rPr>
            </w:pPr>
            <w:r w:rsidRPr="00A7323A">
              <w:rPr>
                <w:sz w:val="20"/>
                <w:szCs w:val="20"/>
              </w:rPr>
              <w:t>UCH and Groundswell financial records</w:t>
            </w:r>
          </w:p>
        </w:tc>
      </w:tr>
      <w:tr w:rsidR="008260A4" w14:paraId="09CFD5AC" w14:textId="77777777" w:rsidTr="008260A4">
        <w:trPr>
          <w:trHeight w:val="543"/>
          <w:tblHeader/>
        </w:trPr>
        <w:tc>
          <w:tcPr>
            <w:tcW w:w="2122" w:type="dxa"/>
            <w:vMerge w:val="restart"/>
            <w:tcBorders>
              <w:top w:val="single" w:sz="4" w:space="0" w:color="auto"/>
              <w:left w:val="single" w:sz="4" w:space="0" w:color="auto"/>
              <w:right w:val="single" w:sz="4" w:space="0" w:color="auto"/>
            </w:tcBorders>
            <w:hideMark/>
          </w:tcPr>
          <w:p w14:paraId="05A8C0B5" w14:textId="77777777" w:rsidR="008260A4" w:rsidRPr="00A7323A" w:rsidRDefault="008260A4" w:rsidP="00105865">
            <w:pPr>
              <w:rPr>
                <w:sz w:val="20"/>
                <w:szCs w:val="20"/>
              </w:rPr>
            </w:pPr>
            <w:r>
              <w:rPr>
                <w:sz w:val="20"/>
                <w:szCs w:val="20"/>
              </w:rPr>
              <w:t>P</w:t>
            </w:r>
            <w:r w:rsidRPr="00A7323A">
              <w:rPr>
                <w:sz w:val="20"/>
                <w:szCs w:val="20"/>
              </w:rPr>
              <w:t xml:space="preserve">eer support of </w:t>
            </w:r>
            <w:r>
              <w:rPr>
                <w:sz w:val="20"/>
                <w:szCs w:val="20"/>
              </w:rPr>
              <w:t>evaluation</w:t>
            </w:r>
            <w:r w:rsidRPr="00A7323A">
              <w:rPr>
                <w:sz w:val="20"/>
                <w:szCs w:val="20"/>
              </w:rPr>
              <w:t xml:space="preserve"> </w:t>
            </w:r>
            <w:r>
              <w:rPr>
                <w:sz w:val="20"/>
                <w:szCs w:val="20"/>
              </w:rPr>
              <w:t xml:space="preserve">visit in </w:t>
            </w:r>
            <w:r w:rsidRPr="00A7323A">
              <w:rPr>
                <w:sz w:val="20"/>
                <w:szCs w:val="20"/>
              </w:rPr>
              <w:t xml:space="preserve">hospital </w:t>
            </w:r>
          </w:p>
        </w:tc>
        <w:tc>
          <w:tcPr>
            <w:tcW w:w="1984" w:type="dxa"/>
            <w:tcBorders>
              <w:top w:val="single" w:sz="4" w:space="0" w:color="auto"/>
              <w:left w:val="single" w:sz="4" w:space="0" w:color="auto"/>
              <w:right w:val="single" w:sz="4" w:space="0" w:color="auto"/>
            </w:tcBorders>
            <w:hideMark/>
          </w:tcPr>
          <w:p w14:paraId="35F59BEC" w14:textId="77777777" w:rsidR="008260A4" w:rsidRPr="00A7323A"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2A6B811B" w14:textId="77777777" w:rsidR="008260A4" w:rsidRPr="00A7323A" w:rsidRDefault="008260A4" w:rsidP="00105865">
            <w:pPr>
              <w:rPr>
                <w:sz w:val="20"/>
                <w:szCs w:val="20"/>
              </w:rPr>
            </w:pPr>
            <w:r>
              <w:rPr>
                <w:sz w:val="20"/>
                <w:szCs w:val="20"/>
              </w:rPr>
              <w:t>13,171.82</w:t>
            </w:r>
          </w:p>
        </w:tc>
        <w:tc>
          <w:tcPr>
            <w:tcW w:w="2126" w:type="dxa"/>
            <w:vMerge/>
            <w:tcBorders>
              <w:left w:val="single" w:sz="4" w:space="0" w:color="auto"/>
              <w:right w:val="single" w:sz="4" w:space="0" w:color="auto"/>
            </w:tcBorders>
          </w:tcPr>
          <w:p w14:paraId="7944B083"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B348B46" w14:textId="77777777" w:rsidR="008260A4" w:rsidRPr="00A7323A" w:rsidRDefault="008260A4" w:rsidP="00105865">
            <w:pPr>
              <w:rPr>
                <w:sz w:val="20"/>
                <w:szCs w:val="20"/>
              </w:rPr>
            </w:pPr>
            <w:r w:rsidRPr="00A7323A">
              <w:rPr>
                <w:sz w:val="20"/>
                <w:szCs w:val="20"/>
              </w:rPr>
              <w:t>UCH and Groundswell financial records</w:t>
            </w:r>
          </w:p>
        </w:tc>
      </w:tr>
      <w:tr w:rsidR="008260A4" w14:paraId="746A03E5" w14:textId="77777777" w:rsidTr="008260A4">
        <w:trPr>
          <w:trHeight w:val="698"/>
          <w:tblHeader/>
        </w:trPr>
        <w:tc>
          <w:tcPr>
            <w:tcW w:w="2122" w:type="dxa"/>
            <w:vMerge/>
            <w:tcBorders>
              <w:top w:val="single" w:sz="4" w:space="0" w:color="auto"/>
              <w:left w:val="single" w:sz="4" w:space="0" w:color="auto"/>
              <w:bottom w:val="single" w:sz="4" w:space="0" w:color="auto"/>
              <w:right w:val="single" w:sz="4" w:space="0" w:color="auto"/>
            </w:tcBorders>
            <w:hideMark/>
          </w:tcPr>
          <w:p w14:paraId="0544E7C7"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3F7C6AED"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top w:val="single" w:sz="4" w:space="0" w:color="auto"/>
              <w:left w:val="single" w:sz="4" w:space="0" w:color="auto"/>
              <w:bottom w:val="single" w:sz="4" w:space="0" w:color="auto"/>
              <w:right w:val="single" w:sz="4" w:space="0" w:color="auto"/>
            </w:tcBorders>
          </w:tcPr>
          <w:p w14:paraId="231ED154" w14:textId="77777777" w:rsidR="008260A4" w:rsidRPr="00A7323A" w:rsidRDefault="008260A4" w:rsidP="00105865">
            <w:pPr>
              <w:rPr>
                <w:sz w:val="20"/>
                <w:szCs w:val="20"/>
              </w:rPr>
            </w:pPr>
            <w:r>
              <w:rPr>
                <w:sz w:val="20"/>
                <w:szCs w:val="20"/>
              </w:rPr>
              <w:t>200.30 per person</w:t>
            </w:r>
          </w:p>
        </w:tc>
        <w:tc>
          <w:tcPr>
            <w:tcW w:w="2126" w:type="dxa"/>
            <w:vMerge/>
            <w:tcBorders>
              <w:left w:val="single" w:sz="4" w:space="0" w:color="auto"/>
              <w:bottom w:val="single" w:sz="4" w:space="0" w:color="auto"/>
              <w:right w:val="single" w:sz="4" w:space="0" w:color="auto"/>
            </w:tcBorders>
          </w:tcPr>
          <w:p w14:paraId="70514513"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8D3E7A1" w14:textId="77777777" w:rsidR="008260A4" w:rsidRPr="00A7323A" w:rsidRDefault="008260A4" w:rsidP="00105865">
            <w:pPr>
              <w:rPr>
                <w:sz w:val="20"/>
                <w:szCs w:val="20"/>
              </w:rPr>
            </w:pPr>
            <w:r w:rsidRPr="00A7323A">
              <w:rPr>
                <w:sz w:val="20"/>
                <w:szCs w:val="20"/>
              </w:rPr>
              <w:t>Expert opinion (correspondence Graham Foster)</w:t>
            </w:r>
          </w:p>
        </w:tc>
      </w:tr>
      <w:tr w:rsidR="008260A4" w14:paraId="0C907639" w14:textId="77777777" w:rsidTr="008260A4">
        <w:trPr>
          <w:trHeight w:val="307"/>
          <w:tblHeader/>
        </w:trPr>
        <w:tc>
          <w:tcPr>
            <w:tcW w:w="2122" w:type="dxa"/>
            <w:vMerge w:val="restart"/>
            <w:tcBorders>
              <w:top w:val="single" w:sz="4" w:space="0" w:color="auto"/>
              <w:left w:val="single" w:sz="4" w:space="0" w:color="auto"/>
              <w:right w:val="single" w:sz="4" w:space="0" w:color="auto"/>
            </w:tcBorders>
            <w:hideMark/>
          </w:tcPr>
          <w:p w14:paraId="22246480" w14:textId="77777777" w:rsidR="008260A4" w:rsidRPr="00A7323A" w:rsidRDefault="008260A4" w:rsidP="00105865">
            <w:pPr>
              <w:rPr>
                <w:sz w:val="20"/>
                <w:szCs w:val="20"/>
              </w:rPr>
            </w:pPr>
            <w:r w:rsidRPr="00572490">
              <w:rPr>
                <w:sz w:val="20"/>
                <w:szCs w:val="20"/>
              </w:rPr>
              <w:t xml:space="preserve">Peer support of </w:t>
            </w:r>
            <w:r>
              <w:rPr>
                <w:sz w:val="20"/>
                <w:szCs w:val="20"/>
              </w:rPr>
              <w:t>t</w:t>
            </w:r>
            <w:r w:rsidRPr="00546768">
              <w:rPr>
                <w:sz w:val="20"/>
                <w:szCs w:val="20"/>
              </w:rPr>
              <w:t>reatment initiation and subsequent visits 0,2,4,6,8, 10 weeks</w:t>
            </w:r>
          </w:p>
        </w:tc>
        <w:tc>
          <w:tcPr>
            <w:tcW w:w="1984" w:type="dxa"/>
            <w:tcBorders>
              <w:top w:val="single" w:sz="4" w:space="0" w:color="auto"/>
              <w:left w:val="single" w:sz="4" w:space="0" w:color="auto"/>
              <w:right w:val="single" w:sz="4" w:space="0" w:color="auto"/>
            </w:tcBorders>
            <w:hideMark/>
          </w:tcPr>
          <w:p w14:paraId="69304329"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7B8D72BA" w14:textId="77777777" w:rsidR="008260A4" w:rsidRPr="00572490" w:rsidRDefault="008260A4" w:rsidP="00105865">
            <w:pPr>
              <w:rPr>
                <w:sz w:val="20"/>
                <w:szCs w:val="20"/>
              </w:rPr>
            </w:pPr>
            <w:r>
              <w:rPr>
                <w:sz w:val="20"/>
                <w:szCs w:val="20"/>
              </w:rPr>
              <w:t>13,995.35</w:t>
            </w:r>
          </w:p>
        </w:tc>
        <w:tc>
          <w:tcPr>
            <w:tcW w:w="2126" w:type="dxa"/>
            <w:vMerge w:val="restart"/>
            <w:tcBorders>
              <w:top w:val="single" w:sz="4" w:space="0" w:color="auto"/>
              <w:left w:val="single" w:sz="4" w:space="0" w:color="auto"/>
              <w:right w:val="single" w:sz="4" w:space="0" w:color="auto"/>
            </w:tcBorders>
          </w:tcPr>
          <w:p w14:paraId="7C774CEB" w14:textId="77777777" w:rsidR="008260A4" w:rsidRDefault="008260A4" w:rsidP="00105865">
            <w:pPr>
              <w:rPr>
                <w:sz w:val="20"/>
                <w:szCs w:val="20"/>
              </w:rPr>
            </w:pPr>
            <w:r w:rsidRPr="00A7323A">
              <w:rPr>
                <w:sz w:val="20"/>
                <w:szCs w:val="20"/>
              </w:rPr>
              <w:t>Total Cost of Treatment (1 year)</w:t>
            </w:r>
            <w:r w:rsidRPr="00572490">
              <w:rPr>
                <w:sz w:val="20"/>
                <w:szCs w:val="20"/>
              </w:rPr>
              <w:t xml:space="preserve"> </w:t>
            </w:r>
          </w:p>
          <w:p w14:paraId="07CEBD40" w14:textId="77777777" w:rsidR="008260A4" w:rsidRDefault="008260A4" w:rsidP="00105865">
            <w:pPr>
              <w:rPr>
                <w:sz w:val="20"/>
                <w:szCs w:val="20"/>
              </w:rPr>
            </w:pPr>
          </w:p>
          <w:p w14:paraId="213EE6B1" w14:textId="77777777" w:rsidR="008260A4" w:rsidRDefault="008260A4" w:rsidP="00105865">
            <w:pPr>
              <w:rPr>
                <w:sz w:val="20"/>
                <w:szCs w:val="20"/>
              </w:rPr>
            </w:pPr>
            <w:r w:rsidRPr="00572490">
              <w:rPr>
                <w:sz w:val="20"/>
                <w:szCs w:val="20"/>
              </w:rPr>
              <w:t>30,</w:t>
            </w:r>
            <w:r>
              <w:rPr>
                <w:sz w:val="20"/>
                <w:szCs w:val="20"/>
              </w:rPr>
              <w:t>315.69+ hospital costs +DAA’s</w:t>
            </w:r>
          </w:p>
          <w:p w14:paraId="0524CEC0" w14:textId="77777777" w:rsidR="008260A4" w:rsidRDefault="008260A4" w:rsidP="00105865">
            <w:pPr>
              <w:rPr>
                <w:sz w:val="20"/>
                <w:szCs w:val="20"/>
              </w:rPr>
            </w:pPr>
          </w:p>
          <w:p w14:paraId="701C42EF" w14:textId="77777777" w:rsidR="008260A4" w:rsidRDefault="008260A4" w:rsidP="00105865">
            <w:pPr>
              <w:rPr>
                <w:sz w:val="20"/>
                <w:szCs w:val="20"/>
              </w:rPr>
            </w:pPr>
          </w:p>
          <w:p w14:paraId="0740CAF5"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5BB6BD7E" w14:textId="77777777" w:rsidR="008260A4" w:rsidRPr="00572490" w:rsidRDefault="008260A4" w:rsidP="00105865">
            <w:pPr>
              <w:rPr>
                <w:sz w:val="20"/>
                <w:szCs w:val="20"/>
              </w:rPr>
            </w:pPr>
            <w:r w:rsidRPr="00572490">
              <w:rPr>
                <w:sz w:val="20"/>
                <w:szCs w:val="20"/>
              </w:rPr>
              <w:t>UCH and Groundswell financial records</w:t>
            </w:r>
          </w:p>
        </w:tc>
      </w:tr>
      <w:tr w:rsidR="008260A4" w14:paraId="049A75A8" w14:textId="77777777" w:rsidTr="008260A4">
        <w:trPr>
          <w:trHeight w:val="307"/>
          <w:tblHeader/>
        </w:trPr>
        <w:tc>
          <w:tcPr>
            <w:tcW w:w="2122" w:type="dxa"/>
            <w:vMerge/>
            <w:tcBorders>
              <w:left w:val="single" w:sz="4" w:space="0" w:color="auto"/>
              <w:right w:val="single" w:sz="4" w:space="0" w:color="auto"/>
            </w:tcBorders>
          </w:tcPr>
          <w:p w14:paraId="1D142E51" w14:textId="77777777" w:rsidR="008260A4" w:rsidRPr="00572490" w:rsidRDefault="008260A4" w:rsidP="00105865">
            <w:pPr>
              <w:rPr>
                <w:sz w:val="20"/>
                <w:szCs w:val="20"/>
              </w:rPr>
            </w:pPr>
          </w:p>
        </w:tc>
        <w:tc>
          <w:tcPr>
            <w:tcW w:w="1984" w:type="dxa"/>
            <w:tcBorders>
              <w:top w:val="single" w:sz="4" w:space="0" w:color="auto"/>
              <w:left w:val="single" w:sz="4" w:space="0" w:color="auto"/>
              <w:right w:val="single" w:sz="4" w:space="0" w:color="auto"/>
            </w:tcBorders>
          </w:tcPr>
          <w:p w14:paraId="2A41A973" w14:textId="77777777" w:rsidR="008260A4" w:rsidRPr="00572490" w:rsidRDefault="008260A4" w:rsidP="00105865">
            <w:pPr>
              <w:rPr>
                <w:sz w:val="20"/>
                <w:szCs w:val="20"/>
              </w:rPr>
            </w:pPr>
            <w:r w:rsidRPr="00A7323A">
              <w:rPr>
                <w:sz w:val="20"/>
                <w:szCs w:val="20"/>
              </w:rPr>
              <w:t>Drugs and hospital costs</w:t>
            </w:r>
          </w:p>
        </w:tc>
        <w:tc>
          <w:tcPr>
            <w:tcW w:w="1843" w:type="dxa"/>
            <w:tcBorders>
              <w:left w:val="single" w:sz="4" w:space="0" w:color="auto"/>
              <w:right w:val="single" w:sz="4" w:space="0" w:color="auto"/>
            </w:tcBorders>
          </w:tcPr>
          <w:p w14:paraId="340E7A51" w14:textId="77777777" w:rsidR="008260A4" w:rsidRDefault="008260A4" w:rsidP="00105865">
            <w:pPr>
              <w:rPr>
                <w:sz w:val="20"/>
                <w:szCs w:val="20"/>
              </w:rPr>
            </w:pPr>
            <w:r>
              <w:rPr>
                <w:sz w:val="20"/>
                <w:szCs w:val="20"/>
              </w:rPr>
              <w:t>395.78 per person for 12 weeks hospital costs</w:t>
            </w:r>
          </w:p>
          <w:p w14:paraId="2A775197" w14:textId="77777777" w:rsidR="008260A4" w:rsidRDefault="008260A4" w:rsidP="00105865">
            <w:pPr>
              <w:rPr>
                <w:sz w:val="20"/>
                <w:szCs w:val="20"/>
              </w:rPr>
            </w:pPr>
          </w:p>
          <w:p w14:paraId="3E81D15E" w14:textId="77777777" w:rsidR="008260A4" w:rsidRPr="00572490" w:rsidRDefault="008260A4" w:rsidP="00105865">
            <w:pPr>
              <w:rPr>
                <w:sz w:val="20"/>
                <w:szCs w:val="20"/>
              </w:rPr>
            </w:pPr>
            <w:r>
              <w:rPr>
                <w:sz w:val="20"/>
                <w:szCs w:val="20"/>
              </w:rPr>
              <w:t>38,982 DAA’s per person</w:t>
            </w:r>
          </w:p>
        </w:tc>
        <w:tc>
          <w:tcPr>
            <w:tcW w:w="2126" w:type="dxa"/>
            <w:vMerge/>
            <w:tcBorders>
              <w:left w:val="single" w:sz="4" w:space="0" w:color="auto"/>
              <w:right w:val="single" w:sz="4" w:space="0" w:color="auto"/>
            </w:tcBorders>
          </w:tcPr>
          <w:p w14:paraId="1549CFE1" w14:textId="77777777" w:rsidR="008260A4" w:rsidRPr="00A7323A" w:rsidRDefault="008260A4" w:rsidP="00105865">
            <w:pPr>
              <w:rPr>
                <w:sz w:val="20"/>
                <w:szCs w:val="20"/>
              </w:rPr>
            </w:pPr>
          </w:p>
        </w:tc>
        <w:tc>
          <w:tcPr>
            <w:tcW w:w="2268" w:type="dxa"/>
            <w:tcBorders>
              <w:left w:val="single" w:sz="4" w:space="0" w:color="auto"/>
              <w:bottom w:val="single" w:sz="4" w:space="0" w:color="auto"/>
              <w:right w:val="single" w:sz="4" w:space="0" w:color="auto"/>
            </w:tcBorders>
          </w:tcPr>
          <w:p w14:paraId="4BB89E37" w14:textId="77777777" w:rsidR="008260A4" w:rsidRPr="00572490" w:rsidRDefault="008260A4" w:rsidP="00105865">
            <w:pPr>
              <w:rPr>
                <w:sz w:val="20"/>
                <w:szCs w:val="20"/>
              </w:rPr>
            </w:pPr>
            <w:r w:rsidRPr="00A7323A">
              <w:rPr>
                <w:sz w:val="20"/>
                <w:szCs w:val="20"/>
              </w:rPr>
              <w:t>Expert opinion (correspondence Graham Foster)</w:t>
            </w:r>
          </w:p>
        </w:tc>
      </w:tr>
      <w:tr w:rsidR="008260A4" w14:paraId="736820EA" w14:textId="77777777" w:rsidTr="008260A4">
        <w:trPr>
          <w:trHeight w:val="596"/>
          <w:tblHeader/>
        </w:trPr>
        <w:tc>
          <w:tcPr>
            <w:tcW w:w="2122" w:type="dxa"/>
            <w:tcBorders>
              <w:top w:val="single" w:sz="4" w:space="0" w:color="auto"/>
              <w:left w:val="single" w:sz="4" w:space="0" w:color="auto"/>
              <w:right w:val="single" w:sz="4" w:space="0" w:color="auto"/>
            </w:tcBorders>
            <w:hideMark/>
          </w:tcPr>
          <w:p w14:paraId="34A0610F" w14:textId="77777777" w:rsidR="008260A4" w:rsidRPr="00A7323A" w:rsidRDefault="008260A4" w:rsidP="00105865">
            <w:pPr>
              <w:rPr>
                <w:sz w:val="20"/>
                <w:szCs w:val="20"/>
              </w:rPr>
            </w:pPr>
            <w:r>
              <w:rPr>
                <w:sz w:val="20"/>
                <w:szCs w:val="20"/>
              </w:rPr>
              <w:t>Adherence Support</w:t>
            </w:r>
          </w:p>
        </w:tc>
        <w:tc>
          <w:tcPr>
            <w:tcW w:w="1984" w:type="dxa"/>
            <w:tcBorders>
              <w:top w:val="single" w:sz="4" w:space="0" w:color="auto"/>
              <w:left w:val="single" w:sz="4" w:space="0" w:color="auto"/>
              <w:right w:val="single" w:sz="4" w:space="0" w:color="auto"/>
            </w:tcBorders>
            <w:hideMark/>
          </w:tcPr>
          <w:p w14:paraId="07B84AAE" w14:textId="77777777" w:rsidR="008260A4" w:rsidRPr="00572490" w:rsidRDefault="008260A4" w:rsidP="00105865">
            <w:pPr>
              <w:rPr>
                <w:sz w:val="20"/>
                <w:szCs w:val="20"/>
              </w:rPr>
            </w:pPr>
          </w:p>
        </w:tc>
        <w:tc>
          <w:tcPr>
            <w:tcW w:w="1843" w:type="dxa"/>
            <w:tcBorders>
              <w:top w:val="single" w:sz="4" w:space="0" w:color="auto"/>
              <w:left w:val="single" w:sz="4" w:space="0" w:color="auto"/>
              <w:right w:val="single" w:sz="4" w:space="0" w:color="auto"/>
            </w:tcBorders>
            <w:hideMark/>
          </w:tcPr>
          <w:p w14:paraId="44159A9A" w14:textId="77777777" w:rsidR="008260A4" w:rsidRPr="00572490" w:rsidRDefault="008260A4" w:rsidP="00105865">
            <w:pPr>
              <w:rPr>
                <w:sz w:val="20"/>
                <w:szCs w:val="20"/>
              </w:rPr>
            </w:pPr>
            <w:r>
              <w:rPr>
                <w:sz w:val="20"/>
                <w:szCs w:val="20"/>
              </w:rPr>
              <w:t>8,172.67</w:t>
            </w:r>
          </w:p>
        </w:tc>
        <w:tc>
          <w:tcPr>
            <w:tcW w:w="2126" w:type="dxa"/>
            <w:vMerge/>
            <w:tcBorders>
              <w:left w:val="single" w:sz="4" w:space="0" w:color="auto"/>
              <w:right w:val="single" w:sz="4" w:space="0" w:color="auto"/>
            </w:tcBorders>
          </w:tcPr>
          <w:p w14:paraId="0BD8D1ED"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17FA2B9F" w14:textId="77777777" w:rsidR="008260A4" w:rsidRPr="00572490" w:rsidRDefault="008260A4" w:rsidP="00105865">
            <w:pPr>
              <w:rPr>
                <w:sz w:val="20"/>
                <w:szCs w:val="20"/>
              </w:rPr>
            </w:pPr>
            <w:r w:rsidRPr="00572490">
              <w:rPr>
                <w:sz w:val="20"/>
                <w:szCs w:val="20"/>
              </w:rPr>
              <w:t>UCH and Groundswell financial records</w:t>
            </w:r>
          </w:p>
        </w:tc>
      </w:tr>
      <w:tr w:rsidR="008260A4" w14:paraId="5F367AA5" w14:textId="77777777" w:rsidTr="008260A4">
        <w:trPr>
          <w:trHeight w:val="307"/>
        </w:trPr>
        <w:tc>
          <w:tcPr>
            <w:tcW w:w="2122" w:type="dxa"/>
            <w:vMerge w:val="restart"/>
            <w:hideMark/>
          </w:tcPr>
          <w:p w14:paraId="7CC3AD03" w14:textId="77777777" w:rsidR="008260A4" w:rsidRPr="00A7323A" w:rsidRDefault="008260A4" w:rsidP="00105865">
            <w:pPr>
              <w:rPr>
                <w:sz w:val="20"/>
                <w:szCs w:val="20"/>
              </w:rPr>
            </w:pPr>
            <w:r w:rsidRPr="00572490">
              <w:rPr>
                <w:sz w:val="20"/>
                <w:szCs w:val="20"/>
              </w:rPr>
              <w:t xml:space="preserve">Peer support of </w:t>
            </w:r>
            <w:r>
              <w:rPr>
                <w:sz w:val="20"/>
                <w:szCs w:val="20"/>
              </w:rPr>
              <w:t>p</w:t>
            </w:r>
            <w:r w:rsidRPr="00546768">
              <w:rPr>
                <w:sz w:val="20"/>
                <w:szCs w:val="20"/>
              </w:rPr>
              <w:t>ost treatment visits 12 weeks and 1 year</w:t>
            </w:r>
          </w:p>
        </w:tc>
        <w:tc>
          <w:tcPr>
            <w:tcW w:w="1984" w:type="dxa"/>
            <w:hideMark/>
          </w:tcPr>
          <w:p w14:paraId="79D13D9A"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right w:val="single" w:sz="4" w:space="0" w:color="auto"/>
            </w:tcBorders>
            <w:hideMark/>
          </w:tcPr>
          <w:p w14:paraId="6B354457" w14:textId="77777777" w:rsidR="008260A4" w:rsidRPr="00572490" w:rsidRDefault="008260A4" w:rsidP="00105865">
            <w:pPr>
              <w:rPr>
                <w:sz w:val="20"/>
                <w:szCs w:val="20"/>
              </w:rPr>
            </w:pPr>
            <w:r>
              <w:rPr>
                <w:sz w:val="20"/>
                <w:szCs w:val="20"/>
              </w:rPr>
              <w:t>8,147.67</w:t>
            </w:r>
          </w:p>
        </w:tc>
        <w:tc>
          <w:tcPr>
            <w:tcW w:w="2126" w:type="dxa"/>
            <w:vMerge/>
            <w:tcBorders>
              <w:left w:val="single" w:sz="4" w:space="0" w:color="auto"/>
              <w:right w:val="single" w:sz="4" w:space="0" w:color="auto"/>
            </w:tcBorders>
          </w:tcPr>
          <w:p w14:paraId="758BA022" w14:textId="77777777" w:rsidR="008260A4" w:rsidRPr="00572490" w:rsidRDefault="008260A4" w:rsidP="00105865">
            <w:pPr>
              <w:rPr>
                <w:sz w:val="20"/>
                <w:szCs w:val="20"/>
              </w:rPr>
            </w:pPr>
          </w:p>
        </w:tc>
        <w:tc>
          <w:tcPr>
            <w:tcW w:w="2268" w:type="dxa"/>
            <w:vMerge w:val="restart"/>
            <w:tcBorders>
              <w:left w:val="single" w:sz="4" w:space="0" w:color="auto"/>
            </w:tcBorders>
            <w:hideMark/>
          </w:tcPr>
          <w:p w14:paraId="088B332A" w14:textId="77777777" w:rsidR="008260A4" w:rsidRPr="00572490" w:rsidRDefault="008260A4" w:rsidP="00105865">
            <w:pPr>
              <w:rPr>
                <w:sz w:val="20"/>
                <w:szCs w:val="20"/>
              </w:rPr>
            </w:pPr>
            <w:r w:rsidRPr="00572490">
              <w:rPr>
                <w:sz w:val="20"/>
                <w:szCs w:val="20"/>
              </w:rPr>
              <w:t>UCH and Groundswell financial records</w:t>
            </w:r>
          </w:p>
        </w:tc>
      </w:tr>
      <w:tr w:rsidR="008260A4" w14:paraId="677EA09D" w14:textId="77777777" w:rsidTr="008260A4">
        <w:trPr>
          <w:trHeight w:val="307"/>
        </w:trPr>
        <w:tc>
          <w:tcPr>
            <w:tcW w:w="2122" w:type="dxa"/>
            <w:vMerge/>
          </w:tcPr>
          <w:p w14:paraId="480BE21C" w14:textId="77777777" w:rsidR="008260A4" w:rsidRPr="00572490" w:rsidRDefault="008260A4" w:rsidP="00105865">
            <w:pPr>
              <w:rPr>
                <w:sz w:val="20"/>
                <w:szCs w:val="20"/>
              </w:rPr>
            </w:pPr>
          </w:p>
        </w:tc>
        <w:tc>
          <w:tcPr>
            <w:tcW w:w="1984" w:type="dxa"/>
          </w:tcPr>
          <w:p w14:paraId="0AEE21AB"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right w:val="single" w:sz="4" w:space="0" w:color="auto"/>
            </w:tcBorders>
          </w:tcPr>
          <w:p w14:paraId="6C8E5A43" w14:textId="77777777" w:rsidR="008260A4" w:rsidRPr="00572490" w:rsidRDefault="008260A4" w:rsidP="00105865">
            <w:pPr>
              <w:rPr>
                <w:sz w:val="20"/>
                <w:szCs w:val="20"/>
              </w:rPr>
            </w:pPr>
            <w:r>
              <w:rPr>
                <w:sz w:val="20"/>
                <w:szCs w:val="20"/>
              </w:rPr>
              <w:t>158.33 per person</w:t>
            </w:r>
          </w:p>
        </w:tc>
        <w:tc>
          <w:tcPr>
            <w:tcW w:w="2126" w:type="dxa"/>
            <w:vMerge/>
            <w:tcBorders>
              <w:left w:val="single" w:sz="4" w:space="0" w:color="auto"/>
              <w:right w:val="single" w:sz="4" w:space="0" w:color="auto"/>
            </w:tcBorders>
          </w:tcPr>
          <w:p w14:paraId="2C299E93" w14:textId="77777777" w:rsidR="008260A4" w:rsidRPr="00A7323A" w:rsidRDefault="008260A4" w:rsidP="00105865">
            <w:pPr>
              <w:rPr>
                <w:sz w:val="20"/>
                <w:szCs w:val="20"/>
              </w:rPr>
            </w:pPr>
          </w:p>
        </w:tc>
        <w:tc>
          <w:tcPr>
            <w:tcW w:w="2268" w:type="dxa"/>
            <w:vMerge/>
            <w:tcBorders>
              <w:left w:val="single" w:sz="4" w:space="0" w:color="auto"/>
            </w:tcBorders>
          </w:tcPr>
          <w:p w14:paraId="53B525F9" w14:textId="77777777" w:rsidR="008260A4" w:rsidRPr="00572490" w:rsidRDefault="008260A4" w:rsidP="00105865">
            <w:pPr>
              <w:rPr>
                <w:sz w:val="20"/>
                <w:szCs w:val="20"/>
              </w:rPr>
            </w:pPr>
          </w:p>
        </w:tc>
      </w:tr>
    </w:tbl>
    <w:p w14:paraId="7FE49B18" w14:textId="77777777" w:rsidR="008260A4" w:rsidRDefault="008260A4" w:rsidP="00105865">
      <w:pPr>
        <w:spacing w:line="240" w:lineRule="auto"/>
      </w:pPr>
    </w:p>
    <w:p w14:paraId="001EF5C9" w14:textId="77777777" w:rsidR="008260A4" w:rsidRDefault="008260A4" w:rsidP="00105865">
      <w:pPr>
        <w:spacing w:line="240" w:lineRule="auto"/>
      </w:pPr>
    </w:p>
    <w:p w14:paraId="3EC7E27B" w14:textId="77777777" w:rsidR="008260A4" w:rsidRDefault="008260A4" w:rsidP="00105865">
      <w:pPr>
        <w:spacing w:line="240" w:lineRule="auto"/>
      </w:pPr>
    </w:p>
    <w:p w14:paraId="154866F3" w14:textId="77777777" w:rsidR="008260A4" w:rsidRDefault="008260A4" w:rsidP="00105865">
      <w:pPr>
        <w:spacing w:line="240" w:lineRule="auto"/>
      </w:pPr>
    </w:p>
    <w:p w14:paraId="15A2271C" w14:textId="77777777" w:rsidR="008260A4" w:rsidRDefault="008260A4" w:rsidP="00105865">
      <w:pPr>
        <w:spacing w:line="240" w:lineRule="auto"/>
      </w:pPr>
    </w:p>
    <w:p w14:paraId="08C324CF" w14:textId="77777777" w:rsidR="008260A4" w:rsidRDefault="008260A4" w:rsidP="00105865">
      <w:pPr>
        <w:spacing w:line="240" w:lineRule="auto"/>
      </w:pPr>
    </w:p>
    <w:p w14:paraId="4167BF30" w14:textId="77777777" w:rsidR="008260A4" w:rsidRDefault="008260A4" w:rsidP="00105865">
      <w:pPr>
        <w:spacing w:line="240" w:lineRule="auto"/>
      </w:pPr>
    </w:p>
    <w:p w14:paraId="441E71CC" w14:textId="77777777" w:rsidR="008260A4" w:rsidRDefault="008260A4" w:rsidP="00105865">
      <w:pPr>
        <w:spacing w:line="240" w:lineRule="auto"/>
      </w:pPr>
    </w:p>
    <w:p w14:paraId="2DC64D8C" w14:textId="77777777" w:rsidR="005E1469" w:rsidRDefault="005E1469">
      <w:r>
        <w:br w:type="page"/>
      </w:r>
    </w:p>
    <w:p w14:paraId="5F008563" w14:textId="2A9B9595" w:rsidR="008260A4" w:rsidRPr="002A1F5B" w:rsidRDefault="008260A4" w:rsidP="00105865">
      <w:pPr>
        <w:spacing w:line="240" w:lineRule="auto"/>
        <w:rPr>
          <w:b/>
        </w:rPr>
      </w:pPr>
      <w:r>
        <w:lastRenderedPageBreak/>
        <w:t>Table S</w:t>
      </w:r>
      <w:r w:rsidR="00091C92">
        <w:t>7</w:t>
      </w:r>
      <w:r>
        <w:t xml:space="preserve">: </w:t>
      </w:r>
      <w:r>
        <w:rPr>
          <w:b/>
        </w:rPr>
        <w:t>Scenario 3: Cost of overheads doubled.</w:t>
      </w:r>
    </w:p>
    <w:tbl>
      <w:tblPr>
        <w:tblStyle w:val="TableGrid"/>
        <w:tblW w:w="10343" w:type="dxa"/>
        <w:tblLayout w:type="fixed"/>
        <w:tblLook w:val="04A0" w:firstRow="1" w:lastRow="0" w:firstColumn="1" w:lastColumn="0" w:noHBand="0" w:noVBand="1"/>
      </w:tblPr>
      <w:tblGrid>
        <w:gridCol w:w="2122"/>
        <w:gridCol w:w="1984"/>
        <w:gridCol w:w="1843"/>
        <w:gridCol w:w="2126"/>
        <w:gridCol w:w="2268"/>
      </w:tblGrid>
      <w:tr w:rsidR="008260A4" w14:paraId="1ED7E19E" w14:textId="77777777" w:rsidTr="008260A4">
        <w:trPr>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09FE7B" w14:textId="77777777" w:rsidR="008260A4" w:rsidRDefault="008260A4" w:rsidP="00105865">
            <w:pPr>
              <w:rPr>
                <w:b/>
              </w:rPr>
            </w:pPr>
          </w:p>
          <w:p w14:paraId="44749484" w14:textId="77777777" w:rsidR="008260A4" w:rsidRDefault="008260A4" w:rsidP="00105865">
            <w:pPr>
              <w:rPr>
                <w:b/>
              </w:rPr>
            </w:pPr>
            <w:r>
              <w:rPr>
                <w:b/>
              </w:rPr>
              <w:t>Activity Cost for 1 year 2017/2018</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727201" w14:textId="77777777" w:rsidR="008260A4" w:rsidRDefault="008260A4" w:rsidP="00105865">
            <w:pPr>
              <w:rPr>
                <w:b/>
              </w:rPr>
            </w:pPr>
            <w:r>
              <w:rPr>
                <w:b/>
              </w:rPr>
              <w:t>Costs (£) 2017/18</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8C7957" w14:textId="77777777" w:rsidR="008260A4" w:rsidRDefault="008260A4" w:rsidP="00105865">
            <w:pPr>
              <w:rPr>
                <w:b/>
              </w:rPr>
            </w:pPr>
            <w:r>
              <w:rPr>
                <w:b/>
              </w:rPr>
              <w:t>Model Input</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417C471" w14:textId="77777777" w:rsidR="008260A4" w:rsidRDefault="008260A4" w:rsidP="00105865">
            <w:pPr>
              <w:rPr>
                <w:b/>
              </w:rPr>
            </w:pPr>
            <w:r>
              <w:rPr>
                <w:b/>
              </w:rPr>
              <w:t>Source</w:t>
            </w:r>
          </w:p>
        </w:tc>
      </w:tr>
      <w:tr w:rsidR="008260A4" w14:paraId="5E996223" w14:textId="77777777" w:rsidTr="008260A4">
        <w:trPr>
          <w:trHeight w:val="580"/>
          <w:tblHeader/>
        </w:trPr>
        <w:tc>
          <w:tcPr>
            <w:tcW w:w="4106" w:type="dxa"/>
            <w:gridSpan w:val="2"/>
            <w:tcBorders>
              <w:top w:val="single" w:sz="4" w:space="0" w:color="auto"/>
              <w:left w:val="single" w:sz="4" w:space="0" w:color="auto"/>
              <w:bottom w:val="single" w:sz="4" w:space="0" w:color="auto"/>
              <w:right w:val="single" w:sz="4" w:space="0" w:color="auto"/>
            </w:tcBorders>
            <w:hideMark/>
          </w:tcPr>
          <w:p w14:paraId="5AF73793" w14:textId="77777777" w:rsidR="008260A4" w:rsidRPr="00A7323A" w:rsidRDefault="008260A4" w:rsidP="00105865">
            <w:pPr>
              <w:rPr>
                <w:sz w:val="20"/>
                <w:szCs w:val="20"/>
              </w:rPr>
            </w:pPr>
            <w:r w:rsidRPr="00A7323A">
              <w:rPr>
                <w:sz w:val="20"/>
                <w:szCs w:val="20"/>
              </w:rPr>
              <w:t xml:space="preserve">Total Cost </w:t>
            </w:r>
          </w:p>
        </w:tc>
        <w:tc>
          <w:tcPr>
            <w:tcW w:w="1843" w:type="dxa"/>
            <w:tcBorders>
              <w:top w:val="single" w:sz="4" w:space="0" w:color="auto"/>
              <w:left w:val="single" w:sz="4" w:space="0" w:color="auto"/>
              <w:bottom w:val="single" w:sz="4" w:space="0" w:color="auto"/>
              <w:right w:val="single" w:sz="4" w:space="0" w:color="auto"/>
            </w:tcBorders>
          </w:tcPr>
          <w:p w14:paraId="591BDFB0" w14:textId="77777777" w:rsidR="008260A4" w:rsidRPr="00A7323A" w:rsidRDefault="008260A4" w:rsidP="00105865">
            <w:pPr>
              <w:rPr>
                <w:sz w:val="20"/>
                <w:szCs w:val="20"/>
              </w:rPr>
            </w:pPr>
            <w:r w:rsidRPr="00A7323A">
              <w:rPr>
                <w:sz w:val="20"/>
                <w:szCs w:val="20"/>
              </w:rPr>
              <w:t>1</w:t>
            </w:r>
            <w:r>
              <w:rPr>
                <w:sz w:val="20"/>
                <w:szCs w:val="20"/>
              </w:rPr>
              <w:t>28,976.70</w:t>
            </w:r>
          </w:p>
        </w:tc>
        <w:tc>
          <w:tcPr>
            <w:tcW w:w="2126" w:type="dxa"/>
            <w:tcBorders>
              <w:top w:val="single" w:sz="4" w:space="0" w:color="auto"/>
              <w:left w:val="single" w:sz="4" w:space="0" w:color="auto"/>
              <w:bottom w:val="single" w:sz="4" w:space="0" w:color="auto"/>
              <w:right w:val="single" w:sz="4" w:space="0" w:color="auto"/>
            </w:tcBorders>
          </w:tcPr>
          <w:p w14:paraId="1D614240"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7374686" w14:textId="77777777" w:rsidR="008260A4" w:rsidRPr="00A7323A" w:rsidRDefault="008260A4" w:rsidP="00105865">
            <w:pPr>
              <w:rPr>
                <w:sz w:val="20"/>
                <w:szCs w:val="20"/>
              </w:rPr>
            </w:pPr>
            <w:r w:rsidRPr="00A7323A">
              <w:rPr>
                <w:sz w:val="20"/>
                <w:szCs w:val="20"/>
              </w:rPr>
              <w:t>UCH and Groundswell financial records</w:t>
            </w:r>
          </w:p>
        </w:tc>
      </w:tr>
      <w:tr w:rsidR="008260A4" w14:paraId="5399E3CB" w14:textId="77777777" w:rsidTr="008260A4">
        <w:trPr>
          <w:trHeight w:val="418"/>
          <w:tblHeader/>
        </w:trPr>
        <w:tc>
          <w:tcPr>
            <w:tcW w:w="2122" w:type="dxa"/>
            <w:vMerge w:val="restart"/>
            <w:tcBorders>
              <w:top w:val="single" w:sz="4" w:space="0" w:color="auto"/>
              <w:left w:val="single" w:sz="4" w:space="0" w:color="auto"/>
              <w:right w:val="single" w:sz="4" w:space="0" w:color="auto"/>
            </w:tcBorders>
            <w:hideMark/>
          </w:tcPr>
          <w:p w14:paraId="3D56C24A" w14:textId="77777777" w:rsidR="008260A4" w:rsidRPr="00A7323A" w:rsidRDefault="008260A4" w:rsidP="00105865">
            <w:pPr>
              <w:rPr>
                <w:sz w:val="20"/>
                <w:szCs w:val="20"/>
              </w:rPr>
            </w:pPr>
            <w:r w:rsidRPr="00A7323A">
              <w:rPr>
                <w:sz w:val="20"/>
                <w:szCs w:val="20"/>
              </w:rPr>
              <w:t xml:space="preserve">Total cost of Outreach </w:t>
            </w:r>
          </w:p>
        </w:tc>
        <w:tc>
          <w:tcPr>
            <w:tcW w:w="1984" w:type="dxa"/>
            <w:tcBorders>
              <w:top w:val="single" w:sz="4" w:space="0" w:color="auto"/>
              <w:left w:val="single" w:sz="4" w:space="0" w:color="auto"/>
              <w:bottom w:val="single" w:sz="4" w:space="0" w:color="auto"/>
              <w:right w:val="single" w:sz="4" w:space="0" w:color="auto"/>
            </w:tcBorders>
            <w:hideMark/>
          </w:tcPr>
          <w:p w14:paraId="44686819" w14:textId="77777777" w:rsidR="008260A4" w:rsidRPr="00A7323A" w:rsidRDefault="008260A4" w:rsidP="00105865">
            <w:pPr>
              <w:rPr>
                <w:sz w:val="20"/>
                <w:szCs w:val="20"/>
              </w:rPr>
            </w:pPr>
            <w:r w:rsidRPr="00A7323A">
              <w:rPr>
                <w:sz w:val="20"/>
                <w:szCs w:val="20"/>
              </w:rPr>
              <w:t>In outreach location</w:t>
            </w:r>
          </w:p>
        </w:tc>
        <w:tc>
          <w:tcPr>
            <w:tcW w:w="1843" w:type="dxa"/>
            <w:tcBorders>
              <w:top w:val="single" w:sz="4" w:space="0" w:color="auto"/>
              <w:left w:val="single" w:sz="4" w:space="0" w:color="auto"/>
              <w:bottom w:val="single" w:sz="4" w:space="0" w:color="auto"/>
              <w:right w:val="single" w:sz="4" w:space="0" w:color="auto"/>
            </w:tcBorders>
          </w:tcPr>
          <w:p w14:paraId="746E7167" w14:textId="77777777" w:rsidR="008260A4" w:rsidRPr="00A7323A" w:rsidRDefault="008260A4" w:rsidP="00105865">
            <w:pPr>
              <w:rPr>
                <w:sz w:val="20"/>
                <w:szCs w:val="20"/>
              </w:rPr>
            </w:pPr>
            <w:r w:rsidRPr="00A7323A">
              <w:rPr>
                <w:sz w:val="20"/>
                <w:szCs w:val="20"/>
              </w:rPr>
              <w:t>1</w:t>
            </w:r>
            <w:r>
              <w:rPr>
                <w:sz w:val="20"/>
                <w:szCs w:val="20"/>
              </w:rPr>
              <w:t>6,339.15</w:t>
            </w:r>
          </w:p>
        </w:tc>
        <w:tc>
          <w:tcPr>
            <w:tcW w:w="2126" w:type="dxa"/>
            <w:vMerge w:val="restart"/>
            <w:tcBorders>
              <w:top w:val="single" w:sz="4" w:space="0" w:color="auto"/>
              <w:left w:val="single" w:sz="4" w:space="0" w:color="auto"/>
              <w:right w:val="single" w:sz="4" w:space="0" w:color="auto"/>
            </w:tcBorders>
          </w:tcPr>
          <w:p w14:paraId="4C0172F4" w14:textId="77777777" w:rsidR="008260A4" w:rsidRDefault="008260A4" w:rsidP="00105865">
            <w:pPr>
              <w:rPr>
                <w:sz w:val="20"/>
                <w:szCs w:val="20"/>
              </w:rPr>
            </w:pPr>
            <w:r w:rsidRPr="00A7323A">
              <w:rPr>
                <w:sz w:val="20"/>
                <w:szCs w:val="20"/>
              </w:rPr>
              <w:t xml:space="preserve">Total Cost of </w:t>
            </w:r>
            <w:r>
              <w:rPr>
                <w:sz w:val="20"/>
                <w:szCs w:val="20"/>
              </w:rPr>
              <w:t>Diagnosis</w:t>
            </w:r>
          </w:p>
          <w:p w14:paraId="6EA3E244" w14:textId="77777777" w:rsidR="008260A4" w:rsidRDefault="008260A4" w:rsidP="00105865">
            <w:pPr>
              <w:rPr>
                <w:sz w:val="20"/>
                <w:szCs w:val="20"/>
              </w:rPr>
            </w:pPr>
            <w:r w:rsidRPr="00A7323A">
              <w:rPr>
                <w:sz w:val="20"/>
                <w:szCs w:val="20"/>
              </w:rPr>
              <w:t>(1 year)</w:t>
            </w:r>
          </w:p>
          <w:p w14:paraId="202C2C90" w14:textId="77777777" w:rsidR="008260A4" w:rsidRDefault="008260A4" w:rsidP="00105865">
            <w:pPr>
              <w:rPr>
                <w:sz w:val="20"/>
                <w:szCs w:val="20"/>
              </w:rPr>
            </w:pPr>
          </w:p>
          <w:p w14:paraId="59B64C7B" w14:textId="77777777" w:rsidR="008260A4" w:rsidRPr="00A7323A" w:rsidRDefault="008260A4" w:rsidP="00105865">
            <w:pPr>
              <w:rPr>
                <w:sz w:val="20"/>
                <w:szCs w:val="20"/>
              </w:rPr>
            </w:pPr>
            <w:r w:rsidRPr="00A7323A">
              <w:rPr>
                <w:sz w:val="20"/>
                <w:szCs w:val="20"/>
              </w:rPr>
              <w:t>6</w:t>
            </w:r>
            <w:r>
              <w:rPr>
                <w:sz w:val="20"/>
                <w:szCs w:val="20"/>
              </w:rPr>
              <w:t>1,511.89</w:t>
            </w:r>
          </w:p>
        </w:tc>
        <w:tc>
          <w:tcPr>
            <w:tcW w:w="2268" w:type="dxa"/>
            <w:tcBorders>
              <w:top w:val="single" w:sz="4" w:space="0" w:color="auto"/>
              <w:left w:val="single" w:sz="4" w:space="0" w:color="auto"/>
              <w:bottom w:val="single" w:sz="4" w:space="0" w:color="auto"/>
              <w:right w:val="single" w:sz="4" w:space="0" w:color="auto"/>
            </w:tcBorders>
          </w:tcPr>
          <w:p w14:paraId="41A0DF0E" w14:textId="77777777" w:rsidR="008260A4" w:rsidRPr="00A7323A" w:rsidRDefault="008260A4" w:rsidP="00105865">
            <w:pPr>
              <w:rPr>
                <w:sz w:val="20"/>
                <w:szCs w:val="20"/>
              </w:rPr>
            </w:pPr>
            <w:r w:rsidRPr="00A7323A">
              <w:rPr>
                <w:sz w:val="20"/>
                <w:szCs w:val="20"/>
              </w:rPr>
              <w:t>UCH and Groundswell financial records</w:t>
            </w:r>
          </w:p>
        </w:tc>
      </w:tr>
      <w:tr w:rsidR="008260A4" w14:paraId="6D97E1C2" w14:textId="77777777" w:rsidTr="008260A4">
        <w:trPr>
          <w:trHeight w:val="481"/>
          <w:tblHeader/>
        </w:trPr>
        <w:tc>
          <w:tcPr>
            <w:tcW w:w="2122" w:type="dxa"/>
            <w:vMerge/>
            <w:tcBorders>
              <w:left w:val="single" w:sz="4" w:space="0" w:color="auto"/>
              <w:right w:val="single" w:sz="4" w:space="0" w:color="auto"/>
            </w:tcBorders>
          </w:tcPr>
          <w:p w14:paraId="51C4B611"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289836B" w14:textId="77777777" w:rsidR="008260A4" w:rsidRDefault="008260A4" w:rsidP="00105865">
            <w:pPr>
              <w:rPr>
                <w:sz w:val="20"/>
                <w:szCs w:val="20"/>
              </w:rPr>
            </w:pPr>
            <w:r w:rsidRPr="00A7323A">
              <w:rPr>
                <w:sz w:val="20"/>
                <w:szCs w:val="20"/>
              </w:rPr>
              <w:t>In mobile health unit</w:t>
            </w:r>
          </w:p>
          <w:p w14:paraId="70836028" w14:textId="77777777" w:rsidR="008260A4" w:rsidRPr="00A7323A" w:rsidRDefault="008260A4" w:rsidP="00105865">
            <w:pPr>
              <w:rPr>
                <w:sz w:val="20"/>
                <w:szCs w:val="20"/>
              </w:rPr>
            </w:pPr>
          </w:p>
        </w:tc>
        <w:tc>
          <w:tcPr>
            <w:tcW w:w="1843" w:type="dxa"/>
            <w:tcBorders>
              <w:top w:val="single" w:sz="4" w:space="0" w:color="auto"/>
              <w:left w:val="single" w:sz="4" w:space="0" w:color="auto"/>
              <w:right w:val="single" w:sz="4" w:space="0" w:color="auto"/>
            </w:tcBorders>
          </w:tcPr>
          <w:p w14:paraId="7B0CD8E3" w14:textId="77777777" w:rsidR="008260A4" w:rsidRPr="00A7323A" w:rsidRDefault="008260A4" w:rsidP="00105865">
            <w:pPr>
              <w:rPr>
                <w:sz w:val="20"/>
                <w:szCs w:val="20"/>
              </w:rPr>
            </w:pPr>
            <w:r>
              <w:rPr>
                <w:sz w:val="20"/>
                <w:szCs w:val="20"/>
              </w:rPr>
              <w:t>24,575.65</w:t>
            </w:r>
          </w:p>
        </w:tc>
        <w:tc>
          <w:tcPr>
            <w:tcW w:w="2126" w:type="dxa"/>
            <w:vMerge/>
            <w:tcBorders>
              <w:left w:val="single" w:sz="4" w:space="0" w:color="auto"/>
              <w:right w:val="single" w:sz="4" w:space="0" w:color="auto"/>
            </w:tcBorders>
          </w:tcPr>
          <w:p w14:paraId="36E9850F"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37A26F62" w14:textId="77777777" w:rsidR="008260A4" w:rsidRPr="00A7323A" w:rsidRDefault="008260A4" w:rsidP="00105865">
            <w:pPr>
              <w:rPr>
                <w:sz w:val="20"/>
                <w:szCs w:val="20"/>
              </w:rPr>
            </w:pPr>
            <w:r w:rsidRPr="00A7323A">
              <w:rPr>
                <w:sz w:val="20"/>
                <w:szCs w:val="20"/>
              </w:rPr>
              <w:t>UCH and Groundswell financial records</w:t>
            </w:r>
          </w:p>
        </w:tc>
      </w:tr>
      <w:tr w:rsidR="008260A4" w14:paraId="0226D1D3" w14:textId="77777777" w:rsidTr="008260A4">
        <w:trPr>
          <w:trHeight w:val="559"/>
          <w:tblHeader/>
        </w:trPr>
        <w:tc>
          <w:tcPr>
            <w:tcW w:w="2122" w:type="dxa"/>
            <w:vMerge/>
            <w:tcBorders>
              <w:left w:val="single" w:sz="4" w:space="0" w:color="auto"/>
              <w:bottom w:val="single" w:sz="4" w:space="0" w:color="auto"/>
              <w:right w:val="single" w:sz="4" w:space="0" w:color="auto"/>
            </w:tcBorders>
          </w:tcPr>
          <w:p w14:paraId="76BCC38A"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2A66CE9" w14:textId="77777777" w:rsidR="008260A4" w:rsidRPr="00A7323A" w:rsidRDefault="008260A4" w:rsidP="00105865">
            <w:pPr>
              <w:rPr>
                <w:sz w:val="20"/>
                <w:szCs w:val="20"/>
              </w:rPr>
            </w:pPr>
            <w:r>
              <w:rPr>
                <w:sz w:val="20"/>
                <w:szCs w:val="20"/>
              </w:rPr>
              <w:t>Informing HCV- patients of their status</w:t>
            </w:r>
          </w:p>
        </w:tc>
        <w:tc>
          <w:tcPr>
            <w:tcW w:w="1843" w:type="dxa"/>
            <w:tcBorders>
              <w:left w:val="single" w:sz="4" w:space="0" w:color="auto"/>
              <w:bottom w:val="single" w:sz="4" w:space="0" w:color="auto"/>
              <w:right w:val="single" w:sz="4" w:space="0" w:color="auto"/>
            </w:tcBorders>
          </w:tcPr>
          <w:p w14:paraId="05ACF027" w14:textId="77777777" w:rsidR="008260A4" w:rsidRPr="00A7323A" w:rsidRDefault="008260A4" w:rsidP="00105865">
            <w:pPr>
              <w:rPr>
                <w:sz w:val="20"/>
                <w:szCs w:val="20"/>
              </w:rPr>
            </w:pPr>
            <w:r>
              <w:rPr>
                <w:sz w:val="20"/>
                <w:szCs w:val="20"/>
              </w:rPr>
              <w:t>5,037.06</w:t>
            </w:r>
          </w:p>
        </w:tc>
        <w:tc>
          <w:tcPr>
            <w:tcW w:w="2126" w:type="dxa"/>
            <w:vMerge/>
            <w:tcBorders>
              <w:left w:val="single" w:sz="4" w:space="0" w:color="auto"/>
              <w:right w:val="single" w:sz="4" w:space="0" w:color="auto"/>
            </w:tcBorders>
          </w:tcPr>
          <w:p w14:paraId="5685C2E9"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tcPr>
          <w:p w14:paraId="64934E11" w14:textId="77777777" w:rsidR="008260A4" w:rsidRPr="00A7323A" w:rsidRDefault="008260A4" w:rsidP="00105865">
            <w:pPr>
              <w:rPr>
                <w:sz w:val="20"/>
                <w:szCs w:val="20"/>
              </w:rPr>
            </w:pPr>
          </w:p>
        </w:tc>
      </w:tr>
      <w:tr w:rsidR="008260A4" w14:paraId="54A9D662" w14:textId="77777777" w:rsidTr="008260A4">
        <w:trPr>
          <w:trHeight w:val="562"/>
          <w:tblHeader/>
        </w:trPr>
        <w:tc>
          <w:tcPr>
            <w:tcW w:w="2122" w:type="dxa"/>
            <w:vMerge w:val="restart"/>
            <w:tcBorders>
              <w:top w:val="single" w:sz="4" w:space="0" w:color="auto"/>
              <w:left w:val="single" w:sz="4" w:space="0" w:color="auto"/>
              <w:right w:val="single" w:sz="4" w:space="0" w:color="auto"/>
            </w:tcBorders>
            <w:hideMark/>
          </w:tcPr>
          <w:p w14:paraId="264C317E" w14:textId="77777777" w:rsidR="008260A4" w:rsidRDefault="008260A4" w:rsidP="00105865">
            <w:pPr>
              <w:rPr>
                <w:sz w:val="20"/>
                <w:szCs w:val="20"/>
              </w:rPr>
            </w:pPr>
            <w:r w:rsidRPr="00A7323A">
              <w:rPr>
                <w:sz w:val="20"/>
                <w:szCs w:val="20"/>
              </w:rPr>
              <w:t>Total Cost of Test</w:t>
            </w:r>
            <w:r>
              <w:rPr>
                <w:sz w:val="20"/>
                <w:szCs w:val="20"/>
              </w:rPr>
              <w:t>s</w:t>
            </w:r>
            <w:r w:rsidRPr="00A7323A">
              <w:rPr>
                <w:sz w:val="20"/>
                <w:szCs w:val="20"/>
              </w:rPr>
              <w:t xml:space="preserve"> </w:t>
            </w:r>
          </w:p>
          <w:p w14:paraId="54137E33" w14:textId="77777777" w:rsidR="008260A4" w:rsidRPr="00A7323A" w:rsidRDefault="008260A4" w:rsidP="00105865">
            <w:pPr>
              <w:rPr>
                <w:sz w:val="20"/>
                <w:szCs w:val="20"/>
              </w:rPr>
            </w:pPr>
            <w:r w:rsidRPr="00A7323A">
              <w:rPr>
                <w:sz w:val="20"/>
                <w:szCs w:val="20"/>
              </w:rPr>
              <w:t>(includes admin &amp;management, staff time, medical supplies and test costs)</w:t>
            </w:r>
          </w:p>
        </w:tc>
        <w:tc>
          <w:tcPr>
            <w:tcW w:w="1984" w:type="dxa"/>
            <w:tcBorders>
              <w:top w:val="single" w:sz="4" w:space="0" w:color="auto"/>
              <w:left w:val="single" w:sz="4" w:space="0" w:color="auto"/>
              <w:bottom w:val="single" w:sz="4" w:space="0" w:color="auto"/>
              <w:right w:val="single" w:sz="4" w:space="0" w:color="auto"/>
            </w:tcBorders>
            <w:hideMark/>
          </w:tcPr>
          <w:p w14:paraId="0ADD49B1" w14:textId="77777777" w:rsidR="008260A4" w:rsidRPr="00A7323A" w:rsidRDefault="008260A4" w:rsidP="00105865">
            <w:pPr>
              <w:rPr>
                <w:sz w:val="20"/>
                <w:szCs w:val="20"/>
              </w:rPr>
            </w:pPr>
            <w:r w:rsidRPr="00A7323A">
              <w:rPr>
                <w:sz w:val="20"/>
                <w:szCs w:val="20"/>
              </w:rPr>
              <w:t xml:space="preserve">POCT </w:t>
            </w:r>
          </w:p>
          <w:p w14:paraId="6660B2A3" w14:textId="77777777" w:rsidR="008260A4" w:rsidRPr="00A7323A" w:rsidRDefault="008260A4" w:rsidP="00105865">
            <w:pPr>
              <w:rPr>
                <w:sz w:val="20"/>
                <w:szCs w:val="20"/>
              </w:rPr>
            </w:pPr>
            <w:r>
              <w:rPr>
                <w:sz w:val="20"/>
                <w:szCs w:val="20"/>
              </w:rPr>
              <w:t>(98 for the year)</w:t>
            </w:r>
          </w:p>
        </w:tc>
        <w:tc>
          <w:tcPr>
            <w:tcW w:w="1843" w:type="dxa"/>
            <w:tcBorders>
              <w:top w:val="single" w:sz="4" w:space="0" w:color="auto"/>
              <w:left w:val="single" w:sz="4" w:space="0" w:color="auto"/>
              <w:bottom w:val="single" w:sz="4" w:space="0" w:color="auto"/>
              <w:right w:val="single" w:sz="4" w:space="0" w:color="auto"/>
            </w:tcBorders>
          </w:tcPr>
          <w:p w14:paraId="26B1FEEB" w14:textId="77777777" w:rsidR="008260A4" w:rsidRPr="00A7323A" w:rsidRDefault="008260A4" w:rsidP="00105865">
            <w:pPr>
              <w:rPr>
                <w:sz w:val="20"/>
                <w:szCs w:val="20"/>
              </w:rPr>
            </w:pPr>
            <w:r>
              <w:rPr>
                <w:sz w:val="20"/>
                <w:szCs w:val="20"/>
              </w:rPr>
              <w:t>6,984.69</w:t>
            </w:r>
          </w:p>
        </w:tc>
        <w:tc>
          <w:tcPr>
            <w:tcW w:w="2126" w:type="dxa"/>
            <w:vMerge/>
            <w:tcBorders>
              <w:left w:val="single" w:sz="4" w:space="0" w:color="auto"/>
              <w:right w:val="single" w:sz="4" w:space="0" w:color="auto"/>
            </w:tcBorders>
          </w:tcPr>
          <w:p w14:paraId="158D3FD6"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66D6ACA3" w14:textId="77777777" w:rsidR="008260A4" w:rsidRPr="00A7323A" w:rsidRDefault="008260A4" w:rsidP="00105865">
            <w:pPr>
              <w:rPr>
                <w:sz w:val="20"/>
                <w:szCs w:val="20"/>
              </w:rPr>
            </w:pPr>
            <w:r w:rsidRPr="00A7323A">
              <w:rPr>
                <w:sz w:val="20"/>
                <w:szCs w:val="20"/>
              </w:rPr>
              <w:t>UCH and Groundswell financial records</w:t>
            </w:r>
          </w:p>
        </w:tc>
      </w:tr>
      <w:tr w:rsidR="008260A4" w14:paraId="19DAC5B8" w14:textId="77777777" w:rsidTr="008260A4">
        <w:trPr>
          <w:trHeight w:val="654"/>
          <w:tblHeader/>
        </w:trPr>
        <w:tc>
          <w:tcPr>
            <w:tcW w:w="2122" w:type="dxa"/>
            <w:vMerge/>
            <w:tcBorders>
              <w:left w:val="single" w:sz="4" w:space="0" w:color="auto"/>
              <w:bottom w:val="single" w:sz="4" w:space="0" w:color="auto"/>
              <w:right w:val="single" w:sz="4" w:space="0" w:color="auto"/>
            </w:tcBorders>
            <w:vAlign w:val="center"/>
            <w:hideMark/>
          </w:tcPr>
          <w:p w14:paraId="12926065"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1488C0A9" w14:textId="77777777" w:rsidR="008260A4" w:rsidRDefault="008260A4" w:rsidP="00105865">
            <w:pPr>
              <w:rPr>
                <w:sz w:val="20"/>
                <w:szCs w:val="20"/>
              </w:rPr>
            </w:pPr>
            <w:r w:rsidRPr="00A7323A">
              <w:rPr>
                <w:sz w:val="20"/>
                <w:szCs w:val="20"/>
              </w:rPr>
              <w:t>RNA</w:t>
            </w:r>
          </w:p>
          <w:p w14:paraId="5D53CF30" w14:textId="77777777" w:rsidR="008260A4" w:rsidRPr="00A7323A" w:rsidRDefault="008260A4" w:rsidP="00105865">
            <w:pPr>
              <w:rPr>
                <w:sz w:val="20"/>
                <w:szCs w:val="20"/>
              </w:rPr>
            </w:pPr>
            <w:r>
              <w:rPr>
                <w:sz w:val="20"/>
                <w:szCs w:val="20"/>
              </w:rPr>
              <w:t>(62 for the year)</w:t>
            </w:r>
          </w:p>
        </w:tc>
        <w:tc>
          <w:tcPr>
            <w:tcW w:w="1843" w:type="dxa"/>
            <w:tcBorders>
              <w:top w:val="single" w:sz="4" w:space="0" w:color="auto"/>
              <w:left w:val="single" w:sz="4" w:space="0" w:color="auto"/>
              <w:bottom w:val="single" w:sz="4" w:space="0" w:color="auto"/>
              <w:right w:val="single" w:sz="4" w:space="0" w:color="auto"/>
            </w:tcBorders>
          </w:tcPr>
          <w:p w14:paraId="73403C53" w14:textId="77777777" w:rsidR="008260A4" w:rsidRPr="00A7323A" w:rsidRDefault="008260A4" w:rsidP="00105865">
            <w:pPr>
              <w:rPr>
                <w:sz w:val="20"/>
                <w:szCs w:val="20"/>
              </w:rPr>
            </w:pPr>
            <w:r>
              <w:rPr>
                <w:sz w:val="20"/>
                <w:szCs w:val="20"/>
              </w:rPr>
              <w:t>8,575.35</w:t>
            </w:r>
          </w:p>
        </w:tc>
        <w:tc>
          <w:tcPr>
            <w:tcW w:w="2126" w:type="dxa"/>
            <w:vMerge/>
            <w:tcBorders>
              <w:left w:val="single" w:sz="4" w:space="0" w:color="auto"/>
              <w:bottom w:val="single" w:sz="4" w:space="0" w:color="auto"/>
              <w:right w:val="single" w:sz="4" w:space="0" w:color="auto"/>
            </w:tcBorders>
          </w:tcPr>
          <w:p w14:paraId="02573ED5"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vAlign w:val="center"/>
            <w:hideMark/>
          </w:tcPr>
          <w:p w14:paraId="68121C76" w14:textId="77777777" w:rsidR="008260A4" w:rsidRPr="00A7323A" w:rsidRDefault="008260A4" w:rsidP="00105865">
            <w:pPr>
              <w:rPr>
                <w:sz w:val="20"/>
                <w:szCs w:val="20"/>
              </w:rPr>
            </w:pPr>
          </w:p>
        </w:tc>
      </w:tr>
      <w:tr w:rsidR="008260A4" w14:paraId="4369FD57" w14:textId="77777777" w:rsidTr="008260A4">
        <w:trPr>
          <w:trHeight w:val="423"/>
          <w:tblHeader/>
        </w:trPr>
        <w:tc>
          <w:tcPr>
            <w:tcW w:w="4106" w:type="dxa"/>
            <w:gridSpan w:val="2"/>
            <w:tcBorders>
              <w:top w:val="single" w:sz="4" w:space="0" w:color="auto"/>
              <w:left w:val="single" w:sz="4" w:space="0" w:color="auto"/>
              <w:right w:val="single" w:sz="4" w:space="0" w:color="auto"/>
            </w:tcBorders>
          </w:tcPr>
          <w:p w14:paraId="78DFEF12" w14:textId="77777777" w:rsidR="008260A4" w:rsidRPr="00A7323A" w:rsidRDefault="008260A4" w:rsidP="00105865">
            <w:pPr>
              <w:rPr>
                <w:sz w:val="20"/>
                <w:szCs w:val="20"/>
              </w:rPr>
            </w:pPr>
            <w:r w:rsidRPr="00A7323A">
              <w:rPr>
                <w:sz w:val="20"/>
                <w:szCs w:val="20"/>
              </w:rPr>
              <w:t>Fibroscan</w:t>
            </w:r>
          </w:p>
        </w:tc>
        <w:tc>
          <w:tcPr>
            <w:tcW w:w="1843" w:type="dxa"/>
            <w:tcBorders>
              <w:top w:val="single" w:sz="4" w:space="0" w:color="auto"/>
              <w:left w:val="single" w:sz="4" w:space="0" w:color="auto"/>
              <w:right w:val="single" w:sz="4" w:space="0" w:color="auto"/>
            </w:tcBorders>
          </w:tcPr>
          <w:p w14:paraId="41E36D77" w14:textId="77777777" w:rsidR="008260A4" w:rsidRPr="00A7323A" w:rsidRDefault="008260A4" w:rsidP="00105865">
            <w:pPr>
              <w:rPr>
                <w:sz w:val="20"/>
                <w:szCs w:val="20"/>
              </w:rPr>
            </w:pPr>
            <w:r w:rsidRPr="00A7323A">
              <w:rPr>
                <w:sz w:val="20"/>
                <w:szCs w:val="20"/>
              </w:rPr>
              <w:t>1</w:t>
            </w:r>
            <w:r>
              <w:rPr>
                <w:sz w:val="20"/>
                <w:szCs w:val="20"/>
              </w:rPr>
              <w:t>5,196.24</w:t>
            </w:r>
          </w:p>
        </w:tc>
        <w:tc>
          <w:tcPr>
            <w:tcW w:w="2126" w:type="dxa"/>
            <w:vMerge w:val="restart"/>
            <w:tcBorders>
              <w:top w:val="single" w:sz="4" w:space="0" w:color="auto"/>
              <w:left w:val="single" w:sz="4" w:space="0" w:color="auto"/>
              <w:right w:val="single" w:sz="4" w:space="0" w:color="auto"/>
            </w:tcBorders>
          </w:tcPr>
          <w:p w14:paraId="4CEB45AC" w14:textId="77777777" w:rsidR="008260A4" w:rsidRDefault="008260A4" w:rsidP="00105865">
            <w:pPr>
              <w:rPr>
                <w:sz w:val="20"/>
                <w:szCs w:val="20"/>
              </w:rPr>
            </w:pPr>
            <w:r>
              <w:rPr>
                <w:sz w:val="20"/>
                <w:szCs w:val="20"/>
              </w:rPr>
              <w:t>Total Cost of Engagement (1 year)</w:t>
            </w:r>
          </w:p>
          <w:p w14:paraId="78DCB059" w14:textId="77777777" w:rsidR="008260A4" w:rsidRDefault="008260A4" w:rsidP="00105865">
            <w:pPr>
              <w:rPr>
                <w:sz w:val="20"/>
                <w:szCs w:val="20"/>
              </w:rPr>
            </w:pPr>
          </w:p>
          <w:p w14:paraId="45663081" w14:textId="77777777" w:rsidR="008260A4" w:rsidRDefault="008260A4" w:rsidP="00105865">
            <w:pPr>
              <w:rPr>
                <w:sz w:val="20"/>
                <w:szCs w:val="20"/>
              </w:rPr>
            </w:pPr>
            <w:r w:rsidRPr="00A7323A">
              <w:rPr>
                <w:sz w:val="20"/>
                <w:szCs w:val="20"/>
              </w:rPr>
              <w:t>36,</w:t>
            </w:r>
            <w:r>
              <w:rPr>
                <w:sz w:val="20"/>
                <w:szCs w:val="20"/>
              </w:rPr>
              <w:t>563.07 + hospital costs</w:t>
            </w:r>
          </w:p>
          <w:p w14:paraId="7C5FAD89" w14:textId="77777777" w:rsidR="008260A4" w:rsidRDefault="008260A4" w:rsidP="00105865">
            <w:pPr>
              <w:rPr>
                <w:sz w:val="20"/>
                <w:szCs w:val="20"/>
              </w:rPr>
            </w:pPr>
          </w:p>
          <w:p w14:paraId="7D915774"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4BD4F28E" w14:textId="77777777" w:rsidR="008260A4" w:rsidRPr="00A7323A" w:rsidRDefault="008260A4" w:rsidP="00105865">
            <w:pPr>
              <w:rPr>
                <w:sz w:val="20"/>
                <w:szCs w:val="20"/>
              </w:rPr>
            </w:pPr>
          </w:p>
        </w:tc>
      </w:tr>
      <w:tr w:rsidR="008260A4" w14:paraId="6CE97280" w14:textId="77777777" w:rsidTr="008260A4">
        <w:trPr>
          <w:trHeight w:val="593"/>
          <w:tblHeader/>
        </w:trPr>
        <w:tc>
          <w:tcPr>
            <w:tcW w:w="4106" w:type="dxa"/>
            <w:gridSpan w:val="2"/>
            <w:tcBorders>
              <w:top w:val="single" w:sz="4" w:space="0" w:color="auto"/>
              <w:left w:val="single" w:sz="4" w:space="0" w:color="auto"/>
              <w:right w:val="single" w:sz="4" w:space="0" w:color="auto"/>
            </w:tcBorders>
            <w:hideMark/>
          </w:tcPr>
          <w:p w14:paraId="5428BE95" w14:textId="77777777" w:rsidR="008260A4" w:rsidRPr="00A7323A" w:rsidRDefault="008260A4" w:rsidP="00105865">
            <w:pPr>
              <w:rPr>
                <w:sz w:val="20"/>
                <w:szCs w:val="20"/>
              </w:rPr>
            </w:pPr>
            <w:r>
              <w:rPr>
                <w:sz w:val="20"/>
                <w:szCs w:val="20"/>
              </w:rPr>
              <w:t>Engagement initiation of RNA+ patients (follow up of RNA+ tests)</w:t>
            </w:r>
          </w:p>
        </w:tc>
        <w:tc>
          <w:tcPr>
            <w:tcW w:w="1843" w:type="dxa"/>
            <w:tcBorders>
              <w:top w:val="single" w:sz="4" w:space="0" w:color="auto"/>
              <w:left w:val="single" w:sz="4" w:space="0" w:color="auto"/>
              <w:right w:val="single" w:sz="4" w:space="0" w:color="auto"/>
            </w:tcBorders>
          </w:tcPr>
          <w:p w14:paraId="3A243B03" w14:textId="77777777" w:rsidR="008260A4" w:rsidRPr="00A7323A" w:rsidRDefault="008260A4" w:rsidP="00105865">
            <w:pPr>
              <w:rPr>
                <w:sz w:val="20"/>
                <w:szCs w:val="20"/>
              </w:rPr>
            </w:pPr>
            <w:r>
              <w:rPr>
                <w:sz w:val="20"/>
                <w:szCs w:val="20"/>
              </w:rPr>
              <w:t>7968.24</w:t>
            </w:r>
          </w:p>
        </w:tc>
        <w:tc>
          <w:tcPr>
            <w:tcW w:w="2126" w:type="dxa"/>
            <w:vMerge/>
            <w:tcBorders>
              <w:left w:val="single" w:sz="4" w:space="0" w:color="auto"/>
              <w:right w:val="single" w:sz="4" w:space="0" w:color="auto"/>
            </w:tcBorders>
          </w:tcPr>
          <w:p w14:paraId="1AF8B69D"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52825450" w14:textId="77777777" w:rsidR="008260A4" w:rsidRPr="00A7323A" w:rsidRDefault="008260A4" w:rsidP="00105865">
            <w:pPr>
              <w:rPr>
                <w:sz w:val="20"/>
                <w:szCs w:val="20"/>
              </w:rPr>
            </w:pPr>
            <w:r w:rsidRPr="00A7323A">
              <w:rPr>
                <w:sz w:val="20"/>
                <w:szCs w:val="20"/>
              </w:rPr>
              <w:t>UCH and Groundswell financial records</w:t>
            </w:r>
          </w:p>
        </w:tc>
      </w:tr>
      <w:tr w:rsidR="008260A4" w14:paraId="2FA4E0FA" w14:textId="77777777" w:rsidTr="008260A4">
        <w:trPr>
          <w:trHeight w:val="543"/>
          <w:tblHeader/>
        </w:trPr>
        <w:tc>
          <w:tcPr>
            <w:tcW w:w="2122" w:type="dxa"/>
            <w:vMerge w:val="restart"/>
            <w:tcBorders>
              <w:top w:val="single" w:sz="4" w:space="0" w:color="auto"/>
              <w:left w:val="single" w:sz="4" w:space="0" w:color="auto"/>
              <w:right w:val="single" w:sz="4" w:space="0" w:color="auto"/>
            </w:tcBorders>
            <w:hideMark/>
          </w:tcPr>
          <w:p w14:paraId="52DA98DA" w14:textId="77777777" w:rsidR="008260A4" w:rsidRPr="00A7323A" w:rsidRDefault="008260A4" w:rsidP="00105865">
            <w:pPr>
              <w:rPr>
                <w:sz w:val="20"/>
                <w:szCs w:val="20"/>
              </w:rPr>
            </w:pPr>
            <w:r>
              <w:rPr>
                <w:sz w:val="20"/>
                <w:szCs w:val="20"/>
              </w:rPr>
              <w:t>P</w:t>
            </w:r>
            <w:r w:rsidRPr="00A7323A">
              <w:rPr>
                <w:sz w:val="20"/>
                <w:szCs w:val="20"/>
              </w:rPr>
              <w:t xml:space="preserve">eer support of </w:t>
            </w:r>
            <w:r>
              <w:rPr>
                <w:sz w:val="20"/>
                <w:szCs w:val="20"/>
              </w:rPr>
              <w:t>evaluation</w:t>
            </w:r>
            <w:r w:rsidRPr="00A7323A">
              <w:rPr>
                <w:sz w:val="20"/>
                <w:szCs w:val="20"/>
              </w:rPr>
              <w:t xml:space="preserve"> </w:t>
            </w:r>
            <w:r>
              <w:rPr>
                <w:sz w:val="20"/>
                <w:szCs w:val="20"/>
              </w:rPr>
              <w:t xml:space="preserve">visit in </w:t>
            </w:r>
            <w:r w:rsidRPr="00A7323A">
              <w:rPr>
                <w:sz w:val="20"/>
                <w:szCs w:val="20"/>
              </w:rPr>
              <w:t xml:space="preserve">hospital </w:t>
            </w:r>
          </w:p>
        </w:tc>
        <w:tc>
          <w:tcPr>
            <w:tcW w:w="1984" w:type="dxa"/>
            <w:tcBorders>
              <w:top w:val="single" w:sz="4" w:space="0" w:color="auto"/>
              <w:left w:val="single" w:sz="4" w:space="0" w:color="auto"/>
              <w:right w:val="single" w:sz="4" w:space="0" w:color="auto"/>
            </w:tcBorders>
            <w:hideMark/>
          </w:tcPr>
          <w:p w14:paraId="2726C2E1" w14:textId="77777777" w:rsidR="008260A4" w:rsidRPr="00A7323A"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150F09DB" w14:textId="77777777" w:rsidR="008260A4" w:rsidRPr="00A7323A" w:rsidRDefault="008260A4" w:rsidP="00105865">
            <w:pPr>
              <w:rPr>
                <w:sz w:val="20"/>
                <w:szCs w:val="20"/>
              </w:rPr>
            </w:pPr>
            <w:r>
              <w:rPr>
                <w:sz w:val="20"/>
                <w:szCs w:val="20"/>
              </w:rPr>
              <w:t>13,398.59</w:t>
            </w:r>
          </w:p>
        </w:tc>
        <w:tc>
          <w:tcPr>
            <w:tcW w:w="2126" w:type="dxa"/>
            <w:vMerge/>
            <w:tcBorders>
              <w:left w:val="single" w:sz="4" w:space="0" w:color="auto"/>
              <w:right w:val="single" w:sz="4" w:space="0" w:color="auto"/>
            </w:tcBorders>
          </w:tcPr>
          <w:p w14:paraId="7CF9E169"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19496498" w14:textId="77777777" w:rsidR="008260A4" w:rsidRPr="00A7323A" w:rsidRDefault="008260A4" w:rsidP="00105865">
            <w:pPr>
              <w:rPr>
                <w:sz w:val="20"/>
                <w:szCs w:val="20"/>
              </w:rPr>
            </w:pPr>
            <w:r w:rsidRPr="00A7323A">
              <w:rPr>
                <w:sz w:val="20"/>
                <w:szCs w:val="20"/>
              </w:rPr>
              <w:t>UCH and Groundswell financial records</w:t>
            </w:r>
          </w:p>
        </w:tc>
      </w:tr>
      <w:tr w:rsidR="008260A4" w14:paraId="451CFD51" w14:textId="77777777" w:rsidTr="008260A4">
        <w:trPr>
          <w:trHeight w:val="698"/>
          <w:tblHeader/>
        </w:trPr>
        <w:tc>
          <w:tcPr>
            <w:tcW w:w="2122" w:type="dxa"/>
            <w:vMerge/>
            <w:tcBorders>
              <w:top w:val="single" w:sz="4" w:space="0" w:color="auto"/>
              <w:left w:val="single" w:sz="4" w:space="0" w:color="auto"/>
              <w:bottom w:val="single" w:sz="4" w:space="0" w:color="auto"/>
              <w:right w:val="single" w:sz="4" w:space="0" w:color="auto"/>
            </w:tcBorders>
            <w:hideMark/>
          </w:tcPr>
          <w:p w14:paraId="6357B4C7"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36BF2DF4"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top w:val="single" w:sz="4" w:space="0" w:color="auto"/>
              <w:left w:val="single" w:sz="4" w:space="0" w:color="auto"/>
              <w:bottom w:val="single" w:sz="4" w:space="0" w:color="auto"/>
              <w:right w:val="single" w:sz="4" w:space="0" w:color="auto"/>
            </w:tcBorders>
          </w:tcPr>
          <w:p w14:paraId="5F52C68D" w14:textId="77777777" w:rsidR="008260A4" w:rsidRPr="00A7323A" w:rsidRDefault="008260A4" w:rsidP="00105865">
            <w:pPr>
              <w:rPr>
                <w:sz w:val="20"/>
                <w:szCs w:val="20"/>
              </w:rPr>
            </w:pPr>
            <w:r>
              <w:rPr>
                <w:sz w:val="20"/>
                <w:szCs w:val="20"/>
              </w:rPr>
              <w:t>200.30 per person</w:t>
            </w:r>
          </w:p>
        </w:tc>
        <w:tc>
          <w:tcPr>
            <w:tcW w:w="2126" w:type="dxa"/>
            <w:vMerge/>
            <w:tcBorders>
              <w:left w:val="single" w:sz="4" w:space="0" w:color="auto"/>
              <w:bottom w:val="single" w:sz="4" w:space="0" w:color="auto"/>
              <w:right w:val="single" w:sz="4" w:space="0" w:color="auto"/>
            </w:tcBorders>
          </w:tcPr>
          <w:p w14:paraId="0597F20F"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12DCCF7" w14:textId="77777777" w:rsidR="008260A4" w:rsidRPr="00A7323A" w:rsidRDefault="008260A4" w:rsidP="00105865">
            <w:pPr>
              <w:rPr>
                <w:sz w:val="20"/>
                <w:szCs w:val="20"/>
              </w:rPr>
            </w:pPr>
            <w:r w:rsidRPr="00A7323A">
              <w:rPr>
                <w:sz w:val="20"/>
                <w:szCs w:val="20"/>
              </w:rPr>
              <w:t>Expert opinion (correspondence Graham Foster)</w:t>
            </w:r>
          </w:p>
        </w:tc>
      </w:tr>
      <w:tr w:rsidR="008260A4" w14:paraId="725B319A" w14:textId="77777777" w:rsidTr="008260A4">
        <w:trPr>
          <w:trHeight w:val="307"/>
          <w:tblHeader/>
        </w:trPr>
        <w:tc>
          <w:tcPr>
            <w:tcW w:w="2122" w:type="dxa"/>
            <w:vMerge w:val="restart"/>
            <w:tcBorders>
              <w:top w:val="single" w:sz="4" w:space="0" w:color="auto"/>
              <w:left w:val="single" w:sz="4" w:space="0" w:color="auto"/>
              <w:right w:val="single" w:sz="4" w:space="0" w:color="auto"/>
            </w:tcBorders>
            <w:hideMark/>
          </w:tcPr>
          <w:p w14:paraId="042EE140" w14:textId="77777777" w:rsidR="008260A4" w:rsidRPr="00A7323A" w:rsidRDefault="008260A4" w:rsidP="00105865">
            <w:pPr>
              <w:rPr>
                <w:sz w:val="20"/>
                <w:szCs w:val="20"/>
              </w:rPr>
            </w:pPr>
            <w:r w:rsidRPr="00572490">
              <w:rPr>
                <w:sz w:val="20"/>
                <w:szCs w:val="20"/>
              </w:rPr>
              <w:t xml:space="preserve">Peer support of </w:t>
            </w:r>
            <w:r>
              <w:rPr>
                <w:sz w:val="20"/>
                <w:szCs w:val="20"/>
              </w:rPr>
              <w:t>t</w:t>
            </w:r>
            <w:r w:rsidRPr="00546768">
              <w:rPr>
                <w:sz w:val="20"/>
                <w:szCs w:val="20"/>
              </w:rPr>
              <w:t>reatment initiation and subsequent visits 0,2,4,6,8, 10 weeks</w:t>
            </w:r>
          </w:p>
        </w:tc>
        <w:tc>
          <w:tcPr>
            <w:tcW w:w="1984" w:type="dxa"/>
            <w:tcBorders>
              <w:top w:val="single" w:sz="4" w:space="0" w:color="auto"/>
              <w:left w:val="single" w:sz="4" w:space="0" w:color="auto"/>
              <w:right w:val="single" w:sz="4" w:space="0" w:color="auto"/>
            </w:tcBorders>
            <w:hideMark/>
          </w:tcPr>
          <w:p w14:paraId="1583F90B"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02F5D598" w14:textId="77777777" w:rsidR="008260A4" w:rsidRPr="00572490" w:rsidRDefault="008260A4" w:rsidP="00105865">
            <w:pPr>
              <w:rPr>
                <w:sz w:val="20"/>
                <w:szCs w:val="20"/>
              </w:rPr>
            </w:pPr>
            <w:r>
              <w:rPr>
                <w:sz w:val="20"/>
                <w:szCs w:val="20"/>
              </w:rPr>
              <w:t>14,222.78</w:t>
            </w:r>
          </w:p>
        </w:tc>
        <w:tc>
          <w:tcPr>
            <w:tcW w:w="2126" w:type="dxa"/>
            <w:vMerge w:val="restart"/>
            <w:tcBorders>
              <w:top w:val="single" w:sz="4" w:space="0" w:color="auto"/>
              <w:left w:val="single" w:sz="4" w:space="0" w:color="auto"/>
              <w:right w:val="single" w:sz="4" w:space="0" w:color="auto"/>
            </w:tcBorders>
          </w:tcPr>
          <w:p w14:paraId="2C0FDD58" w14:textId="77777777" w:rsidR="008260A4" w:rsidRDefault="008260A4" w:rsidP="00105865">
            <w:pPr>
              <w:rPr>
                <w:sz w:val="20"/>
                <w:szCs w:val="20"/>
              </w:rPr>
            </w:pPr>
            <w:r w:rsidRPr="00A7323A">
              <w:rPr>
                <w:sz w:val="20"/>
                <w:szCs w:val="20"/>
              </w:rPr>
              <w:t>Total Cost of Treatment (1 year)</w:t>
            </w:r>
            <w:r w:rsidRPr="00572490">
              <w:rPr>
                <w:sz w:val="20"/>
                <w:szCs w:val="20"/>
              </w:rPr>
              <w:t xml:space="preserve"> </w:t>
            </w:r>
          </w:p>
          <w:p w14:paraId="77AB4A7D" w14:textId="77777777" w:rsidR="008260A4" w:rsidRDefault="008260A4" w:rsidP="00105865">
            <w:pPr>
              <w:rPr>
                <w:sz w:val="20"/>
                <w:szCs w:val="20"/>
              </w:rPr>
            </w:pPr>
          </w:p>
          <w:p w14:paraId="0155A63C" w14:textId="77777777" w:rsidR="008260A4" w:rsidRDefault="008260A4" w:rsidP="00105865">
            <w:pPr>
              <w:rPr>
                <w:sz w:val="20"/>
                <w:szCs w:val="20"/>
              </w:rPr>
            </w:pPr>
            <w:r w:rsidRPr="00572490">
              <w:rPr>
                <w:sz w:val="20"/>
                <w:szCs w:val="20"/>
              </w:rPr>
              <w:t>30,</w:t>
            </w:r>
            <w:r>
              <w:rPr>
                <w:sz w:val="20"/>
                <w:szCs w:val="20"/>
              </w:rPr>
              <w:t>901.73 + hospital costs +DAA’s</w:t>
            </w:r>
          </w:p>
          <w:p w14:paraId="4DD6F2FC" w14:textId="77777777" w:rsidR="008260A4" w:rsidRDefault="008260A4" w:rsidP="00105865">
            <w:pPr>
              <w:rPr>
                <w:sz w:val="20"/>
                <w:szCs w:val="20"/>
              </w:rPr>
            </w:pPr>
          </w:p>
          <w:p w14:paraId="4A348750" w14:textId="77777777" w:rsidR="008260A4" w:rsidRDefault="008260A4" w:rsidP="00105865">
            <w:pPr>
              <w:rPr>
                <w:sz w:val="20"/>
                <w:szCs w:val="20"/>
              </w:rPr>
            </w:pPr>
          </w:p>
          <w:p w14:paraId="5C37DE3B"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665552ED" w14:textId="77777777" w:rsidR="008260A4" w:rsidRPr="00572490" w:rsidRDefault="008260A4" w:rsidP="00105865">
            <w:pPr>
              <w:rPr>
                <w:sz w:val="20"/>
                <w:szCs w:val="20"/>
              </w:rPr>
            </w:pPr>
            <w:r w:rsidRPr="00572490">
              <w:rPr>
                <w:sz w:val="20"/>
                <w:szCs w:val="20"/>
              </w:rPr>
              <w:t>UCH and Groundswell financial records</w:t>
            </w:r>
          </w:p>
        </w:tc>
      </w:tr>
      <w:tr w:rsidR="008260A4" w14:paraId="04A79D2E" w14:textId="77777777" w:rsidTr="008260A4">
        <w:trPr>
          <w:trHeight w:val="307"/>
          <w:tblHeader/>
        </w:trPr>
        <w:tc>
          <w:tcPr>
            <w:tcW w:w="2122" w:type="dxa"/>
            <w:vMerge/>
            <w:tcBorders>
              <w:left w:val="single" w:sz="4" w:space="0" w:color="auto"/>
              <w:right w:val="single" w:sz="4" w:space="0" w:color="auto"/>
            </w:tcBorders>
          </w:tcPr>
          <w:p w14:paraId="2F8AC32D" w14:textId="77777777" w:rsidR="008260A4" w:rsidRPr="00572490" w:rsidRDefault="008260A4" w:rsidP="00105865">
            <w:pPr>
              <w:rPr>
                <w:sz w:val="20"/>
                <w:szCs w:val="20"/>
              </w:rPr>
            </w:pPr>
          </w:p>
        </w:tc>
        <w:tc>
          <w:tcPr>
            <w:tcW w:w="1984" w:type="dxa"/>
            <w:tcBorders>
              <w:top w:val="single" w:sz="4" w:space="0" w:color="auto"/>
              <w:left w:val="single" w:sz="4" w:space="0" w:color="auto"/>
              <w:right w:val="single" w:sz="4" w:space="0" w:color="auto"/>
            </w:tcBorders>
          </w:tcPr>
          <w:p w14:paraId="796E7447" w14:textId="77777777" w:rsidR="008260A4" w:rsidRPr="00572490" w:rsidRDefault="008260A4" w:rsidP="00105865">
            <w:pPr>
              <w:rPr>
                <w:sz w:val="20"/>
                <w:szCs w:val="20"/>
              </w:rPr>
            </w:pPr>
            <w:r w:rsidRPr="00A7323A">
              <w:rPr>
                <w:sz w:val="20"/>
                <w:szCs w:val="20"/>
              </w:rPr>
              <w:t>Drugs and hospital costs</w:t>
            </w:r>
          </w:p>
        </w:tc>
        <w:tc>
          <w:tcPr>
            <w:tcW w:w="1843" w:type="dxa"/>
            <w:tcBorders>
              <w:left w:val="single" w:sz="4" w:space="0" w:color="auto"/>
              <w:right w:val="single" w:sz="4" w:space="0" w:color="auto"/>
            </w:tcBorders>
          </w:tcPr>
          <w:p w14:paraId="1D6FCD51" w14:textId="77777777" w:rsidR="008260A4" w:rsidRDefault="008260A4" w:rsidP="00105865">
            <w:pPr>
              <w:rPr>
                <w:sz w:val="20"/>
                <w:szCs w:val="20"/>
              </w:rPr>
            </w:pPr>
            <w:r>
              <w:rPr>
                <w:sz w:val="20"/>
                <w:szCs w:val="20"/>
              </w:rPr>
              <w:t>395.78 per person for 12 weeks hospital costs</w:t>
            </w:r>
          </w:p>
          <w:p w14:paraId="65246A46" w14:textId="77777777" w:rsidR="008260A4" w:rsidRDefault="008260A4" w:rsidP="00105865">
            <w:pPr>
              <w:rPr>
                <w:sz w:val="20"/>
                <w:szCs w:val="20"/>
              </w:rPr>
            </w:pPr>
          </w:p>
          <w:p w14:paraId="410DF511" w14:textId="77777777" w:rsidR="008260A4" w:rsidRPr="00572490" w:rsidRDefault="008260A4" w:rsidP="00105865">
            <w:pPr>
              <w:rPr>
                <w:sz w:val="20"/>
                <w:szCs w:val="20"/>
              </w:rPr>
            </w:pPr>
            <w:r>
              <w:rPr>
                <w:sz w:val="20"/>
                <w:szCs w:val="20"/>
              </w:rPr>
              <w:t>38,982 DAA’s per person</w:t>
            </w:r>
          </w:p>
        </w:tc>
        <w:tc>
          <w:tcPr>
            <w:tcW w:w="2126" w:type="dxa"/>
            <w:vMerge/>
            <w:tcBorders>
              <w:left w:val="single" w:sz="4" w:space="0" w:color="auto"/>
              <w:right w:val="single" w:sz="4" w:space="0" w:color="auto"/>
            </w:tcBorders>
          </w:tcPr>
          <w:p w14:paraId="4F7F6DC2" w14:textId="77777777" w:rsidR="008260A4" w:rsidRPr="00A7323A" w:rsidRDefault="008260A4" w:rsidP="00105865">
            <w:pPr>
              <w:rPr>
                <w:sz w:val="20"/>
                <w:szCs w:val="20"/>
              </w:rPr>
            </w:pPr>
          </w:p>
        </w:tc>
        <w:tc>
          <w:tcPr>
            <w:tcW w:w="2268" w:type="dxa"/>
            <w:tcBorders>
              <w:left w:val="single" w:sz="4" w:space="0" w:color="auto"/>
              <w:bottom w:val="single" w:sz="4" w:space="0" w:color="auto"/>
              <w:right w:val="single" w:sz="4" w:space="0" w:color="auto"/>
            </w:tcBorders>
          </w:tcPr>
          <w:p w14:paraId="66A28A7C" w14:textId="77777777" w:rsidR="008260A4" w:rsidRPr="00572490" w:rsidRDefault="008260A4" w:rsidP="00105865">
            <w:pPr>
              <w:rPr>
                <w:sz w:val="20"/>
                <w:szCs w:val="20"/>
              </w:rPr>
            </w:pPr>
            <w:r w:rsidRPr="00A7323A">
              <w:rPr>
                <w:sz w:val="20"/>
                <w:szCs w:val="20"/>
              </w:rPr>
              <w:t>Expert opinion (correspondence Graham Foster)</w:t>
            </w:r>
          </w:p>
        </w:tc>
      </w:tr>
      <w:tr w:rsidR="008260A4" w14:paraId="4922CED2" w14:textId="77777777" w:rsidTr="008260A4">
        <w:trPr>
          <w:trHeight w:val="596"/>
          <w:tblHeader/>
        </w:trPr>
        <w:tc>
          <w:tcPr>
            <w:tcW w:w="2122" w:type="dxa"/>
            <w:tcBorders>
              <w:top w:val="single" w:sz="4" w:space="0" w:color="auto"/>
              <w:left w:val="single" w:sz="4" w:space="0" w:color="auto"/>
              <w:right w:val="single" w:sz="4" w:space="0" w:color="auto"/>
            </w:tcBorders>
            <w:hideMark/>
          </w:tcPr>
          <w:p w14:paraId="2D4590EE" w14:textId="77777777" w:rsidR="008260A4" w:rsidRPr="00A7323A" w:rsidRDefault="008260A4" w:rsidP="00105865">
            <w:pPr>
              <w:rPr>
                <w:sz w:val="20"/>
                <w:szCs w:val="20"/>
              </w:rPr>
            </w:pPr>
            <w:r>
              <w:rPr>
                <w:sz w:val="20"/>
                <w:szCs w:val="20"/>
              </w:rPr>
              <w:t>Adherence Support</w:t>
            </w:r>
          </w:p>
        </w:tc>
        <w:tc>
          <w:tcPr>
            <w:tcW w:w="1984" w:type="dxa"/>
            <w:tcBorders>
              <w:top w:val="single" w:sz="4" w:space="0" w:color="auto"/>
              <w:left w:val="single" w:sz="4" w:space="0" w:color="auto"/>
              <w:right w:val="single" w:sz="4" w:space="0" w:color="auto"/>
            </w:tcBorders>
            <w:hideMark/>
          </w:tcPr>
          <w:p w14:paraId="60D5BC2C" w14:textId="77777777" w:rsidR="008260A4" w:rsidRPr="00572490" w:rsidRDefault="008260A4" w:rsidP="00105865">
            <w:pPr>
              <w:rPr>
                <w:sz w:val="20"/>
                <w:szCs w:val="20"/>
              </w:rPr>
            </w:pPr>
          </w:p>
        </w:tc>
        <w:tc>
          <w:tcPr>
            <w:tcW w:w="1843" w:type="dxa"/>
            <w:tcBorders>
              <w:top w:val="single" w:sz="4" w:space="0" w:color="auto"/>
              <w:left w:val="single" w:sz="4" w:space="0" w:color="auto"/>
              <w:right w:val="single" w:sz="4" w:space="0" w:color="auto"/>
            </w:tcBorders>
            <w:hideMark/>
          </w:tcPr>
          <w:p w14:paraId="02A0C94B" w14:textId="77777777" w:rsidR="008260A4" w:rsidRPr="00572490" w:rsidRDefault="008260A4" w:rsidP="00105865">
            <w:pPr>
              <w:rPr>
                <w:sz w:val="20"/>
                <w:szCs w:val="20"/>
              </w:rPr>
            </w:pPr>
            <w:r>
              <w:rPr>
                <w:sz w:val="20"/>
                <w:szCs w:val="20"/>
              </w:rPr>
              <w:t>8,351.98</w:t>
            </w:r>
          </w:p>
        </w:tc>
        <w:tc>
          <w:tcPr>
            <w:tcW w:w="2126" w:type="dxa"/>
            <w:vMerge/>
            <w:tcBorders>
              <w:left w:val="single" w:sz="4" w:space="0" w:color="auto"/>
              <w:right w:val="single" w:sz="4" w:space="0" w:color="auto"/>
            </w:tcBorders>
          </w:tcPr>
          <w:p w14:paraId="6D56E589"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39B0A7D1" w14:textId="77777777" w:rsidR="008260A4" w:rsidRPr="00572490" w:rsidRDefault="008260A4" w:rsidP="00105865">
            <w:pPr>
              <w:rPr>
                <w:sz w:val="20"/>
                <w:szCs w:val="20"/>
              </w:rPr>
            </w:pPr>
            <w:r w:rsidRPr="00572490">
              <w:rPr>
                <w:sz w:val="20"/>
                <w:szCs w:val="20"/>
              </w:rPr>
              <w:t>UCH and Groundswell financial records</w:t>
            </w:r>
          </w:p>
        </w:tc>
      </w:tr>
      <w:tr w:rsidR="008260A4" w14:paraId="6BF5B103" w14:textId="77777777" w:rsidTr="008260A4">
        <w:trPr>
          <w:trHeight w:val="307"/>
        </w:trPr>
        <w:tc>
          <w:tcPr>
            <w:tcW w:w="2122" w:type="dxa"/>
            <w:vMerge w:val="restart"/>
            <w:hideMark/>
          </w:tcPr>
          <w:p w14:paraId="57653C95" w14:textId="77777777" w:rsidR="008260A4" w:rsidRPr="00A7323A" w:rsidRDefault="008260A4" w:rsidP="00105865">
            <w:pPr>
              <w:rPr>
                <w:sz w:val="20"/>
                <w:szCs w:val="20"/>
              </w:rPr>
            </w:pPr>
            <w:r w:rsidRPr="00572490">
              <w:rPr>
                <w:sz w:val="20"/>
                <w:szCs w:val="20"/>
              </w:rPr>
              <w:t xml:space="preserve">Peer support of </w:t>
            </w:r>
            <w:r>
              <w:rPr>
                <w:sz w:val="20"/>
                <w:szCs w:val="20"/>
              </w:rPr>
              <w:t>p</w:t>
            </w:r>
            <w:r w:rsidRPr="00546768">
              <w:rPr>
                <w:sz w:val="20"/>
                <w:szCs w:val="20"/>
              </w:rPr>
              <w:t>ost treatment visits 12 weeks and 1 year</w:t>
            </w:r>
          </w:p>
        </w:tc>
        <w:tc>
          <w:tcPr>
            <w:tcW w:w="1984" w:type="dxa"/>
            <w:hideMark/>
          </w:tcPr>
          <w:p w14:paraId="61D2085A"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right w:val="single" w:sz="4" w:space="0" w:color="auto"/>
            </w:tcBorders>
            <w:hideMark/>
          </w:tcPr>
          <w:p w14:paraId="519757EF" w14:textId="77777777" w:rsidR="008260A4" w:rsidRPr="00572490" w:rsidRDefault="008260A4" w:rsidP="00105865">
            <w:pPr>
              <w:rPr>
                <w:sz w:val="20"/>
                <w:szCs w:val="20"/>
              </w:rPr>
            </w:pPr>
            <w:r>
              <w:rPr>
                <w:sz w:val="20"/>
                <w:szCs w:val="20"/>
              </w:rPr>
              <w:t>8,326.98</w:t>
            </w:r>
          </w:p>
        </w:tc>
        <w:tc>
          <w:tcPr>
            <w:tcW w:w="2126" w:type="dxa"/>
            <w:vMerge/>
            <w:tcBorders>
              <w:left w:val="single" w:sz="4" w:space="0" w:color="auto"/>
              <w:right w:val="single" w:sz="4" w:space="0" w:color="auto"/>
            </w:tcBorders>
          </w:tcPr>
          <w:p w14:paraId="3615539A" w14:textId="77777777" w:rsidR="008260A4" w:rsidRPr="00572490" w:rsidRDefault="008260A4" w:rsidP="00105865">
            <w:pPr>
              <w:rPr>
                <w:sz w:val="20"/>
                <w:szCs w:val="20"/>
              </w:rPr>
            </w:pPr>
          </w:p>
        </w:tc>
        <w:tc>
          <w:tcPr>
            <w:tcW w:w="2268" w:type="dxa"/>
            <w:vMerge w:val="restart"/>
            <w:tcBorders>
              <w:left w:val="single" w:sz="4" w:space="0" w:color="auto"/>
            </w:tcBorders>
            <w:hideMark/>
          </w:tcPr>
          <w:p w14:paraId="6B35045F" w14:textId="77777777" w:rsidR="008260A4" w:rsidRPr="00572490" w:rsidRDefault="008260A4" w:rsidP="00105865">
            <w:pPr>
              <w:rPr>
                <w:sz w:val="20"/>
                <w:szCs w:val="20"/>
              </w:rPr>
            </w:pPr>
            <w:r w:rsidRPr="00572490">
              <w:rPr>
                <w:sz w:val="20"/>
                <w:szCs w:val="20"/>
              </w:rPr>
              <w:t>UCH and Groundswell financial records</w:t>
            </w:r>
          </w:p>
        </w:tc>
      </w:tr>
      <w:tr w:rsidR="008260A4" w14:paraId="34D31503" w14:textId="77777777" w:rsidTr="008260A4">
        <w:trPr>
          <w:trHeight w:val="307"/>
        </w:trPr>
        <w:tc>
          <w:tcPr>
            <w:tcW w:w="2122" w:type="dxa"/>
            <w:vMerge/>
          </w:tcPr>
          <w:p w14:paraId="4B94ADB6" w14:textId="77777777" w:rsidR="008260A4" w:rsidRPr="00572490" w:rsidRDefault="008260A4" w:rsidP="00105865">
            <w:pPr>
              <w:rPr>
                <w:sz w:val="20"/>
                <w:szCs w:val="20"/>
              </w:rPr>
            </w:pPr>
          </w:p>
        </w:tc>
        <w:tc>
          <w:tcPr>
            <w:tcW w:w="1984" w:type="dxa"/>
          </w:tcPr>
          <w:p w14:paraId="21D8EF11"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right w:val="single" w:sz="4" w:space="0" w:color="auto"/>
            </w:tcBorders>
          </w:tcPr>
          <w:p w14:paraId="1A5831C0" w14:textId="77777777" w:rsidR="008260A4" w:rsidRPr="00572490" w:rsidRDefault="008260A4" w:rsidP="00105865">
            <w:pPr>
              <w:rPr>
                <w:sz w:val="20"/>
                <w:szCs w:val="20"/>
              </w:rPr>
            </w:pPr>
            <w:r>
              <w:rPr>
                <w:sz w:val="20"/>
                <w:szCs w:val="20"/>
              </w:rPr>
              <w:t>158.33 per person</w:t>
            </w:r>
          </w:p>
        </w:tc>
        <w:tc>
          <w:tcPr>
            <w:tcW w:w="2126" w:type="dxa"/>
            <w:vMerge/>
            <w:tcBorders>
              <w:left w:val="single" w:sz="4" w:space="0" w:color="auto"/>
              <w:right w:val="single" w:sz="4" w:space="0" w:color="auto"/>
            </w:tcBorders>
          </w:tcPr>
          <w:p w14:paraId="44794CAB" w14:textId="77777777" w:rsidR="008260A4" w:rsidRPr="00A7323A" w:rsidRDefault="008260A4" w:rsidP="00105865">
            <w:pPr>
              <w:rPr>
                <w:sz w:val="20"/>
                <w:szCs w:val="20"/>
              </w:rPr>
            </w:pPr>
          </w:p>
        </w:tc>
        <w:tc>
          <w:tcPr>
            <w:tcW w:w="2268" w:type="dxa"/>
            <w:vMerge/>
            <w:tcBorders>
              <w:left w:val="single" w:sz="4" w:space="0" w:color="auto"/>
            </w:tcBorders>
          </w:tcPr>
          <w:p w14:paraId="7C7F259E" w14:textId="77777777" w:rsidR="008260A4" w:rsidRPr="00572490" w:rsidRDefault="008260A4" w:rsidP="00105865">
            <w:pPr>
              <w:rPr>
                <w:sz w:val="20"/>
                <w:szCs w:val="20"/>
              </w:rPr>
            </w:pPr>
          </w:p>
        </w:tc>
      </w:tr>
    </w:tbl>
    <w:p w14:paraId="20D9DC3F" w14:textId="77777777" w:rsidR="008260A4" w:rsidRDefault="008260A4" w:rsidP="00105865">
      <w:pPr>
        <w:spacing w:line="240" w:lineRule="auto"/>
      </w:pPr>
    </w:p>
    <w:p w14:paraId="60E333A7" w14:textId="77777777" w:rsidR="008260A4" w:rsidRDefault="008260A4" w:rsidP="00105865">
      <w:pPr>
        <w:spacing w:line="240" w:lineRule="auto"/>
      </w:pPr>
    </w:p>
    <w:p w14:paraId="0741748C" w14:textId="77777777" w:rsidR="008260A4" w:rsidRDefault="008260A4" w:rsidP="00105865">
      <w:pPr>
        <w:spacing w:line="240" w:lineRule="auto"/>
      </w:pPr>
    </w:p>
    <w:p w14:paraId="7520E165" w14:textId="77777777" w:rsidR="008260A4" w:rsidRDefault="008260A4" w:rsidP="00105865">
      <w:pPr>
        <w:spacing w:line="240" w:lineRule="auto"/>
      </w:pPr>
    </w:p>
    <w:p w14:paraId="0973C4EC" w14:textId="77777777" w:rsidR="008260A4" w:rsidRDefault="008260A4" w:rsidP="00105865">
      <w:pPr>
        <w:spacing w:line="240" w:lineRule="auto"/>
      </w:pPr>
    </w:p>
    <w:p w14:paraId="3956547F" w14:textId="77777777" w:rsidR="008260A4" w:rsidRDefault="008260A4" w:rsidP="00105865">
      <w:pPr>
        <w:spacing w:line="240" w:lineRule="auto"/>
      </w:pPr>
    </w:p>
    <w:p w14:paraId="3FF45FE8" w14:textId="77777777" w:rsidR="008260A4" w:rsidRDefault="008260A4" w:rsidP="00105865">
      <w:pPr>
        <w:spacing w:line="240" w:lineRule="auto"/>
      </w:pPr>
    </w:p>
    <w:p w14:paraId="1D1023F8" w14:textId="77777777" w:rsidR="008260A4" w:rsidRDefault="008260A4" w:rsidP="00105865">
      <w:pPr>
        <w:spacing w:line="240" w:lineRule="auto"/>
      </w:pPr>
    </w:p>
    <w:p w14:paraId="286DFADA" w14:textId="77777777" w:rsidR="005328D1" w:rsidRDefault="005328D1" w:rsidP="00105865">
      <w:pPr>
        <w:spacing w:line="240" w:lineRule="auto"/>
        <w:rPr>
          <w:b/>
        </w:rPr>
      </w:pPr>
      <w:r>
        <w:rPr>
          <w:b/>
        </w:rPr>
        <w:br w:type="page"/>
      </w:r>
    </w:p>
    <w:p w14:paraId="0F40AF06" w14:textId="67F9494A" w:rsidR="008260A4" w:rsidRPr="0023308E" w:rsidRDefault="008260A4" w:rsidP="00105865">
      <w:pPr>
        <w:spacing w:line="240" w:lineRule="auto"/>
        <w:rPr>
          <w:b/>
        </w:rPr>
      </w:pPr>
      <w:r>
        <w:rPr>
          <w:b/>
        </w:rPr>
        <w:lastRenderedPageBreak/>
        <w:t xml:space="preserve">Table </w:t>
      </w:r>
      <w:r w:rsidR="00091C92">
        <w:rPr>
          <w:b/>
        </w:rPr>
        <w:t>S8</w:t>
      </w:r>
      <w:r>
        <w:rPr>
          <w:b/>
        </w:rPr>
        <w:t>: Scenario 4: Cost of overheads tripled</w:t>
      </w:r>
    </w:p>
    <w:tbl>
      <w:tblPr>
        <w:tblStyle w:val="TableGrid"/>
        <w:tblW w:w="10343" w:type="dxa"/>
        <w:tblLayout w:type="fixed"/>
        <w:tblLook w:val="04A0" w:firstRow="1" w:lastRow="0" w:firstColumn="1" w:lastColumn="0" w:noHBand="0" w:noVBand="1"/>
      </w:tblPr>
      <w:tblGrid>
        <w:gridCol w:w="2122"/>
        <w:gridCol w:w="1984"/>
        <w:gridCol w:w="1843"/>
        <w:gridCol w:w="2126"/>
        <w:gridCol w:w="2268"/>
      </w:tblGrid>
      <w:tr w:rsidR="008260A4" w14:paraId="33B2DD3D" w14:textId="77777777" w:rsidTr="008260A4">
        <w:trPr>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87290F" w14:textId="77777777" w:rsidR="008260A4" w:rsidRDefault="008260A4" w:rsidP="00105865">
            <w:pPr>
              <w:rPr>
                <w:b/>
              </w:rPr>
            </w:pPr>
            <w:r>
              <w:rPr>
                <w:b/>
              </w:rPr>
              <w:t>Scenario 4: Cost of overheads tripled.</w:t>
            </w:r>
          </w:p>
          <w:p w14:paraId="3F3F00E9" w14:textId="77777777" w:rsidR="008260A4" w:rsidRDefault="008260A4" w:rsidP="00105865">
            <w:pPr>
              <w:rPr>
                <w:b/>
              </w:rPr>
            </w:pPr>
          </w:p>
          <w:p w14:paraId="6F12CA07" w14:textId="77777777" w:rsidR="008260A4" w:rsidRDefault="008260A4" w:rsidP="00105865">
            <w:pPr>
              <w:rPr>
                <w:b/>
              </w:rPr>
            </w:pPr>
            <w:r>
              <w:rPr>
                <w:b/>
              </w:rPr>
              <w:t>Activity Cost for 1 year 2017/2018</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EDD5126" w14:textId="77777777" w:rsidR="008260A4" w:rsidRDefault="008260A4" w:rsidP="00105865">
            <w:pPr>
              <w:rPr>
                <w:b/>
              </w:rPr>
            </w:pPr>
            <w:r>
              <w:rPr>
                <w:b/>
              </w:rPr>
              <w:t>Costs (£) 2017/18</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7EFA24" w14:textId="77777777" w:rsidR="008260A4" w:rsidRDefault="008260A4" w:rsidP="00105865">
            <w:pPr>
              <w:rPr>
                <w:b/>
              </w:rPr>
            </w:pPr>
            <w:r>
              <w:rPr>
                <w:b/>
              </w:rPr>
              <w:t>Model Input</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14F2106" w14:textId="77777777" w:rsidR="008260A4" w:rsidRDefault="008260A4" w:rsidP="00105865">
            <w:pPr>
              <w:rPr>
                <w:b/>
              </w:rPr>
            </w:pPr>
            <w:r>
              <w:rPr>
                <w:b/>
              </w:rPr>
              <w:t>Source</w:t>
            </w:r>
          </w:p>
        </w:tc>
      </w:tr>
      <w:tr w:rsidR="008260A4" w14:paraId="45156A4B" w14:textId="77777777" w:rsidTr="008260A4">
        <w:trPr>
          <w:trHeight w:val="580"/>
          <w:tblHeader/>
        </w:trPr>
        <w:tc>
          <w:tcPr>
            <w:tcW w:w="4106" w:type="dxa"/>
            <w:gridSpan w:val="2"/>
            <w:tcBorders>
              <w:top w:val="single" w:sz="4" w:space="0" w:color="auto"/>
              <w:left w:val="single" w:sz="4" w:space="0" w:color="auto"/>
              <w:bottom w:val="single" w:sz="4" w:space="0" w:color="auto"/>
              <w:right w:val="single" w:sz="4" w:space="0" w:color="auto"/>
            </w:tcBorders>
            <w:hideMark/>
          </w:tcPr>
          <w:p w14:paraId="6FDE42E0" w14:textId="77777777" w:rsidR="008260A4" w:rsidRPr="00A7323A" w:rsidRDefault="008260A4" w:rsidP="00105865">
            <w:pPr>
              <w:rPr>
                <w:sz w:val="20"/>
                <w:szCs w:val="20"/>
              </w:rPr>
            </w:pPr>
            <w:r w:rsidRPr="00A7323A">
              <w:rPr>
                <w:sz w:val="20"/>
                <w:szCs w:val="20"/>
              </w:rPr>
              <w:t xml:space="preserve">Total Cost </w:t>
            </w:r>
          </w:p>
        </w:tc>
        <w:tc>
          <w:tcPr>
            <w:tcW w:w="1843" w:type="dxa"/>
            <w:tcBorders>
              <w:top w:val="single" w:sz="4" w:space="0" w:color="auto"/>
              <w:left w:val="single" w:sz="4" w:space="0" w:color="auto"/>
              <w:bottom w:val="single" w:sz="4" w:space="0" w:color="auto"/>
              <w:right w:val="single" w:sz="4" w:space="0" w:color="auto"/>
            </w:tcBorders>
          </w:tcPr>
          <w:p w14:paraId="3CB883C9" w14:textId="77777777" w:rsidR="008260A4" w:rsidRPr="00A7323A" w:rsidRDefault="008260A4" w:rsidP="00105865">
            <w:pPr>
              <w:rPr>
                <w:sz w:val="20"/>
                <w:szCs w:val="20"/>
              </w:rPr>
            </w:pPr>
            <w:r w:rsidRPr="00A7323A">
              <w:rPr>
                <w:sz w:val="20"/>
                <w:szCs w:val="20"/>
              </w:rPr>
              <w:t>1</w:t>
            </w:r>
            <w:r>
              <w:rPr>
                <w:sz w:val="20"/>
                <w:szCs w:val="20"/>
              </w:rPr>
              <w:t>29,816.70</w:t>
            </w:r>
          </w:p>
        </w:tc>
        <w:tc>
          <w:tcPr>
            <w:tcW w:w="2126" w:type="dxa"/>
            <w:tcBorders>
              <w:top w:val="single" w:sz="4" w:space="0" w:color="auto"/>
              <w:left w:val="single" w:sz="4" w:space="0" w:color="auto"/>
              <w:bottom w:val="single" w:sz="4" w:space="0" w:color="auto"/>
              <w:right w:val="single" w:sz="4" w:space="0" w:color="auto"/>
            </w:tcBorders>
          </w:tcPr>
          <w:p w14:paraId="0DA48BF7"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C9A4351" w14:textId="77777777" w:rsidR="008260A4" w:rsidRPr="00A7323A" w:rsidRDefault="008260A4" w:rsidP="00105865">
            <w:pPr>
              <w:rPr>
                <w:sz w:val="20"/>
                <w:szCs w:val="20"/>
              </w:rPr>
            </w:pPr>
            <w:r w:rsidRPr="00A7323A">
              <w:rPr>
                <w:sz w:val="20"/>
                <w:szCs w:val="20"/>
              </w:rPr>
              <w:t>UCH and Groundswell financial records</w:t>
            </w:r>
          </w:p>
        </w:tc>
      </w:tr>
      <w:tr w:rsidR="008260A4" w14:paraId="50469372" w14:textId="77777777" w:rsidTr="008260A4">
        <w:trPr>
          <w:trHeight w:val="418"/>
          <w:tblHeader/>
        </w:trPr>
        <w:tc>
          <w:tcPr>
            <w:tcW w:w="2122" w:type="dxa"/>
            <w:vMerge w:val="restart"/>
            <w:tcBorders>
              <w:top w:val="single" w:sz="4" w:space="0" w:color="auto"/>
              <w:left w:val="single" w:sz="4" w:space="0" w:color="auto"/>
              <w:right w:val="single" w:sz="4" w:space="0" w:color="auto"/>
            </w:tcBorders>
            <w:hideMark/>
          </w:tcPr>
          <w:p w14:paraId="619BA06D" w14:textId="77777777" w:rsidR="008260A4" w:rsidRPr="00A7323A" w:rsidRDefault="008260A4" w:rsidP="00105865">
            <w:pPr>
              <w:rPr>
                <w:sz w:val="20"/>
                <w:szCs w:val="20"/>
              </w:rPr>
            </w:pPr>
            <w:r w:rsidRPr="00A7323A">
              <w:rPr>
                <w:sz w:val="20"/>
                <w:szCs w:val="20"/>
              </w:rPr>
              <w:t xml:space="preserve">Total cost of Outreach </w:t>
            </w:r>
          </w:p>
        </w:tc>
        <w:tc>
          <w:tcPr>
            <w:tcW w:w="1984" w:type="dxa"/>
            <w:tcBorders>
              <w:top w:val="single" w:sz="4" w:space="0" w:color="auto"/>
              <w:left w:val="single" w:sz="4" w:space="0" w:color="auto"/>
              <w:bottom w:val="single" w:sz="4" w:space="0" w:color="auto"/>
              <w:right w:val="single" w:sz="4" w:space="0" w:color="auto"/>
            </w:tcBorders>
            <w:hideMark/>
          </w:tcPr>
          <w:p w14:paraId="2A6665FE" w14:textId="77777777" w:rsidR="008260A4" w:rsidRPr="00A7323A" w:rsidRDefault="008260A4" w:rsidP="00105865">
            <w:pPr>
              <w:rPr>
                <w:sz w:val="20"/>
                <w:szCs w:val="20"/>
              </w:rPr>
            </w:pPr>
            <w:r w:rsidRPr="00A7323A">
              <w:rPr>
                <w:sz w:val="20"/>
                <w:szCs w:val="20"/>
              </w:rPr>
              <w:t>In outreach location</w:t>
            </w:r>
          </w:p>
        </w:tc>
        <w:tc>
          <w:tcPr>
            <w:tcW w:w="1843" w:type="dxa"/>
            <w:tcBorders>
              <w:top w:val="single" w:sz="4" w:space="0" w:color="auto"/>
              <w:left w:val="single" w:sz="4" w:space="0" w:color="auto"/>
              <w:bottom w:val="single" w:sz="4" w:space="0" w:color="auto"/>
              <w:right w:val="single" w:sz="4" w:space="0" w:color="auto"/>
            </w:tcBorders>
          </w:tcPr>
          <w:p w14:paraId="3563866F" w14:textId="77777777" w:rsidR="008260A4" w:rsidRPr="00A7323A" w:rsidRDefault="008260A4" w:rsidP="00105865">
            <w:pPr>
              <w:rPr>
                <w:sz w:val="20"/>
                <w:szCs w:val="20"/>
              </w:rPr>
            </w:pPr>
            <w:r w:rsidRPr="00A7323A">
              <w:rPr>
                <w:sz w:val="20"/>
                <w:szCs w:val="20"/>
              </w:rPr>
              <w:t>1</w:t>
            </w:r>
            <w:r>
              <w:rPr>
                <w:sz w:val="20"/>
                <w:szCs w:val="20"/>
              </w:rPr>
              <w:t>6,475.45</w:t>
            </w:r>
          </w:p>
        </w:tc>
        <w:tc>
          <w:tcPr>
            <w:tcW w:w="2126" w:type="dxa"/>
            <w:vMerge w:val="restart"/>
            <w:tcBorders>
              <w:top w:val="single" w:sz="4" w:space="0" w:color="auto"/>
              <w:left w:val="single" w:sz="4" w:space="0" w:color="auto"/>
              <w:right w:val="single" w:sz="4" w:space="0" w:color="auto"/>
            </w:tcBorders>
          </w:tcPr>
          <w:p w14:paraId="46291CE7" w14:textId="77777777" w:rsidR="008260A4" w:rsidRDefault="008260A4" w:rsidP="00105865">
            <w:pPr>
              <w:rPr>
                <w:sz w:val="20"/>
                <w:szCs w:val="20"/>
              </w:rPr>
            </w:pPr>
            <w:r w:rsidRPr="00A7323A">
              <w:rPr>
                <w:sz w:val="20"/>
                <w:szCs w:val="20"/>
              </w:rPr>
              <w:t xml:space="preserve">Total Cost of </w:t>
            </w:r>
            <w:r>
              <w:rPr>
                <w:sz w:val="20"/>
                <w:szCs w:val="20"/>
              </w:rPr>
              <w:t>Diagnosis</w:t>
            </w:r>
          </w:p>
          <w:p w14:paraId="324695D2" w14:textId="77777777" w:rsidR="008260A4" w:rsidRDefault="008260A4" w:rsidP="00105865">
            <w:pPr>
              <w:rPr>
                <w:sz w:val="20"/>
                <w:szCs w:val="20"/>
              </w:rPr>
            </w:pPr>
            <w:r w:rsidRPr="00A7323A">
              <w:rPr>
                <w:sz w:val="20"/>
                <w:szCs w:val="20"/>
              </w:rPr>
              <w:t>(1 year)</w:t>
            </w:r>
          </w:p>
          <w:p w14:paraId="58EE7334" w14:textId="77777777" w:rsidR="008260A4" w:rsidRDefault="008260A4" w:rsidP="00105865">
            <w:pPr>
              <w:rPr>
                <w:sz w:val="20"/>
                <w:szCs w:val="20"/>
              </w:rPr>
            </w:pPr>
          </w:p>
          <w:p w14:paraId="4EC66A88" w14:textId="77777777" w:rsidR="008260A4" w:rsidRPr="00A7323A" w:rsidRDefault="008260A4" w:rsidP="00105865">
            <w:pPr>
              <w:rPr>
                <w:sz w:val="20"/>
                <w:szCs w:val="20"/>
              </w:rPr>
            </w:pPr>
            <w:r w:rsidRPr="00A7323A">
              <w:rPr>
                <w:sz w:val="20"/>
                <w:szCs w:val="20"/>
              </w:rPr>
              <w:t>6</w:t>
            </w:r>
            <w:r>
              <w:rPr>
                <w:sz w:val="20"/>
                <w:szCs w:val="20"/>
              </w:rPr>
              <w:t>1,891.23</w:t>
            </w:r>
          </w:p>
        </w:tc>
        <w:tc>
          <w:tcPr>
            <w:tcW w:w="2268" w:type="dxa"/>
            <w:tcBorders>
              <w:top w:val="single" w:sz="4" w:space="0" w:color="auto"/>
              <w:left w:val="single" w:sz="4" w:space="0" w:color="auto"/>
              <w:bottom w:val="single" w:sz="4" w:space="0" w:color="auto"/>
              <w:right w:val="single" w:sz="4" w:space="0" w:color="auto"/>
            </w:tcBorders>
          </w:tcPr>
          <w:p w14:paraId="2CF1B8AD" w14:textId="77777777" w:rsidR="008260A4" w:rsidRPr="00A7323A" w:rsidRDefault="008260A4" w:rsidP="00105865">
            <w:pPr>
              <w:rPr>
                <w:sz w:val="20"/>
                <w:szCs w:val="20"/>
              </w:rPr>
            </w:pPr>
            <w:r w:rsidRPr="00A7323A">
              <w:rPr>
                <w:sz w:val="20"/>
                <w:szCs w:val="20"/>
              </w:rPr>
              <w:t>UCH and Groundswell financial records</w:t>
            </w:r>
          </w:p>
        </w:tc>
      </w:tr>
      <w:tr w:rsidR="008260A4" w14:paraId="47842F61" w14:textId="77777777" w:rsidTr="008260A4">
        <w:trPr>
          <w:trHeight w:val="481"/>
          <w:tblHeader/>
        </w:trPr>
        <w:tc>
          <w:tcPr>
            <w:tcW w:w="2122" w:type="dxa"/>
            <w:vMerge/>
            <w:tcBorders>
              <w:left w:val="single" w:sz="4" w:space="0" w:color="auto"/>
              <w:right w:val="single" w:sz="4" w:space="0" w:color="auto"/>
            </w:tcBorders>
          </w:tcPr>
          <w:p w14:paraId="3E936B02"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7D0976" w14:textId="77777777" w:rsidR="008260A4" w:rsidRDefault="008260A4" w:rsidP="00105865">
            <w:pPr>
              <w:rPr>
                <w:sz w:val="20"/>
                <w:szCs w:val="20"/>
              </w:rPr>
            </w:pPr>
            <w:r w:rsidRPr="00A7323A">
              <w:rPr>
                <w:sz w:val="20"/>
                <w:szCs w:val="20"/>
              </w:rPr>
              <w:t>In mobile health unit</w:t>
            </w:r>
          </w:p>
          <w:p w14:paraId="2FE0D6A0" w14:textId="77777777" w:rsidR="008260A4" w:rsidRPr="00A7323A" w:rsidRDefault="008260A4" w:rsidP="00105865">
            <w:pPr>
              <w:rPr>
                <w:sz w:val="20"/>
                <w:szCs w:val="20"/>
              </w:rPr>
            </w:pPr>
          </w:p>
        </w:tc>
        <w:tc>
          <w:tcPr>
            <w:tcW w:w="1843" w:type="dxa"/>
            <w:tcBorders>
              <w:top w:val="single" w:sz="4" w:space="0" w:color="auto"/>
              <w:left w:val="single" w:sz="4" w:space="0" w:color="auto"/>
              <w:right w:val="single" w:sz="4" w:space="0" w:color="auto"/>
            </w:tcBorders>
          </w:tcPr>
          <w:p w14:paraId="5F967B09" w14:textId="77777777" w:rsidR="008260A4" w:rsidRPr="00A7323A" w:rsidRDefault="008260A4" w:rsidP="00105865">
            <w:pPr>
              <w:rPr>
                <w:sz w:val="20"/>
                <w:szCs w:val="20"/>
              </w:rPr>
            </w:pPr>
            <w:r>
              <w:rPr>
                <w:sz w:val="20"/>
                <w:szCs w:val="20"/>
              </w:rPr>
              <w:t>24,696.38</w:t>
            </w:r>
          </w:p>
        </w:tc>
        <w:tc>
          <w:tcPr>
            <w:tcW w:w="2126" w:type="dxa"/>
            <w:vMerge/>
            <w:tcBorders>
              <w:left w:val="single" w:sz="4" w:space="0" w:color="auto"/>
              <w:right w:val="single" w:sz="4" w:space="0" w:color="auto"/>
            </w:tcBorders>
          </w:tcPr>
          <w:p w14:paraId="2AFAE9FA"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76EEF043" w14:textId="77777777" w:rsidR="008260A4" w:rsidRPr="00A7323A" w:rsidRDefault="008260A4" w:rsidP="00105865">
            <w:pPr>
              <w:rPr>
                <w:sz w:val="20"/>
                <w:szCs w:val="20"/>
              </w:rPr>
            </w:pPr>
            <w:r w:rsidRPr="00A7323A">
              <w:rPr>
                <w:sz w:val="20"/>
                <w:szCs w:val="20"/>
              </w:rPr>
              <w:t>UCH and Groundswell financial records</w:t>
            </w:r>
          </w:p>
        </w:tc>
      </w:tr>
      <w:tr w:rsidR="008260A4" w14:paraId="333D5E9F" w14:textId="77777777" w:rsidTr="008260A4">
        <w:trPr>
          <w:trHeight w:val="559"/>
          <w:tblHeader/>
        </w:trPr>
        <w:tc>
          <w:tcPr>
            <w:tcW w:w="2122" w:type="dxa"/>
            <w:vMerge/>
            <w:tcBorders>
              <w:left w:val="single" w:sz="4" w:space="0" w:color="auto"/>
              <w:bottom w:val="single" w:sz="4" w:space="0" w:color="auto"/>
              <w:right w:val="single" w:sz="4" w:space="0" w:color="auto"/>
            </w:tcBorders>
          </w:tcPr>
          <w:p w14:paraId="351A6B97"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19E410B" w14:textId="77777777" w:rsidR="008260A4" w:rsidRPr="00A7323A" w:rsidRDefault="008260A4" w:rsidP="00105865">
            <w:pPr>
              <w:rPr>
                <w:sz w:val="20"/>
                <w:szCs w:val="20"/>
              </w:rPr>
            </w:pPr>
            <w:r>
              <w:rPr>
                <w:sz w:val="20"/>
                <w:szCs w:val="20"/>
              </w:rPr>
              <w:t>Informing HCV- patients of their status</w:t>
            </w:r>
          </w:p>
        </w:tc>
        <w:tc>
          <w:tcPr>
            <w:tcW w:w="1843" w:type="dxa"/>
            <w:tcBorders>
              <w:left w:val="single" w:sz="4" w:space="0" w:color="auto"/>
              <w:bottom w:val="single" w:sz="4" w:space="0" w:color="auto"/>
              <w:right w:val="single" w:sz="4" w:space="0" w:color="auto"/>
            </w:tcBorders>
          </w:tcPr>
          <w:p w14:paraId="3F321DE2" w14:textId="77777777" w:rsidR="008260A4" w:rsidRPr="00A7323A" w:rsidRDefault="008260A4" w:rsidP="00105865">
            <w:pPr>
              <w:rPr>
                <w:sz w:val="20"/>
                <w:szCs w:val="20"/>
              </w:rPr>
            </w:pPr>
            <w:r>
              <w:rPr>
                <w:sz w:val="20"/>
                <w:szCs w:val="20"/>
              </w:rPr>
              <w:t>5,074.82</w:t>
            </w:r>
          </w:p>
        </w:tc>
        <w:tc>
          <w:tcPr>
            <w:tcW w:w="2126" w:type="dxa"/>
            <w:vMerge/>
            <w:tcBorders>
              <w:left w:val="single" w:sz="4" w:space="0" w:color="auto"/>
              <w:right w:val="single" w:sz="4" w:space="0" w:color="auto"/>
            </w:tcBorders>
          </w:tcPr>
          <w:p w14:paraId="00B14D9C"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tcPr>
          <w:p w14:paraId="2CFAF95E" w14:textId="77777777" w:rsidR="008260A4" w:rsidRPr="00A7323A" w:rsidRDefault="008260A4" w:rsidP="00105865">
            <w:pPr>
              <w:rPr>
                <w:sz w:val="20"/>
                <w:szCs w:val="20"/>
              </w:rPr>
            </w:pPr>
          </w:p>
        </w:tc>
      </w:tr>
      <w:tr w:rsidR="008260A4" w14:paraId="3DFE90FC" w14:textId="77777777" w:rsidTr="008260A4">
        <w:trPr>
          <w:trHeight w:val="562"/>
          <w:tblHeader/>
        </w:trPr>
        <w:tc>
          <w:tcPr>
            <w:tcW w:w="2122" w:type="dxa"/>
            <w:vMerge w:val="restart"/>
            <w:tcBorders>
              <w:top w:val="single" w:sz="4" w:space="0" w:color="auto"/>
              <w:left w:val="single" w:sz="4" w:space="0" w:color="auto"/>
              <w:right w:val="single" w:sz="4" w:space="0" w:color="auto"/>
            </w:tcBorders>
            <w:hideMark/>
          </w:tcPr>
          <w:p w14:paraId="5463C613" w14:textId="77777777" w:rsidR="008260A4" w:rsidRDefault="008260A4" w:rsidP="00105865">
            <w:pPr>
              <w:rPr>
                <w:sz w:val="20"/>
                <w:szCs w:val="20"/>
              </w:rPr>
            </w:pPr>
            <w:r w:rsidRPr="00A7323A">
              <w:rPr>
                <w:sz w:val="20"/>
                <w:szCs w:val="20"/>
              </w:rPr>
              <w:t>Total Cost of Test</w:t>
            </w:r>
            <w:r>
              <w:rPr>
                <w:sz w:val="20"/>
                <w:szCs w:val="20"/>
              </w:rPr>
              <w:t>s</w:t>
            </w:r>
            <w:r w:rsidRPr="00A7323A">
              <w:rPr>
                <w:sz w:val="20"/>
                <w:szCs w:val="20"/>
              </w:rPr>
              <w:t xml:space="preserve"> </w:t>
            </w:r>
          </w:p>
          <w:p w14:paraId="12B2B3F7" w14:textId="77777777" w:rsidR="008260A4" w:rsidRPr="00A7323A" w:rsidRDefault="008260A4" w:rsidP="00105865">
            <w:pPr>
              <w:rPr>
                <w:sz w:val="20"/>
                <w:szCs w:val="20"/>
              </w:rPr>
            </w:pPr>
            <w:r w:rsidRPr="00A7323A">
              <w:rPr>
                <w:sz w:val="20"/>
                <w:szCs w:val="20"/>
              </w:rPr>
              <w:t>(includes admin &amp;management, staff time, medical supplies and test costs)</w:t>
            </w:r>
          </w:p>
        </w:tc>
        <w:tc>
          <w:tcPr>
            <w:tcW w:w="1984" w:type="dxa"/>
            <w:tcBorders>
              <w:top w:val="single" w:sz="4" w:space="0" w:color="auto"/>
              <w:left w:val="single" w:sz="4" w:space="0" w:color="auto"/>
              <w:bottom w:val="single" w:sz="4" w:space="0" w:color="auto"/>
              <w:right w:val="single" w:sz="4" w:space="0" w:color="auto"/>
            </w:tcBorders>
            <w:hideMark/>
          </w:tcPr>
          <w:p w14:paraId="6CAEB97C" w14:textId="77777777" w:rsidR="008260A4" w:rsidRPr="00A7323A" w:rsidRDefault="008260A4" w:rsidP="00105865">
            <w:pPr>
              <w:rPr>
                <w:sz w:val="20"/>
                <w:szCs w:val="20"/>
              </w:rPr>
            </w:pPr>
            <w:r w:rsidRPr="00A7323A">
              <w:rPr>
                <w:sz w:val="20"/>
                <w:szCs w:val="20"/>
              </w:rPr>
              <w:t xml:space="preserve">POCT </w:t>
            </w:r>
          </w:p>
          <w:p w14:paraId="060EB114" w14:textId="77777777" w:rsidR="008260A4" w:rsidRPr="00A7323A" w:rsidRDefault="008260A4" w:rsidP="00105865">
            <w:pPr>
              <w:rPr>
                <w:sz w:val="20"/>
                <w:szCs w:val="20"/>
              </w:rPr>
            </w:pPr>
            <w:r>
              <w:rPr>
                <w:sz w:val="20"/>
                <w:szCs w:val="20"/>
              </w:rPr>
              <w:t>(98 for the year)</w:t>
            </w:r>
          </w:p>
        </w:tc>
        <w:tc>
          <w:tcPr>
            <w:tcW w:w="1843" w:type="dxa"/>
            <w:tcBorders>
              <w:top w:val="single" w:sz="4" w:space="0" w:color="auto"/>
              <w:left w:val="single" w:sz="4" w:space="0" w:color="auto"/>
              <w:bottom w:val="single" w:sz="4" w:space="0" w:color="auto"/>
              <w:right w:val="single" w:sz="4" w:space="0" w:color="auto"/>
            </w:tcBorders>
          </w:tcPr>
          <w:p w14:paraId="7CABF672" w14:textId="77777777" w:rsidR="008260A4" w:rsidRPr="00A7323A" w:rsidRDefault="008260A4" w:rsidP="00105865">
            <w:pPr>
              <w:rPr>
                <w:sz w:val="20"/>
                <w:szCs w:val="20"/>
              </w:rPr>
            </w:pPr>
            <w:r>
              <w:rPr>
                <w:sz w:val="20"/>
                <w:szCs w:val="20"/>
              </w:rPr>
              <w:t>7026.96</w:t>
            </w:r>
          </w:p>
        </w:tc>
        <w:tc>
          <w:tcPr>
            <w:tcW w:w="2126" w:type="dxa"/>
            <w:vMerge/>
            <w:tcBorders>
              <w:left w:val="single" w:sz="4" w:space="0" w:color="auto"/>
              <w:right w:val="single" w:sz="4" w:space="0" w:color="auto"/>
            </w:tcBorders>
          </w:tcPr>
          <w:p w14:paraId="6C1A7DBB"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4F5654C3" w14:textId="77777777" w:rsidR="008260A4" w:rsidRPr="00A7323A" w:rsidRDefault="008260A4" w:rsidP="00105865">
            <w:pPr>
              <w:rPr>
                <w:sz w:val="20"/>
                <w:szCs w:val="20"/>
              </w:rPr>
            </w:pPr>
            <w:r w:rsidRPr="00A7323A">
              <w:rPr>
                <w:sz w:val="20"/>
                <w:szCs w:val="20"/>
              </w:rPr>
              <w:t>UCH and Groundswell financial records</w:t>
            </w:r>
          </w:p>
        </w:tc>
      </w:tr>
      <w:tr w:rsidR="008260A4" w14:paraId="6CAAE585" w14:textId="77777777" w:rsidTr="008260A4">
        <w:trPr>
          <w:trHeight w:val="654"/>
          <w:tblHeader/>
        </w:trPr>
        <w:tc>
          <w:tcPr>
            <w:tcW w:w="2122" w:type="dxa"/>
            <w:vMerge/>
            <w:tcBorders>
              <w:left w:val="single" w:sz="4" w:space="0" w:color="auto"/>
              <w:bottom w:val="single" w:sz="4" w:space="0" w:color="auto"/>
              <w:right w:val="single" w:sz="4" w:space="0" w:color="auto"/>
            </w:tcBorders>
            <w:vAlign w:val="center"/>
            <w:hideMark/>
          </w:tcPr>
          <w:p w14:paraId="6A0CECB6"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0CE1E1CE" w14:textId="77777777" w:rsidR="008260A4" w:rsidRDefault="008260A4" w:rsidP="00105865">
            <w:pPr>
              <w:rPr>
                <w:sz w:val="20"/>
                <w:szCs w:val="20"/>
              </w:rPr>
            </w:pPr>
            <w:r w:rsidRPr="00A7323A">
              <w:rPr>
                <w:sz w:val="20"/>
                <w:szCs w:val="20"/>
              </w:rPr>
              <w:t>RNA</w:t>
            </w:r>
          </w:p>
          <w:p w14:paraId="50A04D96" w14:textId="77777777" w:rsidR="008260A4" w:rsidRPr="00A7323A" w:rsidRDefault="008260A4" w:rsidP="00105865">
            <w:pPr>
              <w:rPr>
                <w:sz w:val="20"/>
                <w:szCs w:val="20"/>
              </w:rPr>
            </w:pPr>
            <w:r>
              <w:rPr>
                <w:sz w:val="20"/>
                <w:szCs w:val="20"/>
              </w:rPr>
              <w:t>(62 for the year)</w:t>
            </w:r>
          </w:p>
        </w:tc>
        <w:tc>
          <w:tcPr>
            <w:tcW w:w="1843" w:type="dxa"/>
            <w:tcBorders>
              <w:top w:val="single" w:sz="4" w:space="0" w:color="auto"/>
              <w:left w:val="single" w:sz="4" w:space="0" w:color="auto"/>
              <w:bottom w:val="single" w:sz="4" w:space="0" w:color="auto"/>
              <w:right w:val="single" w:sz="4" w:space="0" w:color="auto"/>
            </w:tcBorders>
          </w:tcPr>
          <w:p w14:paraId="30CD64B6" w14:textId="77777777" w:rsidR="008260A4" w:rsidRPr="00A7323A" w:rsidRDefault="008260A4" w:rsidP="00105865">
            <w:pPr>
              <w:rPr>
                <w:sz w:val="20"/>
                <w:szCs w:val="20"/>
              </w:rPr>
            </w:pPr>
            <w:r>
              <w:rPr>
                <w:sz w:val="20"/>
                <w:szCs w:val="20"/>
              </w:rPr>
              <w:t>8617.62</w:t>
            </w:r>
          </w:p>
        </w:tc>
        <w:tc>
          <w:tcPr>
            <w:tcW w:w="2126" w:type="dxa"/>
            <w:vMerge/>
            <w:tcBorders>
              <w:left w:val="single" w:sz="4" w:space="0" w:color="auto"/>
              <w:bottom w:val="single" w:sz="4" w:space="0" w:color="auto"/>
              <w:right w:val="single" w:sz="4" w:space="0" w:color="auto"/>
            </w:tcBorders>
          </w:tcPr>
          <w:p w14:paraId="529D5F33"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vAlign w:val="center"/>
            <w:hideMark/>
          </w:tcPr>
          <w:p w14:paraId="7A5A137F" w14:textId="77777777" w:rsidR="008260A4" w:rsidRPr="00A7323A" w:rsidRDefault="008260A4" w:rsidP="00105865">
            <w:pPr>
              <w:rPr>
                <w:sz w:val="20"/>
                <w:szCs w:val="20"/>
              </w:rPr>
            </w:pPr>
          </w:p>
        </w:tc>
      </w:tr>
      <w:tr w:rsidR="008260A4" w14:paraId="5158A4F4" w14:textId="77777777" w:rsidTr="008260A4">
        <w:trPr>
          <w:trHeight w:val="423"/>
          <w:tblHeader/>
        </w:trPr>
        <w:tc>
          <w:tcPr>
            <w:tcW w:w="4106" w:type="dxa"/>
            <w:gridSpan w:val="2"/>
            <w:tcBorders>
              <w:top w:val="single" w:sz="4" w:space="0" w:color="auto"/>
              <w:left w:val="single" w:sz="4" w:space="0" w:color="auto"/>
              <w:right w:val="single" w:sz="4" w:space="0" w:color="auto"/>
            </w:tcBorders>
          </w:tcPr>
          <w:p w14:paraId="73341F37" w14:textId="77777777" w:rsidR="008260A4" w:rsidRPr="00A7323A" w:rsidRDefault="008260A4" w:rsidP="00105865">
            <w:pPr>
              <w:rPr>
                <w:sz w:val="20"/>
                <w:szCs w:val="20"/>
              </w:rPr>
            </w:pPr>
            <w:r w:rsidRPr="00A7323A">
              <w:rPr>
                <w:sz w:val="20"/>
                <w:szCs w:val="20"/>
              </w:rPr>
              <w:t>Fibroscan</w:t>
            </w:r>
          </w:p>
        </w:tc>
        <w:tc>
          <w:tcPr>
            <w:tcW w:w="1843" w:type="dxa"/>
            <w:tcBorders>
              <w:top w:val="single" w:sz="4" w:space="0" w:color="auto"/>
              <w:left w:val="single" w:sz="4" w:space="0" w:color="auto"/>
              <w:right w:val="single" w:sz="4" w:space="0" w:color="auto"/>
            </w:tcBorders>
          </w:tcPr>
          <w:p w14:paraId="319E8395" w14:textId="77777777" w:rsidR="008260A4" w:rsidRPr="00A7323A" w:rsidRDefault="008260A4" w:rsidP="00105865">
            <w:pPr>
              <w:rPr>
                <w:sz w:val="20"/>
                <w:szCs w:val="20"/>
              </w:rPr>
            </w:pPr>
            <w:r w:rsidRPr="00A7323A">
              <w:rPr>
                <w:sz w:val="20"/>
                <w:szCs w:val="20"/>
              </w:rPr>
              <w:t>1</w:t>
            </w:r>
            <w:r>
              <w:rPr>
                <w:sz w:val="20"/>
                <w:szCs w:val="20"/>
              </w:rPr>
              <w:t>5,250.34</w:t>
            </w:r>
          </w:p>
        </w:tc>
        <w:tc>
          <w:tcPr>
            <w:tcW w:w="2126" w:type="dxa"/>
            <w:vMerge w:val="restart"/>
            <w:tcBorders>
              <w:top w:val="single" w:sz="4" w:space="0" w:color="auto"/>
              <w:left w:val="single" w:sz="4" w:space="0" w:color="auto"/>
              <w:right w:val="single" w:sz="4" w:space="0" w:color="auto"/>
            </w:tcBorders>
          </w:tcPr>
          <w:p w14:paraId="292AB5AF" w14:textId="77777777" w:rsidR="008260A4" w:rsidRDefault="008260A4" w:rsidP="00105865">
            <w:pPr>
              <w:rPr>
                <w:sz w:val="20"/>
                <w:szCs w:val="20"/>
              </w:rPr>
            </w:pPr>
            <w:r>
              <w:rPr>
                <w:sz w:val="20"/>
                <w:szCs w:val="20"/>
              </w:rPr>
              <w:t>Total Cost of Engagement (1 year)</w:t>
            </w:r>
          </w:p>
          <w:p w14:paraId="6688CA25" w14:textId="77777777" w:rsidR="008260A4" w:rsidRDefault="008260A4" w:rsidP="00105865">
            <w:pPr>
              <w:rPr>
                <w:sz w:val="20"/>
                <w:szCs w:val="20"/>
              </w:rPr>
            </w:pPr>
          </w:p>
          <w:p w14:paraId="28BFE9E6" w14:textId="77777777" w:rsidR="008260A4" w:rsidRDefault="008260A4" w:rsidP="00105865">
            <w:pPr>
              <w:rPr>
                <w:sz w:val="20"/>
                <w:szCs w:val="20"/>
              </w:rPr>
            </w:pPr>
            <w:r w:rsidRPr="00A7323A">
              <w:rPr>
                <w:sz w:val="20"/>
                <w:szCs w:val="20"/>
              </w:rPr>
              <w:t>36,</w:t>
            </w:r>
            <w:r>
              <w:rPr>
                <w:sz w:val="20"/>
                <w:szCs w:val="20"/>
              </w:rPr>
              <w:t>787.35 + hospital costs</w:t>
            </w:r>
          </w:p>
          <w:p w14:paraId="657CEB14" w14:textId="77777777" w:rsidR="008260A4" w:rsidRDefault="008260A4" w:rsidP="00105865">
            <w:pPr>
              <w:rPr>
                <w:sz w:val="20"/>
                <w:szCs w:val="20"/>
              </w:rPr>
            </w:pPr>
          </w:p>
          <w:p w14:paraId="045345E5"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09AD1DB0" w14:textId="77777777" w:rsidR="008260A4" w:rsidRPr="00A7323A" w:rsidRDefault="008260A4" w:rsidP="00105865">
            <w:pPr>
              <w:rPr>
                <w:sz w:val="20"/>
                <w:szCs w:val="20"/>
              </w:rPr>
            </w:pPr>
          </w:p>
        </w:tc>
      </w:tr>
      <w:tr w:rsidR="008260A4" w14:paraId="36D874D9" w14:textId="77777777" w:rsidTr="008260A4">
        <w:trPr>
          <w:trHeight w:val="593"/>
          <w:tblHeader/>
        </w:trPr>
        <w:tc>
          <w:tcPr>
            <w:tcW w:w="4106" w:type="dxa"/>
            <w:gridSpan w:val="2"/>
            <w:tcBorders>
              <w:top w:val="single" w:sz="4" w:space="0" w:color="auto"/>
              <w:left w:val="single" w:sz="4" w:space="0" w:color="auto"/>
              <w:right w:val="single" w:sz="4" w:space="0" w:color="auto"/>
            </w:tcBorders>
            <w:hideMark/>
          </w:tcPr>
          <w:p w14:paraId="50BD1170" w14:textId="77777777" w:rsidR="008260A4" w:rsidRPr="00A7323A" w:rsidRDefault="008260A4" w:rsidP="00105865">
            <w:pPr>
              <w:rPr>
                <w:sz w:val="20"/>
                <w:szCs w:val="20"/>
              </w:rPr>
            </w:pPr>
            <w:r>
              <w:rPr>
                <w:sz w:val="20"/>
                <w:szCs w:val="20"/>
              </w:rPr>
              <w:t>Engagement initiation of RNA+ patients (follow up of RNA+ tests)</w:t>
            </w:r>
          </w:p>
        </w:tc>
        <w:tc>
          <w:tcPr>
            <w:tcW w:w="1843" w:type="dxa"/>
            <w:tcBorders>
              <w:top w:val="single" w:sz="4" w:space="0" w:color="auto"/>
              <w:left w:val="single" w:sz="4" w:space="0" w:color="auto"/>
              <w:right w:val="single" w:sz="4" w:space="0" w:color="auto"/>
            </w:tcBorders>
          </w:tcPr>
          <w:p w14:paraId="0052C5A4" w14:textId="77777777" w:rsidR="008260A4" w:rsidRPr="00A7323A" w:rsidRDefault="008260A4" w:rsidP="00105865">
            <w:pPr>
              <w:rPr>
                <w:sz w:val="20"/>
                <w:szCs w:val="20"/>
              </w:rPr>
            </w:pPr>
            <w:r>
              <w:rPr>
                <w:sz w:val="20"/>
                <w:szCs w:val="20"/>
              </w:rPr>
              <w:t>8028.22</w:t>
            </w:r>
          </w:p>
        </w:tc>
        <w:tc>
          <w:tcPr>
            <w:tcW w:w="2126" w:type="dxa"/>
            <w:vMerge/>
            <w:tcBorders>
              <w:left w:val="single" w:sz="4" w:space="0" w:color="auto"/>
              <w:right w:val="single" w:sz="4" w:space="0" w:color="auto"/>
            </w:tcBorders>
          </w:tcPr>
          <w:p w14:paraId="0274D0CA"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567A8F4E" w14:textId="77777777" w:rsidR="008260A4" w:rsidRPr="00A7323A" w:rsidRDefault="008260A4" w:rsidP="00105865">
            <w:pPr>
              <w:rPr>
                <w:sz w:val="20"/>
                <w:szCs w:val="20"/>
              </w:rPr>
            </w:pPr>
            <w:r w:rsidRPr="00A7323A">
              <w:rPr>
                <w:sz w:val="20"/>
                <w:szCs w:val="20"/>
              </w:rPr>
              <w:t>UCH and Groundswell financial records</w:t>
            </w:r>
          </w:p>
        </w:tc>
      </w:tr>
      <w:tr w:rsidR="008260A4" w14:paraId="55E2531C" w14:textId="77777777" w:rsidTr="008260A4">
        <w:trPr>
          <w:trHeight w:val="543"/>
          <w:tblHeader/>
        </w:trPr>
        <w:tc>
          <w:tcPr>
            <w:tcW w:w="2122" w:type="dxa"/>
            <w:vMerge w:val="restart"/>
            <w:tcBorders>
              <w:top w:val="single" w:sz="4" w:space="0" w:color="auto"/>
              <w:left w:val="single" w:sz="4" w:space="0" w:color="auto"/>
              <w:right w:val="single" w:sz="4" w:space="0" w:color="auto"/>
            </w:tcBorders>
            <w:hideMark/>
          </w:tcPr>
          <w:p w14:paraId="2907745D" w14:textId="77777777" w:rsidR="008260A4" w:rsidRPr="00A7323A" w:rsidRDefault="008260A4" w:rsidP="00105865">
            <w:pPr>
              <w:rPr>
                <w:sz w:val="20"/>
                <w:szCs w:val="20"/>
              </w:rPr>
            </w:pPr>
            <w:r>
              <w:rPr>
                <w:sz w:val="20"/>
                <w:szCs w:val="20"/>
              </w:rPr>
              <w:t>P</w:t>
            </w:r>
            <w:r w:rsidRPr="00A7323A">
              <w:rPr>
                <w:sz w:val="20"/>
                <w:szCs w:val="20"/>
              </w:rPr>
              <w:t xml:space="preserve">eer support of </w:t>
            </w:r>
            <w:r>
              <w:rPr>
                <w:sz w:val="20"/>
                <w:szCs w:val="20"/>
              </w:rPr>
              <w:t>evaluation</w:t>
            </w:r>
            <w:r w:rsidRPr="00A7323A">
              <w:rPr>
                <w:sz w:val="20"/>
                <w:szCs w:val="20"/>
              </w:rPr>
              <w:t xml:space="preserve"> </w:t>
            </w:r>
            <w:r>
              <w:rPr>
                <w:sz w:val="20"/>
                <w:szCs w:val="20"/>
              </w:rPr>
              <w:t xml:space="preserve">visit in </w:t>
            </w:r>
            <w:r w:rsidRPr="00A7323A">
              <w:rPr>
                <w:sz w:val="20"/>
                <w:szCs w:val="20"/>
              </w:rPr>
              <w:t xml:space="preserve">hospital </w:t>
            </w:r>
          </w:p>
        </w:tc>
        <w:tc>
          <w:tcPr>
            <w:tcW w:w="1984" w:type="dxa"/>
            <w:tcBorders>
              <w:top w:val="single" w:sz="4" w:space="0" w:color="auto"/>
              <w:left w:val="single" w:sz="4" w:space="0" w:color="auto"/>
              <w:right w:val="single" w:sz="4" w:space="0" w:color="auto"/>
            </w:tcBorders>
            <w:hideMark/>
          </w:tcPr>
          <w:p w14:paraId="1E07CADC" w14:textId="77777777" w:rsidR="008260A4" w:rsidRPr="00A7323A"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2BFE20CE" w14:textId="77777777" w:rsidR="008260A4" w:rsidRPr="00A7323A" w:rsidRDefault="008260A4" w:rsidP="00105865">
            <w:pPr>
              <w:rPr>
                <w:sz w:val="20"/>
                <w:szCs w:val="20"/>
              </w:rPr>
            </w:pPr>
            <w:r>
              <w:rPr>
                <w:sz w:val="20"/>
                <w:szCs w:val="20"/>
              </w:rPr>
              <w:t>13,508.80</w:t>
            </w:r>
          </w:p>
        </w:tc>
        <w:tc>
          <w:tcPr>
            <w:tcW w:w="2126" w:type="dxa"/>
            <w:vMerge/>
            <w:tcBorders>
              <w:left w:val="single" w:sz="4" w:space="0" w:color="auto"/>
              <w:right w:val="single" w:sz="4" w:space="0" w:color="auto"/>
            </w:tcBorders>
          </w:tcPr>
          <w:p w14:paraId="4F3D523B"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E8881A3" w14:textId="77777777" w:rsidR="008260A4" w:rsidRPr="00A7323A" w:rsidRDefault="008260A4" w:rsidP="00105865">
            <w:pPr>
              <w:rPr>
                <w:sz w:val="20"/>
                <w:szCs w:val="20"/>
              </w:rPr>
            </w:pPr>
            <w:r w:rsidRPr="00A7323A">
              <w:rPr>
                <w:sz w:val="20"/>
                <w:szCs w:val="20"/>
              </w:rPr>
              <w:t>UCH and Groundswell financial records</w:t>
            </w:r>
          </w:p>
        </w:tc>
      </w:tr>
      <w:tr w:rsidR="008260A4" w14:paraId="66C79184" w14:textId="77777777" w:rsidTr="008260A4">
        <w:trPr>
          <w:trHeight w:val="698"/>
          <w:tblHeader/>
        </w:trPr>
        <w:tc>
          <w:tcPr>
            <w:tcW w:w="2122" w:type="dxa"/>
            <w:vMerge/>
            <w:tcBorders>
              <w:top w:val="single" w:sz="4" w:space="0" w:color="auto"/>
              <w:left w:val="single" w:sz="4" w:space="0" w:color="auto"/>
              <w:bottom w:val="single" w:sz="4" w:space="0" w:color="auto"/>
              <w:right w:val="single" w:sz="4" w:space="0" w:color="auto"/>
            </w:tcBorders>
            <w:hideMark/>
          </w:tcPr>
          <w:p w14:paraId="669B2D9D"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6A31D512"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top w:val="single" w:sz="4" w:space="0" w:color="auto"/>
              <w:left w:val="single" w:sz="4" w:space="0" w:color="auto"/>
              <w:bottom w:val="single" w:sz="4" w:space="0" w:color="auto"/>
              <w:right w:val="single" w:sz="4" w:space="0" w:color="auto"/>
            </w:tcBorders>
          </w:tcPr>
          <w:p w14:paraId="14C8091B" w14:textId="77777777" w:rsidR="008260A4" w:rsidRPr="00A7323A" w:rsidRDefault="008260A4" w:rsidP="00105865">
            <w:pPr>
              <w:rPr>
                <w:sz w:val="20"/>
                <w:szCs w:val="20"/>
              </w:rPr>
            </w:pPr>
            <w:r>
              <w:rPr>
                <w:sz w:val="20"/>
                <w:szCs w:val="20"/>
              </w:rPr>
              <w:t>200.30 per person</w:t>
            </w:r>
          </w:p>
        </w:tc>
        <w:tc>
          <w:tcPr>
            <w:tcW w:w="2126" w:type="dxa"/>
            <w:vMerge/>
            <w:tcBorders>
              <w:left w:val="single" w:sz="4" w:space="0" w:color="auto"/>
              <w:bottom w:val="single" w:sz="4" w:space="0" w:color="auto"/>
              <w:right w:val="single" w:sz="4" w:space="0" w:color="auto"/>
            </w:tcBorders>
          </w:tcPr>
          <w:p w14:paraId="5912040F"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23329695" w14:textId="77777777" w:rsidR="008260A4" w:rsidRPr="00A7323A" w:rsidRDefault="008260A4" w:rsidP="00105865">
            <w:pPr>
              <w:rPr>
                <w:sz w:val="20"/>
                <w:szCs w:val="20"/>
              </w:rPr>
            </w:pPr>
            <w:r w:rsidRPr="00A7323A">
              <w:rPr>
                <w:sz w:val="20"/>
                <w:szCs w:val="20"/>
              </w:rPr>
              <w:t>Expert opinion (correspondence Graham Foster)</w:t>
            </w:r>
          </w:p>
        </w:tc>
      </w:tr>
      <w:tr w:rsidR="008260A4" w14:paraId="4EAB781B" w14:textId="77777777" w:rsidTr="008260A4">
        <w:trPr>
          <w:trHeight w:val="307"/>
          <w:tblHeader/>
        </w:trPr>
        <w:tc>
          <w:tcPr>
            <w:tcW w:w="2122" w:type="dxa"/>
            <w:vMerge w:val="restart"/>
            <w:tcBorders>
              <w:top w:val="single" w:sz="4" w:space="0" w:color="auto"/>
              <w:left w:val="single" w:sz="4" w:space="0" w:color="auto"/>
              <w:right w:val="single" w:sz="4" w:space="0" w:color="auto"/>
            </w:tcBorders>
            <w:hideMark/>
          </w:tcPr>
          <w:p w14:paraId="1126686C" w14:textId="77777777" w:rsidR="008260A4" w:rsidRPr="00A7323A" w:rsidRDefault="008260A4" w:rsidP="00105865">
            <w:pPr>
              <w:rPr>
                <w:sz w:val="20"/>
                <w:szCs w:val="20"/>
              </w:rPr>
            </w:pPr>
            <w:r w:rsidRPr="00572490">
              <w:rPr>
                <w:sz w:val="20"/>
                <w:szCs w:val="20"/>
              </w:rPr>
              <w:t xml:space="preserve">Peer support of </w:t>
            </w:r>
            <w:r>
              <w:rPr>
                <w:sz w:val="20"/>
                <w:szCs w:val="20"/>
              </w:rPr>
              <w:t>t</w:t>
            </w:r>
            <w:r w:rsidRPr="00546768">
              <w:rPr>
                <w:sz w:val="20"/>
                <w:szCs w:val="20"/>
              </w:rPr>
              <w:t>reatment initiation and subsequent visits 0,2,4,6,8, 10 weeks</w:t>
            </w:r>
          </w:p>
        </w:tc>
        <w:tc>
          <w:tcPr>
            <w:tcW w:w="1984" w:type="dxa"/>
            <w:tcBorders>
              <w:top w:val="single" w:sz="4" w:space="0" w:color="auto"/>
              <w:left w:val="single" w:sz="4" w:space="0" w:color="auto"/>
              <w:right w:val="single" w:sz="4" w:space="0" w:color="auto"/>
            </w:tcBorders>
            <w:hideMark/>
          </w:tcPr>
          <w:p w14:paraId="0980A731"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279ABFDF" w14:textId="77777777" w:rsidR="008260A4" w:rsidRPr="00572490" w:rsidRDefault="008260A4" w:rsidP="00105865">
            <w:pPr>
              <w:rPr>
                <w:sz w:val="20"/>
                <w:szCs w:val="20"/>
              </w:rPr>
            </w:pPr>
            <w:r>
              <w:rPr>
                <w:sz w:val="20"/>
                <w:szCs w:val="20"/>
              </w:rPr>
              <w:t>14,333.65</w:t>
            </w:r>
          </w:p>
        </w:tc>
        <w:tc>
          <w:tcPr>
            <w:tcW w:w="2126" w:type="dxa"/>
            <w:vMerge w:val="restart"/>
            <w:tcBorders>
              <w:top w:val="single" w:sz="4" w:space="0" w:color="auto"/>
              <w:left w:val="single" w:sz="4" w:space="0" w:color="auto"/>
              <w:right w:val="single" w:sz="4" w:space="0" w:color="auto"/>
            </w:tcBorders>
          </w:tcPr>
          <w:p w14:paraId="76BF82E8" w14:textId="77777777" w:rsidR="008260A4" w:rsidRDefault="008260A4" w:rsidP="00105865">
            <w:pPr>
              <w:rPr>
                <w:sz w:val="20"/>
                <w:szCs w:val="20"/>
              </w:rPr>
            </w:pPr>
            <w:r w:rsidRPr="00A7323A">
              <w:rPr>
                <w:sz w:val="20"/>
                <w:szCs w:val="20"/>
              </w:rPr>
              <w:t>Total Cost of Treatment (1 year)</w:t>
            </w:r>
            <w:r w:rsidRPr="00572490">
              <w:rPr>
                <w:sz w:val="20"/>
                <w:szCs w:val="20"/>
              </w:rPr>
              <w:t xml:space="preserve"> </w:t>
            </w:r>
          </w:p>
          <w:p w14:paraId="2C0E07A0" w14:textId="77777777" w:rsidR="008260A4" w:rsidRDefault="008260A4" w:rsidP="00105865">
            <w:pPr>
              <w:rPr>
                <w:sz w:val="20"/>
                <w:szCs w:val="20"/>
              </w:rPr>
            </w:pPr>
          </w:p>
          <w:p w14:paraId="31475D04" w14:textId="77777777" w:rsidR="008260A4" w:rsidRDefault="008260A4" w:rsidP="00105865">
            <w:pPr>
              <w:rPr>
                <w:sz w:val="20"/>
                <w:szCs w:val="20"/>
              </w:rPr>
            </w:pPr>
            <w:r>
              <w:rPr>
                <w:sz w:val="20"/>
                <w:szCs w:val="20"/>
              </w:rPr>
              <w:t>31,138.11 + hospital costs +DAA’s</w:t>
            </w:r>
          </w:p>
          <w:p w14:paraId="19C83EC4" w14:textId="77777777" w:rsidR="008260A4" w:rsidRDefault="008260A4" w:rsidP="00105865">
            <w:pPr>
              <w:rPr>
                <w:sz w:val="20"/>
                <w:szCs w:val="20"/>
              </w:rPr>
            </w:pPr>
          </w:p>
          <w:p w14:paraId="321CB6A7" w14:textId="77777777" w:rsidR="008260A4" w:rsidRDefault="008260A4" w:rsidP="00105865">
            <w:pPr>
              <w:rPr>
                <w:sz w:val="20"/>
                <w:szCs w:val="20"/>
              </w:rPr>
            </w:pPr>
          </w:p>
          <w:p w14:paraId="1297E928"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68D857C1" w14:textId="77777777" w:rsidR="008260A4" w:rsidRPr="00572490" w:rsidRDefault="008260A4" w:rsidP="00105865">
            <w:pPr>
              <w:rPr>
                <w:sz w:val="20"/>
                <w:szCs w:val="20"/>
              </w:rPr>
            </w:pPr>
            <w:r w:rsidRPr="00572490">
              <w:rPr>
                <w:sz w:val="20"/>
                <w:szCs w:val="20"/>
              </w:rPr>
              <w:t>UCH and Groundswell financial records</w:t>
            </w:r>
          </w:p>
        </w:tc>
      </w:tr>
      <w:tr w:rsidR="008260A4" w14:paraId="2A95FD7C" w14:textId="77777777" w:rsidTr="008260A4">
        <w:trPr>
          <w:trHeight w:val="307"/>
          <w:tblHeader/>
        </w:trPr>
        <w:tc>
          <w:tcPr>
            <w:tcW w:w="2122" w:type="dxa"/>
            <w:vMerge/>
            <w:tcBorders>
              <w:left w:val="single" w:sz="4" w:space="0" w:color="auto"/>
              <w:right w:val="single" w:sz="4" w:space="0" w:color="auto"/>
            </w:tcBorders>
          </w:tcPr>
          <w:p w14:paraId="232B7A5A" w14:textId="77777777" w:rsidR="008260A4" w:rsidRPr="00572490" w:rsidRDefault="008260A4" w:rsidP="00105865">
            <w:pPr>
              <w:rPr>
                <w:sz w:val="20"/>
                <w:szCs w:val="20"/>
              </w:rPr>
            </w:pPr>
          </w:p>
        </w:tc>
        <w:tc>
          <w:tcPr>
            <w:tcW w:w="1984" w:type="dxa"/>
            <w:tcBorders>
              <w:top w:val="single" w:sz="4" w:space="0" w:color="auto"/>
              <w:left w:val="single" w:sz="4" w:space="0" w:color="auto"/>
              <w:right w:val="single" w:sz="4" w:space="0" w:color="auto"/>
            </w:tcBorders>
          </w:tcPr>
          <w:p w14:paraId="5601A0AA" w14:textId="77777777" w:rsidR="008260A4" w:rsidRPr="00572490" w:rsidRDefault="008260A4" w:rsidP="00105865">
            <w:pPr>
              <w:rPr>
                <w:sz w:val="20"/>
                <w:szCs w:val="20"/>
              </w:rPr>
            </w:pPr>
            <w:r w:rsidRPr="00A7323A">
              <w:rPr>
                <w:sz w:val="20"/>
                <w:szCs w:val="20"/>
              </w:rPr>
              <w:t>Drugs and hospital costs</w:t>
            </w:r>
          </w:p>
        </w:tc>
        <w:tc>
          <w:tcPr>
            <w:tcW w:w="1843" w:type="dxa"/>
            <w:tcBorders>
              <w:left w:val="single" w:sz="4" w:space="0" w:color="auto"/>
              <w:right w:val="single" w:sz="4" w:space="0" w:color="auto"/>
            </w:tcBorders>
          </w:tcPr>
          <w:p w14:paraId="177D8F06" w14:textId="77777777" w:rsidR="008260A4" w:rsidRDefault="008260A4" w:rsidP="00105865">
            <w:pPr>
              <w:rPr>
                <w:sz w:val="20"/>
                <w:szCs w:val="20"/>
              </w:rPr>
            </w:pPr>
            <w:r>
              <w:rPr>
                <w:sz w:val="20"/>
                <w:szCs w:val="20"/>
              </w:rPr>
              <w:t>395.78 per person for 12 weeks hospital costs</w:t>
            </w:r>
          </w:p>
          <w:p w14:paraId="46E496EC" w14:textId="77777777" w:rsidR="008260A4" w:rsidRDefault="008260A4" w:rsidP="00105865">
            <w:pPr>
              <w:rPr>
                <w:sz w:val="20"/>
                <w:szCs w:val="20"/>
              </w:rPr>
            </w:pPr>
          </w:p>
          <w:p w14:paraId="4A7EA8FC" w14:textId="77777777" w:rsidR="008260A4" w:rsidRPr="00572490" w:rsidRDefault="008260A4" w:rsidP="00105865">
            <w:pPr>
              <w:rPr>
                <w:sz w:val="20"/>
                <w:szCs w:val="20"/>
              </w:rPr>
            </w:pPr>
            <w:r>
              <w:rPr>
                <w:sz w:val="20"/>
                <w:szCs w:val="20"/>
              </w:rPr>
              <w:t>38,982 DAA’s per person</w:t>
            </w:r>
          </w:p>
        </w:tc>
        <w:tc>
          <w:tcPr>
            <w:tcW w:w="2126" w:type="dxa"/>
            <w:vMerge/>
            <w:tcBorders>
              <w:left w:val="single" w:sz="4" w:space="0" w:color="auto"/>
              <w:right w:val="single" w:sz="4" w:space="0" w:color="auto"/>
            </w:tcBorders>
          </w:tcPr>
          <w:p w14:paraId="7825AFCC" w14:textId="77777777" w:rsidR="008260A4" w:rsidRPr="00A7323A" w:rsidRDefault="008260A4" w:rsidP="00105865">
            <w:pPr>
              <w:rPr>
                <w:sz w:val="20"/>
                <w:szCs w:val="20"/>
              </w:rPr>
            </w:pPr>
          </w:p>
        </w:tc>
        <w:tc>
          <w:tcPr>
            <w:tcW w:w="2268" w:type="dxa"/>
            <w:tcBorders>
              <w:left w:val="single" w:sz="4" w:space="0" w:color="auto"/>
              <w:bottom w:val="single" w:sz="4" w:space="0" w:color="auto"/>
              <w:right w:val="single" w:sz="4" w:space="0" w:color="auto"/>
            </w:tcBorders>
          </w:tcPr>
          <w:p w14:paraId="58D626A9" w14:textId="77777777" w:rsidR="008260A4" w:rsidRPr="00572490" w:rsidRDefault="008260A4" w:rsidP="00105865">
            <w:pPr>
              <w:rPr>
                <w:sz w:val="20"/>
                <w:szCs w:val="20"/>
              </w:rPr>
            </w:pPr>
            <w:r w:rsidRPr="00A7323A">
              <w:rPr>
                <w:sz w:val="20"/>
                <w:szCs w:val="20"/>
              </w:rPr>
              <w:t>Expert opinion (correspondence Graham Foster)</w:t>
            </w:r>
          </w:p>
        </w:tc>
      </w:tr>
      <w:tr w:rsidR="008260A4" w14:paraId="7333D5BC" w14:textId="77777777" w:rsidTr="008260A4">
        <w:trPr>
          <w:trHeight w:val="596"/>
          <w:tblHeader/>
        </w:trPr>
        <w:tc>
          <w:tcPr>
            <w:tcW w:w="2122" w:type="dxa"/>
            <w:tcBorders>
              <w:top w:val="single" w:sz="4" w:space="0" w:color="auto"/>
              <w:left w:val="single" w:sz="4" w:space="0" w:color="auto"/>
              <w:right w:val="single" w:sz="4" w:space="0" w:color="auto"/>
            </w:tcBorders>
            <w:hideMark/>
          </w:tcPr>
          <w:p w14:paraId="572A3A96" w14:textId="77777777" w:rsidR="008260A4" w:rsidRPr="00A7323A" w:rsidRDefault="008260A4" w:rsidP="00105865">
            <w:pPr>
              <w:rPr>
                <w:sz w:val="20"/>
                <w:szCs w:val="20"/>
              </w:rPr>
            </w:pPr>
            <w:r>
              <w:rPr>
                <w:sz w:val="20"/>
                <w:szCs w:val="20"/>
              </w:rPr>
              <w:t>Adherence Support</w:t>
            </w:r>
          </w:p>
        </w:tc>
        <w:tc>
          <w:tcPr>
            <w:tcW w:w="1984" w:type="dxa"/>
            <w:tcBorders>
              <w:top w:val="single" w:sz="4" w:space="0" w:color="auto"/>
              <w:left w:val="single" w:sz="4" w:space="0" w:color="auto"/>
              <w:right w:val="single" w:sz="4" w:space="0" w:color="auto"/>
            </w:tcBorders>
            <w:hideMark/>
          </w:tcPr>
          <w:p w14:paraId="0A1683B5" w14:textId="77777777" w:rsidR="008260A4" w:rsidRPr="00572490" w:rsidRDefault="008260A4" w:rsidP="00105865">
            <w:pPr>
              <w:rPr>
                <w:sz w:val="20"/>
                <w:szCs w:val="20"/>
              </w:rPr>
            </w:pPr>
          </w:p>
        </w:tc>
        <w:tc>
          <w:tcPr>
            <w:tcW w:w="1843" w:type="dxa"/>
            <w:tcBorders>
              <w:top w:val="single" w:sz="4" w:space="0" w:color="auto"/>
              <w:left w:val="single" w:sz="4" w:space="0" w:color="auto"/>
              <w:right w:val="single" w:sz="4" w:space="0" w:color="auto"/>
            </w:tcBorders>
            <w:hideMark/>
          </w:tcPr>
          <w:p w14:paraId="1CC769DC" w14:textId="77777777" w:rsidR="008260A4" w:rsidRPr="00572490" w:rsidRDefault="008260A4" w:rsidP="00105865">
            <w:pPr>
              <w:rPr>
                <w:sz w:val="20"/>
                <w:szCs w:val="20"/>
              </w:rPr>
            </w:pPr>
            <w:r>
              <w:rPr>
                <w:sz w:val="20"/>
                <w:szCs w:val="20"/>
              </w:rPr>
              <w:t>8,414.73</w:t>
            </w:r>
          </w:p>
        </w:tc>
        <w:tc>
          <w:tcPr>
            <w:tcW w:w="2126" w:type="dxa"/>
            <w:vMerge/>
            <w:tcBorders>
              <w:left w:val="single" w:sz="4" w:space="0" w:color="auto"/>
              <w:right w:val="single" w:sz="4" w:space="0" w:color="auto"/>
            </w:tcBorders>
          </w:tcPr>
          <w:p w14:paraId="2934CBC1"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697972BE" w14:textId="77777777" w:rsidR="008260A4" w:rsidRPr="00572490" w:rsidRDefault="008260A4" w:rsidP="00105865">
            <w:pPr>
              <w:rPr>
                <w:sz w:val="20"/>
                <w:szCs w:val="20"/>
              </w:rPr>
            </w:pPr>
            <w:r w:rsidRPr="00572490">
              <w:rPr>
                <w:sz w:val="20"/>
                <w:szCs w:val="20"/>
              </w:rPr>
              <w:t>UCH and Groundswell financial records</w:t>
            </w:r>
          </w:p>
        </w:tc>
      </w:tr>
      <w:tr w:rsidR="008260A4" w14:paraId="5C4FEBD8" w14:textId="77777777" w:rsidTr="008260A4">
        <w:trPr>
          <w:trHeight w:val="307"/>
        </w:trPr>
        <w:tc>
          <w:tcPr>
            <w:tcW w:w="2122" w:type="dxa"/>
            <w:vMerge w:val="restart"/>
            <w:hideMark/>
          </w:tcPr>
          <w:p w14:paraId="269B9106" w14:textId="77777777" w:rsidR="008260A4" w:rsidRPr="00A7323A" w:rsidRDefault="008260A4" w:rsidP="00105865">
            <w:pPr>
              <w:rPr>
                <w:sz w:val="20"/>
                <w:szCs w:val="20"/>
              </w:rPr>
            </w:pPr>
            <w:r w:rsidRPr="00572490">
              <w:rPr>
                <w:sz w:val="20"/>
                <w:szCs w:val="20"/>
              </w:rPr>
              <w:t xml:space="preserve">Peer support of </w:t>
            </w:r>
            <w:r>
              <w:rPr>
                <w:sz w:val="20"/>
                <w:szCs w:val="20"/>
              </w:rPr>
              <w:t>p</w:t>
            </w:r>
            <w:r w:rsidRPr="00546768">
              <w:rPr>
                <w:sz w:val="20"/>
                <w:szCs w:val="20"/>
              </w:rPr>
              <w:t>ost treatment visits 12 weeks and 1 year</w:t>
            </w:r>
          </w:p>
        </w:tc>
        <w:tc>
          <w:tcPr>
            <w:tcW w:w="1984" w:type="dxa"/>
            <w:hideMark/>
          </w:tcPr>
          <w:p w14:paraId="3917533E"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right w:val="single" w:sz="4" w:space="0" w:color="auto"/>
            </w:tcBorders>
            <w:hideMark/>
          </w:tcPr>
          <w:p w14:paraId="4EE156FA" w14:textId="77777777" w:rsidR="008260A4" w:rsidRPr="00572490" w:rsidRDefault="008260A4" w:rsidP="00105865">
            <w:pPr>
              <w:rPr>
                <w:sz w:val="20"/>
                <w:szCs w:val="20"/>
              </w:rPr>
            </w:pPr>
            <w:r>
              <w:rPr>
                <w:sz w:val="20"/>
                <w:szCs w:val="20"/>
              </w:rPr>
              <w:t>8,389.73</w:t>
            </w:r>
          </w:p>
        </w:tc>
        <w:tc>
          <w:tcPr>
            <w:tcW w:w="2126" w:type="dxa"/>
            <w:vMerge/>
            <w:tcBorders>
              <w:left w:val="single" w:sz="4" w:space="0" w:color="auto"/>
              <w:right w:val="single" w:sz="4" w:space="0" w:color="auto"/>
            </w:tcBorders>
          </w:tcPr>
          <w:p w14:paraId="35D28C6A" w14:textId="77777777" w:rsidR="008260A4" w:rsidRPr="00572490" w:rsidRDefault="008260A4" w:rsidP="00105865">
            <w:pPr>
              <w:rPr>
                <w:sz w:val="20"/>
                <w:szCs w:val="20"/>
              </w:rPr>
            </w:pPr>
          </w:p>
        </w:tc>
        <w:tc>
          <w:tcPr>
            <w:tcW w:w="2268" w:type="dxa"/>
            <w:vMerge w:val="restart"/>
            <w:tcBorders>
              <w:left w:val="single" w:sz="4" w:space="0" w:color="auto"/>
            </w:tcBorders>
            <w:hideMark/>
          </w:tcPr>
          <w:p w14:paraId="69617EF2" w14:textId="77777777" w:rsidR="008260A4" w:rsidRPr="00572490" w:rsidRDefault="008260A4" w:rsidP="00105865">
            <w:pPr>
              <w:rPr>
                <w:sz w:val="20"/>
                <w:szCs w:val="20"/>
              </w:rPr>
            </w:pPr>
            <w:r w:rsidRPr="00572490">
              <w:rPr>
                <w:sz w:val="20"/>
                <w:szCs w:val="20"/>
              </w:rPr>
              <w:t>UCH and Groundswell financial records</w:t>
            </w:r>
          </w:p>
        </w:tc>
      </w:tr>
      <w:tr w:rsidR="008260A4" w14:paraId="3D082455" w14:textId="77777777" w:rsidTr="008260A4">
        <w:trPr>
          <w:trHeight w:val="307"/>
        </w:trPr>
        <w:tc>
          <w:tcPr>
            <w:tcW w:w="2122" w:type="dxa"/>
            <w:vMerge/>
          </w:tcPr>
          <w:p w14:paraId="0117A6D2" w14:textId="77777777" w:rsidR="008260A4" w:rsidRPr="00572490" w:rsidRDefault="008260A4" w:rsidP="00105865">
            <w:pPr>
              <w:rPr>
                <w:sz w:val="20"/>
                <w:szCs w:val="20"/>
              </w:rPr>
            </w:pPr>
          </w:p>
        </w:tc>
        <w:tc>
          <w:tcPr>
            <w:tcW w:w="1984" w:type="dxa"/>
          </w:tcPr>
          <w:p w14:paraId="0367889B"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right w:val="single" w:sz="4" w:space="0" w:color="auto"/>
            </w:tcBorders>
          </w:tcPr>
          <w:p w14:paraId="35F04C45" w14:textId="77777777" w:rsidR="008260A4" w:rsidRPr="00572490" w:rsidRDefault="008260A4" w:rsidP="00105865">
            <w:pPr>
              <w:rPr>
                <w:sz w:val="20"/>
                <w:szCs w:val="20"/>
              </w:rPr>
            </w:pPr>
            <w:r>
              <w:rPr>
                <w:sz w:val="20"/>
                <w:szCs w:val="20"/>
              </w:rPr>
              <w:t>158.33 per person</w:t>
            </w:r>
          </w:p>
        </w:tc>
        <w:tc>
          <w:tcPr>
            <w:tcW w:w="2126" w:type="dxa"/>
            <w:vMerge/>
            <w:tcBorders>
              <w:left w:val="single" w:sz="4" w:space="0" w:color="auto"/>
              <w:right w:val="single" w:sz="4" w:space="0" w:color="auto"/>
            </w:tcBorders>
          </w:tcPr>
          <w:p w14:paraId="5EAACD9C" w14:textId="77777777" w:rsidR="008260A4" w:rsidRPr="00A7323A" w:rsidRDefault="008260A4" w:rsidP="00105865">
            <w:pPr>
              <w:rPr>
                <w:sz w:val="20"/>
                <w:szCs w:val="20"/>
              </w:rPr>
            </w:pPr>
          </w:p>
        </w:tc>
        <w:tc>
          <w:tcPr>
            <w:tcW w:w="2268" w:type="dxa"/>
            <w:vMerge/>
            <w:tcBorders>
              <w:left w:val="single" w:sz="4" w:space="0" w:color="auto"/>
            </w:tcBorders>
          </w:tcPr>
          <w:p w14:paraId="599ED2C1" w14:textId="77777777" w:rsidR="008260A4" w:rsidRPr="00572490" w:rsidRDefault="008260A4" w:rsidP="00105865">
            <w:pPr>
              <w:rPr>
                <w:sz w:val="20"/>
                <w:szCs w:val="20"/>
              </w:rPr>
            </w:pPr>
          </w:p>
        </w:tc>
      </w:tr>
    </w:tbl>
    <w:p w14:paraId="7C66B222" w14:textId="77777777" w:rsidR="008260A4" w:rsidRDefault="008260A4" w:rsidP="00105865">
      <w:pPr>
        <w:spacing w:line="240" w:lineRule="auto"/>
      </w:pPr>
    </w:p>
    <w:p w14:paraId="0ACCB9B7" w14:textId="77777777" w:rsidR="008260A4" w:rsidRDefault="008260A4" w:rsidP="00105865">
      <w:pPr>
        <w:spacing w:line="240" w:lineRule="auto"/>
      </w:pPr>
    </w:p>
    <w:p w14:paraId="6AFD6297" w14:textId="77777777" w:rsidR="008260A4" w:rsidRDefault="008260A4" w:rsidP="00105865">
      <w:pPr>
        <w:spacing w:line="240" w:lineRule="auto"/>
      </w:pPr>
    </w:p>
    <w:p w14:paraId="704F6A56" w14:textId="77777777" w:rsidR="008260A4" w:rsidRDefault="008260A4" w:rsidP="00105865">
      <w:pPr>
        <w:spacing w:line="240" w:lineRule="auto"/>
      </w:pPr>
    </w:p>
    <w:p w14:paraId="31AF514A" w14:textId="77777777" w:rsidR="008260A4" w:rsidRDefault="008260A4" w:rsidP="00105865">
      <w:pPr>
        <w:spacing w:line="240" w:lineRule="auto"/>
      </w:pPr>
    </w:p>
    <w:p w14:paraId="2DCE5B07" w14:textId="77777777" w:rsidR="008260A4" w:rsidRDefault="008260A4" w:rsidP="00105865">
      <w:pPr>
        <w:spacing w:line="240" w:lineRule="auto"/>
      </w:pPr>
    </w:p>
    <w:p w14:paraId="6086D888" w14:textId="77777777" w:rsidR="008260A4" w:rsidRDefault="008260A4" w:rsidP="00105865">
      <w:pPr>
        <w:spacing w:line="240" w:lineRule="auto"/>
      </w:pPr>
    </w:p>
    <w:p w14:paraId="1F717805" w14:textId="77777777" w:rsidR="005328D1" w:rsidRDefault="005328D1" w:rsidP="00105865">
      <w:pPr>
        <w:spacing w:line="240" w:lineRule="auto"/>
      </w:pPr>
      <w:r>
        <w:br w:type="page"/>
      </w:r>
    </w:p>
    <w:p w14:paraId="302DD411" w14:textId="2883E491" w:rsidR="008260A4" w:rsidRPr="0023308E" w:rsidRDefault="008260A4" w:rsidP="00105865">
      <w:pPr>
        <w:spacing w:line="240" w:lineRule="auto"/>
        <w:rPr>
          <w:b/>
        </w:rPr>
      </w:pPr>
      <w:r>
        <w:lastRenderedPageBreak/>
        <w:t>Table S</w:t>
      </w:r>
      <w:r w:rsidR="00091C92">
        <w:t>9</w:t>
      </w:r>
      <w:r>
        <w:t xml:space="preserve">: </w:t>
      </w:r>
      <w:r>
        <w:rPr>
          <w:b/>
        </w:rPr>
        <w:t>Scenario 5: Mobile Health Unit is used for each screening event.</w:t>
      </w:r>
    </w:p>
    <w:tbl>
      <w:tblPr>
        <w:tblStyle w:val="TableGrid"/>
        <w:tblW w:w="10343" w:type="dxa"/>
        <w:tblLayout w:type="fixed"/>
        <w:tblLook w:val="04A0" w:firstRow="1" w:lastRow="0" w:firstColumn="1" w:lastColumn="0" w:noHBand="0" w:noVBand="1"/>
      </w:tblPr>
      <w:tblGrid>
        <w:gridCol w:w="2122"/>
        <w:gridCol w:w="1984"/>
        <w:gridCol w:w="1843"/>
        <w:gridCol w:w="2126"/>
        <w:gridCol w:w="2268"/>
      </w:tblGrid>
      <w:tr w:rsidR="008260A4" w14:paraId="6B287D0C" w14:textId="77777777" w:rsidTr="008260A4">
        <w:trPr>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2D50E9" w14:textId="77777777" w:rsidR="008260A4" w:rsidRDefault="008260A4" w:rsidP="00105865">
            <w:pPr>
              <w:rPr>
                <w:b/>
              </w:rPr>
            </w:pPr>
          </w:p>
          <w:p w14:paraId="0A85F874" w14:textId="77777777" w:rsidR="008260A4" w:rsidRDefault="008260A4" w:rsidP="00105865">
            <w:pPr>
              <w:rPr>
                <w:b/>
              </w:rPr>
            </w:pPr>
            <w:r>
              <w:rPr>
                <w:b/>
              </w:rPr>
              <w:t>Activity Cost for 1 year 2017/2018</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992CA4" w14:textId="77777777" w:rsidR="008260A4" w:rsidRDefault="008260A4" w:rsidP="00105865">
            <w:pPr>
              <w:rPr>
                <w:b/>
              </w:rPr>
            </w:pPr>
            <w:r>
              <w:rPr>
                <w:b/>
              </w:rPr>
              <w:t>Costs (£) 2017/18</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F5279C1" w14:textId="77777777" w:rsidR="008260A4" w:rsidRDefault="008260A4" w:rsidP="00105865">
            <w:pPr>
              <w:rPr>
                <w:b/>
              </w:rPr>
            </w:pPr>
            <w:r>
              <w:rPr>
                <w:b/>
              </w:rPr>
              <w:t>Model Input</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15A35A" w14:textId="77777777" w:rsidR="008260A4" w:rsidRDefault="008260A4" w:rsidP="00105865">
            <w:pPr>
              <w:rPr>
                <w:b/>
              </w:rPr>
            </w:pPr>
            <w:r>
              <w:rPr>
                <w:b/>
              </w:rPr>
              <w:t>Source</w:t>
            </w:r>
          </w:p>
        </w:tc>
      </w:tr>
      <w:tr w:rsidR="008260A4" w14:paraId="24B27992" w14:textId="77777777" w:rsidTr="008260A4">
        <w:trPr>
          <w:trHeight w:val="580"/>
          <w:tblHeader/>
        </w:trPr>
        <w:tc>
          <w:tcPr>
            <w:tcW w:w="4106" w:type="dxa"/>
            <w:gridSpan w:val="2"/>
            <w:tcBorders>
              <w:top w:val="single" w:sz="4" w:space="0" w:color="auto"/>
              <w:left w:val="single" w:sz="4" w:space="0" w:color="auto"/>
              <w:bottom w:val="single" w:sz="4" w:space="0" w:color="auto"/>
              <w:right w:val="single" w:sz="4" w:space="0" w:color="auto"/>
            </w:tcBorders>
            <w:hideMark/>
          </w:tcPr>
          <w:p w14:paraId="0B522EE6" w14:textId="77777777" w:rsidR="008260A4" w:rsidRPr="00A7323A" w:rsidRDefault="008260A4" w:rsidP="00105865">
            <w:pPr>
              <w:rPr>
                <w:sz w:val="20"/>
                <w:szCs w:val="20"/>
              </w:rPr>
            </w:pPr>
            <w:r w:rsidRPr="00A7323A">
              <w:rPr>
                <w:sz w:val="20"/>
                <w:szCs w:val="20"/>
              </w:rPr>
              <w:t xml:space="preserve">Total Cost </w:t>
            </w:r>
          </w:p>
        </w:tc>
        <w:tc>
          <w:tcPr>
            <w:tcW w:w="1843" w:type="dxa"/>
            <w:tcBorders>
              <w:top w:val="single" w:sz="4" w:space="0" w:color="auto"/>
              <w:left w:val="single" w:sz="4" w:space="0" w:color="auto"/>
              <w:bottom w:val="single" w:sz="4" w:space="0" w:color="auto"/>
              <w:right w:val="single" w:sz="4" w:space="0" w:color="auto"/>
            </w:tcBorders>
          </w:tcPr>
          <w:p w14:paraId="6ADDD2A4" w14:textId="77777777" w:rsidR="008260A4" w:rsidRPr="00A7323A" w:rsidRDefault="008260A4" w:rsidP="00105865">
            <w:pPr>
              <w:rPr>
                <w:sz w:val="20"/>
                <w:szCs w:val="20"/>
              </w:rPr>
            </w:pPr>
            <w:r>
              <w:rPr>
                <w:sz w:val="20"/>
                <w:szCs w:val="20"/>
              </w:rPr>
              <w:t>130,347.41</w:t>
            </w:r>
          </w:p>
        </w:tc>
        <w:tc>
          <w:tcPr>
            <w:tcW w:w="2126" w:type="dxa"/>
            <w:tcBorders>
              <w:top w:val="single" w:sz="4" w:space="0" w:color="auto"/>
              <w:left w:val="single" w:sz="4" w:space="0" w:color="auto"/>
              <w:bottom w:val="single" w:sz="4" w:space="0" w:color="auto"/>
              <w:right w:val="single" w:sz="4" w:space="0" w:color="auto"/>
            </w:tcBorders>
          </w:tcPr>
          <w:p w14:paraId="5AE6DA68"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6555B94C" w14:textId="77777777" w:rsidR="008260A4" w:rsidRPr="00A7323A" w:rsidRDefault="008260A4" w:rsidP="00105865">
            <w:pPr>
              <w:rPr>
                <w:sz w:val="20"/>
                <w:szCs w:val="20"/>
              </w:rPr>
            </w:pPr>
            <w:r w:rsidRPr="00A7323A">
              <w:rPr>
                <w:sz w:val="20"/>
                <w:szCs w:val="20"/>
              </w:rPr>
              <w:t>UCH and Groundswell financial records</w:t>
            </w:r>
          </w:p>
        </w:tc>
      </w:tr>
      <w:tr w:rsidR="008260A4" w14:paraId="7CE50C9C" w14:textId="77777777" w:rsidTr="008260A4">
        <w:trPr>
          <w:trHeight w:val="418"/>
          <w:tblHeader/>
        </w:trPr>
        <w:tc>
          <w:tcPr>
            <w:tcW w:w="2122" w:type="dxa"/>
            <w:vMerge w:val="restart"/>
            <w:tcBorders>
              <w:top w:val="single" w:sz="4" w:space="0" w:color="auto"/>
              <w:left w:val="single" w:sz="4" w:space="0" w:color="auto"/>
              <w:right w:val="single" w:sz="4" w:space="0" w:color="auto"/>
            </w:tcBorders>
            <w:hideMark/>
          </w:tcPr>
          <w:p w14:paraId="6DEE8B29" w14:textId="77777777" w:rsidR="008260A4" w:rsidRPr="00A7323A" w:rsidRDefault="008260A4" w:rsidP="00105865">
            <w:pPr>
              <w:rPr>
                <w:sz w:val="20"/>
                <w:szCs w:val="20"/>
              </w:rPr>
            </w:pPr>
            <w:r w:rsidRPr="00A7323A">
              <w:rPr>
                <w:sz w:val="20"/>
                <w:szCs w:val="20"/>
              </w:rPr>
              <w:t xml:space="preserve">Total cost of Outreach </w:t>
            </w:r>
          </w:p>
        </w:tc>
        <w:tc>
          <w:tcPr>
            <w:tcW w:w="1984" w:type="dxa"/>
            <w:tcBorders>
              <w:top w:val="single" w:sz="4" w:space="0" w:color="auto"/>
              <w:left w:val="single" w:sz="4" w:space="0" w:color="auto"/>
              <w:bottom w:val="single" w:sz="4" w:space="0" w:color="auto"/>
              <w:right w:val="single" w:sz="4" w:space="0" w:color="auto"/>
            </w:tcBorders>
            <w:hideMark/>
          </w:tcPr>
          <w:p w14:paraId="735D9BC7" w14:textId="77777777" w:rsidR="008260A4" w:rsidRPr="00A7323A" w:rsidRDefault="008260A4" w:rsidP="00105865">
            <w:pPr>
              <w:rPr>
                <w:sz w:val="20"/>
                <w:szCs w:val="20"/>
              </w:rPr>
            </w:pPr>
            <w:r w:rsidRPr="00A7323A">
              <w:rPr>
                <w:sz w:val="20"/>
                <w:szCs w:val="20"/>
              </w:rPr>
              <w:t>In outreach location</w:t>
            </w:r>
          </w:p>
        </w:tc>
        <w:tc>
          <w:tcPr>
            <w:tcW w:w="1843" w:type="dxa"/>
            <w:tcBorders>
              <w:top w:val="single" w:sz="4" w:space="0" w:color="auto"/>
              <w:left w:val="single" w:sz="4" w:space="0" w:color="auto"/>
              <w:bottom w:val="single" w:sz="4" w:space="0" w:color="auto"/>
              <w:right w:val="single" w:sz="4" w:space="0" w:color="auto"/>
            </w:tcBorders>
          </w:tcPr>
          <w:p w14:paraId="692E131B" w14:textId="77777777" w:rsidR="008260A4" w:rsidRDefault="008260A4" w:rsidP="00105865">
            <w:pPr>
              <w:rPr>
                <w:sz w:val="20"/>
                <w:szCs w:val="20"/>
              </w:rPr>
            </w:pPr>
            <w:r>
              <w:rPr>
                <w:sz w:val="20"/>
                <w:szCs w:val="20"/>
              </w:rPr>
              <w:t>00.00</w:t>
            </w:r>
          </w:p>
          <w:p w14:paraId="279FEFB7" w14:textId="77777777" w:rsidR="008260A4" w:rsidRPr="00A7323A" w:rsidRDefault="008260A4" w:rsidP="00105865">
            <w:pPr>
              <w:rPr>
                <w:sz w:val="20"/>
                <w:szCs w:val="20"/>
              </w:rPr>
            </w:pPr>
          </w:p>
        </w:tc>
        <w:tc>
          <w:tcPr>
            <w:tcW w:w="2126" w:type="dxa"/>
            <w:vMerge w:val="restart"/>
            <w:tcBorders>
              <w:top w:val="single" w:sz="4" w:space="0" w:color="auto"/>
              <w:left w:val="single" w:sz="4" w:space="0" w:color="auto"/>
              <w:right w:val="single" w:sz="4" w:space="0" w:color="auto"/>
            </w:tcBorders>
          </w:tcPr>
          <w:p w14:paraId="3DBC1174" w14:textId="77777777" w:rsidR="008260A4" w:rsidRDefault="008260A4" w:rsidP="00105865">
            <w:pPr>
              <w:rPr>
                <w:sz w:val="20"/>
                <w:szCs w:val="20"/>
              </w:rPr>
            </w:pPr>
            <w:r w:rsidRPr="00A7323A">
              <w:rPr>
                <w:sz w:val="20"/>
                <w:szCs w:val="20"/>
              </w:rPr>
              <w:t xml:space="preserve">Total Cost of </w:t>
            </w:r>
            <w:r>
              <w:rPr>
                <w:sz w:val="20"/>
                <w:szCs w:val="20"/>
              </w:rPr>
              <w:t>Diagnosis</w:t>
            </w:r>
          </w:p>
          <w:p w14:paraId="72F65E0A" w14:textId="77777777" w:rsidR="008260A4" w:rsidRDefault="008260A4" w:rsidP="00105865">
            <w:pPr>
              <w:rPr>
                <w:sz w:val="20"/>
                <w:szCs w:val="20"/>
              </w:rPr>
            </w:pPr>
            <w:r w:rsidRPr="00A7323A">
              <w:rPr>
                <w:sz w:val="20"/>
                <w:szCs w:val="20"/>
              </w:rPr>
              <w:t>(1 year)</w:t>
            </w:r>
          </w:p>
          <w:p w14:paraId="708289BC" w14:textId="77777777" w:rsidR="008260A4" w:rsidRDefault="008260A4" w:rsidP="00105865">
            <w:pPr>
              <w:rPr>
                <w:sz w:val="20"/>
                <w:szCs w:val="20"/>
              </w:rPr>
            </w:pPr>
          </w:p>
          <w:p w14:paraId="5AEAE4E9" w14:textId="77777777" w:rsidR="008260A4" w:rsidRPr="00A7323A" w:rsidRDefault="008260A4" w:rsidP="00105865">
            <w:pPr>
              <w:rPr>
                <w:sz w:val="20"/>
                <w:szCs w:val="20"/>
              </w:rPr>
            </w:pPr>
            <w:r>
              <w:rPr>
                <w:sz w:val="20"/>
                <w:szCs w:val="20"/>
              </w:rPr>
              <w:t>60,661.42</w:t>
            </w:r>
          </w:p>
        </w:tc>
        <w:tc>
          <w:tcPr>
            <w:tcW w:w="2268" w:type="dxa"/>
            <w:tcBorders>
              <w:top w:val="single" w:sz="4" w:space="0" w:color="auto"/>
              <w:left w:val="single" w:sz="4" w:space="0" w:color="auto"/>
              <w:bottom w:val="single" w:sz="4" w:space="0" w:color="auto"/>
              <w:right w:val="single" w:sz="4" w:space="0" w:color="auto"/>
            </w:tcBorders>
          </w:tcPr>
          <w:p w14:paraId="005CA2FA" w14:textId="77777777" w:rsidR="008260A4" w:rsidRPr="00A7323A" w:rsidRDefault="008260A4" w:rsidP="00105865">
            <w:pPr>
              <w:rPr>
                <w:sz w:val="20"/>
                <w:szCs w:val="20"/>
              </w:rPr>
            </w:pPr>
            <w:r w:rsidRPr="00A7323A">
              <w:rPr>
                <w:sz w:val="20"/>
                <w:szCs w:val="20"/>
              </w:rPr>
              <w:t>UCH and Groundswell financial records</w:t>
            </w:r>
          </w:p>
        </w:tc>
      </w:tr>
      <w:tr w:rsidR="008260A4" w14:paraId="41DE8E9F" w14:textId="77777777" w:rsidTr="008260A4">
        <w:trPr>
          <w:trHeight w:val="481"/>
          <w:tblHeader/>
        </w:trPr>
        <w:tc>
          <w:tcPr>
            <w:tcW w:w="2122" w:type="dxa"/>
            <w:vMerge/>
            <w:tcBorders>
              <w:left w:val="single" w:sz="4" w:space="0" w:color="auto"/>
              <w:right w:val="single" w:sz="4" w:space="0" w:color="auto"/>
            </w:tcBorders>
          </w:tcPr>
          <w:p w14:paraId="7A21BAED"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B0D00DE" w14:textId="77777777" w:rsidR="008260A4" w:rsidRDefault="008260A4" w:rsidP="00105865">
            <w:pPr>
              <w:rPr>
                <w:sz w:val="20"/>
                <w:szCs w:val="20"/>
              </w:rPr>
            </w:pPr>
            <w:r w:rsidRPr="00A7323A">
              <w:rPr>
                <w:sz w:val="20"/>
                <w:szCs w:val="20"/>
              </w:rPr>
              <w:t>In mobile health unit</w:t>
            </w:r>
          </w:p>
          <w:p w14:paraId="3CE73EB5" w14:textId="77777777" w:rsidR="008260A4" w:rsidRPr="00A7323A" w:rsidRDefault="008260A4" w:rsidP="00105865">
            <w:pPr>
              <w:rPr>
                <w:sz w:val="20"/>
                <w:szCs w:val="20"/>
              </w:rPr>
            </w:pPr>
          </w:p>
        </w:tc>
        <w:tc>
          <w:tcPr>
            <w:tcW w:w="1843" w:type="dxa"/>
            <w:tcBorders>
              <w:top w:val="single" w:sz="4" w:space="0" w:color="auto"/>
              <w:left w:val="single" w:sz="4" w:space="0" w:color="auto"/>
              <w:right w:val="single" w:sz="4" w:space="0" w:color="auto"/>
            </w:tcBorders>
          </w:tcPr>
          <w:p w14:paraId="0E5D7B8D" w14:textId="77777777" w:rsidR="008260A4" w:rsidRPr="00A7323A" w:rsidRDefault="008260A4" w:rsidP="00105865">
            <w:pPr>
              <w:rPr>
                <w:sz w:val="20"/>
                <w:szCs w:val="20"/>
              </w:rPr>
            </w:pPr>
            <w:r>
              <w:rPr>
                <w:sz w:val="20"/>
                <w:szCs w:val="20"/>
              </w:rPr>
              <w:t>38,839.71</w:t>
            </w:r>
          </w:p>
        </w:tc>
        <w:tc>
          <w:tcPr>
            <w:tcW w:w="2126" w:type="dxa"/>
            <w:vMerge/>
            <w:tcBorders>
              <w:left w:val="single" w:sz="4" w:space="0" w:color="auto"/>
              <w:right w:val="single" w:sz="4" w:space="0" w:color="auto"/>
            </w:tcBorders>
          </w:tcPr>
          <w:p w14:paraId="335982E0"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0BFE9D20" w14:textId="77777777" w:rsidR="008260A4" w:rsidRPr="00A7323A" w:rsidRDefault="008260A4" w:rsidP="00105865">
            <w:pPr>
              <w:rPr>
                <w:sz w:val="20"/>
                <w:szCs w:val="20"/>
              </w:rPr>
            </w:pPr>
            <w:r w:rsidRPr="00A7323A">
              <w:rPr>
                <w:sz w:val="20"/>
                <w:szCs w:val="20"/>
              </w:rPr>
              <w:t>UCH and Groundswell financial records</w:t>
            </w:r>
          </w:p>
        </w:tc>
      </w:tr>
      <w:tr w:rsidR="008260A4" w14:paraId="2AB87FF7" w14:textId="77777777" w:rsidTr="008260A4">
        <w:trPr>
          <w:trHeight w:val="559"/>
          <w:tblHeader/>
        </w:trPr>
        <w:tc>
          <w:tcPr>
            <w:tcW w:w="2122" w:type="dxa"/>
            <w:vMerge/>
            <w:tcBorders>
              <w:left w:val="single" w:sz="4" w:space="0" w:color="auto"/>
              <w:bottom w:val="single" w:sz="4" w:space="0" w:color="auto"/>
              <w:right w:val="single" w:sz="4" w:space="0" w:color="auto"/>
            </w:tcBorders>
          </w:tcPr>
          <w:p w14:paraId="121233DE"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F5C97C6" w14:textId="77777777" w:rsidR="008260A4" w:rsidRPr="00A7323A" w:rsidRDefault="008260A4" w:rsidP="00105865">
            <w:pPr>
              <w:rPr>
                <w:sz w:val="20"/>
                <w:szCs w:val="20"/>
              </w:rPr>
            </w:pPr>
            <w:r>
              <w:rPr>
                <w:sz w:val="20"/>
                <w:szCs w:val="20"/>
              </w:rPr>
              <w:t>Informing HCV- patients of their status</w:t>
            </w:r>
          </w:p>
        </w:tc>
        <w:tc>
          <w:tcPr>
            <w:tcW w:w="1843" w:type="dxa"/>
            <w:tcBorders>
              <w:left w:val="single" w:sz="4" w:space="0" w:color="auto"/>
              <w:bottom w:val="single" w:sz="4" w:space="0" w:color="auto"/>
              <w:right w:val="single" w:sz="4" w:space="0" w:color="auto"/>
            </w:tcBorders>
          </w:tcPr>
          <w:p w14:paraId="7E3775BF" w14:textId="77777777" w:rsidR="008260A4" w:rsidRPr="00A7323A" w:rsidRDefault="008260A4" w:rsidP="00105865">
            <w:pPr>
              <w:rPr>
                <w:sz w:val="20"/>
                <w:szCs w:val="20"/>
              </w:rPr>
            </w:pPr>
            <w:r>
              <w:rPr>
                <w:sz w:val="20"/>
                <w:szCs w:val="20"/>
              </w:rPr>
              <w:t>5456.28</w:t>
            </w:r>
          </w:p>
        </w:tc>
        <w:tc>
          <w:tcPr>
            <w:tcW w:w="2126" w:type="dxa"/>
            <w:vMerge/>
            <w:tcBorders>
              <w:left w:val="single" w:sz="4" w:space="0" w:color="auto"/>
              <w:right w:val="single" w:sz="4" w:space="0" w:color="auto"/>
            </w:tcBorders>
          </w:tcPr>
          <w:p w14:paraId="30AD1307"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tcPr>
          <w:p w14:paraId="7ABFCA15" w14:textId="77777777" w:rsidR="008260A4" w:rsidRPr="00A7323A" w:rsidRDefault="008260A4" w:rsidP="00105865">
            <w:pPr>
              <w:rPr>
                <w:sz w:val="20"/>
                <w:szCs w:val="20"/>
              </w:rPr>
            </w:pPr>
          </w:p>
        </w:tc>
      </w:tr>
      <w:tr w:rsidR="008260A4" w14:paraId="6A351C84" w14:textId="77777777" w:rsidTr="008260A4">
        <w:trPr>
          <w:trHeight w:val="562"/>
          <w:tblHeader/>
        </w:trPr>
        <w:tc>
          <w:tcPr>
            <w:tcW w:w="2122" w:type="dxa"/>
            <w:vMerge w:val="restart"/>
            <w:tcBorders>
              <w:top w:val="single" w:sz="4" w:space="0" w:color="auto"/>
              <w:left w:val="single" w:sz="4" w:space="0" w:color="auto"/>
              <w:right w:val="single" w:sz="4" w:space="0" w:color="auto"/>
            </w:tcBorders>
            <w:hideMark/>
          </w:tcPr>
          <w:p w14:paraId="0311F5C9" w14:textId="77777777" w:rsidR="008260A4" w:rsidRDefault="008260A4" w:rsidP="00105865">
            <w:pPr>
              <w:rPr>
                <w:sz w:val="20"/>
                <w:szCs w:val="20"/>
              </w:rPr>
            </w:pPr>
            <w:r w:rsidRPr="00A7323A">
              <w:rPr>
                <w:sz w:val="20"/>
                <w:szCs w:val="20"/>
              </w:rPr>
              <w:t>Total Cost of Test</w:t>
            </w:r>
            <w:r>
              <w:rPr>
                <w:sz w:val="20"/>
                <w:szCs w:val="20"/>
              </w:rPr>
              <w:t>s</w:t>
            </w:r>
            <w:r w:rsidRPr="00A7323A">
              <w:rPr>
                <w:sz w:val="20"/>
                <w:szCs w:val="20"/>
              </w:rPr>
              <w:t xml:space="preserve"> </w:t>
            </w:r>
          </w:p>
          <w:p w14:paraId="630EC555" w14:textId="77777777" w:rsidR="008260A4" w:rsidRPr="00A7323A" w:rsidRDefault="008260A4" w:rsidP="00105865">
            <w:pPr>
              <w:rPr>
                <w:sz w:val="20"/>
                <w:szCs w:val="20"/>
              </w:rPr>
            </w:pPr>
            <w:r w:rsidRPr="00A7323A">
              <w:rPr>
                <w:sz w:val="20"/>
                <w:szCs w:val="20"/>
              </w:rPr>
              <w:t>(includes admin &amp;management, staff time, medical supplies and test costs)</w:t>
            </w:r>
          </w:p>
        </w:tc>
        <w:tc>
          <w:tcPr>
            <w:tcW w:w="1984" w:type="dxa"/>
            <w:tcBorders>
              <w:top w:val="single" w:sz="4" w:space="0" w:color="auto"/>
              <w:left w:val="single" w:sz="4" w:space="0" w:color="auto"/>
              <w:bottom w:val="single" w:sz="4" w:space="0" w:color="auto"/>
              <w:right w:val="single" w:sz="4" w:space="0" w:color="auto"/>
            </w:tcBorders>
            <w:hideMark/>
          </w:tcPr>
          <w:p w14:paraId="48B53941" w14:textId="77777777" w:rsidR="008260A4" w:rsidRPr="00A7323A" w:rsidRDefault="008260A4" w:rsidP="00105865">
            <w:pPr>
              <w:rPr>
                <w:sz w:val="20"/>
                <w:szCs w:val="20"/>
              </w:rPr>
            </w:pPr>
            <w:r w:rsidRPr="00A7323A">
              <w:rPr>
                <w:sz w:val="20"/>
                <w:szCs w:val="20"/>
              </w:rPr>
              <w:t xml:space="preserve">POCT </w:t>
            </w:r>
          </w:p>
          <w:p w14:paraId="6B624841" w14:textId="77777777" w:rsidR="008260A4" w:rsidRPr="00A7323A" w:rsidRDefault="008260A4" w:rsidP="00105865">
            <w:pPr>
              <w:rPr>
                <w:sz w:val="20"/>
                <w:szCs w:val="20"/>
              </w:rPr>
            </w:pPr>
            <w:r>
              <w:rPr>
                <w:sz w:val="20"/>
                <w:szCs w:val="20"/>
              </w:rPr>
              <w:t>(98 for the year)</w:t>
            </w:r>
          </w:p>
        </w:tc>
        <w:tc>
          <w:tcPr>
            <w:tcW w:w="1843" w:type="dxa"/>
            <w:tcBorders>
              <w:top w:val="single" w:sz="4" w:space="0" w:color="auto"/>
              <w:left w:val="single" w:sz="4" w:space="0" w:color="auto"/>
              <w:bottom w:val="single" w:sz="4" w:space="0" w:color="auto"/>
              <w:right w:val="single" w:sz="4" w:space="0" w:color="auto"/>
            </w:tcBorders>
          </w:tcPr>
          <w:p w14:paraId="347AD70E" w14:textId="77777777" w:rsidR="008260A4" w:rsidRPr="00A7323A" w:rsidRDefault="008260A4" w:rsidP="00105865">
            <w:pPr>
              <w:rPr>
                <w:sz w:val="20"/>
                <w:szCs w:val="20"/>
              </w:rPr>
            </w:pPr>
            <w:r>
              <w:rPr>
                <w:sz w:val="20"/>
                <w:szCs w:val="20"/>
              </w:rPr>
              <w:t>7387.38</w:t>
            </w:r>
          </w:p>
        </w:tc>
        <w:tc>
          <w:tcPr>
            <w:tcW w:w="2126" w:type="dxa"/>
            <w:vMerge/>
            <w:tcBorders>
              <w:left w:val="single" w:sz="4" w:space="0" w:color="auto"/>
              <w:right w:val="single" w:sz="4" w:space="0" w:color="auto"/>
            </w:tcBorders>
          </w:tcPr>
          <w:p w14:paraId="67990E39"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75C38E40" w14:textId="77777777" w:rsidR="008260A4" w:rsidRPr="00A7323A" w:rsidRDefault="008260A4" w:rsidP="00105865">
            <w:pPr>
              <w:rPr>
                <w:sz w:val="20"/>
                <w:szCs w:val="20"/>
              </w:rPr>
            </w:pPr>
            <w:r w:rsidRPr="00A7323A">
              <w:rPr>
                <w:sz w:val="20"/>
                <w:szCs w:val="20"/>
              </w:rPr>
              <w:t>UCH and Groundswell financial records</w:t>
            </w:r>
          </w:p>
        </w:tc>
      </w:tr>
      <w:tr w:rsidR="008260A4" w14:paraId="7E91CB73" w14:textId="77777777" w:rsidTr="008260A4">
        <w:trPr>
          <w:trHeight w:val="654"/>
          <w:tblHeader/>
        </w:trPr>
        <w:tc>
          <w:tcPr>
            <w:tcW w:w="2122" w:type="dxa"/>
            <w:vMerge/>
            <w:tcBorders>
              <w:left w:val="single" w:sz="4" w:space="0" w:color="auto"/>
              <w:bottom w:val="single" w:sz="4" w:space="0" w:color="auto"/>
              <w:right w:val="single" w:sz="4" w:space="0" w:color="auto"/>
            </w:tcBorders>
            <w:vAlign w:val="center"/>
            <w:hideMark/>
          </w:tcPr>
          <w:p w14:paraId="1293EA1E"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4F894588" w14:textId="77777777" w:rsidR="008260A4" w:rsidRDefault="008260A4" w:rsidP="00105865">
            <w:pPr>
              <w:rPr>
                <w:sz w:val="20"/>
                <w:szCs w:val="20"/>
              </w:rPr>
            </w:pPr>
            <w:r w:rsidRPr="00A7323A">
              <w:rPr>
                <w:sz w:val="20"/>
                <w:szCs w:val="20"/>
              </w:rPr>
              <w:t>RNA</w:t>
            </w:r>
          </w:p>
          <w:p w14:paraId="603D5AEE" w14:textId="77777777" w:rsidR="008260A4" w:rsidRPr="00A7323A" w:rsidRDefault="008260A4" w:rsidP="00105865">
            <w:pPr>
              <w:rPr>
                <w:sz w:val="20"/>
                <w:szCs w:val="20"/>
              </w:rPr>
            </w:pPr>
            <w:r>
              <w:rPr>
                <w:sz w:val="20"/>
                <w:szCs w:val="20"/>
              </w:rPr>
              <w:t>(62 for the year)</w:t>
            </w:r>
          </w:p>
        </w:tc>
        <w:tc>
          <w:tcPr>
            <w:tcW w:w="1843" w:type="dxa"/>
            <w:tcBorders>
              <w:top w:val="single" w:sz="4" w:space="0" w:color="auto"/>
              <w:left w:val="single" w:sz="4" w:space="0" w:color="auto"/>
              <w:bottom w:val="single" w:sz="4" w:space="0" w:color="auto"/>
              <w:right w:val="single" w:sz="4" w:space="0" w:color="auto"/>
            </w:tcBorders>
          </w:tcPr>
          <w:p w14:paraId="2CD64536" w14:textId="77777777" w:rsidR="008260A4" w:rsidRPr="00A7323A" w:rsidRDefault="008260A4" w:rsidP="00105865">
            <w:pPr>
              <w:rPr>
                <w:sz w:val="20"/>
                <w:szCs w:val="20"/>
              </w:rPr>
            </w:pPr>
            <w:r>
              <w:rPr>
                <w:sz w:val="20"/>
                <w:szCs w:val="20"/>
              </w:rPr>
              <w:t>8978.04</w:t>
            </w:r>
          </w:p>
        </w:tc>
        <w:tc>
          <w:tcPr>
            <w:tcW w:w="2126" w:type="dxa"/>
            <w:vMerge/>
            <w:tcBorders>
              <w:left w:val="single" w:sz="4" w:space="0" w:color="auto"/>
              <w:bottom w:val="single" w:sz="4" w:space="0" w:color="auto"/>
              <w:right w:val="single" w:sz="4" w:space="0" w:color="auto"/>
            </w:tcBorders>
          </w:tcPr>
          <w:p w14:paraId="3329FFE9"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vAlign w:val="center"/>
            <w:hideMark/>
          </w:tcPr>
          <w:p w14:paraId="6D4B5892" w14:textId="77777777" w:rsidR="008260A4" w:rsidRPr="00A7323A" w:rsidRDefault="008260A4" w:rsidP="00105865">
            <w:pPr>
              <w:rPr>
                <w:sz w:val="20"/>
                <w:szCs w:val="20"/>
              </w:rPr>
            </w:pPr>
          </w:p>
        </w:tc>
      </w:tr>
      <w:tr w:rsidR="008260A4" w14:paraId="54BA7002" w14:textId="77777777" w:rsidTr="008260A4">
        <w:trPr>
          <w:trHeight w:val="423"/>
          <w:tblHeader/>
        </w:trPr>
        <w:tc>
          <w:tcPr>
            <w:tcW w:w="4106" w:type="dxa"/>
            <w:gridSpan w:val="2"/>
            <w:tcBorders>
              <w:top w:val="single" w:sz="4" w:space="0" w:color="auto"/>
              <w:left w:val="single" w:sz="4" w:space="0" w:color="auto"/>
              <w:right w:val="single" w:sz="4" w:space="0" w:color="auto"/>
            </w:tcBorders>
          </w:tcPr>
          <w:p w14:paraId="3A370911" w14:textId="77777777" w:rsidR="008260A4" w:rsidRPr="00A7323A" w:rsidRDefault="008260A4" w:rsidP="00105865">
            <w:pPr>
              <w:rPr>
                <w:sz w:val="20"/>
                <w:szCs w:val="20"/>
              </w:rPr>
            </w:pPr>
            <w:r w:rsidRPr="00A7323A">
              <w:rPr>
                <w:sz w:val="20"/>
                <w:szCs w:val="20"/>
              </w:rPr>
              <w:t>Fibroscan</w:t>
            </w:r>
          </w:p>
        </w:tc>
        <w:tc>
          <w:tcPr>
            <w:tcW w:w="1843" w:type="dxa"/>
            <w:tcBorders>
              <w:top w:val="single" w:sz="4" w:space="0" w:color="auto"/>
              <w:left w:val="single" w:sz="4" w:space="0" w:color="auto"/>
              <w:right w:val="single" w:sz="4" w:space="0" w:color="auto"/>
            </w:tcBorders>
          </w:tcPr>
          <w:p w14:paraId="6C63A89D" w14:textId="77777777" w:rsidR="008260A4" w:rsidRPr="00A7323A" w:rsidRDefault="008260A4" w:rsidP="00105865">
            <w:pPr>
              <w:rPr>
                <w:sz w:val="20"/>
                <w:szCs w:val="20"/>
              </w:rPr>
            </w:pPr>
            <w:r w:rsidRPr="00A7323A">
              <w:rPr>
                <w:sz w:val="20"/>
                <w:szCs w:val="20"/>
              </w:rPr>
              <w:t>1</w:t>
            </w:r>
            <w:r>
              <w:rPr>
                <w:sz w:val="20"/>
                <w:szCs w:val="20"/>
              </w:rPr>
              <w:t>5,587.12</w:t>
            </w:r>
          </w:p>
        </w:tc>
        <w:tc>
          <w:tcPr>
            <w:tcW w:w="2126" w:type="dxa"/>
            <w:vMerge w:val="restart"/>
            <w:tcBorders>
              <w:top w:val="single" w:sz="4" w:space="0" w:color="auto"/>
              <w:left w:val="single" w:sz="4" w:space="0" w:color="auto"/>
              <w:right w:val="single" w:sz="4" w:space="0" w:color="auto"/>
            </w:tcBorders>
          </w:tcPr>
          <w:p w14:paraId="46488E43" w14:textId="77777777" w:rsidR="008260A4" w:rsidRDefault="008260A4" w:rsidP="00105865">
            <w:pPr>
              <w:rPr>
                <w:sz w:val="20"/>
                <w:szCs w:val="20"/>
              </w:rPr>
            </w:pPr>
            <w:r>
              <w:rPr>
                <w:sz w:val="20"/>
                <w:szCs w:val="20"/>
              </w:rPr>
              <w:t>Total Cost of Engagement (1 year)</w:t>
            </w:r>
          </w:p>
          <w:p w14:paraId="68868AA9" w14:textId="77777777" w:rsidR="008260A4" w:rsidRDefault="008260A4" w:rsidP="00105865">
            <w:pPr>
              <w:rPr>
                <w:sz w:val="20"/>
                <w:szCs w:val="20"/>
              </w:rPr>
            </w:pPr>
          </w:p>
          <w:p w14:paraId="0C826BEF" w14:textId="77777777" w:rsidR="008260A4" w:rsidRDefault="008260A4" w:rsidP="00105865">
            <w:pPr>
              <w:rPr>
                <w:sz w:val="20"/>
                <w:szCs w:val="20"/>
              </w:rPr>
            </w:pPr>
            <w:r>
              <w:rPr>
                <w:sz w:val="20"/>
                <w:szCs w:val="20"/>
              </w:rPr>
              <w:t>37,685.71 + hospital costs</w:t>
            </w:r>
          </w:p>
          <w:p w14:paraId="027370F1" w14:textId="77777777" w:rsidR="008260A4" w:rsidRDefault="008260A4" w:rsidP="00105865">
            <w:pPr>
              <w:rPr>
                <w:sz w:val="20"/>
                <w:szCs w:val="20"/>
              </w:rPr>
            </w:pPr>
          </w:p>
          <w:p w14:paraId="21C07B1C"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703FA56E" w14:textId="77777777" w:rsidR="008260A4" w:rsidRPr="00A7323A" w:rsidRDefault="008260A4" w:rsidP="00105865">
            <w:pPr>
              <w:rPr>
                <w:sz w:val="20"/>
                <w:szCs w:val="20"/>
              </w:rPr>
            </w:pPr>
          </w:p>
        </w:tc>
      </w:tr>
      <w:tr w:rsidR="008260A4" w14:paraId="5878A2B4" w14:textId="77777777" w:rsidTr="008260A4">
        <w:trPr>
          <w:trHeight w:val="593"/>
          <w:tblHeader/>
        </w:trPr>
        <w:tc>
          <w:tcPr>
            <w:tcW w:w="4106" w:type="dxa"/>
            <w:gridSpan w:val="2"/>
            <w:tcBorders>
              <w:top w:val="single" w:sz="4" w:space="0" w:color="auto"/>
              <w:left w:val="single" w:sz="4" w:space="0" w:color="auto"/>
              <w:right w:val="single" w:sz="4" w:space="0" w:color="auto"/>
            </w:tcBorders>
            <w:hideMark/>
          </w:tcPr>
          <w:p w14:paraId="0F67F118" w14:textId="77777777" w:rsidR="008260A4" w:rsidRPr="00A7323A" w:rsidRDefault="008260A4" w:rsidP="00105865">
            <w:pPr>
              <w:rPr>
                <w:sz w:val="20"/>
                <w:szCs w:val="20"/>
              </w:rPr>
            </w:pPr>
            <w:r>
              <w:rPr>
                <w:sz w:val="20"/>
                <w:szCs w:val="20"/>
              </w:rPr>
              <w:t>Engagement initiation of RNA+ patients (follow up of RNA+ tests)</w:t>
            </w:r>
          </w:p>
        </w:tc>
        <w:tc>
          <w:tcPr>
            <w:tcW w:w="1843" w:type="dxa"/>
            <w:tcBorders>
              <w:top w:val="single" w:sz="4" w:space="0" w:color="auto"/>
              <w:left w:val="single" w:sz="4" w:space="0" w:color="auto"/>
              <w:right w:val="single" w:sz="4" w:space="0" w:color="auto"/>
            </w:tcBorders>
          </w:tcPr>
          <w:p w14:paraId="2198DC92" w14:textId="77777777" w:rsidR="008260A4" w:rsidRPr="00A7323A" w:rsidRDefault="008260A4" w:rsidP="00105865">
            <w:pPr>
              <w:rPr>
                <w:sz w:val="20"/>
                <w:szCs w:val="20"/>
              </w:rPr>
            </w:pPr>
            <w:r>
              <w:rPr>
                <w:sz w:val="20"/>
                <w:szCs w:val="20"/>
              </w:rPr>
              <w:t>8365.24</w:t>
            </w:r>
          </w:p>
        </w:tc>
        <w:tc>
          <w:tcPr>
            <w:tcW w:w="2126" w:type="dxa"/>
            <w:vMerge/>
            <w:tcBorders>
              <w:left w:val="single" w:sz="4" w:space="0" w:color="auto"/>
              <w:right w:val="single" w:sz="4" w:space="0" w:color="auto"/>
            </w:tcBorders>
          </w:tcPr>
          <w:p w14:paraId="00527F05"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77DF9C35" w14:textId="77777777" w:rsidR="008260A4" w:rsidRPr="00A7323A" w:rsidRDefault="008260A4" w:rsidP="00105865">
            <w:pPr>
              <w:rPr>
                <w:sz w:val="20"/>
                <w:szCs w:val="20"/>
              </w:rPr>
            </w:pPr>
            <w:r w:rsidRPr="00A7323A">
              <w:rPr>
                <w:sz w:val="20"/>
                <w:szCs w:val="20"/>
              </w:rPr>
              <w:t>UCH and Groundswell financial records</w:t>
            </w:r>
          </w:p>
        </w:tc>
      </w:tr>
      <w:tr w:rsidR="008260A4" w14:paraId="1617746E" w14:textId="77777777" w:rsidTr="008260A4">
        <w:trPr>
          <w:trHeight w:val="543"/>
          <w:tblHeader/>
        </w:trPr>
        <w:tc>
          <w:tcPr>
            <w:tcW w:w="2122" w:type="dxa"/>
            <w:vMerge w:val="restart"/>
            <w:tcBorders>
              <w:top w:val="single" w:sz="4" w:space="0" w:color="auto"/>
              <w:left w:val="single" w:sz="4" w:space="0" w:color="auto"/>
              <w:right w:val="single" w:sz="4" w:space="0" w:color="auto"/>
            </w:tcBorders>
            <w:hideMark/>
          </w:tcPr>
          <w:p w14:paraId="2706A896" w14:textId="77777777" w:rsidR="008260A4" w:rsidRPr="00A7323A" w:rsidRDefault="008260A4" w:rsidP="00105865">
            <w:pPr>
              <w:rPr>
                <w:sz w:val="20"/>
                <w:szCs w:val="20"/>
              </w:rPr>
            </w:pPr>
            <w:r>
              <w:rPr>
                <w:sz w:val="20"/>
                <w:szCs w:val="20"/>
              </w:rPr>
              <w:t>P</w:t>
            </w:r>
            <w:r w:rsidRPr="00A7323A">
              <w:rPr>
                <w:sz w:val="20"/>
                <w:szCs w:val="20"/>
              </w:rPr>
              <w:t xml:space="preserve">eer support of </w:t>
            </w:r>
            <w:r>
              <w:rPr>
                <w:sz w:val="20"/>
                <w:szCs w:val="20"/>
              </w:rPr>
              <w:t>evaluation</w:t>
            </w:r>
            <w:r w:rsidRPr="00A7323A">
              <w:rPr>
                <w:sz w:val="20"/>
                <w:szCs w:val="20"/>
              </w:rPr>
              <w:t xml:space="preserve"> </w:t>
            </w:r>
            <w:r>
              <w:rPr>
                <w:sz w:val="20"/>
                <w:szCs w:val="20"/>
              </w:rPr>
              <w:t xml:space="preserve">visit in </w:t>
            </w:r>
            <w:r w:rsidRPr="00A7323A">
              <w:rPr>
                <w:sz w:val="20"/>
                <w:szCs w:val="20"/>
              </w:rPr>
              <w:t xml:space="preserve">hospital </w:t>
            </w:r>
          </w:p>
        </w:tc>
        <w:tc>
          <w:tcPr>
            <w:tcW w:w="1984" w:type="dxa"/>
            <w:tcBorders>
              <w:top w:val="single" w:sz="4" w:space="0" w:color="auto"/>
              <w:left w:val="single" w:sz="4" w:space="0" w:color="auto"/>
              <w:right w:val="single" w:sz="4" w:space="0" w:color="auto"/>
            </w:tcBorders>
            <w:hideMark/>
          </w:tcPr>
          <w:p w14:paraId="457E4A20" w14:textId="77777777" w:rsidR="008260A4" w:rsidRPr="00A7323A"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18EE79FB" w14:textId="77777777" w:rsidR="008260A4" w:rsidRPr="00A7323A" w:rsidRDefault="008260A4" w:rsidP="00105865">
            <w:pPr>
              <w:rPr>
                <w:sz w:val="20"/>
                <w:szCs w:val="20"/>
              </w:rPr>
            </w:pPr>
            <w:r>
              <w:rPr>
                <w:sz w:val="20"/>
                <w:szCs w:val="20"/>
              </w:rPr>
              <w:t>13,733.35</w:t>
            </w:r>
          </w:p>
        </w:tc>
        <w:tc>
          <w:tcPr>
            <w:tcW w:w="2126" w:type="dxa"/>
            <w:vMerge/>
            <w:tcBorders>
              <w:left w:val="single" w:sz="4" w:space="0" w:color="auto"/>
              <w:right w:val="single" w:sz="4" w:space="0" w:color="auto"/>
            </w:tcBorders>
          </w:tcPr>
          <w:p w14:paraId="0FCA492F"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E664FFD" w14:textId="77777777" w:rsidR="008260A4" w:rsidRPr="00A7323A" w:rsidRDefault="008260A4" w:rsidP="00105865">
            <w:pPr>
              <w:rPr>
                <w:sz w:val="20"/>
                <w:szCs w:val="20"/>
              </w:rPr>
            </w:pPr>
            <w:r w:rsidRPr="00A7323A">
              <w:rPr>
                <w:sz w:val="20"/>
                <w:szCs w:val="20"/>
              </w:rPr>
              <w:t>UCH and Groundswell financial records</w:t>
            </w:r>
          </w:p>
        </w:tc>
      </w:tr>
      <w:tr w:rsidR="008260A4" w14:paraId="1D1CC61A" w14:textId="77777777" w:rsidTr="008260A4">
        <w:trPr>
          <w:trHeight w:val="698"/>
          <w:tblHeader/>
        </w:trPr>
        <w:tc>
          <w:tcPr>
            <w:tcW w:w="2122" w:type="dxa"/>
            <w:vMerge/>
            <w:tcBorders>
              <w:top w:val="single" w:sz="4" w:space="0" w:color="auto"/>
              <w:left w:val="single" w:sz="4" w:space="0" w:color="auto"/>
              <w:bottom w:val="single" w:sz="4" w:space="0" w:color="auto"/>
              <w:right w:val="single" w:sz="4" w:space="0" w:color="auto"/>
            </w:tcBorders>
            <w:hideMark/>
          </w:tcPr>
          <w:p w14:paraId="1CDA596F"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7FA5B702"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top w:val="single" w:sz="4" w:space="0" w:color="auto"/>
              <w:left w:val="single" w:sz="4" w:space="0" w:color="auto"/>
              <w:bottom w:val="single" w:sz="4" w:space="0" w:color="auto"/>
              <w:right w:val="single" w:sz="4" w:space="0" w:color="auto"/>
            </w:tcBorders>
          </w:tcPr>
          <w:p w14:paraId="136AD711" w14:textId="77777777" w:rsidR="008260A4" w:rsidRPr="00A7323A" w:rsidRDefault="008260A4" w:rsidP="00105865">
            <w:pPr>
              <w:rPr>
                <w:sz w:val="20"/>
                <w:szCs w:val="20"/>
              </w:rPr>
            </w:pPr>
            <w:r>
              <w:rPr>
                <w:sz w:val="20"/>
                <w:szCs w:val="20"/>
              </w:rPr>
              <w:t>200.30 per person</w:t>
            </w:r>
          </w:p>
        </w:tc>
        <w:tc>
          <w:tcPr>
            <w:tcW w:w="2126" w:type="dxa"/>
            <w:vMerge/>
            <w:tcBorders>
              <w:left w:val="single" w:sz="4" w:space="0" w:color="auto"/>
              <w:bottom w:val="single" w:sz="4" w:space="0" w:color="auto"/>
              <w:right w:val="single" w:sz="4" w:space="0" w:color="auto"/>
            </w:tcBorders>
          </w:tcPr>
          <w:p w14:paraId="04C96D16"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E6AAA87" w14:textId="77777777" w:rsidR="008260A4" w:rsidRPr="00A7323A" w:rsidRDefault="008260A4" w:rsidP="00105865">
            <w:pPr>
              <w:rPr>
                <w:sz w:val="20"/>
                <w:szCs w:val="20"/>
              </w:rPr>
            </w:pPr>
            <w:r w:rsidRPr="00A7323A">
              <w:rPr>
                <w:sz w:val="20"/>
                <w:szCs w:val="20"/>
              </w:rPr>
              <w:t>Expert opinion (correspondence Graham Foster)</w:t>
            </w:r>
          </w:p>
        </w:tc>
      </w:tr>
      <w:tr w:rsidR="008260A4" w14:paraId="4B5074FE" w14:textId="77777777" w:rsidTr="008260A4">
        <w:trPr>
          <w:trHeight w:val="307"/>
          <w:tblHeader/>
        </w:trPr>
        <w:tc>
          <w:tcPr>
            <w:tcW w:w="2122" w:type="dxa"/>
            <w:vMerge w:val="restart"/>
            <w:tcBorders>
              <w:top w:val="single" w:sz="4" w:space="0" w:color="auto"/>
              <w:left w:val="single" w:sz="4" w:space="0" w:color="auto"/>
              <w:right w:val="single" w:sz="4" w:space="0" w:color="auto"/>
            </w:tcBorders>
            <w:hideMark/>
          </w:tcPr>
          <w:p w14:paraId="73E88ABD" w14:textId="77777777" w:rsidR="008260A4" w:rsidRPr="00A7323A" w:rsidRDefault="008260A4" w:rsidP="00105865">
            <w:pPr>
              <w:rPr>
                <w:sz w:val="20"/>
                <w:szCs w:val="20"/>
              </w:rPr>
            </w:pPr>
            <w:r w:rsidRPr="00572490">
              <w:rPr>
                <w:sz w:val="20"/>
                <w:szCs w:val="20"/>
              </w:rPr>
              <w:t xml:space="preserve">Peer support of </w:t>
            </w:r>
            <w:r>
              <w:rPr>
                <w:sz w:val="20"/>
                <w:szCs w:val="20"/>
              </w:rPr>
              <w:t>t</w:t>
            </w:r>
            <w:r w:rsidRPr="00546768">
              <w:rPr>
                <w:sz w:val="20"/>
                <w:szCs w:val="20"/>
              </w:rPr>
              <w:t>reatment initiation and subsequent visits 0,2,4,6,8, 10 weeks</w:t>
            </w:r>
          </w:p>
        </w:tc>
        <w:tc>
          <w:tcPr>
            <w:tcW w:w="1984" w:type="dxa"/>
            <w:tcBorders>
              <w:top w:val="single" w:sz="4" w:space="0" w:color="auto"/>
              <w:left w:val="single" w:sz="4" w:space="0" w:color="auto"/>
              <w:right w:val="single" w:sz="4" w:space="0" w:color="auto"/>
            </w:tcBorders>
            <w:hideMark/>
          </w:tcPr>
          <w:p w14:paraId="3B1F76D0"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411DD0AB" w14:textId="77777777" w:rsidR="008260A4" w:rsidRPr="00572490" w:rsidRDefault="008260A4" w:rsidP="00105865">
            <w:pPr>
              <w:rPr>
                <w:sz w:val="20"/>
                <w:szCs w:val="20"/>
              </w:rPr>
            </w:pPr>
            <w:r>
              <w:rPr>
                <w:sz w:val="20"/>
                <w:szCs w:val="20"/>
              </w:rPr>
              <w:t>14,556.88</w:t>
            </w:r>
          </w:p>
        </w:tc>
        <w:tc>
          <w:tcPr>
            <w:tcW w:w="2126" w:type="dxa"/>
            <w:vMerge w:val="restart"/>
            <w:tcBorders>
              <w:top w:val="single" w:sz="4" w:space="0" w:color="auto"/>
              <w:left w:val="single" w:sz="4" w:space="0" w:color="auto"/>
              <w:right w:val="single" w:sz="4" w:space="0" w:color="auto"/>
            </w:tcBorders>
          </w:tcPr>
          <w:p w14:paraId="2FDB186C" w14:textId="77777777" w:rsidR="008260A4" w:rsidRDefault="008260A4" w:rsidP="00105865">
            <w:pPr>
              <w:rPr>
                <w:sz w:val="20"/>
                <w:szCs w:val="20"/>
              </w:rPr>
            </w:pPr>
            <w:r w:rsidRPr="00A7323A">
              <w:rPr>
                <w:sz w:val="20"/>
                <w:szCs w:val="20"/>
              </w:rPr>
              <w:t>Total Cost of Treatment (1 year)</w:t>
            </w:r>
            <w:r w:rsidRPr="00572490">
              <w:rPr>
                <w:sz w:val="20"/>
                <w:szCs w:val="20"/>
              </w:rPr>
              <w:t xml:space="preserve"> </w:t>
            </w:r>
          </w:p>
          <w:p w14:paraId="0344BB15" w14:textId="77777777" w:rsidR="008260A4" w:rsidRDefault="008260A4" w:rsidP="00105865">
            <w:pPr>
              <w:rPr>
                <w:sz w:val="20"/>
                <w:szCs w:val="20"/>
              </w:rPr>
            </w:pPr>
          </w:p>
          <w:p w14:paraId="7EC9D1EB" w14:textId="77777777" w:rsidR="008260A4" w:rsidRDefault="008260A4" w:rsidP="00105865">
            <w:pPr>
              <w:rPr>
                <w:sz w:val="20"/>
                <w:szCs w:val="20"/>
              </w:rPr>
            </w:pPr>
            <w:r>
              <w:rPr>
                <w:sz w:val="20"/>
                <w:szCs w:val="20"/>
              </w:rPr>
              <w:t>32,000.28 + hospital costs +DAA’s</w:t>
            </w:r>
          </w:p>
          <w:p w14:paraId="1F87148B" w14:textId="77777777" w:rsidR="008260A4" w:rsidRDefault="008260A4" w:rsidP="00105865">
            <w:pPr>
              <w:rPr>
                <w:sz w:val="20"/>
                <w:szCs w:val="20"/>
              </w:rPr>
            </w:pPr>
          </w:p>
          <w:p w14:paraId="1C2BDFC1" w14:textId="77777777" w:rsidR="008260A4" w:rsidRDefault="008260A4" w:rsidP="00105865">
            <w:pPr>
              <w:rPr>
                <w:sz w:val="20"/>
                <w:szCs w:val="20"/>
              </w:rPr>
            </w:pPr>
          </w:p>
          <w:p w14:paraId="5A33BEFC"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0E32BB84" w14:textId="77777777" w:rsidR="008260A4" w:rsidRPr="00572490" w:rsidRDefault="008260A4" w:rsidP="00105865">
            <w:pPr>
              <w:rPr>
                <w:sz w:val="20"/>
                <w:szCs w:val="20"/>
              </w:rPr>
            </w:pPr>
            <w:r w:rsidRPr="00572490">
              <w:rPr>
                <w:sz w:val="20"/>
                <w:szCs w:val="20"/>
              </w:rPr>
              <w:t>UCH and Groundswell financial records</w:t>
            </w:r>
          </w:p>
        </w:tc>
      </w:tr>
      <w:tr w:rsidR="008260A4" w14:paraId="51197EFD" w14:textId="77777777" w:rsidTr="008260A4">
        <w:trPr>
          <w:trHeight w:val="307"/>
          <w:tblHeader/>
        </w:trPr>
        <w:tc>
          <w:tcPr>
            <w:tcW w:w="2122" w:type="dxa"/>
            <w:vMerge/>
            <w:tcBorders>
              <w:left w:val="single" w:sz="4" w:space="0" w:color="auto"/>
              <w:right w:val="single" w:sz="4" w:space="0" w:color="auto"/>
            </w:tcBorders>
          </w:tcPr>
          <w:p w14:paraId="68A51D65" w14:textId="77777777" w:rsidR="008260A4" w:rsidRPr="00572490" w:rsidRDefault="008260A4" w:rsidP="00105865">
            <w:pPr>
              <w:rPr>
                <w:sz w:val="20"/>
                <w:szCs w:val="20"/>
              </w:rPr>
            </w:pPr>
          </w:p>
        </w:tc>
        <w:tc>
          <w:tcPr>
            <w:tcW w:w="1984" w:type="dxa"/>
            <w:tcBorders>
              <w:top w:val="single" w:sz="4" w:space="0" w:color="auto"/>
              <w:left w:val="single" w:sz="4" w:space="0" w:color="auto"/>
              <w:right w:val="single" w:sz="4" w:space="0" w:color="auto"/>
            </w:tcBorders>
          </w:tcPr>
          <w:p w14:paraId="2165A5D4" w14:textId="77777777" w:rsidR="008260A4" w:rsidRPr="00572490" w:rsidRDefault="008260A4" w:rsidP="00105865">
            <w:pPr>
              <w:rPr>
                <w:sz w:val="20"/>
                <w:szCs w:val="20"/>
              </w:rPr>
            </w:pPr>
            <w:r w:rsidRPr="00A7323A">
              <w:rPr>
                <w:sz w:val="20"/>
                <w:szCs w:val="20"/>
              </w:rPr>
              <w:t>Drugs and hospital costs</w:t>
            </w:r>
          </w:p>
        </w:tc>
        <w:tc>
          <w:tcPr>
            <w:tcW w:w="1843" w:type="dxa"/>
            <w:tcBorders>
              <w:left w:val="single" w:sz="4" w:space="0" w:color="auto"/>
              <w:right w:val="single" w:sz="4" w:space="0" w:color="auto"/>
            </w:tcBorders>
          </w:tcPr>
          <w:p w14:paraId="53976C56" w14:textId="77777777" w:rsidR="008260A4" w:rsidRDefault="008260A4" w:rsidP="00105865">
            <w:pPr>
              <w:rPr>
                <w:sz w:val="20"/>
                <w:szCs w:val="20"/>
              </w:rPr>
            </w:pPr>
            <w:r>
              <w:rPr>
                <w:sz w:val="20"/>
                <w:szCs w:val="20"/>
              </w:rPr>
              <w:t>395.78 per person for 12 weeks hospital costs</w:t>
            </w:r>
          </w:p>
          <w:p w14:paraId="73241387" w14:textId="77777777" w:rsidR="008260A4" w:rsidRDefault="008260A4" w:rsidP="00105865">
            <w:pPr>
              <w:rPr>
                <w:sz w:val="20"/>
                <w:szCs w:val="20"/>
              </w:rPr>
            </w:pPr>
          </w:p>
          <w:p w14:paraId="4A0E1EA6" w14:textId="77777777" w:rsidR="008260A4" w:rsidRPr="00572490" w:rsidRDefault="008260A4" w:rsidP="00105865">
            <w:pPr>
              <w:rPr>
                <w:sz w:val="20"/>
                <w:szCs w:val="20"/>
              </w:rPr>
            </w:pPr>
            <w:r>
              <w:rPr>
                <w:sz w:val="20"/>
                <w:szCs w:val="20"/>
              </w:rPr>
              <w:t>38,982 DAA’s per person</w:t>
            </w:r>
          </w:p>
        </w:tc>
        <w:tc>
          <w:tcPr>
            <w:tcW w:w="2126" w:type="dxa"/>
            <w:vMerge/>
            <w:tcBorders>
              <w:left w:val="single" w:sz="4" w:space="0" w:color="auto"/>
              <w:right w:val="single" w:sz="4" w:space="0" w:color="auto"/>
            </w:tcBorders>
          </w:tcPr>
          <w:p w14:paraId="1ABAA2D8" w14:textId="77777777" w:rsidR="008260A4" w:rsidRPr="00A7323A" w:rsidRDefault="008260A4" w:rsidP="00105865">
            <w:pPr>
              <w:rPr>
                <w:sz w:val="20"/>
                <w:szCs w:val="20"/>
              </w:rPr>
            </w:pPr>
          </w:p>
        </w:tc>
        <w:tc>
          <w:tcPr>
            <w:tcW w:w="2268" w:type="dxa"/>
            <w:tcBorders>
              <w:left w:val="single" w:sz="4" w:space="0" w:color="auto"/>
              <w:bottom w:val="single" w:sz="4" w:space="0" w:color="auto"/>
              <w:right w:val="single" w:sz="4" w:space="0" w:color="auto"/>
            </w:tcBorders>
          </w:tcPr>
          <w:p w14:paraId="0505F876" w14:textId="77777777" w:rsidR="008260A4" w:rsidRPr="00572490" w:rsidRDefault="008260A4" w:rsidP="00105865">
            <w:pPr>
              <w:rPr>
                <w:sz w:val="20"/>
                <w:szCs w:val="20"/>
              </w:rPr>
            </w:pPr>
            <w:r w:rsidRPr="00A7323A">
              <w:rPr>
                <w:sz w:val="20"/>
                <w:szCs w:val="20"/>
              </w:rPr>
              <w:t>Expert opinion (correspondence Graham Foster)</w:t>
            </w:r>
          </w:p>
        </w:tc>
      </w:tr>
      <w:tr w:rsidR="008260A4" w14:paraId="4976046A" w14:textId="77777777" w:rsidTr="008260A4">
        <w:trPr>
          <w:trHeight w:val="596"/>
          <w:tblHeader/>
        </w:trPr>
        <w:tc>
          <w:tcPr>
            <w:tcW w:w="2122" w:type="dxa"/>
            <w:tcBorders>
              <w:top w:val="single" w:sz="4" w:space="0" w:color="auto"/>
              <w:left w:val="single" w:sz="4" w:space="0" w:color="auto"/>
              <w:right w:val="single" w:sz="4" w:space="0" w:color="auto"/>
            </w:tcBorders>
            <w:hideMark/>
          </w:tcPr>
          <w:p w14:paraId="5A298B9F" w14:textId="77777777" w:rsidR="008260A4" w:rsidRPr="00A7323A" w:rsidRDefault="008260A4" w:rsidP="00105865">
            <w:pPr>
              <w:rPr>
                <w:sz w:val="20"/>
                <w:szCs w:val="20"/>
              </w:rPr>
            </w:pPr>
            <w:r>
              <w:rPr>
                <w:sz w:val="20"/>
                <w:szCs w:val="20"/>
              </w:rPr>
              <w:t>Adherence Support</w:t>
            </w:r>
          </w:p>
        </w:tc>
        <w:tc>
          <w:tcPr>
            <w:tcW w:w="1984" w:type="dxa"/>
            <w:tcBorders>
              <w:top w:val="single" w:sz="4" w:space="0" w:color="auto"/>
              <w:left w:val="single" w:sz="4" w:space="0" w:color="auto"/>
              <w:right w:val="single" w:sz="4" w:space="0" w:color="auto"/>
            </w:tcBorders>
            <w:hideMark/>
          </w:tcPr>
          <w:p w14:paraId="06DE3931" w14:textId="77777777" w:rsidR="008260A4" w:rsidRPr="00572490" w:rsidRDefault="008260A4" w:rsidP="00105865">
            <w:pPr>
              <w:rPr>
                <w:sz w:val="20"/>
                <w:szCs w:val="20"/>
              </w:rPr>
            </w:pPr>
          </w:p>
        </w:tc>
        <w:tc>
          <w:tcPr>
            <w:tcW w:w="1843" w:type="dxa"/>
            <w:tcBorders>
              <w:top w:val="single" w:sz="4" w:space="0" w:color="auto"/>
              <w:left w:val="single" w:sz="4" w:space="0" w:color="auto"/>
              <w:right w:val="single" w:sz="4" w:space="0" w:color="auto"/>
            </w:tcBorders>
            <w:hideMark/>
          </w:tcPr>
          <w:p w14:paraId="1644CBE5" w14:textId="77777777" w:rsidR="008260A4" w:rsidRPr="00572490" w:rsidRDefault="008260A4" w:rsidP="00105865">
            <w:pPr>
              <w:rPr>
                <w:sz w:val="20"/>
                <w:szCs w:val="20"/>
              </w:rPr>
            </w:pPr>
            <w:r>
              <w:rPr>
                <w:sz w:val="20"/>
                <w:szCs w:val="20"/>
              </w:rPr>
              <w:t>8,734.20</w:t>
            </w:r>
          </w:p>
        </w:tc>
        <w:tc>
          <w:tcPr>
            <w:tcW w:w="2126" w:type="dxa"/>
            <w:vMerge/>
            <w:tcBorders>
              <w:left w:val="single" w:sz="4" w:space="0" w:color="auto"/>
              <w:right w:val="single" w:sz="4" w:space="0" w:color="auto"/>
            </w:tcBorders>
          </w:tcPr>
          <w:p w14:paraId="684EC16B"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305F0CAD" w14:textId="77777777" w:rsidR="008260A4" w:rsidRPr="00572490" w:rsidRDefault="008260A4" w:rsidP="00105865">
            <w:pPr>
              <w:rPr>
                <w:sz w:val="20"/>
                <w:szCs w:val="20"/>
              </w:rPr>
            </w:pPr>
            <w:r w:rsidRPr="00572490">
              <w:rPr>
                <w:sz w:val="20"/>
                <w:szCs w:val="20"/>
              </w:rPr>
              <w:t>UCH and Groundswell financial records</w:t>
            </w:r>
          </w:p>
        </w:tc>
      </w:tr>
      <w:tr w:rsidR="008260A4" w14:paraId="5D3C2D08" w14:textId="77777777" w:rsidTr="008260A4">
        <w:trPr>
          <w:trHeight w:val="307"/>
        </w:trPr>
        <w:tc>
          <w:tcPr>
            <w:tcW w:w="2122" w:type="dxa"/>
            <w:vMerge w:val="restart"/>
            <w:hideMark/>
          </w:tcPr>
          <w:p w14:paraId="4F943FDB" w14:textId="77777777" w:rsidR="008260A4" w:rsidRPr="00A7323A" w:rsidRDefault="008260A4" w:rsidP="00105865">
            <w:pPr>
              <w:rPr>
                <w:sz w:val="20"/>
                <w:szCs w:val="20"/>
              </w:rPr>
            </w:pPr>
            <w:r w:rsidRPr="00572490">
              <w:rPr>
                <w:sz w:val="20"/>
                <w:szCs w:val="20"/>
              </w:rPr>
              <w:t xml:space="preserve">Peer support of </w:t>
            </w:r>
            <w:r>
              <w:rPr>
                <w:sz w:val="20"/>
                <w:szCs w:val="20"/>
              </w:rPr>
              <w:t>p</w:t>
            </w:r>
            <w:r w:rsidRPr="00546768">
              <w:rPr>
                <w:sz w:val="20"/>
                <w:szCs w:val="20"/>
              </w:rPr>
              <w:t>ost treatment visits 12 weeks and 1 year</w:t>
            </w:r>
          </w:p>
        </w:tc>
        <w:tc>
          <w:tcPr>
            <w:tcW w:w="1984" w:type="dxa"/>
            <w:hideMark/>
          </w:tcPr>
          <w:p w14:paraId="05629D3D"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right w:val="single" w:sz="4" w:space="0" w:color="auto"/>
            </w:tcBorders>
            <w:hideMark/>
          </w:tcPr>
          <w:p w14:paraId="3336D71F" w14:textId="77777777" w:rsidR="008260A4" w:rsidRPr="00572490" w:rsidRDefault="008260A4" w:rsidP="00105865">
            <w:pPr>
              <w:rPr>
                <w:sz w:val="20"/>
                <w:szCs w:val="20"/>
              </w:rPr>
            </w:pPr>
            <w:r>
              <w:rPr>
                <w:sz w:val="20"/>
                <w:szCs w:val="20"/>
              </w:rPr>
              <w:t>8,709.20</w:t>
            </w:r>
          </w:p>
        </w:tc>
        <w:tc>
          <w:tcPr>
            <w:tcW w:w="2126" w:type="dxa"/>
            <w:vMerge/>
            <w:tcBorders>
              <w:left w:val="single" w:sz="4" w:space="0" w:color="auto"/>
              <w:right w:val="single" w:sz="4" w:space="0" w:color="auto"/>
            </w:tcBorders>
          </w:tcPr>
          <w:p w14:paraId="59E78F4F" w14:textId="77777777" w:rsidR="008260A4" w:rsidRPr="00572490" w:rsidRDefault="008260A4" w:rsidP="00105865">
            <w:pPr>
              <w:rPr>
                <w:sz w:val="20"/>
                <w:szCs w:val="20"/>
              </w:rPr>
            </w:pPr>
          </w:p>
        </w:tc>
        <w:tc>
          <w:tcPr>
            <w:tcW w:w="2268" w:type="dxa"/>
            <w:vMerge w:val="restart"/>
            <w:tcBorders>
              <w:left w:val="single" w:sz="4" w:space="0" w:color="auto"/>
            </w:tcBorders>
            <w:hideMark/>
          </w:tcPr>
          <w:p w14:paraId="2371BBBE" w14:textId="77777777" w:rsidR="008260A4" w:rsidRPr="00572490" w:rsidRDefault="008260A4" w:rsidP="00105865">
            <w:pPr>
              <w:rPr>
                <w:sz w:val="20"/>
                <w:szCs w:val="20"/>
              </w:rPr>
            </w:pPr>
            <w:r w:rsidRPr="00572490">
              <w:rPr>
                <w:sz w:val="20"/>
                <w:szCs w:val="20"/>
              </w:rPr>
              <w:t>UCH and Groundswell financial records</w:t>
            </w:r>
          </w:p>
        </w:tc>
      </w:tr>
      <w:tr w:rsidR="008260A4" w14:paraId="67815BE3" w14:textId="77777777" w:rsidTr="008260A4">
        <w:trPr>
          <w:trHeight w:val="307"/>
        </w:trPr>
        <w:tc>
          <w:tcPr>
            <w:tcW w:w="2122" w:type="dxa"/>
            <w:vMerge/>
          </w:tcPr>
          <w:p w14:paraId="689870E8" w14:textId="77777777" w:rsidR="008260A4" w:rsidRPr="00572490" w:rsidRDefault="008260A4" w:rsidP="00105865">
            <w:pPr>
              <w:rPr>
                <w:sz w:val="20"/>
                <w:szCs w:val="20"/>
              </w:rPr>
            </w:pPr>
          </w:p>
        </w:tc>
        <w:tc>
          <w:tcPr>
            <w:tcW w:w="1984" w:type="dxa"/>
          </w:tcPr>
          <w:p w14:paraId="3B306ECA"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right w:val="single" w:sz="4" w:space="0" w:color="auto"/>
            </w:tcBorders>
          </w:tcPr>
          <w:p w14:paraId="4C17148C" w14:textId="77777777" w:rsidR="008260A4" w:rsidRPr="00572490" w:rsidRDefault="008260A4" w:rsidP="00105865">
            <w:pPr>
              <w:rPr>
                <w:sz w:val="20"/>
                <w:szCs w:val="20"/>
              </w:rPr>
            </w:pPr>
            <w:r>
              <w:rPr>
                <w:sz w:val="20"/>
                <w:szCs w:val="20"/>
              </w:rPr>
              <w:t>158.33 per person</w:t>
            </w:r>
          </w:p>
        </w:tc>
        <w:tc>
          <w:tcPr>
            <w:tcW w:w="2126" w:type="dxa"/>
            <w:vMerge/>
            <w:tcBorders>
              <w:left w:val="single" w:sz="4" w:space="0" w:color="auto"/>
              <w:right w:val="single" w:sz="4" w:space="0" w:color="auto"/>
            </w:tcBorders>
          </w:tcPr>
          <w:p w14:paraId="2C7C1E8B" w14:textId="77777777" w:rsidR="008260A4" w:rsidRPr="00A7323A" w:rsidRDefault="008260A4" w:rsidP="00105865">
            <w:pPr>
              <w:rPr>
                <w:sz w:val="20"/>
                <w:szCs w:val="20"/>
              </w:rPr>
            </w:pPr>
          </w:p>
        </w:tc>
        <w:tc>
          <w:tcPr>
            <w:tcW w:w="2268" w:type="dxa"/>
            <w:vMerge/>
            <w:tcBorders>
              <w:left w:val="single" w:sz="4" w:space="0" w:color="auto"/>
            </w:tcBorders>
          </w:tcPr>
          <w:p w14:paraId="30AC929D" w14:textId="77777777" w:rsidR="008260A4" w:rsidRPr="00572490" w:rsidRDefault="008260A4" w:rsidP="00105865">
            <w:pPr>
              <w:rPr>
                <w:sz w:val="20"/>
                <w:szCs w:val="20"/>
              </w:rPr>
            </w:pPr>
          </w:p>
        </w:tc>
      </w:tr>
    </w:tbl>
    <w:p w14:paraId="68AEFEE9" w14:textId="77777777" w:rsidR="008260A4" w:rsidRDefault="008260A4" w:rsidP="00105865">
      <w:pPr>
        <w:spacing w:line="240" w:lineRule="auto"/>
      </w:pPr>
    </w:p>
    <w:p w14:paraId="1C761C9E" w14:textId="77777777" w:rsidR="008260A4" w:rsidRDefault="008260A4" w:rsidP="00105865">
      <w:pPr>
        <w:spacing w:line="240" w:lineRule="auto"/>
      </w:pPr>
    </w:p>
    <w:p w14:paraId="7A34A96B" w14:textId="77777777" w:rsidR="008260A4" w:rsidRDefault="008260A4" w:rsidP="00105865">
      <w:pPr>
        <w:spacing w:line="240" w:lineRule="auto"/>
      </w:pPr>
    </w:p>
    <w:p w14:paraId="51546DC6" w14:textId="77777777" w:rsidR="008260A4" w:rsidRDefault="008260A4" w:rsidP="00105865">
      <w:pPr>
        <w:spacing w:line="240" w:lineRule="auto"/>
      </w:pPr>
    </w:p>
    <w:p w14:paraId="2F04212B" w14:textId="77777777" w:rsidR="008260A4" w:rsidRDefault="008260A4" w:rsidP="00105865">
      <w:pPr>
        <w:spacing w:line="240" w:lineRule="auto"/>
      </w:pPr>
    </w:p>
    <w:p w14:paraId="4C793919" w14:textId="77777777" w:rsidR="008260A4" w:rsidRDefault="008260A4" w:rsidP="00105865">
      <w:pPr>
        <w:spacing w:line="240" w:lineRule="auto"/>
      </w:pPr>
    </w:p>
    <w:p w14:paraId="6190630D" w14:textId="77777777" w:rsidR="008260A4" w:rsidRDefault="008260A4" w:rsidP="00105865">
      <w:pPr>
        <w:spacing w:line="240" w:lineRule="auto"/>
      </w:pPr>
    </w:p>
    <w:p w14:paraId="7B34C3EF" w14:textId="77777777" w:rsidR="008260A4" w:rsidRDefault="008260A4" w:rsidP="00105865">
      <w:pPr>
        <w:spacing w:line="240" w:lineRule="auto"/>
      </w:pPr>
    </w:p>
    <w:p w14:paraId="0B317CB0" w14:textId="77777777" w:rsidR="005328D1" w:rsidRDefault="005328D1" w:rsidP="00105865">
      <w:pPr>
        <w:spacing w:line="240" w:lineRule="auto"/>
      </w:pPr>
      <w:r>
        <w:br w:type="page"/>
      </w:r>
    </w:p>
    <w:p w14:paraId="324D9C57" w14:textId="7CBE99E7" w:rsidR="008260A4" w:rsidRPr="0023308E" w:rsidRDefault="008260A4" w:rsidP="00105865">
      <w:pPr>
        <w:spacing w:line="240" w:lineRule="auto"/>
        <w:rPr>
          <w:b/>
        </w:rPr>
      </w:pPr>
      <w:r>
        <w:lastRenderedPageBreak/>
        <w:t>Table S</w:t>
      </w:r>
      <w:r w:rsidR="00091C92">
        <w:t>10</w:t>
      </w:r>
      <w:r>
        <w:t xml:space="preserve">: </w:t>
      </w:r>
      <w:r>
        <w:rPr>
          <w:b/>
        </w:rPr>
        <w:t>Scenario 6: HCV van is used for each screening event.</w:t>
      </w:r>
    </w:p>
    <w:tbl>
      <w:tblPr>
        <w:tblStyle w:val="TableGrid"/>
        <w:tblW w:w="10343" w:type="dxa"/>
        <w:tblLayout w:type="fixed"/>
        <w:tblLook w:val="04A0" w:firstRow="1" w:lastRow="0" w:firstColumn="1" w:lastColumn="0" w:noHBand="0" w:noVBand="1"/>
      </w:tblPr>
      <w:tblGrid>
        <w:gridCol w:w="2122"/>
        <w:gridCol w:w="1984"/>
        <w:gridCol w:w="1843"/>
        <w:gridCol w:w="2126"/>
        <w:gridCol w:w="2268"/>
      </w:tblGrid>
      <w:tr w:rsidR="008260A4" w14:paraId="4398B5A2" w14:textId="77777777" w:rsidTr="008260A4">
        <w:trPr>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6737A76" w14:textId="77777777" w:rsidR="008260A4" w:rsidRDefault="008260A4" w:rsidP="00105865">
            <w:pPr>
              <w:rPr>
                <w:b/>
              </w:rPr>
            </w:pPr>
          </w:p>
          <w:p w14:paraId="772DFE4B" w14:textId="77777777" w:rsidR="008260A4" w:rsidRDefault="008260A4" w:rsidP="00105865">
            <w:pPr>
              <w:rPr>
                <w:b/>
              </w:rPr>
            </w:pPr>
            <w:r>
              <w:rPr>
                <w:b/>
              </w:rPr>
              <w:t>Activity Cost for 1 year 2017/2018</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8185FF" w14:textId="77777777" w:rsidR="008260A4" w:rsidRDefault="008260A4" w:rsidP="00105865">
            <w:pPr>
              <w:rPr>
                <w:b/>
              </w:rPr>
            </w:pPr>
            <w:r>
              <w:rPr>
                <w:b/>
              </w:rPr>
              <w:t>Costs (£) 2017/18</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FE6021" w14:textId="77777777" w:rsidR="008260A4" w:rsidRDefault="008260A4" w:rsidP="00105865">
            <w:pPr>
              <w:rPr>
                <w:b/>
              </w:rPr>
            </w:pPr>
            <w:r>
              <w:rPr>
                <w:b/>
              </w:rPr>
              <w:t>Model Input</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BA9952" w14:textId="77777777" w:rsidR="008260A4" w:rsidRDefault="008260A4" w:rsidP="00105865">
            <w:pPr>
              <w:rPr>
                <w:b/>
              </w:rPr>
            </w:pPr>
            <w:r>
              <w:rPr>
                <w:b/>
              </w:rPr>
              <w:t>Source</w:t>
            </w:r>
          </w:p>
        </w:tc>
      </w:tr>
      <w:tr w:rsidR="008260A4" w14:paraId="27C8A9CD" w14:textId="77777777" w:rsidTr="008260A4">
        <w:trPr>
          <w:trHeight w:val="580"/>
          <w:tblHeader/>
        </w:trPr>
        <w:tc>
          <w:tcPr>
            <w:tcW w:w="4106" w:type="dxa"/>
            <w:gridSpan w:val="2"/>
            <w:tcBorders>
              <w:top w:val="single" w:sz="4" w:space="0" w:color="auto"/>
              <w:left w:val="single" w:sz="4" w:space="0" w:color="auto"/>
              <w:bottom w:val="single" w:sz="4" w:space="0" w:color="auto"/>
              <w:right w:val="single" w:sz="4" w:space="0" w:color="auto"/>
            </w:tcBorders>
            <w:hideMark/>
          </w:tcPr>
          <w:p w14:paraId="547CCF55" w14:textId="77777777" w:rsidR="008260A4" w:rsidRPr="00A7323A" w:rsidRDefault="008260A4" w:rsidP="00105865">
            <w:pPr>
              <w:rPr>
                <w:sz w:val="20"/>
                <w:szCs w:val="20"/>
              </w:rPr>
            </w:pPr>
            <w:r w:rsidRPr="00A7323A">
              <w:rPr>
                <w:sz w:val="20"/>
                <w:szCs w:val="20"/>
              </w:rPr>
              <w:t xml:space="preserve">Total Cost </w:t>
            </w:r>
          </w:p>
        </w:tc>
        <w:tc>
          <w:tcPr>
            <w:tcW w:w="1843" w:type="dxa"/>
            <w:tcBorders>
              <w:top w:val="single" w:sz="4" w:space="0" w:color="auto"/>
              <w:left w:val="single" w:sz="4" w:space="0" w:color="auto"/>
              <w:bottom w:val="single" w:sz="4" w:space="0" w:color="auto"/>
              <w:right w:val="single" w:sz="4" w:space="0" w:color="auto"/>
            </w:tcBorders>
          </w:tcPr>
          <w:p w14:paraId="532AD4A8" w14:textId="77777777" w:rsidR="008260A4" w:rsidRPr="00A7323A" w:rsidRDefault="008260A4" w:rsidP="00105865">
            <w:pPr>
              <w:rPr>
                <w:sz w:val="20"/>
                <w:szCs w:val="20"/>
              </w:rPr>
            </w:pPr>
            <w:r>
              <w:rPr>
                <w:sz w:val="20"/>
                <w:szCs w:val="20"/>
              </w:rPr>
              <w:t>128,752.55</w:t>
            </w:r>
          </w:p>
        </w:tc>
        <w:tc>
          <w:tcPr>
            <w:tcW w:w="2126" w:type="dxa"/>
            <w:tcBorders>
              <w:top w:val="single" w:sz="4" w:space="0" w:color="auto"/>
              <w:left w:val="single" w:sz="4" w:space="0" w:color="auto"/>
              <w:bottom w:val="single" w:sz="4" w:space="0" w:color="auto"/>
              <w:right w:val="single" w:sz="4" w:space="0" w:color="auto"/>
            </w:tcBorders>
          </w:tcPr>
          <w:p w14:paraId="2D2D16A3"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5CA2A61" w14:textId="77777777" w:rsidR="008260A4" w:rsidRPr="00A7323A" w:rsidRDefault="008260A4" w:rsidP="00105865">
            <w:pPr>
              <w:rPr>
                <w:sz w:val="20"/>
                <w:szCs w:val="20"/>
              </w:rPr>
            </w:pPr>
            <w:r w:rsidRPr="00A7323A">
              <w:rPr>
                <w:sz w:val="20"/>
                <w:szCs w:val="20"/>
              </w:rPr>
              <w:t>UCH and Groundswell financial records</w:t>
            </w:r>
          </w:p>
        </w:tc>
      </w:tr>
      <w:tr w:rsidR="008260A4" w14:paraId="1823E36E" w14:textId="77777777" w:rsidTr="008260A4">
        <w:trPr>
          <w:trHeight w:val="418"/>
          <w:tblHeader/>
        </w:trPr>
        <w:tc>
          <w:tcPr>
            <w:tcW w:w="2122" w:type="dxa"/>
            <w:vMerge w:val="restart"/>
            <w:tcBorders>
              <w:top w:val="single" w:sz="4" w:space="0" w:color="auto"/>
              <w:left w:val="single" w:sz="4" w:space="0" w:color="auto"/>
              <w:right w:val="single" w:sz="4" w:space="0" w:color="auto"/>
            </w:tcBorders>
            <w:hideMark/>
          </w:tcPr>
          <w:p w14:paraId="5826D9CA" w14:textId="77777777" w:rsidR="008260A4" w:rsidRPr="00A7323A" w:rsidRDefault="008260A4" w:rsidP="00105865">
            <w:pPr>
              <w:rPr>
                <w:sz w:val="20"/>
                <w:szCs w:val="20"/>
              </w:rPr>
            </w:pPr>
            <w:r w:rsidRPr="00A7323A">
              <w:rPr>
                <w:sz w:val="20"/>
                <w:szCs w:val="20"/>
              </w:rPr>
              <w:t xml:space="preserve">Total cost of Outreach </w:t>
            </w:r>
          </w:p>
        </w:tc>
        <w:tc>
          <w:tcPr>
            <w:tcW w:w="1984" w:type="dxa"/>
            <w:tcBorders>
              <w:top w:val="single" w:sz="4" w:space="0" w:color="auto"/>
              <w:left w:val="single" w:sz="4" w:space="0" w:color="auto"/>
              <w:bottom w:val="single" w:sz="4" w:space="0" w:color="auto"/>
              <w:right w:val="single" w:sz="4" w:space="0" w:color="auto"/>
            </w:tcBorders>
            <w:hideMark/>
          </w:tcPr>
          <w:p w14:paraId="657DFCB0" w14:textId="77777777" w:rsidR="008260A4" w:rsidRPr="00A7323A" w:rsidRDefault="008260A4" w:rsidP="00105865">
            <w:pPr>
              <w:rPr>
                <w:sz w:val="20"/>
                <w:szCs w:val="20"/>
              </w:rPr>
            </w:pPr>
            <w:r w:rsidRPr="00A7323A">
              <w:rPr>
                <w:sz w:val="20"/>
                <w:szCs w:val="20"/>
              </w:rPr>
              <w:t>In outreach location</w:t>
            </w:r>
          </w:p>
        </w:tc>
        <w:tc>
          <w:tcPr>
            <w:tcW w:w="1843" w:type="dxa"/>
            <w:tcBorders>
              <w:top w:val="single" w:sz="4" w:space="0" w:color="auto"/>
              <w:left w:val="single" w:sz="4" w:space="0" w:color="auto"/>
              <w:bottom w:val="single" w:sz="4" w:space="0" w:color="auto"/>
              <w:right w:val="single" w:sz="4" w:space="0" w:color="auto"/>
            </w:tcBorders>
          </w:tcPr>
          <w:p w14:paraId="2D53D1C4" w14:textId="77777777" w:rsidR="008260A4" w:rsidRDefault="008260A4" w:rsidP="00105865">
            <w:pPr>
              <w:rPr>
                <w:sz w:val="20"/>
                <w:szCs w:val="20"/>
              </w:rPr>
            </w:pPr>
            <w:r>
              <w:rPr>
                <w:sz w:val="20"/>
                <w:szCs w:val="20"/>
              </w:rPr>
              <w:t>00.00</w:t>
            </w:r>
          </w:p>
          <w:p w14:paraId="03A32047" w14:textId="77777777" w:rsidR="008260A4" w:rsidRPr="00A7323A" w:rsidRDefault="008260A4" w:rsidP="00105865">
            <w:pPr>
              <w:rPr>
                <w:sz w:val="20"/>
                <w:szCs w:val="20"/>
              </w:rPr>
            </w:pPr>
          </w:p>
        </w:tc>
        <w:tc>
          <w:tcPr>
            <w:tcW w:w="2126" w:type="dxa"/>
            <w:vMerge w:val="restart"/>
            <w:tcBorders>
              <w:top w:val="single" w:sz="4" w:space="0" w:color="auto"/>
              <w:left w:val="single" w:sz="4" w:space="0" w:color="auto"/>
              <w:right w:val="single" w:sz="4" w:space="0" w:color="auto"/>
            </w:tcBorders>
          </w:tcPr>
          <w:p w14:paraId="2419EFA1" w14:textId="77777777" w:rsidR="008260A4" w:rsidRDefault="008260A4" w:rsidP="00105865">
            <w:pPr>
              <w:rPr>
                <w:sz w:val="20"/>
                <w:szCs w:val="20"/>
              </w:rPr>
            </w:pPr>
            <w:r w:rsidRPr="00A7323A">
              <w:rPr>
                <w:sz w:val="20"/>
                <w:szCs w:val="20"/>
              </w:rPr>
              <w:t xml:space="preserve">Total Cost of </w:t>
            </w:r>
            <w:r>
              <w:rPr>
                <w:sz w:val="20"/>
                <w:szCs w:val="20"/>
              </w:rPr>
              <w:t>Diagnosis</w:t>
            </w:r>
          </w:p>
          <w:p w14:paraId="120AB0EF" w14:textId="77777777" w:rsidR="008260A4" w:rsidRDefault="008260A4" w:rsidP="00105865">
            <w:pPr>
              <w:rPr>
                <w:sz w:val="20"/>
                <w:szCs w:val="20"/>
              </w:rPr>
            </w:pPr>
            <w:r w:rsidRPr="00A7323A">
              <w:rPr>
                <w:sz w:val="20"/>
                <w:szCs w:val="20"/>
              </w:rPr>
              <w:t>(1 year)</w:t>
            </w:r>
          </w:p>
          <w:p w14:paraId="3F327234" w14:textId="77777777" w:rsidR="008260A4" w:rsidRDefault="008260A4" w:rsidP="00105865">
            <w:pPr>
              <w:rPr>
                <w:sz w:val="20"/>
                <w:szCs w:val="20"/>
              </w:rPr>
            </w:pPr>
          </w:p>
          <w:p w14:paraId="0D540345" w14:textId="77777777" w:rsidR="008260A4" w:rsidRPr="00A7323A" w:rsidRDefault="008260A4" w:rsidP="00105865">
            <w:pPr>
              <w:rPr>
                <w:sz w:val="20"/>
                <w:szCs w:val="20"/>
              </w:rPr>
            </w:pPr>
            <w:r>
              <w:rPr>
                <w:sz w:val="20"/>
                <w:szCs w:val="20"/>
              </w:rPr>
              <w:t>59,066.56</w:t>
            </w:r>
          </w:p>
        </w:tc>
        <w:tc>
          <w:tcPr>
            <w:tcW w:w="2268" w:type="dxa"/>
            <w:tcBorders>
              <w:top w:val="single" w:sz="4" w:space="0" w:color="auto"/>
              <w:left w:val="single" w:sz="4" w:space="0" w:color="auto"/>
              <w:bottom w:val="single" w:sz="4" w:space="0" w:color="auto"/>
              <w:right w:val="single" w:sz="4" w:space="0" w:color="auto"/>
            </w:tcBorders>
          </w:tcPr>
          <w:p w14:paraId="6B0E2164" w14:textId="77777777" w:rsidR="008260A4" w:rsidRPr="00A7323A" w:rsidRDefault="008260A4" w:rsidP="00105865">
            <w:pPr>
              <w:rPr>
                <w:sz w:val="20"/>
                <w:szCs w:val="20"/>
              </w:rPr>
            </w:pPr>
            <w:r w:rsidRPr="00A7323A">
              <w:rPr>
                <w:sz w:val="20"/>
                <w:szCs w:val="20"/>
              </w:rPr>
              <w:t>UCH and Groundswell financial records</w:t>
            </w:r>
          </w:p>
        </w:tc>
      </w:tr>
      <w:tr w:rsidR="008260A4" w14:paraId="7BD4593E" w14:textId="77777777" w:rsidTr="008260A4">
        <w:trPr>
          <w:trHeight w:val="481"/>
          <w:tblHeader/>
        </w:trPr>
        <w:tc>
          <w:tcPr>
            <w:tcW w:w="2122" w:type="dxa"/>
            <w:vMerge/>
            <w:tcBorders>
              <w:left w:val="single" w:sz="4" w:space="0" w:color="auto"/>
              <w:right w:val="single" w:sz="4" w:space="0" w:color="auto"/>
            </w:tcBorders>
          </w:tcPr>
          <w:p w14:paraId="33D8AE3B"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A0DAE9" w14:textId="77777777" w:rsidR="008260A4" w:rsidRDefault="008260A4" w:rsidP="00105865">
            <w:pPr>
              <w:rPr>
                <w:sz w:val="20"/>
                <w:szCs w:val="20"/>
              </w:rPr>
            </w:pPr>
            <w:r w:rsidRPr="00A7323A">
              <w:rPr>
                <w:sz w:val="20"/>
                <w:szCs w:val="20"/>
              </w:rPr>
              <w:t>In mobile health unit</w:t>
            </w:r>
          </w:p>
          <w:p w14:paraId="27FAEF71" w14:textId="77777777" w:rsidR="008260A4" w:rsidRPr="00A7323A" w:rsidRDefault="008260A4" w:rsidP="00105865">
            <w:pPr>
              <w:rPr>
                <w:sz w:val="20"/>
                <w:szCs w:val="20"/>
              </w:rPr>
            </w:pPr>
          </w:p>
        </w:tc>
        <w:tc>
          <w:tcPr>
            <w:tcW w:w="1843" w:type="dxa"/>
            <w:tcBorders>
              <w:top w:val="single" w:sz="4" w:space="0" w:color="auto"/>
              <w:left w:val="single" w:sz="4" w:space="0" w:color="auto"/>
              <w:right w:val="single" w:sz="4" w:space="0" w:color="auto"/>
            </w:tcBorders>
          </w:tcPr>
          <w:p w14:paraId="60C090E0" w14:textId="77777777" w:rsidR="008260A4" w:rsidRPr="00A7323A" w:rsidRDefault="008260A4" w:rsidP="00105865">
            <w:pPr>
              <w:rPr>
                <w:sz w:val="20"/>
                <w:szCs w:val="20"/>
              </w:rPr>
            </w:pPr>
            <w:r>
              <w:rPr>
                <w:sz w:val="20"/>
                <w:szCs w:val="20"/>
              </w:rPr>
              <w:t>37,244.85</w:t>
            </w:r>
          </w:p>
        </w:tc>
        <w:tc>
          <w:tcPr>
            <w:tcW w:w="2126" w:type="dxa"/>
            <w:vMerge/>
            <w:tcBorders>
              <w:left w:val="single" w:sz="4" w:space="0" w:color="auto"/>
              <w:right w:val="single" w:sz="4" w:space="0" w:color="auto"/>
            </w:tcBorders>
          </w:tcPr>
          <w:p w14:paraId="5682BE83"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70D378F6" w14:textId="77777777" w:rsidR="008260A4" w:rsidRPr="00A7323A" w:rsidRDefault="008260A4" w:rsidP="00105865">
            <w:pPr>
              <w:rPr>
                <w:sz w:val="20"/>
                <w:szCs w:val="20"/>
              </w:rPr>
            </w:pPr>
            <w:r w:rsidRPr="00A7323A">
              <w:rPr>
                <w:sz w:val="20"/>
                <w:szCs w:val="20"/>
              </w:rPr>
              <w:t>UCH and Groundswell financial records</w:t>
            </w:r>
          </w:p>
        </w:tc>
      </w:tr>
      <w:tr w:rsidR="008260A4" w14:paraId="62568364" w14:textId="77777777" w:rsidTr="008260A4">
        <w:trPr>
          <w:trHeight w:val="559"/>
          <w:tblHeader/>
        </w:trPr>
        <w:tc>
          <w:tcPr>
            <w:tcW w:w="2122" w:type="dxa"/>
            <w:vMerge/>
            <w:tcBorders>
              <w:left w:val="single" w:sz="4" w:space="0" w:color="auto"/>
              <w:bottom w:val="single" w:sz="4" w:space="0" w:color="auto"/>
              <w:right w:val="single" w:sz="4" w:space="0" w:color="auto"/>
            </w:tcBorders>
          </w:tcPr>
          <w:p w14:paraId="1C70A4AC"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86A2BC9" w14:textId="77777777" w:rsidR="008260A4" w:rsidRPr="00A7323A" w:rsidRDefault="008260A4" w:rsidP="00105865">
            <w:pPr>
              <w:rPr>
                <w:sz w:val="20"/>
                <w:szCs w:val="20"/>
              </w:rPr>
            </w:pPr>
            <w:r>
              <w:rPr>
                <w:sz w:val="20"/>
                <w:szCs w:val="20"/>
              </w:rPr>
              <w:t>Informing HCV- patients of their status</w:t>
            </w:r>
          </w:p>
        </w:tc>
        <w:tc>
          <w:tcPr>
            <w:tcW w:w="1843" w:type="dxa"/>
            <w:tcBorders>
              <w:left w:val="single" w:sz="4" w:space="0" w:color="auto"/>
              <w:bottom w:val="single" w:sz="4" w:space="0" w:color="auto"/>
              <w:right w:val="single" w:sz="4" w:space="0" w:color="auto"/>
            </w:tcBorders>
          </w:tcPr>
          <w:p w14:paraId="0C1E7492" w14:textId="77777777" w:rsidR="008260A4" w:rsidRPr="00A7323A" w:rsidRDefault="008260A4" w:rsidP="00105865">
            <w:pPr>
              <w:rPr>
                <w:sz w:val="20"/>
                <w:szCs w:val="20"/>
              </w:rPr>
            </w:pPr>
            <w:r>
              <w:rPr>
                <w:sz w:val="20"/>
                <w:szCs w:val="20"/>
              </w:rPr>
              <w:t>5456.28</w:t>
            </w:r>
          </w:p>
        </w:tc>
        <w:tc>
          <w:tcPr>
            <w:tcW w:w="2126" w:type="dxa"/>
            <w:vMerge/>
            <w:tcBorders>
              <w:left w:val="single" w:sz="4" w:space="0" w:color="auto"/>
              <w:right w:val="single" w:sz="4" w:space="0" w:color="auto"/>
            </w:tcBorders>
          </w:tcPr>
          <w:p w14:paraId="076AC183"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tcPr>
          <w:p w14:paraId="258E621C" w14:textId="77777777" w:rsidR="008260A4" w:rsidRPr="00A7323A" w:rsidRDefault="008260A4" w:rsidP="00105865">
            <w:pPr>
              <w:rPr>
                <w:sz w:val="20"/>
                <w:szCs w:val="20"/>
              </w:rPr>
            </w:pPr>
          </w:p>
        </w:tc>
      </w:tr>
      <w:tr w:rsidR="008260A4" w14:paraId="0F93BC66" w14:textId="77777777" w:rsidTr="008260A4">
        <w:trPr>
          <w:trHeight w:val="562"/>
          <w:tblHeader/>
        </w:trPr>
        <w:tc>
          <w:tcPr>
            <w:tcW w:w="2122" w:type="dxa"/>
            <w:vMerge w:val="restart"/>
            <w:tcBorders>
              <w:top w:val="single" w:sz="4" w:space="0" w:color="auto"/>
              <w:left w:val="single" w:sz="4" w:space="0" w:color="auto"/>
              <w:right w:val="single" w:sz="4" w:space="0" w:color="auto"/>
            </w:tcBorders>
            <w:hideMark/>
          </w:tcPr>
          <w:p w14:paraId="2BFB8E83" w14:textId="77777777" w:rsidR="008260A4" w:rsidRDefault="008260A4" w:rsidP="00105865">
            <w:pPr>
              <w:rPr>
                <w:sz w:val="20"/>
                <w:szCs w:val="20"/>
              </w:rPr>
            </w:pPr>
            <w:r w:rsidRPr="00A7323A">
              <w:rPr>
                <w:sz w:val="20"/>
                <w:szCs w:val="20"/>
              </w:rPr>
              <w:t>Total Cost of Test</w:t>
            </w:r>
            <w:r>
              <w:rPr>
                <w:sz w:val="20"/>
                <w:szCs w:val="20"/>
              </w:rPr>
              <w:t>s</w:t>
            </w:r>
            <w:r w:rsidRPr="00A7323A">
              <w:rPr>
                <w:sz w:val="20"/>
                <w:szCs w:val="20"/>
              </w:rPr>
              <w:t xml:space="preserve"> </w:t>
            </w:r>
          </w:p>
          <w:p w14:paraId="6C9702BE" w14:textId="77777777" w:rsidR="008260A4" w:rsidRPr="00A7323A" w:rsidRDefault="008260A4" w:rsidP="00105865">
            <w:pPr>
              <w:rPr>
                <w:sz w:val="20"/>
                <w:szCs w:val="20"/>
              </w:rPr>
            </w:pPr>
            <w:r w:rsidRPr="00A7323A">
              <w:rPr>
                <w:sz w:val="20"/>
                <w:szCs w:val="20"/>
              </w:rPr>
              <w:t>(includes admin &amp;management, staff time, medical supplies and test costs)</w:t>
            </w:r>
          </w:p>
        </w:tc>
        <w:tc>
          <w:tcPr>
            <w:tcW w:w="1984" w:type="dxa"/>
            <w:tcBorders>
              <w:top w:val="single" w:sz="4" w:space="0" w:color="auto"/>
              <w:left w:val="single" w:sz="4" w:space="0" w:color="auto"/>
              <w:bottom w:val="single" w:sz="4" w:space="0" w:color="auto"/>
              <w:right w:val="single" w:sz="4" w:space="0" w:color="auto"/>
            </w:tcBorders>
            <w:hideMark/>
          </w:tcPr>
          <w:p w14:paraId="785113FA" w14:textId="77777777" w:rsidR="008260A4" w:rsidRPr="00A7323A" w:rsidRDefault="008260A4" w:rsidP="00105865">
            <w:pPr>
              <w:rPr>
                <w:sz w:val="20"/>
                <w:szCs w:val="20"/>
              </w:rPr>
            </w:pPr>
            <w:r w:rsidRPr="00A7323A">
              <w:rPr>
                <w:sz w:val="20"/>
                <w:szCs w:val="20"/>
              </w:rPr>
              <w:t xml:space="preserve">POCT </w:t>
            </w:r>
          </w:p>
          <w:p w14:paraId="59785FD2" w14:textId="77777777" w:rsidR="008260A4" w:rsidRPr="00A7323A" w:rsidRDefault="008260A4" w:rsidP="00105865">
            <w:pPr>
              <w:rPr>
                <w:sz w:val="20"/>
                <w:szCs w:val="20"/>
              </w:rPr>
            </w:pPr>
            <w:r>
              <w:rPr>
                <w:sz w:val="20"/>
                <w:szCs w:val="20"/>
              </w:rPr>
              <w:t>(98 for the year)</w:t>
            </w:r>
          </w:p>
        </w:tc>
        <w:tc>
          <w:tcPr>
            <w:tcW w:w="1843" w:type="dxa"/>
            <w:tcBorders>
              <w:top w:val="single" w:sz="4" w:space="0" w:color="auto"/>
              <w:left w:val="single" w:sz="4" w:space="0" w:color="auto"/>
              <w:bottom w:val="single" w:sz="4" w:space="0" w:color="auto"/>
              <w:right w:val="single" w:sz="4" w:space="0" w:color="auto"/>
            </w:tcBorders>
          </w:tcPr>
          <w:p w14:paraId="7A00DAD2" w14:textId="77777777" w:rsidR="008260A4" w:rsidRPr="00A7323A" w:rsidRDefault="008260A4" w:rsidP="00105865">
            <w:pPr>
              <w:rPr>
                <w:sz w:val="20"/>
                <w:szCs w:val="20"/>
              </w:rPr>
            </w:pPr>
            <w:r>
              <w:rPr>
                <w:sz w:val="20"/>
                <w:szCs w:val="20"/>
              </w:rPr>
              <w:t>7387.38</w:t>
            </w:r>
          </w:p>
        </w:tc>
        <w:tc>
          <w:tcPr>
            <w:tcW w:w="2126" w:type="dxa"/>
            <w:vMerge/>
            <w:tcBorders>
              <w:left w:val="single" w:sz="4" w:space="0" w:color="auto"/>
              <w:right w:val="single" w:sz="4" w:space="0" w:color="auto"/>
            </w:tcBorders>
          </w:tcPr>
          <w:p w14:paraId="0DD79AD6" w14:textId="77777777" w:rsidR="008260A4" w:rsidRPr="00A7323A" w:rsidRDefault="008260A4" w:rsidP="00105865">
            <w:pPr>
              <w:rPr>
                <w:sz w:val="20"/>
                <w:szCs w:val="20"/>
              </w:rPr>
            </w:pPr>
          </w:p>
        </w:tc>
        <w:tc>
          <w:tcPr>
            <w:tcW w:w="2268" w:type="dxa"/>
            <w:vMerge w:val="restart"/>
            <w:tcBorders>
              <w:top w:val="single" w:sz="4" w:space="0" w:color="auto"/>
              <w:left w:val="single" w:sz="4" w:space="0" w:color="auto"/>
              <w:right w:val="single" w:sz="4" w:space="0" w:color="auto"/>
            </w:tcBorders>
          </w:tcPr>
          <w:p w14:paraId="235BB0A0" w14:textId="77777777" w:rsidR="008260A4" w:rsidRPr="00A7323A" w:rsidRDefault="008260A4" w:rsidP="00105865">
            <w:pPr>
              <w:rPr>
                <w:sz w:val="20"/>
                <w:szCs w:val="20"/>
              </w:rPr>
            </w:pPr>
            <w:r w:rsidRPr="00A7323A">
              <w:rPr>
                <w:sz w:val="20"/>
                <w:szCs w:val="20"/>
              </w:rPr>
              <w:t>UCH and Groundswell financial records</w:t>
            </w:r>
          </w:p>
        </w:tc>
      </w:tr>
      <w:tr w:rsidR="008260A4" w14:paraId="27D94070" w14:textId="77777777" w:rsidTr="008260A4">
        <w:trPr>
          <w:trHeight w:val="654"/>
          <w:tblHeader/>
        </w:trPr>
        <w:tc>
          <w:tcPr>
            <w:tcW w:w="2122" w:type="dxa"/>
            <w:vMerge/>
            <w:tcBorders>
              <w:left w:val="single" w:sz="4" w:space="0" w:color="auto"/>
              <w:bottom w:val="single" w:sz="4" w:space="0" w:color="auto"/>
              <w:right w:val="single" w:sz="4" w:space="0" w:color="auto"/>
            </w:tcBorders>
            <w:vAlign w:val="center"/>
            <w:hideMark/>
          </w:tcPr>
          <w:p w14:paraId="31AF5977"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2F07FDDA" w14:textId="77777777" w:rsidR="008260A4" w:rsidRDefault="008260A4" w:rsidP="00105865">
            <w:pPr>
              <w:rPr>
                <w:sz w:val="20"/>
                <w:szCs w:val="20"/>
              </w:rPr>
            </w:pPr>
            <w:r w:rsidRPr="00A7323A">
              <w:rPr>
                <w:sz w:val="20"/>
                <w:szCs w:val="20"/>
              </w:rPr>
              <w:t>RNA</w:t>
            </w:r>
          </w:p>
          <w:p w14:paraId="60A262F1" w14:textId="77777777" w:rsidR="008260A4" w:rsidRPr="00A7323A" w:rsidRDefault="008260A4" w:rsidP="00105865">
            <w:pPr>
              <w:rPr>
                <w:sz w:val="20"/>
                <w:szCs w:val="20"/>
              </w:rPr>
            </w:pPr>
            <w:r>
              <w:rPr>
                <w:sz w:val="20"/>
                <w:szCs w:val="20"/>
              </w:rPr>
              <w:t>(62 for the year)</w:t>
            </w:r>
          </w:p>
        </w:tc>
        <w:tc>
          <w:tcPr>
            <w:tcW w:w="1843" w:type="dxa"/>
            <w:tcBorders>
              <w:top w:val="single" w:sz="4" w:space="0" w:color="auto"/>
              <w:left w:val="single" w:sz="4" w:space="0" w:color="auto"/>
              <w:bottom w:val="single" w:sz="4" w:space="0" w:color="auto"/>
              <w:right w:val="single" w:sz="4" w:space="0" w:color="auto"/>
            </w:tcBorders>
          </w:tcPr>
          <w:p w14:paraId="50BAB415" w14:textId="77777777" w:rsidR="008260A4" w:rsidRPr="00A7323A" w:rsidRDefault="008260A4" w:rsidP="00105865">
            <w:pPr>
              <w:rPr>
                <w:sz w:val="20"/>
                <w:szCs w:val="20"/>
              </w:rPr>
            </w:pPr>
            <w:r>
              <w:rPr>
                <w:sz w:val="20"/>
                <w:szCs w:val="20"/>
              </w:rPr>
              <w:t>8978.04</w:t>
            </w:r>
          </w:p>
        </w:tc>
        <w:tc>
          <w:tcPr>
            <w:tcW w:w="2126" w:type="dxa"/>
            <w:vMerge/>
            <w:tcBorders>
              <w:left w:val="single" w:sz="4" w:space="0" w:color="auto"/>
              <w:bottom w:val="single" w:sz="4" w:space="0" w:color="auto"/>
              <w:right w:val="single" w:sz="4" w:space="0" w:color="auto"/>
            </w:tcBorders>
          </w:tcPr>
          <w:p w14:paraId="259B5F20" w14:textId="77777777" w:rsidR="008260A4" w:rsidRPr="00A7323A" w:rsidRDefault="008260A4" w:rsidP="00105865">
            <w:pPr>
              <w:rPr>
                <w:sz w:val="20"/>
                <w:szCs w:val="20"/>
              </w:rPr>
            </w:pPr>
          </w:p>
        </w:tc>
        <w:tc>
          <w:tcPr>
            <w:tcW w:w="2268" w:type="dxa"/>
            <w:vMerge/>
            <w:tcBorders>
              <w:left w:val="single" w:sz="4" w:space="0" w:color="auto"/>
              <w:bottom w:val="single" w:sz="4" w:space="0" w:color="auto"/>
              <w:right w:val="single" w:sz="4" w:space="0" w:color="auto"/>
            </w:tcBorders>
            <w:vAlign w:val="center"/>
            <w:hideMark/>
          </w:tcPr>
          <w:p w14:paraId="549D0BC4" w14:textId="77777777" w:rsidR="008260A4" w:rsidRPr="00A7323A" w:rsidRDefault="008260A4" w:rsidP="00105865">
            <w:pPr>
              <w:rPr>
                <w:sz w:val="20"/>
                <w:szCs w:val="20"/>
              </w:rPr>
            </w:pPr>
          </w:p>
        </w:tc>
      </w:tr>
      <w:tr w:rsidR="008260A4" w14:paraId="36F886AA" w14:textId="77777777" w:rsidTr="008260A4">
        <w:trPr>
          <w:trHeight w:val="423"/>
          <w:tblHeader/>
        </w:trPr>
        <w:tc>
          <w:tcPr>
            <w:tcW w:w="4106" w:type="dxa"/>
            <w:gridSpan w:val="2"/>
            <w:tcBorders>
              <w:top w:val="single" w:sz="4" w:space="0" w:color="auto"/>
              <w:left w:val="single" w:sz="4" w:space="0" w:color="auto"/>
              <w:right w:val="single" w:sz="4" w:space="0" w:color="auto"/>
            </w:tcBorders>
          </w:tcPr>
          <w:p w14:paraId="5489C12F" w14:textId="77777777" w:rsidR="008260A4" w:rsidRPr="00A7323A" w:rsidRDefault="008260A4" w:rsidP="00105865">
            <w:pPr>
              <w:rPr>
                <w:sz w:val="20"/>
                <w:szCs w:val="20"/>
              </w:rPr>
            </w:pPr>
            <w:r w:rsidRPr="00A7323A">
              <w:rPr>
                <w:sz w:val="20"/>
                <w:szCs w:val="20"/>
              </w:rPr>
              <w:t>Fibroscan</w:t>
            </w:r>
          </w:p>
        </w:tc>
        <w:tc>
          <w:tcPr>
            <w:tcW w:w="1843" w:type="dxa"/>
            <w:tcBorders>
              <w:top w:val="single" w:sz="4" w:space="0" w:color="auto"/>
              <w:left w:val="single" w:sz="4" w:space="0" w:color="auto"/>
              <w:right w:val="single" w:sz="4" w:space="0" w:color="auto"/>
            </w:tcBorders>
          </w:tcPr>
          <w:p w14:paraId="43C50044" w14:textId="77777777" w:rsidR="008260A4" w:rsidRPr="00A7323A" w:rsidRDefault="008260A4" w:rsidP="00105865">
            <w:pPr>
              <w:rPr>
                <w:sz w:val="20"/>
                <w:szCs w:val="20"/>
              </w:rPr>
            </w:pPr>
            <w:r w:rsidRPr="00A7323A">
              <w:rPr>
                <w:sz w:val="20"/>
                <w:szCs w:val="20"/>
              </w:rPr>
              <w:t>1</w:t>
            </w:r>
            <w:r>
              <w:rPr>
                <w:sz w:val="20"/>
                <w:szCs w:val="20"/>
              </w:rPr>
              <w:t>5,587.12</w:t>
            </w:r>
          </w:p>
        </w:tc>
        <w:tc>
          <w:tcPr>
            <w:tcW w:w="2126" w:type="dxa"/>
            <w:vMerge w:val="restart"/>
            <w:tcBorders>
              <w:top w:val="single" w:sz="4" w:space="0" w:color="auto"/>
              <w:left w:val="single" w:sz="4" w:space="0" w:color="auto"/>
              <w:right w:val="single" w:sz="4" w:space="0" w:color="auto"/>
            </w:tcBorders>
          </w:tcPr>
          <w:p w14:paraId="77A80286" w14:textId="77777777" w:rsidR="008260A4" w:rsidRDefault="008260A4" w:rsidP="00105865">
            <w:pPr>
              <w:rPr>
                <w:sz w:val="20"/>
                <w:szCs w:val="20"/>
              </w:rPr>
            </w:pPr>
            <w:r>
              <w:rPr>
                <w:sz w:val="20"/>
                <w:szCs w:val="20"/>
              </w:rPr>
              <w:t>Total Cost of Engagement (1 year)</w:t>
            </w:r>
          </w:p>
          <w:p w14:paraId="0375B603" w14:textId="77777777" w:rsidR="008260A4" w:rsidRDefault="008260A4" w:rsidP="00105865">
            <w:pPr>
              <w:rPr>
                <w:sz w:val="20"/>
                <w:szCs w:val="20"/>
              </w:rPr>
            </w:pPr>
          </w:p>
          <w:p w14:paraId="55D430C9" w14:textId="77777777" w:rsidR="008260A4" w:rsidRDefault="008260A4" w:rsidP="00105865">
            <w:pPr>
              <w:rPr>
                <w:sz w:val="20"/>
                <w:szCs w:val="20"/>
              </w:rPr>
            </w:pPr>
            <w:r>
              <w:rPr>
                <w:sz w:val="20"/>
                <w:szCs w:val="20"/>
              </w:rPr>
              <w:t>37,685.71 + hospital costs</w:t>
            </w:r>
          </w:p>
          <w:p w14:paraId="4860627D" w14:textId="77777777" w:rsidR="008260A4" w:rsidRDefault="008260A4" w:rsidP="00105865">
            <w:pPr>
              <w:rPr>
                <w:sz w:val="20"/>
                <w:szCs w:val="20"/>
              </w:rPr>
            </w:pPr>
          </w:p>
          <w:p w14:paraId="34AF3C96" w14:textId="77777777" w:rsidR="008260A4" w:rsidRPr="00A7323A" w:rsidRDefault="008260A4" w:rsidP="00105865">
            <w:pPr>
              <w:ind w:firstLine="720"/>
              <w:rPr>
                <w:sz w:val="20"/>
                <w:szCs w:val="20"/>
              </w:rPr>
            </w:pPr>
          </w:p>
        </w:tc>
        <w:tc>
          <w:tcPr>
            <w:tcW w:w="2268" w:type="dxa"/>
            <w:tcBorders>
              <w:top w:val="single" w:sz="4" w:space="0" w:color="auto"/>
              <w:left w:val="single" w:sz="4" w:space="0" w:color="auto"/>
              <w:right w:val="single" w:sz="4" w:space="0" w:color="auto"/>
            </w:tcBorders>
          </w:tcPr>
          <w:p w14:paraId="41B424E7" w14:textId="77777777" w:rsidR="008260A4" w:rsidRPr="00A7323A" w:rsidRDefault="008260A4" w:rsidP="00105865">
            <w:pPr>
              <w:rPr>
                <w:sz w:val="20"/>
                <w:szCs w:val="20"/>
              </w:rPr>
            </w:pPr>
          </w:p>
        </w:tc>
      </w:tr>
      <w:tr w:rsidR="008260A4" w14:paraId="3B1073DC" w14:textId="77777777" w:rsidTr="008260A4">
        <w:trPr>
          <w:trHeight w:val="593"/>
          <w:tblHeader/>
        </w:trPr>
        <w:tc>
          <w:tcPr>
            <w:tcW w:w="4106" w:type="dxa"/>
            <w:gridSpan w:val="2"/>
            <w:tcBorders>
              <w:top w:val="single" w:sz="4" w:space="0" w:color="auto"/>
              <w:left w:val="single" w:sz="4" w:space="0" w:color="auto"/>
              <w:right w:val="single" w:sz="4" w:space="0" w:color="auto"/>
            </w:tcBorders>
            <w:hideMark/>
          </w:tcPr>
          <w:p w14:paraId="7752EBF1" w14:textId="77777777" w:rsidR="008260A4" w:rsidRPr="00A7323A" w:rsidRDefault="008260A4" w:rsidP="00105865">
            <w:pPr>
              <w:rPr>
                <w:sz w:val="20"/>
                <w:szCs w:val="20"/>
              </w:rPr>
            </w:pPr>
            <w:r>
              <w:rPr>
                <w:sz w:val="20"/>
                <w:szCs w:val="20"/>
              </w:rPr>
              <w:t>Engagement initiation of RNA+ patients (follow up of RNA+ tests)</w:t>
            </w:r>
          </w:p>
        </w:tc>
        <w:tc>
          <w:tcPr>
            <w:tcW w:w="1843" w:type="dxa"/>
            <w:tcBorders>
              <w:top w:val="single" w:sz="4" w:space="0" w:color="auto"/>
              <w:left w:val="single" w:sz="4" w:space="0" w:color="auto"/>
              <w:right w:val="single" w:sz="4" w:space="0" w:color="auto"/>
            </w:tcBorders>
          </w:tcPr>
          <w:p w14:paraId="433261A1" w14:textId="77777777" w:rsidR="008260A4" w:rsidRPr="00A7323A" w:rsidRDefault="008260A4" w:rsidP="00105865">
            <w:pPr>
              <w:rPr>
                <w:sz w:val="20"/>
                <w:szCs w:val="20"/>
              </w:rPr>
            </w:pPr>
            <w:r>
              <w:rPr>
                <w:sz w:val="20"/>
                <w:szCs w:val="20"/>
              </w:rPr>
              <w:t>8365.24</w:t>
            </w:r>
          </w:p>
        </w:tc>
        <w:tc>
          <w:tcPr>
            <w:tcW w:w="2126" w:type="dxa"/>
            <w:vMerge/>
            <w:tcBorders>
              <w:left w:val="single" w:sz="4" w:space="0" w:color="auto"/>
              <w:right w:val="single" w:sz="4" w:space="0" w:color="auto"/>
            </w:tcBorders>
          </w:tcPr>
          <w:p w14:paraId="7ED838AC" w14:textId="77777777" w:rsidR="008260A4" w:rsidRPr="00A7323A" w:rsidRDefault="008260A4" w:rsidP="00105865">
            <w:pPr>
              <w:rPr>
                <w:sz w:val="20"/>
                <w:szCs w:val="20"/>
              </w:rPr>
            </w:pPr>
          </w:p>
        </w:tc>
        <w:tc>
          <w:tcPr>
            <w:tcW w:w="2268" w:type="dxa"/>
            <w:tcBorders>
              <w:top w:val="single" w:sz="4" w:space="0" w:color="auto"/>
              <w:left w:val="single" w:sz="4" w:space="0" w:color="auto"/>
              <w:right w:val="single" w:sz="4" w:space="0" w:color="auto"/>
            </w:tcBorders>
          </w:tcPr>
          <w:p w14:paraId="480320DC" w14:textId="77777777" w:rsidR="008260A4" w:rsidRPr="00A7323A" w:rsidRDefault="008260A4" w:rsidP="00105865">
            <w:pPr>
              <w:rPr>
                <w:sz w:val="20"/>
                <w:szCs w:val="20"/>
              </w:rPr>
            </w:pPr>
            <w:r w:rsidRPr="00A7323A">
              <w:rPr>
                <w:sz w:val="20"/>
                <w:szCs w:val="20"/>
              </w:rPr>
              <w:t>UCH and Groundswell financial records</w:t>
            </w:r>
          </w:p>
        </w:tc>
      </w:tr>
      <w:tr w:rsidR="008260A4" w14:paraId="60A916D4" w14:textId="77777777" w:rsidTr="008260A4">
        <w:trPr>
          <w:trHeight w:val="543"/>
          <w:tblHeader/>
        </w:trPr>
        <w:tc>
          <w:tcPr>
            <w:tcW w:w="2122" w:type="dxa"/>
            <w:vMerge w:val="restart"/>
            <w:tcBorders>
              <w:top w:val="single" w:sz="4" w:space="0" w:color="auto"/>
              <w:left w:val="single" w:sz="4" w:space="0" w:color="auto"/>
              <w:right w:val="single" w:sz="4" w:space="0" w:color="auto"/>
            </w:tcBorders>
            <w:hideMark/>
          </w:tcPr>
          <w:p w14:paraId="013993E5" w14:textId="77777777" w:rsidR="008260A4" w:rsidRPr="00A7323A" w:rsidRDefault="008260A4" w:rsidP="00105865">
            <w:pPr>
              <w:rPr>
                <w:sz w:val="20"/>
                <w:szCs w:val="20"/>
              </w:rPr>
            </w:pPr>
            <w:r>
              <w:rPr>
                <w:sz w:val="20"/>
                <w:szCs w:val="20"/>
              </w:rPr>
              <w:t>P</w:t>
            </w:r>
            <w:r w:rsidRPr="00A7323A">
              <w:rPr>
                <w:sz w:val="20"/>
                <w:szCs w:val="20"/>
              </w:rPr>
              <w:t xml:space="preserve">eer support of </w:t>
            </w:r>
            <w:r>
              <w:rPr>
                <w:sz w:val="20"/>
                <w:szCs w:val="20"/>
              </w:rPr>
              <w:t>evaluation</w:t>
            </w:r>
            <w:r w:rsidRPr="00A7323A">
              <w:rPr>
                <w:sz w:val="20"/>
                <w:szCs w:val="20"/>
              </w:rPr>
              <w:t xml:space="preserve"> </w:t>
            </w:r>
            <w:r>
              <w:rPr>
                <w:sz w:val="20"/>
                <w:szCs w:val="20"/>
              </w:rPr>
              <w:t xml:space="preserve">visit in </w:t>
            </w:r>
            <w:r w:rsidRPr="00A7323A">
              <w:rPr>
                <w:sz w:val="20"/>
                <w:szCs w:val="20"/>
              </w:rPr>
              <w:t xml:space="preserve">hospital </w:t>
            </w:r>
          </w:p>
        </w:tc>
        <w:tc>
          <w:tcPr>
            <w:tcW w:w="1984" w:type="dxa"/>
            <w:tcBorders>
              <w:top w:val="single" w:sz="4" w:space="0" w:color="auto"/>
              <w:left w:val="single" w:sz="4" w:space="0" w:color="auto"/>
              <w:right w:val="single" w:sz="4" w:space="0" w:color="auto"/>
            </w:tcBorders>
            <w:hideMark/>
          </w:tcPr>
          <w:p w14:paraId="18EB6AEC" w14:textId="77777777" w:rsidR="008260A4" w:rsidRPr="00A7323A"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1A719217" w14:textId="77777777" w:rsidR="008260A4" w:rsidRPr="00A7323A" w:rsidRDefault="008260A4" w:rsidP="00105865">
            <w:pPr>
              <w:rPr>
                <w:sz w:val="20"/>
                <w:szCs w:val="20"/>
              </w:rPr>
            </w:pPr>
            <w:r>
              <w:rPr>
                <w:sz w:val="20"/>
                <w:szCs w:val="20"/>
              </w:rPr>
              <w:t>13,733.35</w:t>
            </w:r>
          </w:p>
        </w:tc>
        <w:tc>
          <w:tcPr>
            <w:tcW w:w="2126" w:type="dxa"/>
            <w:vMerge/>
            <w:tcBorders>
              <w:left w:val="single" w:sz="4" w:space="0" w:color="auto"/>
              <w:right w:val="single" w:sz="4" w:space="0" w:color="auto"/>
            </w:tcBorders>
          </w:tcPr>
          <w:p w14:paraId="11FE3DBC"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6193080F" w14:textId="77777777" w:rsidR="008260A4" w:rsidRPr="00A7323A" w:rsidRDefault="008260A4" w:rsidP="00105865">
            <w:pPr>
              <w:rPr>
                <w:sz w:val="20"/>
                <w:szCs w:val="20"/>
              </w:rPr>
            </w:pPr>
            <w:r w:rsidRPr="00A7323A">
              <w:rPr>
                <w:sz w:val="20"/>
                <w:szCs w:val="20"/>
              </w:rPr>
              <w:t>UCH and Groundswell financial records</w:t>
            </w:r>
          </w:p>
        </w:tc>
      </w:tr>
      <w:tr w:rsidR="008260A4" w14:paraId="6ED61646" w14:textId="77777777" w:rsidTr="008260A4">
        <w:trPr>
          <w:trHeight w:val="698"/>
          <w:tblHeader/>
        </w:trPr>
        <w:tc>
          <w:tcPr>
            <w:tcW w:w="2122" w:type="dxa"/>
            <w:vMerge/>
            <w:tcBorders>
              <w:top w:val="single" w:sz="4" w:space="0" w:color="auto"/>
              <w:left w:val="single" w:sz="4" w:space="0" w:color="auto"/>
              <w:bottom w:val="single" w:sz="4" w:space="0" w:color="auto"/>
              <w:right w:val="single" w:sz="4" w:space="0" w:color="auto"/>
            </w:tcBorders>
            <w:hideMark/>
          </w:tcPr>
          <w:p w14:paraId="51DDB069" w14:textId="77777777" w:rsidR="008260A4" w:rsidRPr="00A7323A" w:rsidRDefault="008260A4" w:rsidP="00105865">
            <w:pP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40C58D7A"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top w:val="single" w:sz="4" w:space="0" w:color="auto"/>
              <w:left w:val="single" w:sz="4" w:space="0" w:color="auto"/>
              <w:bottom w:val="single" w:sz="4" w:space="0" w:color="auto"/>
              <w:right w:val="single" w:sz="4" w:space="0" w:color="auto"/>
            </w:tcBorders>
          </w:tcPr>
          <w:p w14:paraId="75D15948" w14:textId="77777777" w:rsidR="008260A4" w:rsidRPr="00A7323A" w:rsidRDefault="008260A4" w:rsidP="00105865">
            <w:pPr>
              <w:rPr>
                <w:sz w:val="20"/>
                <w:szCs w:val="20"/>
              </w:rPr>
            </w:pPr>
            <w:r>
              <w:rPr>
                <w:sz w:val="20"/>
                <w:szCs w:val="20"/>
              </w:rPr>
              <w:t>200.30 per person</w:t>
            </w:r>
          </w:p>
        </w:tc>
        <w:tc>
          <w:tcPr>
            <w:tcW w:w="2126" w:type="dxa"/>
            <w:vMerge/>
            <w:tcBorders>
              <w:left w:val="single" w:sz="4" w:space="0" w:color="auto"/>
              <w:bottom w:val="single" w:sz="4" w:space="0" w:color="auto"/>
              <w:right w:val="single" w:sz="4" w:space="0" w:color="auto"/>
            </w:tcBorders>
          </w:tcPr>
          <w:p w14:paraId="7B5B28CC" w14:textId="77777777" w:rsidR="008260A4" w:rsidRPr="00A7323A" w:rsidRDefault="008260A4" w:rsidP="00105865">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3390DDF" w14:textId="77777777" w:rsidR="008260A4" w:rsidRPr="00A7323A" w:rsidRDefault="008260A4" w:rsidP="00105865">
            <w:pPr>
              <w:rPr>
                <w:sz w:val="20"/>
                <w:szCs w:val="20"/>
              </w:rPr>
            </w:pPr>
            <w:r w:rsidRPr="00A7323A">
              <w:rPr>
                <w:sz w:val="20"/>
                <w:szCs w:val="20"/>
              </w:rPr>
              <w:t>Expert opinion (correspondence Graham Foster)</w:t>
            </w:r>
          </w:p>
        </w:tc>
      </w:tr>
      <w:tr w:rsidR="008260A4" w14:paraId="2F9D4134" w14:textId="77777777" w:rsidTr="008260A4">
        <w:trPr>
          <w:trHeight w:val="307"/>
          <w:tblHeader/>
        </w:trPr>
        <w:tc>
          <w:tcPr>
            <w:tcW w:w="2122" w:type="dxa"/>
            <w:vMerge w:val="restart"/>
            <w:tcBorders>
              <w:top w:val="single" w:sz="4" w:space="0" w:color="auto"/>
              <w:left w:val="single" w:sz="4" w:space="0" w:color="auto"/>
              <w:right w:val="single" w:sz="4" w:space="0" w:color="auto"/>
            </w:tcBorders>
            <w:hideMark/>
          </w:tcPr>
          <w:p w14:paraId="26217BC9" w14:textId="77777777" w:rsidR="008260A4" w:rsidRPr="00A7323A" w:rsidRDefault="008260A4" w:rsidP="00105865">
            <w:pPr>
              <w:rPr>
                <w:sz w:val="20"/>
                <w:szCs w:val="20"/>
              </w:rPr>
            </w:pPr>
            <w:r w:rsidRPr="00572490">
              <w:rPr>
                <w:sz w:val="20"/>
                <w:szCs w:val="20"/>
              </w:rPr>
              <w:t xml:space="preserve">Peer support of </w:t>
            </w:r>
            <w:r>
              <w:rPr>
                <w:sz w:val="20"/>
                <w:szCs w:val="20"/>
              </w:rPr>
              <w:t>t</w:t>
            </w:r>
            <w:r w:rsidRPr="00546768">
              <w:rPr>
                <w:sz w:val="20"/>
                <w:szCs w:val="20"/>
              </w:rPr>
              <w:t>reatment initiation and subsequent visits 0,2,4,6,8, 10 weeks</w:t>
            </w:r>
          </w:p>
        </w:tc>
        <w:tc>
          <w:tcPr>
            <w:tcW w:w="1984" w:type="dxa"/>
            <w:tcBorders>
              <w:top w:val="single" w:sz="4" w:space="0" w:color="auto"/>
              <w:left w:val="single" w:sz="4" w:space="0" w:color="auto"/>
              <w:right w:val="single" w:sz="4" w:space="0" w:color="auto"/>
            </w:tcBorders>
            <w:hideMark/>
          </w:tcPr>
          <w:p w14:paraId="6D968756"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top w:val="single" w:sz="4" w:space="0" w:color="auto"/>
              <w:left w:val="single" w:sz="4" w:space="0" w:color="auto"/>
              <w:right w:val="single" w:sz="4" w:space="0" w:color="auto"/>
            </w:tcBorders>
            <w:hideMark/>
          </w:tcPr>
          <w:p w14:paraId="42D2ECB9" w14:textId="77777777" w:rsidR="008260A4" w:rsidRPr="00572490" w:rsidRDefault="008260A4" w:rsidP="00105865">
            <w:pPr>
              <w:rPr>
                <w:sz w:val="20"/>
                <w:szCs w:val="20"/>
              </w:rPr>
            </w:pPr>
            <w:r>
              <w:rPr>
                <w:sz w:val="20"/>
                <w:szCs w:val="20"/>
              </w:rPr>
              <w:t>14,556.88</w:t>
            </w:r>
          </w:p>
        </w:tc>
        <w:tc>
          <w:tcPr>
            <w:tcW w:w="2126" w:type="dxa"/>
            <w:vMerge w:val="restart"/>
            <w:tcBorders>
              <w:top w:val="single" w:sz="4" w:space="0" w:color="auto"/>
              <w:left w:val="single" w:sz="4" w:space="0" w:color="auto"/>
              <w:right w:val="single" w:sz="4" w:space="0" w:color="auto"/>
            </w:tcBorders>
          </w:tcPr>
          <w:p w14:paraId="30D04010" w14:textId="77777777" w:rsidR="008260A4" w:rsidRDefault="008260A4" w:rsidP="00105865">
            <w:pPr>
              <w:rPr>
                <w:sz w:val="20"/>
                <w:szCs w:val="20"/>
              </w:rPr>
            </w:pPr>
            <w:r w:rsidRPr="00A7323A">
              <w:rPr>
                <w:sz w:val="20"/>
                <w:szCs w:val="20"/>
              </w:rPr>
              <w:t>Total Cost of Treatment (1 year)</w:t>
            </w:r>
            <w:r w:rsidRPr="00572490">
              <w:rPr>
                <w:sz w:val="20"/>
                <w:szCs w:val="20"/>
              </w:rPr>
              <w:t xml:space="preserve"> </w:t>
            </w:r>
          </w:p>
          <w:p w14:paraId="40366AE6" w14:textId="77777777" w:rsidR="008260A4" w:rsidRDefault="008260A4" w:rsidP="00105865">
            <w:pPr>
              <w:rPr>
                <w:sz w:val="20"/>
                <w:szCs w:val="20"/>
              </w:rPr>
            </w:pPr>
          </w:p>
          <w:p w14:paraId="02AFBF2B" w14:textId="77777777" w:rsidR="008260A4" w:rsidRDefault="008260A4" w:rsidP="00105865">
            <w:pPr>
              <w:rPr>
                <w:sz w:val="20"/>
                <w:szCs w:val="20"/>
              </w:rPr>
            </w:pPr>
            <w:r>
              <w:rPr>
                <w:sz w:val="20"/>
                <w:szCs w:val="20"/>
              </w:rPr>
              <w:t>32,000.28 + hospital costs +DAA’s</w:t>
            </w:r>
          </w:p>
          <w:p w14:paraId="2B457E48" w14:textId="77777777" w:rsidR="008260A4" w:rsidRDefault="008260A4" w:rsidP="00105865">
            <w:pPr>
              <w:rPr>
                <w:sz w:val="20"/>
                <w:szCs w:val="20"/>
              </w:rPr>
            </w:pPr>
          </w:p>
          <w:p w14:paraId="240A69B3" w14:textId="77777777" w:rsidR="008260A4" w:rsidRDefault="008260A4" w:rsidP="00105865">
            <w:pPr>
              <w:rPr>
                <w:sz w:val="20"/>
                <w:szCs w:val="20"/>
              </w:rPr>
            </w:pPr>
          </w:p>
          <w:p w14:paraId="3E85C4D4"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2CDCD9D3" w14:textId="77777777" w:rsidR="008260A4" w:rsidRPr="00572490" w:rsidRDefault="008260A4" w:rsidP="00105865">
            <w:pPr>
              <w:rPr>
                <w:sz w:val="20"/>
                <w:szCs w:val="20"/>
              </w:rPr>
            </w:pPr>
            <w:r w:rsidRPr="00572490">
              <w:rPr>
                <w:sz w:val="20"/>
                <w:szCs w:val="20"/>
              </w:rPr>
              <w:t>UCH and Groundswell financial records</w:t>
            </w:r>
          </w:p>
        </w:tc>
      </w:tr>
      <w:tr w:rsidR="008260A4" w14:paraId="30A599D3" w14:textId="77777777" w:rsidTr="008260A4">
        <w:trPr>
          <w:trHeight w:val="307"/>
          <w:tblHeader/>
        </w:trPr>
        <w:tc>
          <w:tcPr>
            <w:tcW w:w="2122" w:type="dxa"/>
            <w:vMerge/>
            <w:tcBorders>
              <w:left w:val="single" w:sz="4" w:space="0" w:color="auto"/>
              <w:right w:val="single" w:sz="4" w:space="0" w:color="auto"/>
            </w:tcBorders>
          </w:tcPr>
          <w:p w14:paraId="3EDB41A8" w14:textId="77777777" w:rsidR="008260A4" w:rsidRPr="00572490" w:rsidRDefault="008260A4" w:rsidP="00105865">
            <w:pPr>
              <w:rPr>
                <w:sz w:val="20"/>
                <w:szCs w:val="20"/>
              </w:rPr>
            </w:pPr>
          </w:p>
        </w:tc>
        <w:tc>
          <w:tcPr>
            <w:tcW w:w="1984" w:type="dxa"/>
            <w:tcBorders>
              <w:top w:val="single" w:sz="4" w:space="0" w:color="auto"/>
              <w:left w:val="single" w:sz="4" w:space="0" w:color="auto"/>
              <w:right w:val="single" w:sz="4" w:space="0" w:color="auto"/>
            </w:tcBorders>
          </w:tcPr>
          <w:p w14:paraId="7C7294BB" w14:textId="77777777" w:rsidR="008260A4" w:rsidRPr="00572490" w:rsidRDefault="008260A4" w:rsidP="00105865">
            <w:pPr>
              <w:rPr>
                <w:sz w:val="20"/>
                <w:szCs w:val="20"/>
              </w:rPr>
            </w:pPr>
            <w:r w:rsidRPr="00A7323A">
              <w:rPr>
                <w:sz w:val="20"/>
                <w:szCs w:val="20"/>
              </w:rPr>
              <w:t>Drugs and hospital costs</w:t>
            </w:r>
          </w:p>
        </w:tc>
        <w:tc>
          <w:tcPr>
            <w:tcW w:w="1843" w:type="dxa"/>
            <w:tcBorders>
              <w:left w:val="single" w:sz="4" w:space="0" w:color="auto"/>
              <w:right w:val="single" w:sz="4" w:space="0" w:color="auto"/>
            </w:tcBorders>
          </w:tcPr>
          <w:p w14:paraId="52C0CDCE" w14:textId="77777777" w:rsidR="008260A4" w:rsidRDefault="008260A4" w:rsidP="00105865">
            <w:pPr>
              <w:rPr>
                <w:sz w:val="20"/>
                <w:szCs w:val="20"/>
              </w:rPr>
            </w:pPr>
            <w:r>
              <w:rPr>
                <w:sz w:val="20"/>
                <w:szCs w:val="20"/>
              </w:rPr>
              <w:t>395.78 per person for 12 weeks hospital costs</w:t>
            </w:r>
          </w:p>
          <w:p w14:paraId="49A44C0D" w14:textId="77777777" w:rsidR="008260A4" w:rsidRDefault="008260A4" w:rsidP="00105865">
            <w:pPr>
              <w:rPr>
                <w:sz w:val="20"/>
                <w:szCs w:val="20"/>
              </w:rPr>
            </w:pPr>
          </w:p>
          <w:p w14:paraId="3F065DFF" w14:textId="77777777" w:rsidR="008260A4" w:rsidRPr="00572490" w:rsidRDefault="008260A4" w:rsidP="00105865">
            <w:pPr>
              <w:rPr>
                <w:sz w:val="20"/>
                <w:szCs w:val="20"/>
              </w:rPr>
            </w:pPr>
            <w:r>
              <w:rPr>
                <w:sz w:val="20"/>
                <w:szCs w:val="20"/>
              </w:rPr>
              <w:t>38,982 DAA’s per person</w:t>
            </w:r>
          </w:p>
        </w:tc>
        <w:tc>
          <w:tcPr>
            <w:tcW w:w="2126" w:type="dxa"/>
            <w:vMerge/>
            <w:tcBorders>
              <w:left w:val="single" w:sz="4" w:space="0" w:color="auto"/>
              <w:right w:val="single" w:sz="4" w:space="0" w:color="auto"/>
            </w:tcBorders>
          </w:tcPr>
          <w:p w14:paraId="7250E037" w14:textId="77777777" w:rsidR="008260A4" w:rsidRPr="00A7323A" w:rsidRDefault="008260A4" w:rsidP="00105865">
            <w:pPr>
              <w:rPr>
                <w:sz w:val="20"/>
                <w:szCs w:val="20"/>
              </w:rPr>
            </w:pPr>
          </w:p>
        </w:tc>
        <w:tc>
          <w:tcPr>
            <w:tcW w:w="2268" w:type="dxa"/>
            <w:tcBorders>
              <w:left w:val="single" w:sz="4" w:space="0" w:color="auto"/>
              <w:bottom w:val="single" w:sz="4" w:space="0" w:color="auto"/>
              <w:right w:val="single" w:sz="4" w:space="0" w:color="auto"/>
            </w:tcBorders>
          </w:tcPr>
          <w:p w14:paraId="23B6A35B" w14:textId="77777777" w:rsidR="008260A4" w:rsidRPr="00572490" w:rsidRDefault="008260A4" w:rsidP="00105865">
            <w:pPr>
              <w:rPr>
                <w:sz w:val="20"/>
                <w:szCs w:val="20"/>
              </w:rPr>
            </w:pPr>
            <w:r w:rsidRPr="00A7323A">
              <w:rPr>
                <w:sz w:val="20"/>
                <w:szCs w:val="20"/>
              </w:rPr>
              <w:t>Expert opinion (correspondence Graham Foster)</w:t>
            </w:r>
          </w:p>
        </w:tc>
      </w:tr>
      <w:tr w:rsidR="008260A4" w14:paraId="7C7543F4" w14:textId="77777777" w:rsidTr="008260A4">
        <w:trPr>
          <w:trHeight w:val="596"/>
          <w:tblHeader/>
        </w:trPr>
        <w:tc>
          <w:tcPr>
            <w:tcW w:w="2122" w:type="dxa"/>
            <w:tcBorders>
              <w:top w:val="single" w:sz="4" w:space="0" w:color="auto"/>
              <w:left w:val="single" w:sz="4" w:space="0" w:color="auto"/>
              <w:right w:val="single" w:sz="4" w:space="0" w:color="auto"/>
            </w:tcBorders>
            <w:hideMark/>
          </w:tcPr>
          <w:p w14:paraId="5C0AFD3B" w14:textId="77777777" w:rsidR="008260A4" w:rsidRPr="00A7323A" w:rsidRDefault="008260A4" w:rsidP="00105865">
            <w:pPr>
              <w:rPr>
                <w:sz w:val="20"/>
                <w:szCs w:val="20"/>
              </w:rPr>
            </w:pPr>
            <w:r>
              <w:rPr>
                <w:sz w:val="20"/>
                <w:szCs w:val="20"/>
              </w:rPr>
              <w:t>Adherence Support</w:t>
            </w:r>
          </w:p>
        </w:tc>
        <w:tc>
          <w:tcPr>
            <w:tcW w:w="1984" w:type="dxa"/>
            <w:tcBorders>
              <w:top w:val="single" w:sz="4" w:space="0" w:color="auto"/>
              <w:left w:val="single" w:sz="4" w:space="0" w:color="auto"/>
              <w:right w:val="single" w:sz="4" w:space="0" w:color="auto"/>
            </w:tcBorders>
            <w:hideMark/>
          </w:tcPr>
          <w:p w14:paraId="2CA1A883" w14:textId="77777777" w:rsidR="008260A4" w:rsidRPr="00572490" w:rsidRDefault="008260A4" w:rsidP="00105865">
            <w:pPr>
              <w:rPr>
                <w:sz w:val="20"/>
                <w:szCs w:val="20"/>
              </w:rPr>
            </w:pPr>
          </w:p>
        </w:tc>
        <w:tc>
          <w:tcPr>
            <w:tcW w:w="1843" w:type="dxa"/>
            <w:tcBorders>
              <w:top w:val="single" w:sz="4" w:space="0" w:color="auto"/>
              <w:left w:val="single" w:sz="4" w:space="0" w:color="auto"/>
              <w:right w:val="single" w:sz="4" w:space="0" w:color="auto"/>
            </w:tcBorders>
            <w:hideMark/>
          </w:tcPr>
          <w:p w14:paraId="50CA6887" w14:textId="77777777" w:rsidR="008260A4" w:rsidRPr="00572490" w:rsidRDefault="008260A4" w:rsidP="00105865">
            <w:pPr>
              <w:rPr>
                <w:sz w:val="20"/>
                <w:szCs w:val="20"/>
              </w:rPr>
            </w:pPr>
            <w:r>
              <w:rPr>
                <w:sz w:val="20"/>
                <w:szCs w:val="20"/>
              </w:rPr>
              <w:t>8,734.20</w:t>
            </w:r>
          </w:p>
        </w:tc>
        <w:tc>
          <w:tcPr>
            <w:tcW w:w="2126" w:type="dxa"/>
            <w:vMerge/>
            <w:tcBorders>
              <w:left w:val="single" w:sz="4" w:space="0" w:color="auto"/>
              <w:right w:val="single" w:sz="4" w:space="0" w:color="auto"/>
            </w:tcBorders>
          </w:tcPr>
          <w:p w14:paraId="0018F311" w14:textId="77777777" w:rsidR="008260A4" w:rsidRPr="00572490" w:rsidRDefault="008260A4" w:rsidP="00105865">
            <w:pPr>
              <w:rPr>
                <w:sz w:val="20"/>
                <w:szCs w:val="20"/>
              </w:rPr>
            </w:pPr>
          </w:p>
        </w:tc>
        <w:tc>
          <w:tcPr>
            <w:tcW w:w="2268" w:type="dxa"/>
            <w:tcBorders>
              <w:top w:val="single" w:sz="4" w:space="0" w:color="auto"/>
              <w:left w:val="single" w:sz="4" w:space="0" w:color="auto"/>
              <w:right w:val="single" w:sz="4" w:space="0" w:color="auto"/>
            </w:tcBorders>
            <w:hideMark/>
          </w:tcPr>
          <w:p w14:paraId="5831757E" w14:textId="77777777" w:rsidR="008260A4" w:rsidRPr="00572490" w:rsidRDefault="008260A4" w:rsidP="00105865">
            <w:pPr>
              <w:rPr>
                <w:sz w:val="20"/>
                <w:szCs w:val="20"/>
              </w:rPr>
            </w:pPr>
            <w:r w:rsidRPr="00572490">
              <w:rPr>
                <w:sz w:val="20"/>
                <w:szCs w:val="20"/>
              </w:rPr>
              <w:t>UCH and Groundswell financial records</w:t>
            </w:r>
          </w:p>
        </w:tc>
      </w:tr>
      <w:tr w:rsidR="008260A4" w14:paraId="51FD526C" w14:textId="77777777" w:rsidTr="008260A4">
        <w:trPr>
          <w:trHeight w:val="307"/>
        </w:trPr>
        <w:tc>
          <w:tcPr>
            <w:tcW w:w="2122" w:type="dxa"/>
            <w:vMerge w:val="restart"/>
            <w:hideMark/>
          </w:tcPr>
          <w:p w14:paraId="39BCE5AC" w14:textId="77777777" w:rsidR="008260A4" w:rsidRPr="00A7323A" w:rsidRDefault="008260A4" w:rsidP="00105865">
            <w:pPr>
              <w:rPr>
                <w:sz w:val="20"/>
                <w:szCs w:val="20"/>
              </w:rPr>
            </w:pPr>
            <w:r w:rsidRPr="00572490">
              <w:rPr>
                <w:sz w:val="20"/>
                <w:szCs w:val="20"/>
              </w:rPr>
              <w:t xml:space="preserve">Peer support of </w:t>
            </w:r>
            <w:r>
              <w:rPr>
                <w:sz w:val="20"/>
                <w:szCs w:val="20"/>
              </w:rPr>
              <w:t>p</w:t>
            </w:r>
            <w:r w:rsidRPr="00546768">
              <w:rPr>
                <w:sz w:val="20"/>
                <w:szCs w:val="20"/>
              </w:rPr>
              <w:t>ost treatment visits 12 weeks and 1 year</w:t>
            </w:r>
          </w:p>
        </w:tc>
        <w:tc>
          <w:tcPr>
            <w:tcW w:w="1984" w:type="dxa"/>
            <w:hideMark/>
          </w:tcPr>
          <w:p w14:paraId="1EC3BF0B" w14:textId="77777777" w:rsidR="008260A4" w:rsidRPr="00572490" w:rsidRDefault="008260A4" w:rsidP="00105865">
            <w:pPr>
              <w:rPr>
                <w:sz w:val="20"/>
                <w:szCs w:val="20"/>
              </w:rPr>
            </w:pPr>
            <w:r w:rsidRPr="00A7323A">
              <w:rPr>
                <w:sz w:val="20"/>
                <w:szCs w:val="20"/>
              </w:rPr>
              <w:t xml:space="preserve">Peer support </w:t>
            </w:r>
            <w:r>
              <w:rPr>
                <w:sz w:val="20"/>
                <w:szCs w:val="20"/>
              </w:rPr>
              <w:t>costs</w:t>
            </w:r>
          </w:p>
        </w:tc>
        <w:tc>
          <w:tcPr>
            <w:tcW w:w="1843" w:type="dxa"/>
            <w:tcBorders>
              <w:right w:val="single" w:sz="4" w:space="0" w:color="auto"/>
            </w:tcBorders>
            <w:hideMark/>
          </w:tcPr>
          <w:p w14:paraId="5684CE61" w14:textId="77777777" w:rsidR="008260A4" w:rsidRPr="00572490" w:rsidRDefault="008260A4" w:rsidP="00105865">
            <w:pPr>
              <w:rPr>
                <w:sz w:val="20"/>
                <w:szCs w:val="20"/>
              </w:rPr>
            </w:pPr>
            <w:r>
              <w:rPr>
                <w:sz w:val="20"/>
                <w:szCs w:val="20"/>
              </w:rPr>
              <w:t>8,709.20</w:t>
            </w:r>
          </w:p>
        </w:tc>
        <w:tc>
          <w:tcPr>
            <w:tcW w:w="2126" w:type="dxa"/>
            <w:vMerge/>
            <w:tcBorders>
              <w:left w:val="single" w:sz="4" w:space="0" w:color="auto"/>
              <w:right w:val="single" w:sz="4" w:space="0" w:color="auto"/>
            </w:tcBorders>
          </w:tcPr>
          <w:p w14:paraId="3FEE40B8" w14:textId="77777777" w:rsidR="008260A4" w:rsidRPr="00572490" w:rsidRDefault="008260A4" w:rsidP="00105865">
            <w:pPr>
              <w:rPr>
                <w:sz w:val="20"/>
                <w:szCs w:val="20"/>
              </w:rPr>
            </w:pPr>
          </w:p>
        </w:tc>
        <w:tc>
          <w:tcPr>
            <w:tcW w:w="2268" w:type="dxa"/>
            <w:vMerge w:val="restart"/>
            <w:tcBorders>
              <w:left w:val="single" w:sz="4" w:space="0" w:color="auto"/>
            </w:tcBorders>
            <w:hideMark/>
          </w:tcPr>
          <w:p w14:paraId="3235B8BF" w14:textId="77777777" w:rsidR="008260A4" w:rsidRPr="00572490" w:rsidRDefault="008260A4" w:rsidP="00105865">
            <w:pPr>
              <w:rPr>
                <w:sz w:val="20"/>
                <w:szCs w:val="20"/>
              </w:rPr>
            </w:pPr>
            <w:r w:rsidRPr="00572490">
              <w:rPr>
                <w:sz w:val="20"/>
                <w:szCs w:val="20"/>
              </w:rPr>
              <w:t>UCH and Groundswell financial records</w:t>
            </w:r>
          </w:p>
        </w:tc>
      </w:tr>
      <w:tr w:rsidR="008260A4" w14:paraId="1F496996" w14:textId="77777777" w:rsidTr="008260A4">
        <w:trPr>
          <w:trHeight w:val="307"/>
        </w:trPr>
        <w:tc>
          <w:tcPr>
            <w:tcW w:w="2122" w:type="dxa"/>
            <w:vMerge/>
          </w:tcPr>
          <w:p w14:paraId="7E4FEDAB" w14:textId="77777777" w:rsidR="008260A4" w:rsidRPr="00572490" w:rsidRDefault="008260A4" w:rsidP="00105865">
            <w:pPr>
              <w:rPr>
                <w:sz w:val="20"/>
                <w:szCs w:val="20"/>
              </w:rPr>
            </w:pPr>
          </w:p>
        </w:tc>
        <w:tc>
          <w:tcPr>
            <w:tcW w:w="1984" w:type="dxa"/>
          </w:tcPr>
          <w:p w14:paraId="5B5DC3AA" w14:textId="77777777" w:rsidR="008260A4" w:rsidRPr="00A7323A" w:rsidRDefault="008260A4" w:rsidP="00105865">
            <w:pPr>
              <w:rPr>
                <w:sz w:val="20"/>
                <w:szCs w:val="20"/>
              </w:rPr>
            </w:pPr>
            <w:r>
              <w:rPr>
                <w:sz w:val="20"/>
                <w:szCs w:val="20"/>
              </w:rPr>
              <w:t>H</w:t>
            </w:r>
            <w:r w:rsidRPr="00A7323A">
              <w:rPr>
                <w:sz w:val="20"/>
                <w:szCs w:val="20"/>
              </w:rPr>
              <w:t>ospital costs</w:t>
            </w:r>
          </w:p>
        </w:tc>
        <w:tc>
          <w:tcPr>
            <w:tcW w:w="1843" w:type="dxa"/>
            <w:tcBorders>
              <w:right w:val="single" w:sz="4" w:space="0" w:color="auto"/>
            </w:tcBorders>
          </w:tcPr>
          <w:p w14:paraId="3728250E" w14:textId="77777777" w:rsidR="008260A4" w:rsidRPr="00572490" w:rsidRDefault="008260A4" w:rsidP="00105865">
            <w:pPr>
              <w:rPr>
                <w:sz w:val="20"/>
                <w:szCs w:val="20"/>
              </w:rPr>
            </w:pPr>
            <w:r>
              <w:rPr>
                <w:sz w:val="20"/>
                <w:szCs w:val="20"/>
              </w:rPr>
              <w:t>158.33 per person</w:t>
            </w:r>
          </w:p>
        </w:tc>
        <w:tc>
          <w:tcPr>
            <w:tcW w:w="2126" w:type="dxa"/>
            <w:vMerge/>
            <w:tcBorders>
              <w:left w:val="single" w:sz="4" w:space="0" w:color="auto"/>
              <w:right w:val="single" w:sz="4" w:space="0" w:color="auto"/>
            </w:tcBorders>
          </w:tcPr>
          <w:p w14:paraId="1A224AD4" w14:textId="77777777" w:rsidR="008260A4" w:rsidRPr="00A7323A" w:rsidRDefault="008260A4" w:rsidP="00105865">
            <w:pPr>
              <w:rPr>
                <w:sz w:val="20"/>
                <w:szCs w:val="20"/>
              </w:rPr>
            </w:pPr>
          </w:p>
        </w:tc>
        <w:tc>
          <w:tcPr>
            <w:tcW w:w="2268" w:type="dxa"/>
            <w:vMerge/>
            <w:tcBorders>
              <w:left w:val="single" w:sz="4" w:space="0" w:color="auto"/>
            </w:tcBorders>
          </w:tcPr>
          <w:p w14:paraId="309D5818" w14:textId="77777777" w:rsidR="008260A4" w:rsidRPr="00572490" w:rsidRDefault="008260A4" w:rsidP="00105865">
            <w:pPr>
              <w:rPr>
                <w:sz w:val="20"/>
                <w:szCs w:val="20"/>
              </w:rPr>
            </w:pPr>
          </w:p>
        </w:tc>
      </w:tr>
    </w:tbl>
    <w:p w14:paraId="5E64634D" w14:textId="77777777" w:rsidR="008260A4" w:rsidRDefault="008260A4" w:rsidP="00105865">
      <w:pPr>
        <w:spacing w:line="240" w:lineRule="auto"/>
      </w:pPr>
    </w:p>
    <w:p w14:paraId="4C426992" w14:textId="77777777" w:rsidR="008260A4" w:rsidRDefault="008260A4" w:rsidP="00105865">
      <w:pPr>
        <w:spacing w:line="240" w:lineRule="auto"/>
        <w:rPr>
          <w:b/>
        </w:rPr>
      </w:pPr>
    </w:p>
    <w:p w14:paraId="2AD8F5C2" w14:textId="77777777" w:rsidR="008260A4" w:rsidRDefault="008260A4" w:rsidP="00105865">
      <w:pPr>
        <w:spacing w:line="240" w:lineRule="auto"/>
        <w:rPr>
          <w:b/>
        </w:rPr>
      </w:pPr>
    </w:p>
    <w:p w14:paraId="6058E6A5" w14:textId="77777777" w:rsidR="008260A4" w:rsidRDefault="008260A4" w:rsidP="00105865">
      <w:pPr>
        <w:spacing w:line="240" w:lineRule="auto"/>
        <w:rPr>
          <w:b/>
        </w:rPr>
      </w:pPr>
    </w:p>
    <w:p w14:paraId="4D95399B" w14:textId="77777777" w:rsidR="008260A4" w:rsidRDefault="008260A4" w:rsidP="00105865">
      <w:pPr>
        <w:spacing w:line="240" w:lineRule="auto"/>
        <w:rPr>
          <w:b/>
        </w:rPr>
      </w:pPr>
    </w:p>
    <w:p w14:paraId="70CFDE33" w14:textId="77777777" w:rsidR="008260A4" w:rsidRDefault="008260A4" w:rsidP="00105865">
      <w:pPr>
        <w:spacing w:line="240" w:lineRule="auto"/>
        <w:rPr>
          <w:b/>
        </w:rPr>
      </w:pPr>
    </w:p>
    <w:p w14:paraId="718C4422" w14:textId="77777777" w:rsidR="008260A4" w:rsidRDefault="008260A4" w:rsidP="00105865">
      <w:pPr>
        <w:spacing w:line="240" w:lineRule="auto"/>
        <w:rPr>
          <w:b/>
        </w:rPr>
      </w:pPr>
    </w:p>
    <w:p w14:paraId="2D1EC510" w14:textId="77777777" w:rsidR="008260A4" w:rsidRDefault="008260A4" w:rsidP="00105865">
      <w:pPr>
        <w:spacing w:line="240" w:lineRule="auto"/>
        <w:rPr>
          <w:b/>
        </w:rPr>
      </w:pPr>
    </w:p>
    <w:p w14:paraId="107AC245" w14:textId="77777777" w:rsidR="008260A4" w:rsidRDefault="008260A4" w:rsidP="00105865">
      <w:pPr>
        <w:spacing w:line="240" w:lineRule="auto"/>
        <w:rPr>
          <w:b/>
        </w:rPr>
      </w:pPr>
      <w:r>
        <w:rPr>
          <w:b/>
        </w:rPr>
        <w:br w:type="page"/>
      </w:r>
    </w:p>
    <w:p w14:paraId="507B812B" w14:textId="30B204F3" w:rsidR="008260A4" w:rsidRPr="00E26EA7" w:rsidRDefault="008260A4" w:rsidP="00105865">
      <w:pPr>
        <w:spacing w:line="240" w:lineRule="auto"/>
        <w:rPr>
          <w:b/>
        </w:rPr>
      </w:pPr>
      <w:r w:rsidRPr="00E26EA7">
        <w:rPr>
          <w:b/>
        </w:rPr>
        <w:lastRenderedPageBreak/>
        <w:t xml:space="preserve">Table </w:t>
      </w:r>
      <w:r>
        <w:rPr>
          <w:b/>
        </w:rPr>
        <w:t>S1</w:t>
      </w:r>
      <w:r w:rsidR="00091C92">
        <w:rPr>
          <w:b/>
        </w:rPr>
        <w:t>1:</w:t>
      </w:r>
      <w:r w:rsidRPr="00E26EA7">
        <w:rPr>
          <w:b/>
        </w:rPr>
        <w:t xml:space="preserve"> Intervention Related Assumptions Scenario Analysis</w:t>
      </w:r>
    </w:p>
    <w:tbl>
      <w:tblPr>
        <w:tblStyle w:val="TableGrid"/>
        <w:tblW w:w="0" w:type="auto"/>
        <w:tblLook w:val="04A0" w:firstRow="1" w:lastRow="0" w:firstColumn="1" w:lastColumn="0" w:noHBand="0" w:noVBand="1"/>
      </w:tblPr>
      <w:tblGrid>
        <w:gridCol w:w="2060"/>
        <w:gridCol w:w="2946"/>
        <w:gridCol w:w="2054"/>
        <w:gridCol w:w="1956"/>
      </w:tblGrid>
      <w:tr w:rsidR="008260A4" w14:paraId="3C8EDAC5" w14:textId="77777777" w:rsidTr="008260A4">
        <w:tc>
          <w:tcPr>
            <w:tcW w:w="2060" w:type="dxa"/>
          </w:tcPr>
          <w:p w14:paraId="2D173FFD" w14:textId="77777777" w:rsidR="008260A4" w:rsidRDefault="008260A4" w:rsidP="00105865">
            <w:r>
              <w:t>Scenario</w:t>
            </w:r>
          </w:p>
        </w:tc>
        <w:tc>
          <w:tcPr>
            <w:tcW w:w="2946" w:type="dxa"/>
          </w:tcPr>
          <w:p w14:paraId="6FFE9FEE" w14:textId="77777777" w:rsidR="008260A4" w:rsidRDefault="008260A4" w:rsidP="00105865">
            <w:r>
              <w:t>Incremental Costs</w:t>
            </w:r>
          </w:p>
        </w:tc>
        <w:tc>
          <w:tcPr>
            <w:tcW w:w="2054" w:type="dxa"/>
          </w:tcPr>
          <w:p w14:paraId="164A5132" w14:textId="77777777" w:rsidR="008260A4" w:rsidRDefault="008260A4" w:rsidP="00105865">
            <w:r>
              <w:t>Incremental QALYs</w:t>
            </w:r>
          </w:p>
        </w:tc>
        <w:tc>
          <w:tcPr>
            <w:tcW w:w="1956" w:type="dxa"/>
          </w:tcPr>
          <w:p w14:paraId="3C1995A6" w14:textId="77777777" w:rsidR="008260A4" w:rsidRDefault="008260A4" w:rsidP="00105865">
            <w:r>
              <w:t>ICER</w:t>
            </w:r>
          </w:p>
        </w:tc>
      </w:tr>
      <w:tr w:rsidR="008260A4" w14:paraId="44B593AC" w14:textId="77777777" w:rsidTr="008260A4">
        <w:tc>
          <w:tcPr>
            <w:tcW w:w="2060" w:type="dxa"/>
          </w:tcPr>
          <w:p w14:paraId="4F6B8CC2" w14:textId="77777777" w:rsidR="008260A4" w:rsidRDefault="008260A4" w:rsidP="00105865">
            <w:r>
              <w:t>Base Case</w:t>
            </w:r>
          </w:p>
        </w:tc>
        <w:tc>
          <w:tcPr>
            <w:tcW w:w="2946" w:type="dxa"/>
          </w:tcPr>
          <w:p w14:paraId="6C03DC78" w14:textId="61BBB170" w:rsidR="008260A4" w:rsidRDefault="00FC692E" w:rsidP="00105865">
            <w:r>
              <w:rPr>
                <w:rFonts w:ascii="Calibri" w:hAnsi="Calibri"/>
                <w:color w:val="000000"/>
              </w:rPr>
              <w:t>£</w:t>
            </w:r>
            <w:r w:rsidR="009E0959">
              <w:rPr>
                <w:rFonts w:ascii="Calibri" w:hAnsi="Calibri"/>
                <w:color w:val="000000"/>
              </w:rPr>
              <w:t>3,872,</w:t>
            </w:r>
            <w:r w:rsidR="00C15C8B">
              <w:rPr>
                <w:rFonts w:ascii="Calibri" w:hAnsi="Calibri"/>
                <w:color w:val="000000"/>
              </w:rPr>
              <w:t>848</w:t>
            </w:r>
          </w:p>
        </w:tc>
        <w:tc>
          <w:tcPr>
            <w:tcW w:w="2054" w:type="dxa"/>
          </w:tcPr>
          <w:p w14:paraId="6B2DDA4F" w14:textId="07F036E6" w:rsidR="008260A4" w:rsidRDefault="00FC692E" w:rsidP="00105865">
            <w:r>
              <w:t>412</w:t>
            </w:r>
          </w:p>
        </w:tc>
        <w:tc>
          <w:tcPr>
            <w:tcW w:w="1956" w:type="dxa"/>
          </w:tcPr>
          <w:p w14:paraId="591CE622" w14:textId="6415F13D" w:rsidR="008260A4" w:rsidRDefault="00DC608F" w:rsidP="00105865">
            <w:r>
              <w:rPr>
                <w:rFonts w:ascii="Calibri" w:hAnsi="Calibri"/>
                <w:color w:val="000000"/>
              </w:rPr>
              <w:t>£</w:t>
            </w:r>
            <w:r w:rsidR="00C15C8B">
              <w:rPr>
                <w:rFonts w:ascii="Calibri" w:hAnsi="Calibri"/>
                <w:color w:val="000000"/>
              </w:rPr>
              <w:t>9,408</w:t>
            </w:r>
            <w:r>
              <w:rPr>
                <w:rFonts w:ascii="Calibri" w:hAnsi="Calibri"/>
                <w:color w:val="000000"/>
              </w:rPr>
              <w:t xml:space="preserve"> </w:t>
            </w:r>
            <w:r w:rsidR="008260A4">
              <w:t>per QALY</w:t>
            </w:r>
          </w:p>
        </w:tc>
      </w:tr>
      <w:tr w:rsidR="008260A4" w14:paraId="5DB1920B" w14:textId="77777777" w:rsidTr="008260A4">
        <w:tc>
          <w:tcPr>
            <w:tcW w:w="2060" w:type="dxa"/>
          </w:tcPr>
          <w:p w14:paraId="04EF07DA" w14:textId="77777777" w:rsidR="008260A4" w:rsidRDefault="008260A4" w:rsidP="00105865">
            <w:r>
              <w:t>All intervention patients considered current PWID</w:t>
            </w:r>
          </w:p>
        </w:tc>
        <w:tc>
          <w:tcPr>
            <w:tcW w:w="2946" w:type="dxa"/>
          </w:tcPr>
          <w:p w14:paraId="610CEBEB" w14:textId="7103885C" w:rsidR="008260A4" w:rsidRDefault="008260A4" w:rsidP="00105865">
            <w:r>
              <w:t>£</w:t>
            </w:r>
            <w:r w:rsidR="00702940">
              <w:t>3,831,023</w:t>
            </w:r>
          </w:p>
        </w:tc>
        <w:tc>
          <w:tcPr>
            <w:tcW w:w="2054" w:type="dxa"/>
          </w:tcPr>
          <w:p w14:paraId="47C37947" w14:textId="458F9E54" w:rsidR="008260A4" w:rsidRDefault="00896BCA" w:rsidP="00105865">
            <w:r>
              <w:t>459</w:t>
            </w:r>
          </w:p>
        </w:tc>
        <w:tc>
          <w:tcPr>
            <w:tcW w:w="1956" w:type="dxa"/>
          </w:tcPr>
          <w:p w14:paraId="311069A4" w14:textId="05026FBA" w:rsidR="008260A4" w:rsidRDefault="008260A4" w:rsidP="00105865">
            <w:r>
              <w:t>£</w:t>
            </w:r>
            <w:r w:rsidR="006E273E">
              <w:t>8,348</w:t>
            </w:r>
            <w:r>
              <w:t xml:space="preserve"> per QALY</w:t>
            </w:r>
          </w:p>
        </w:tc>
      </w:tr>
      <w:tr w:rsidR="008260A4" w14:paraId="4A29AEB3" w14:textId="77777777" w:rsidTr="008260A4">
        <w:tc>
          <w:tcPr>
            <w:tcW w:w="2060" w:type="dxa"/>
          </w:tcPr>
          <w:p w14:paraId="003C8532" w14:textId="77777777" w:rsidR="008260A4" w:rsidRDefault="008260A4" w:rsidP="00105865">
            <w:r>
              <w:t>All intervention patients considered recently diagnosed</w:t>
            </w:r>
          </w:p>
        </w:tc>
        <w:tc>
          <w:tcPr>
            <w:tcW w:w="2946" w:type="dxa"/>
          </w:tcPr>
          <w:p w14:paraId="2CCE706F" w14:textId="0E909098" w:rsidR="008260A4" w:rsidRDefault="008260A4" w:rsidP="00105865">
            <w:r>
              <w:t>£</w:t>
            </w:r>
            <w:r w:rsidR="00172637">
              <w:t>3,781,110</w:t>
            </w:r>
          </w:p>
        </w:tc>
        <w:tc>
          <w:tcPr>
            <w:tcW w:w="2054" w:type="dxa"/>
          </w:tcPr>
          <w:p w14:paraId="06BC1EAE" w14:textId="5BFE643E" w:rsidR="008260A4" w:rsidRDefault="00116EFA" w:rsidP="00105865">
            <w:r>
              <w:t>402</w:t>
            </w:r>
          </w:p>
        </w:tc>
        <w:tc>
          <w:tcPr>
            <w:tcW w:w="1956" w:type="dxa"/>
          </w:tcPr>
          <w:p w14:paraId="79F1BE97" w14:textId="72835031" w:rsidR="008260A4" w:rsidRDefault="008260A4" w:rsidP="00105865">
            <w:r>
              <w:t>£</w:t>
            </w:r>
            <w:r w:rsidR="00E66839">
              <w:t>9,405</w:t>
            </w:r>
            <w:r>
              <w:t xml:space="preserve"> per QALY</w:t>
            </w:r>
          </w:p>
        </w:tc>
      </w:tr>
      <w:tr w:rsidR="008260A4" w14:paraId="572C21DE" w14:textId="77777777" w:rsidTr="008260A4">
        <w:tc>
          <w:tcPr>
            <w:tcW w:w="2060" w:type="dxa"/>
          </w:tcPr>
          <w:p w14:paraId="3C1FEF01" w14:textId="77777777" w:rsidR="008260A4" w:rsidRDefault="008260A4" w:rsidP="00105865">
            <w:r>
              <w:t>Overhead costs doubled</w:t>
            </w:r>
          </w:p>
        </w:tc>
        <w:tc>
          <w:tcPr>
            <w:tcW w:w="2946" w:type="dxa"/>
          </w:tcPr>
          <w:p w14:paraId="3020DB5F" w14:textId="185EE6B7" w:rsidR="008260A4" w:rsidRDefault="008260A4" w:rsidP="00105865">
            <w:r>
              <w:t>£</w:t>
            </w:r>
            <w:r w:rsidR="00F43262">
              <w:t>3,874,381</w:t>
            </w:r>
          </w:p>
        </w:tc>
        <w:tc>
          <w:tcPr>
            <w:tcW w:w="2054" w:type="dxa"/>
          </w:tcPr>
          <w:p w14:paraId="778C9576" w14:textId="4A990C48" w:rsidR="008260A4" w:rsidRDefault="00D23E17" w:rsidP="00105865">
            <w:r>
              <w:t>412</w:t>
            </w:r>
          </w:p>
        </w:tc>
        <w:tc>
          <w:tcPr>
            <w:tcW w:w="1956" w:type="dxa"/>
          </w:tcPr>
          <w:p w14:paraId="674EDAC8" w14:textId="3A1E77DD" w:rsidR="008260A4" w:rsidRDefault="00A82E77" w:rsidP="00105865">
            <w:r>
              <w:t>£</w:t>
            </w:r>
            <w:r w:rsidR="00F43262">
              <w:t>9,411</w:t>
            </w:r>
            <w:r w:rsidR="008260A4">
              <w:t xml:space="preserve"> per QALY</w:t>
            </w:r>
          </w:p>
        </w:tc>
      </w:tr>
      <w:tr w:rsidR="008260A4" w14:paraId="0E51D5E8" w14:textId="77777777" w:rsidTr="008260A4">
        <w:tc>
          <w:tcPr>
            <w:tcW w:w="2060" w:type="dxa"/>
          </w:tcPr>
          <w:p w14:paraId="531C1B1D" w14:textId="77777777" w:rsidR="008260A4" w:rsidRDefault="008260A4" w:rsidP="00105865">
            <w:r>
              <w:t>Overhead costs tripled</w:t>
            </w:r>
          </w:p>
        </w:tc>
        <w:tc>
          <w:tcPr>
            <w:tcW w:w="2946" w:type="dxa"/>
          </w:tcPr>
          <w:p w14:paraId="7848FCBA" w14:textId="43E61F1B" w:rsidR="008260A4" w:rsidRDefault="008260A4" w:rsidP="00105865">
            <w:r>
              <w:t>£</w:t>
            </w:r>
            <w:r w:rsidR="003C584F">
              <w:t>3,875,926</w:t>
            </w:r>
          </w:p>
        </w:tc>
        <w:tc>
          <w:tcPr>
            <w:tcW w:w="2054" w:type="dxa"/>
          </w:tcPr>
          <w:p w14:paraId="23145991" w14:textId="37B1406C" w:rsidR="008260A4" w:rsidRDefault="008B4675" w:rsidP="00105865">
            <w:r>
              <w:t>412</w:t>
            </w:r>
          </w:p>
        </w:tc>
        <w:tc>
          <w:tcPr>
            <w:tcW w:w="1956" w:type="dxa"/>
          </w:tcPr>
          <w:p w14:paraId="5EBCDC07" w14:textId="07FB4FFC" w:rsidR="008260A4" w:rsidRDefault="008B4675" w:rsidP="00105865">
            <w:r>
              <w:t>£</w:t>
            </w:r>
            <w:r w:rsidR="003C584F">
              <w:t>9,415</w:t>
            </w:r>
            <w:r w:rsidR="008260A4">
              <w:t xml:space="preserve"> per QALY</w:t>
            </w:r>
          </w:p>
        </w:tc>
      </w:tr>
      <w:tr w:rsidR="008260A4" w14:paraId="60FDFA55" w14:textId="77777777" w:rsidTr="008260A4">
        <w:tc>
          <w:tcPr>
            <w:tcW w:w="2060" w:type="dxa"/>
          </w:tcPr>
          <w:p w14:paraId="7487E531" w14:textId="77777777" w:rsidR="008260A4" w:rsidRDefault="008260A4" w:rsidP="00105865">
            <w:proofErr w:type="spellStart"/>
            <w:r>
              <w:t>Start up</w:t>
            </w:r>
            <w:proofErr w:type="spellEnd"/>
            <w:r>
              <w:t xml:space="preserve"> costs annualised over 3 years</w:t>
            </w:r>
          </w:p>
        </w:tc>
        <w:tc>
          <w:tcPr>
            <w:tcW w:w="2946" w:type="dxa"/>
          </w:tcPr>
          <w:p w14:paraId="1C7086AF" w14:textId="18AE9C11" w:rsidR="008260A4" w:rsidRDefault="008260A4" w:rsidP="00105865">
            <w:r>
              <w:t>£</w:t>
            </w:r>
            <w:r w:rsidR="00807836">
              <w:t>3,885,609</w:t>
            </w:r>
          </w:p>
        </w:tc>
        <w:tc>
          <w:tcPr>
            <w:tcW w:w="2054" w:type="dxa"/>
          </w:tcPr>
          <w:p w14:paraId="23EBA10C" w14:textId="68B6FA12" w:rsidR="008260A4" w:rsidRDefault="00E4283B" w:rsidP="00105865">
            <w:r>
              <w:t>412</w:t>
            </w:r>
          </w:p>
        </w:tc>
        <w:tc>
          <w:tcPr>
            <w:tcW w:w="1956" w:type="dxa"/>
          </w:tcPr>
          <w:p w14:paraId="218E090D" w14:textId="38AC8F26" w:rsidR="008260A4" w:rsidRDefault="00385388" w:rsidP="00105865">
            <w:r>
              <w:t>£</w:t>
            </w:r>
            <w:r w:rsidR="00807836">
              <w:t>9,439</w:t>
            </w:r>
            <w:r w:rsidR="008260A4">
              <w:t xml:space="preserve"> per QALY</w:t>
            </w:r>
          </w:p>
        </w:tc>
      </w:tr>
      <w:tr w:rsidR="008260A4" w14:paraId="1188B224" w14:textId="77777777" w:rsidTr="008260A4">
        <w:tc>
          <w:tcPr>
            <w:tcW w:w="2060" w:type="dxa"/>
          </w:tcPr>
          <w:p w14:paraId="0A797B14" w14:textId="77777777" w:rsidR="008260A4" w:rsidRDefault="008260A4" w:rsidP="00105865">
            <w:proofErr w:type="spellStart"/>
            <w:r>
              <w:t>Start up</w:t>
            </w:r>
            <w:proofErr w:type="spellEnd"/>
            <w:r>
              <w:t xml:space="preserve"> costs annualised over 7 years</w:t>
            </w:r>
          </w:p>
        </w:tc>
        <w:tc>
          <w:tcPr>
            <w:tcW w:w="2946" w:type="dxa"/>
          </w:tcPr>
          <w:p w14:paraId="71736CD4" w14:textId="1170F91C" w:rsidR="008260A4" w:rsidRDefault="008260A4" w:rsidP="00105865">
            <w:r>
              <w:t>£</w:t>
            </w:r>
            <w:r w:rsidR="000E04DD">
              <w:t>3,868,231</w:t>
            </w:r>
          </w:p>
        </w:tc>
        <w:tc>
          <w:tcPr>
            <w:tcW w:w="2054" w:type="dxa"/>
          </w:tcPr>
          <w:p w14:paraId="7422F48D" w14:textId="67CA5BA8" w:rsidR="008260A4" w:rsidRDefault="008B4675" w:rsidP="00105865">
            <w:r>
              <w:t>412</w:t>
            </w:r>
          </w:p>
        </w:tc>
        <w:tc>
          <w:tcPr>
            <w:tcW w:w="1956" w:type="dxa"/>
          </w:tcPr>
          <w:p w14:paraId="7C0CC905" w14:textId="12BA9F64" w:rsidR="008260A4" w:rsidRDefault="00D23E17" w:rsidP="00105865">
            <w:r>
              <w:t>£</w:t>
            </w:r>
            <w:r w:rsidR="000E04DD">
              <w:t>9,397</w:t>
            </w:r>
            <w:r w:rsidR="008260A4">
              <w:t xml:space="preserve"> per QALY</w:t>
            </w:r>
          </w:p>
        </w:tc>
      </w:tr>
      <w:tr w:rsidR="008260A4" w14:paraId="7A070194" w14:textId="77777777" w:rsidTr="008260A4">
        <w:tc>
          <w:tcPr>
            <w:tcW w:w="2060" w:type="dxa"/>
          </w:tcPr>
          <w:p w14:paraId="4426C327" w14:textId="77777777" w:rsidR="008260A4" w:rsidRDefault="008260A4" w:rsidP="00105865">
            <w:r>
              <w:t>Find and Treat van used for all sessions</w:t>
            </w:r>
          </w:p>
        </w:tc>
        <w:tc>
          <w:tcPr>
            <w:tcW w:w="2946" w:type="dxa"/>
          </w:tcPr>
          <w:p w14:paraId="1E19923A" w14:textId="3045AB4F" w:rsidR="008260A4" w:rsidRDefault="008260A4" w:rsidP="00105865">
            <w:r>
              <w:t>£</w:t>
            </w:r>
            <w:r w:rsidR="00B53E2B">
              <w:t>3,876,645</w:t>
            </w:r>
          </w:p>
        </w:tc>
        <w:tc>
          <w:tcPr>
            <w:tcW w:w="2054" w:type="dxa"/>
          </w:tcPr>
          <w:p w14:paraId="560B737E" w14:textId="3C7D26C4" w:rsidR="008260A4" w:rsidRDefault="00427640" w:rsidP="00105865">
            <w:r>
              <w:t>412</w:t>
            </w:r>
          </w:p>
        </w:tc>
        <w:tc>
          <w:tcPr>
            <w:tcW w:w="1956" w:type="dxa"/>
          </w:tcPr>
          <w:p w14:paraId="105A7A00" w14:textId="05D3BCFF" w:rsidR="008260A4" w:rsidRDefault="00A82E77" w:rsidP="00105865">
            <w:r>
              <w:t>£</w:t>
            </w:r>
            <w:r w:rsidR="000F0755">
              <w:t>9,417</w:t>
            </w:r>
            <w:r w:rsidR="008260A4">
              <w:t xml:space="preserve"> per QALY</w:t>
            </w:r>
          </w:p>
        </w:tc>
      </w:tr>
      <w:tr w:rsidR="008260A4" w14:paraId="70E7121C" w14:textId="77777777" w:rsidTr="008260A4">
        <w:tc>
          <w:tcPr>
            <w:tcW w:w="2060" w:type="dxa"/>
          </w:tcPr>
          <w:p w14:paraId="79D471B7" w14:textId="77777777" w:rsidR="008260A4" w:rsidRDefault="008260A4" w:rsidP="00105865">
            <w:r>
              <w:t>Hep C Van used for all sessions</w:t>
            </w:r>
          </w:p>
        </w:tc>
        <w:tc>
          <w:tcPr>
            <w:tcW w:w="2946" w:type="dxa"/>
          </w:tcPr>
          <w:p w14:paraId="661B697F" w14:textId="4AA725E0" w:rsidR="008260A4" w:rsidRDefault="008260A4" w:rsidP="00105865">
            <w:r>
              <w:t>£</w:t>
            </w:r>
            <w:r w:rsidR="000F0755">
              <w:t>3,873,585</w:t>
            </w:r>
          </w:p>
        </w:tc>
        <w:tc>
          <w:tcPr>
            <w:tcW w:w="2054" w:type="dxa"/>
          </w:tcPr>
          <w:p w14:paraId="44AB1C41" w14:textId="18EB2FFC" w:rsidR="008260A4" w:rsidRDefault="00E63E76" w:rsidP="00105865">
            <w:r>
              <w:t>412</w:t>
            </w:r>
          </w:p>
        </w:tc>
        <w:tc>
          <w:tcPr>
            <w:tcW w:w="1956" w:type="dxa"/>
          </w:tcPr>
          <w:p w14:paraId="7367D1C3" w14:textId="0D83781E" w:rsidR="008260A4" w:rsidRDefault="00D4258D" w:rsidP="00105865">
            <w:r>
              <w:t>£</w:t>
            </w:r>
            <w:r w:rsidR="000F0755">
              <w:t>9,410</w:t>
            </w:r>
            <w:r w:rsidR="008260A4">
              <w:t xml:space="preserve"> per QALY</w:t>
            </w:r>
          </w:p>
        </w:tc>
      </w:tr>
    </w:tbl>
    <w:p w14:paraId="47C44D54" w14:textId="77777777" w:rsidR="00066223" w:rsidRDefault="00066223" w:rsidP="00105865">
      <w:pPr>
        <w:spacing w:line="240" w:lineRule="auto"/>
      </w:pPr>
    </w:p>
    <w:p w14:paraId="71F784FB" w14:textId="77777777" w:rsidR="00066223" w:rsidRDefault="00066223" w:rsidP="00105865">
      <w:pPr>
        <w:spacing w:line="240" w:lineRule="auto"/>
      </w:pPr>
    </w:p>
    <w:p w14:paraId="6852E7B8" w14:textId="77777777" w:rsidR="00066223" w:rsidRPr="00066223" w:rsidRDefault="00066223" w:rsidP="00066223">
      <w:pPr>
        <w:pStyle w:val="EndNoteBibliography"/>
        <w:spacing w:after="0"/>
        <w:ind w:left="720" w:hanging="720"/>
      </w:pPr>
      <w:r>
        <w:fldChar w:fldCharType="begin"/>
      </w:r>
      <w:r>
        <w:instrText xml:space="preserve"> ADDIN EN.REFLIST </w:instrText>
      </w:r>
      <w:r>
        <w:fldChar w:fldCharType="separate"/>
      </w:r>
      <w:r w:rsidRPr="00066223">
        <w:t>1.</w:t>
      </w:r>
      <w:r w:rsidRPr="00066223">
        <w:tab/>
        <w:t xml:space="preserve">Smith, D.J., et al., </w:t>
      </w:r>
      <w:r w:rsidRPr="00066223">
        <w:rPr>
          <w:i/>
        </w:rPr>
        <w:t>Hepatitis C virus (HCV) disease progression in people who inject drugs (PWID): A systematic review and meta-analysis.</w:t>
      </w:r>
      <w:r w:rsidRPr="00066223">
        <w:t xml:space="preserve"> International Journal of Drug Policy, 2015. </w:t>
      </w:r>
      <w:r w:rsidRPr="00066223">
        <w:rPr>
          <w:b/>
        </w:rPr>
        <w:t>26</w:t>
      </w:r>
      <w:r w:rsidRPr="00066223">
        <w:t>(10): p. 911-921.</w:t>
      </w:r>
    </w:p>
    <w:p w14:paraId="2D013C46" w14:textId="77777777" w:rsidR="00066223" w:rsidRPr="00066223" w:rsidRDefault="00066223" w:rsidP="00066223">
      <w:pPr>
        <w:pStyle w:val="EndNoteBibliography"/>
        <w:spacing w:after="0"/>
        <w:ind w:left="720" w:hanging="720"/>
      </w:pPr>
      <w:r w:rsidRPr="00066223">
        <w:t>2.</w:t>
      </w:r>
      <w:r w:rsidRPr="00066223">
        <w:tab/>
        <w:t xml:space="preserve">Shepherd, J., et al., </w:t>
      </w:r>
      <w:r w:rsidRPr="00066223">
        <w:rPr>
          <w:i/>
        </w:rPr>
        <w:t>Interferon alpha (pegylated and non-pegylated) and ribavirin for the treatment of mild chronic hepatitis C: a systematic review and economic evaluation.</w:t>
      </w:r>
      <w:r w:rsidRPr="00066223">
        <w:t xml:space="preserve"> Health Technol Assess, 2007. </w:t>
      </w:r>
      <w:r w:rsidRPr="00066223">
        <w:rPr>
          <w:b/>
        </w:rPr>
        <w:t>11</w:t>
      </w:r>
      <w:r w:rsidRPr="00066223">
        <w:t>(11): p. 1-205, iii.</w:t>
      </w:r>
    </w:p>
    <w:p w14:paraId="028EEDEC" w14:textId="77777777" w:rsidR="00066223" w:rsidRPr="00066223" w:rsidRDefault="00066223" w:rsidP="00066223">
      <w:pPr>
        <w:pStyle w:val="EndNoteBibliography"/>
        <w:spacing w:after="0"/>
        <w:ind w:left="720" w:hanging="720"/>
      </w:pPr>
      <w:r w:rsidRPr="00066223">
        <w:t>3.</w:t>
      </w:r>
      <w:r w:rsidRPr="00066223">
        <w:tab/>
        <w:t xml:space="preserve">van der Meer, A.J., et al., </w:t>
      </w:r>
      <w:r w:rsidRPr="00066223">
        <w:rPr>
          <w:i/>
        </w:rPr>
        <w:t>Association between sustained virological response and all-cause mortality among patients with chronic hepatitis c and advanced hepatic fibrosis.</w:t>
      </w:r>
      <w:r w:rsidRPr="00066223">
        <w:t xml:space="preserve"> JAMA, 2012. </w:t>
      </w:r>
      <w:r w:rsidRPr="00066223">
        <w:rPr>
          <w:b/>
        </w:rPr>
        <w:t>308</w:t>
      </w:r>
      <w:r w:rsidRPr="00066223">
        <w:t>(24): p. 2584-2593.</w:t>
      </w:r>
    </w:p>
    <w:p w14:paraId="75C63D80" w14:textId="77777777" w:rsidR="00066223" w:rsidRPr="00066223" w:rsidRDefault="00066223" w:rsidP="00066223">
      <w:pPr>
        <w:pStyle w:val="EndNoteBibliography"/>
        <w:spacing w:after="0"/>
        <w:ind w:left="720" w:hanging="720"/>
      </w:pPr>
      <w:r w:rsidRPr="00066223">
        <w:t>4.</w:t>
      </w:r>
      <w:r w:rsidRPr="00066223">
        <w:tab/>
        <w:t xml:space="preserve">Morgan, R.L., et al., </w:t>
      </w:r>
      <w:r w:rsidRPr="00066223">
        <w:rPr>
          <w:i/>
        </w:rPr>
        <w:t>Eradication of Hepatitis C Virus Infection and the Development of Hepatocellular CarcinomaA Meta-analysis of Observational Studies.</w:t>
      </w:r>
      <w:r w:rsidRPr="00066223">
        <w:t xml:space="preserve"> Annals of Internal Medicine, 2013. </w:t>
      </w:r>
      <w:r w:rsidRPr="00066223">
        <w:rPr>
          <w:b/>
        </w:rPr>
        <w:t>158</w:t>
      </w:r>
      <w:r w:rsidRPr="00066223">
        <w:t>(5_Part_1): p. 329-337.</w:t>
      </w:r>
    </w:p>
    <w:p w14:paraId="0F731325" w14:textId="77777777" w:rsidR="00066223" w:rsidRPr="00066223" w:rsidRDefault="00066223" w:rsidP="00066223">
      <w:pPr>
        <w:pStyle w:val="EndNoteBibliography"/>
        <w:spacing w:after="0"/>
        <w:ind w:left="720" w:hanging="720"/>
      </w:pPr>
      <w:r w:rsidRPr="00066223">
        <w:t>5.</w:t>
      </w:r>
      <w:r w:rsidRPr="00066223">
        <w:tab/>
        <w:t xml:space="preserve">PSSRU, </w:t>
      </w:r>
      <w:r w:rsidRPr="00066223">
        <w:rPr>
          <w:i/>
        </w:rPr>
        <w:t>Unit Costs of Health &amp; Social Care 2013.</w:t>
      </w:r>
      <w:r w:rsidRPr="00066223">
        <w:t xml:space="preserve"> 2013: p. 226.</w:t>
      </w:r>
    </w:p>
    <w:p w14:paraId="5CDEE071" w14:textId="77777777" w:rsidR="00066223" w:rsidRPr="00066223" w:rsidRDefault="00066223" w:rsidP="00066223">
      <w:pPr>
        <w:pStyle w:val="EndNoteBibliography"/>
        <w:spacing w:after="0"/>
        <w:ind w:left="720" w:hanging="720"/>
      </w:pPr>
      <w:r w:rsidRPr="00066223">
        <w:t>6.</w:t>
      </w:r>
      <w:r w:rsidRPr="00066223">
        <w:tab/>
        <w:t xml:space="preserve">Wright, M., et al., </w:t>
      </w:r>
      <w:r w:rsidRPr="00066223">
        <w:rPr>
          <w:i/>
        </w:rPr>
        <w:t>Health benefits of antiviral therapy for mild chronic hepatitis C: randomised controlled trial and economic evaluation.</w:t>
      </w:r>
      <w:r w:rsidRPr="00066223">
        <w:t xml:space="preserve"> Health technology assessment (Winchester, England), 2006. </w:t>
      </w:r>
      <w:r w:rsidRPr="00066223">
        <w:rPr>
          <w:b/>
        </w:rPr>
        <w:t>10</w:t>
      </w:r>
      <w:r w:rsidRPr="00066223">
        <w:t>: p. 1-113, iii.</w:t>
      </w:r>
    </w:p>
    <w:p w14:paraId="2BE79A3D" w14:textId="77777777" w:rsidR="00066223" w:rsidRPr="00066223" w:rsidRDefault="00066223" w:rsidP="00066223">
      <w:pPr>
        <w:pStyle w:val="EndNoteBibliography"/>
        <w:spacing w:after="0"/>
        <w:ind w:left="720" w:hanging="720"/>
      </w:pPr>
      <w:r w:rsidRPr="00066223">
        <w:t>7.</w:t>
      </w:r>
      <w:r w:rsidRPr="00066223">
        <w:tab/>
        <w:t xml:space="preserve">Martin, N.K., et al., </w:t>
      </w:r>
      <w:r w:rsidRPr="00066223">
        <w:rPr>
          <w:i/>
        </w:rPr>
        <w:t>Prioritization of HCV treatment in the direct-acting antiviral era: An economic evaluation.</w:t>
      </w:r>
      <w:r w:rsidRPr="00066223">
        <w:t xml:space="preserve"> Journal of hepatology, 2016. </w:t>
      </w:r>
      <w:r w:rsidRPr="00066223">
        <w:rPr>
          <w:b/>
        </w:rPr>
        <w:t>65</w:t>
      </w:r>
      <w:r w:rsidRPr="00066223">
        <w:t>(1): p. 17-25.</w:t>
      </w:r>
    </w:p>
    <w:p w14:paraId="0DA4AB94" w14:textId="77777777" w:rsidR="00066223" w:rsidRPr="00066223" w:rsidRDefault="00066223" w:rsidP="00066223">
      <w:pPr>
        <w:pStyle w:val="EndNoteBibliography"/>
        <w:ind w:left="720" w:hanging="720"/>
      </w:pPr>
      <w:r w:rsidRPr="00066223">
        <w:t>8.</w:t>
      </w:r>
      <w:r w:rsidRPr="00066223">
        <w:tab/>
        <w:t xml:space="preserve">McDonald, S.A., et al., </w:t>
      </w:r>
      <w:r w:rsidRPr="00066223">
        <w:rPr>
          <w:i/>
        </w:rPr>
        <w:t>Decrease in health-related quality of life associated with awareness of hepatitis C virus infection among people who inject drugs in Scotland.</w:t>
      </w:r>
      <w:r w:rsidRPr="00066223">
        <w:t xml:space="preserve"> J Hepatol, 2013. </w:t>
      </w:r>
      <w:r w:rsidRPr="00066223">
        <w:rPr>
          <w:b/>
        </w:rPr>
        <w:t>58</w:t>
      </w:r>
      <w:r w:rsidRPr="00066223">
        <w:t>(3): p. 460-6.</w:t>
      </w:r>
    </w:p>
    <w:p w14:paraId="4C793F54" w14:textId="6A215C32" w:rsidR="008260A4" w:rsidRDefault="00066223" w:rsidP="00105865">
      <w:pPr>
        <w:spacing w:line="240" w:lineRule="auto"/>
      </w:pPr>
      <w:r>
        <w:fldChar w:fldCharType="end"/>
      </w:r>
    </w:p>
    <w:sectPr w:rsidR="008260A4" w:rsidSect="00105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7D09"/>
    <w:multiLevelType w:val="hybridMultilevel"/>
    <w:tmpl w:val="21D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70781"/>
    <w:multiLevelType w:val="hybridMultilevel"/>
    <w:tmpl w:val="11A0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37171"/>
    <w:multiLevelType w:val="hybridMultilevel"/>
    <w:tmpl w:val="435EC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B1524"/>
    <w:multiLevelType w:val="hybridMultilevel"/>
    <w:tmpl w:val="53B0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20F89"/>
    <w:multiLevelType w:val="hybridMultilevel"/>
    <w:tmpl w:val="3D3E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F52AE"/>
    <w:multiLevelType w:val="hybridMultilevel"/>
    <w:tmpl w:val="54B2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90zpt5cw99wwe2zwp5tvd5ze0rd5tzaed0&quot;&gt;testlibrary&lt;record-ids&gt;&lt;item&gt;136&lt;/item&gt;&lt;item&gt;139&lt;/item&gt;&lt;item&gt;161&lt;/item&gt;&lt;item&gt;306&lt;/item&gt;&lt;item&gt;322&lt;/item&gt;&lt;item&gt;584&lt;/item&gt;&lt;item&gt;585&lt;/item&gt;&lt;item&gt;599&lt;/item&gt;&lt;/record-ids&gt;&lt;/item&gt;&lt;/Libraries&gt;"/>
  </w:docVars>
  <w:rsids>
    <w:rsidRoot w:val="008260A4"/>
    <w:rsid w:val="00044934"/>
    <w:rsid w:val="0006432F"/>
    <w:rsid w:val="00066223"/>
    <w:rsid w:val="00091C92"/>
    <w:rsid w:val="000E04DD"/>
    <w:rsid w:val="000F0755"/>
    <w:rsid w:val="000F24E9"/>
    <w:rsid w:val="00105865"/>
    <w:rsid w:val="00116EFA"/>
    <w:rsid w:val="00131470"/>
    <w:rsid w:val="00141EF4"/>
    <w:rsid w:val="00142F4A"/>
    <w:rsid w:val="00172637"/>
    <w:rsid w:val="002979F1"/>
    <w:rsid w:val="003163EA"/>
    <w:rsid w:val="00350AB0"/>
    <w:rsid w:val="00385388"/>
    <w:rsid w:val="003C584F"/>
    <w:rsid w:val="003D4570"/>
    <w:rsid w:val="003E1CBD"/>
    <w:rsid w:val="00427640"/>
    <w:rsid w:val="005328D1"/>
    <w:rsid w:val="00546852"/>
    <w:rsid w:val="005C1164"/>
    <w:rsid w:val="005E1469"/>
    <w:rsid w:val="006E273E"/>
    <w:rsid w:val="006F5BCD"/>
    <w:rsid w:val="00702940"/>
    <w:rsid w:val="007313AD"/>
    <w:rsid w:val="007361AD"/>
    <w:rsid w:val="00762E8A"/>
    <w:rsid w:val="00807836"/>
    <w:rsid w:val="008260A4"/>
    <w:rsid w:val="008428FA"/>
    <w:rsid w:val="00883E87"/>
    <w:rsid w:val="00896BCA"/>
    <w:rsid w:val="008B4675"/>
    <w:rsid w:val="008C7373"/>
    <w:rsid w:val="00927AF2"/>
    <w:rsid w:val="00960E38"/>
    <w:rsid w:val="009E0959"/>
    <w:rsid w:val="009E443E"/>
    <w:rsid w:val="00A824A5"/>
    <w:rsid w:val="00A82E77"/>
    <w:rsid w:val="00AD4748"/>
    <w:rsid w:val="00B23EE4"/>
    <w:rsid w:val="00B53E2B"/>
    <w:rsid w:val="00B77DB0"/>
    <w:rsid w:val="00BB6B33"/>
    <w:rsid w:val="00C13143"/>
    <w:rsid w:val="00C15C8B"/>
    <w:rsid w:val="00C833FC"/>
    <w:rsid w:val="00CB0AA3"/>
    <w:rsid w:val="00D23E17"/>
    <w:rsid w:val="00D4258D"/>
    <w:rsid w:val="00D4543B"/>
    <w:rsid w:val="00DC608F"/>
    <w:rsid w:val="00E4283B"/>
    <w:rsid w:val="00E63E76"/>
    <w:rsid w:val="00E66839"/>
    <w:rsid w:val="00E711C0"/>
    <w:rsid w:val="00EC69CF"/>
    <w:rsid w:val="00F43262"/>
    <w:rsid w:val="00F72EFB"/>
    <w:rsid w:val="00FB7240"/>
    <w:rsid w:val="00FC692E"/>
    <w:rsid w:val="513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C8C3"/>
  <w15:chartTrackingRefBased/>
  <w15:docId w15:val="{EF8258C7-0E71-430B-B2E0-072750D0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0A4"/>
    <w:rPr>
      <w:rFonts w:eastAsiaTheme="minorEastAsia"/>
      <w:lang w:eastAsia="zh-CN"/>
    </w:rPr>
  </w:style>
  <w:style w:type="paragraph" w:styleId="Heading1">
    <w:name w:val="heading 1"/>
    <w:basedOn w:val="Normal"/>
    <w:next w:val="Normal"/>
    <w:link w:val="Heading1Char"/>
    <w:uiPriority w:val="9"/>
    <w:qFormat/>
    <w:rsid w:val="00826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0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0A4"/>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8260A4"/>
    <w:rPr>
      <w:rFonts w:asciiTheme="majorHAnsi" w:eastAsiaTheme="majorEastAsia" w:hAnsiTheme="majorHAnsi" w:cstheme="majorBidi"/>
      <w:color w:val="2F5496" w:themeColor="accent1" w:themeShade="BF"/>
      <w:sz w:val="26"/>
      <w:szCs w:val="26"/>
      <w:lang w:eastAsia="zh-CN"/>
    </w:rPr>
  </w:style>
  <w:style w:type="paragraph" w:customStyle="1" w:styleId="EndNoteBibliographyTitle">
    <w:name w:val="EndNote Bibliography Title"/>
    <w:basedOn w:val="Normal"/>
    <w:link w:val="EndNoteBibliographyTitleChar"/>
    <w:rsid w:val="008260A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260A4"/>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8260A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260A4"/>
    <w:rPr>
      <w:rFonts w:ascii="Calibri" w:eastAsiaTheme="minorEastAsia" w:hAnsi="Calibri" w:cs="Calibri"/>
      <w:noProof/>
      <w:lang w:eastAsia="zh-CN"/>
    </w:rPr>
  </w:style>
  <w:style w:type="table" w:styleId="TableGrid">
    <w:name w:val="Table Grid"/>
    <w:basedOn w:val="TableNormal"/>
    <w:uiPriority w:val="39"/>
    <w:rsid w:val="0082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260A4"/>
    <w:pPr>
      <w:spacing w:before="120" w:after="40" w:line="240" w:lineRule="auto"/>
      <w:ind w:leftChars="400" w:left="840"/>
      <w:jc w:val="both"/>
    </w:pPr>
    <w:rPr>
      <w:rFonts w:cs="Times New Roman"/>
      <w:szCs w:val="24"/>
      <w:lang w:eastAsia="fr-FR"/>
    </w:rPr>
  </w:style>
  <w:style w:type="character" w:customStyle="1" w:styleId="ListParagraphChar">
    <w:name w:val="List Paragraph Char"/>
    <w:basedOn w:val="DefaultParagraphFont"/>
    <w:link w:val="ListParagraph"/>
    <w:uiPriority w:val="34"/>
    <w:rsid w:val="008260A4"/>
    <w:rPr>
      <w:rFonts w:eastAsiaTheme="minorEastAsia" w:cs="Times New Roman"/>
      <w:szCs w:val="24"/>
      <w:lang w:eastAsia="fr-FR"/>
    </w:rPr>
  </w:style>
  <w:style w:type="paragraph" w:styleId="CommentText">
    <w:name w:val="annotation text"/>
    <w:basedOn w:val="Normal"/>
    <w:link w:val="CommentTextChar"/>
    <w:uiPriority w:val="99"/>
    <w:unhideWhenUsed/>
    <w:rsid w:val="008260A4"/>
    <w:pPr>
      <w:spacing w:before="120" w:after="40" w:line="240" w:lineRule="auto"/>
      <w:jc w:val="both"/>
    </w:pPr>
    <w:rPr>
      <w:rFonts w:cs="Times New Roman"/>
      <w:sz w:val="24"/>
      <w:szCs w:val="24"/>
      <w:lang w:eastAsia="fr-FR"/>
    </w:rPr>
  </w:style>
  <w:style w:type="character" w:customStyle="1" w:styleId="CommentTextChar">
    <w:name w:val="Comment Text Char"/>
    <w:basedOn w:val="DefaultParagraphFont"/>
    <w:link w:val="CommentText"/>
    <w:uiPriority w:val="99"/>
    <w:rsid w:val="008260A4"/>
    <w:rPr>
      <w:rFonts w:eastAsiaTheme="minorEastAsia" w:cs="Times New Roman"/>
      <w:sz w:val="24"/>
      <w:szCs w:val="24"/>
      <w:lang w:eastAsia="fr-FR"/>
    </w:rPr>
  </w:style>
  <w:style w:type="character" w:customStyle="1" w:styleId="ff5">
    <w:name w:val="ff5"/>
    <w:basedOn w:val="DefaultParagraphFont"/>
    <w:rsid w:val="008260A4"/>
  </w:style>
  <w:style w:type="character" w:customStyle="1" w:styleId="a">
    <w:name w:val="_"/>
    <w:basedOn w:val="DefaultParagraphFont"/>
    <w:rsid w:val="008260A4"/>
  </w:style>
  <w:style w:type="character" w:styleId="Hyperlink">
    <w:name w:val="Hyperlink"/>
    <w:basedOn w:val="DefaultParagraphFont"/>
    <w:uiPriority w:val="99"/>
    <w:unhideWhenUsed/>
    <w:rsid w:val="008260A4"/>
    <w:rPr>
      <w:color w:val="0000FF"/>
      <w:u w:val="single"/>
    </w:rPr>
  </w:style>
  <w:style w:type="paragraph" w:styleId="NormalWeb">
    <w:name w:val="Normal (Web)"/>
    <w:basedOn w:val="Normal"/>
    <w:uiPriority w:val="99"/>
    <w:unhideWhenUsed/>
    <w:rsid w:val="008260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260A4"/>
    <w:pPr>
      <w:spacing w:after="0" w:line="240" w:lineRule="auto"/>
      <w:jc w:val="both"/>
    </w:pPr>
    <w:rPr>
      <w:rFonts w:eastAsiaTheme="minorEastAsia"/>
      <w:sz w:val="20"/>
      <w:szCs w:val="20"/>
    </w:rPr>
  </w:style>
  <w:style w:type="paragraph" w:styleId="BalloonText">
    <w:name w:val="Balloon Text"/>
    <w:basedOn w:val="Normal"/>
    <w:link w:val="BalloonTextChar"/>
    <w:uiPriority w:val="99"/>
    <w:semiHidden/>
    <w:unhideWhenUsed/>
    <w:rsid w:val="00826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A4"/>
    <w:rPr>
      <w:rFonts w:ascii="Segoe UI" w:eastAsiaTheme="minorEastAsia" w:hAnsi="Segoe UI" w:cs="Segoe UI"/>
      <w:sz w:val="18"/>
      <w:szCs w:val="18"/>
      <w:lang w:eastAsia="zh-CN"/>
    </w:rPr>
  </w:style>
  <w:style w:type="character" w:customStyle="1" w:styleId="EndnoteTextChar">
    <w:name w:val="Endnote Text Char"/>
    <w:basedOn w:val="DefaultParagraphFont"/>
    <w:link w:val="EndnoteText"/>
    <w:uiPriority w:val="99"/>
    <w:semiHidden/>
    <w:rsid w:val="008260A4"/>
    <w:rPr>
      <w:rFonts w:eastAsiaTheme="minorEastAsia"/>
      <w:sz w:val="20"/>
      <w:szCs w:val="20"/>
      <w:lang w:eastAsia="zh-CN"/>
    </w:rPr>
  </w:style>
  <w:style w:type="paragraph" w:styleId="EndnoteText">
    <w:name w:val="endnote text"/>
    <w:basedOn w:val="Normal"/>
    <w:link w:val="EndnoteTextChar"/>
    <w:uiPriority w:val="99"/>
    <w:semiHidden/>
    <w:unhideWhenUsed/>
    <w:rsid w:val="008260A4"/>
    <w:pPr>
      <w:spacing w:after="0" w:line="240" w:lineRule="auto"/>
    </w:pPr>
    <w:rPr>
      <w:sz w:val="20"/>
      <w:szCs w:val="20"/>
    </w:rPr>
  </w:style>
  <w:style w:type="character" w:customStyle="1" w:styleId="CommentSubjectChar">
    <w:name w:val="Comment Subject Char"/>
    <w:basedOn w:val="CommentTextChar"/>
    <w:link w:val="CommentSubject"/>
    <w:uiPriority w:val="99"/>
    <w:semiHidden/>
    <w:rsid w:val="008260A4"/>
    <w:rPr>
      <w:rFonts w:eastAsiaTheme="minorEastAsia" w:cs="Times New Roman"/>
      <w:b/>
      <w:bCs/>
      <w:sz w:val="20"/>
      <w:szCs w:val="20"/>
      <w:lang w:eastAsia="zh-CN"/>
    </w:rPr>
  </w:style>
  <w:style w:type="paragraph" w:styleId="CommentSubject">
    <w:name w:val="annotation subject"/>
    <w:basedOn w:val="CommentText"/>
    <w:next w:val="CommentText"/>
    <w:link w:val="CommentSubjectChar"/>
    <w:uiPriority w:val="99"/>
    <w:semiHidden/>
    <w:unhideWhenUsed/>
    <w:rsid w:val="008260A4"/>
    <w:pPr>
      <w:spacing w:before="0" w:after="160"/>
      <w:jc w:val="left"/>
    </w:pPr>
    <w:rPr>
      <w:rFonts w:cstheme="minorBidi"/>
      <w:b/>
      <w:bCs/>
      <w:sz w:val="20"/>
      <w:szCs w:val="20"/>
      <w:lang w:eastAsia="zh-CN"/>
    </w:rPr>
  </w:style>
  <w:style w:type="paragraph" w:styleId="Header">
    <w:name w:val="header"/>
    <w:basedOn w:val="Normal"/>
    <w:link w:val="HeaderChar"/>
    <w:uiPriority w:val="99"/>
    <w:unhideWhenUsed/>
    <w:rsid w:val="00826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0A4"/>
    <w:rPr>
      <w:rFonts w:eastAsiaTheme="minorEastAsia"/>
      <w:lang w:eastAsia="zh-CN"/>
    </w:rPr>
  </w:style>
  <w:style w:type="paragraph" w:styleId="Footer">
    <w:name w:val="footer"/>
    <w:basedOn w:val="Normal"/>
    <w:link w:val="FooterChar"/>
    <w:uiPriority w:val="99"/>
    <w:unhideWhenUsed/>
    <w:rsid w:val="00826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0A4"/>
    <w:rPr>
      <w:rFonts w:eastAsiaTheme="minorEastAsia"/>
      <w:lang w:eastAsia="zh-CN"/>
    </w:rPr>
  </w:style>
  <w:style w:type="character" w:customStyle="1" w:styleId="normaltextrun">
    <w:name w:val="normaltextrun"/>
    <w:basedOn w:val="DefaultParagraphFont"/>
    <w:rsid w:val="008260A4"/>
  </w:style>
  <w:style w:type="character" w:customStyle="1" w:styleId="contextualspellingandgrammarerror">
    <w:name w:val="contextualspellingandgrammarerror"/>
    <w:basedOn w:val="DefaultParagraphFont"/>
    <w:rsid w:val="008260A4"/>
  </w:style>
  <w:style w:type="character" w:customStyle="1" w:styleId="eop">
    <w:name w:val="eop"/>
    <w:basedOn w:val="DefaultParagraphFont"/>
    <w:rsid w:val="008260A4"/>
  </w:style>
  <w:style w:type="character" w:customStyle="1" w:styleId="advancedproofingissue">
    <w:name w:val="advancedproofingissue"/>
    <w:basedOn w:val="DefaultParagraphFont"/>
    <w:rsid w:val="008260A4"/>
  </w:style>
  <w:style w:type="character" w:customStyle="1" w:styleId="cit">
    <w:name w:val="cit"/>
    <w:basedOn w:val="DefaultParagraphFont"/>
    <w:rsid w:val="008260A4"/>
  </w:style>
  <w:style w:type="character" w:customStyle="1" w:styleId="fm-vol-iss-date">
    <w:name w:val="fm-vol-iss-date"/>
    <w:basedOn w:val="DefaultParagraphFont"/>
    <w:rsid w:val="008260A4"/>
  </w:style>
  <w:style w:type="character" w:customStyle="1" w:styleId="doi">
    <w:name w:val="doi"/>
    <w:basedOn w:val="DefaultParagraphFont"/>
    <w:rsid w:val="008260A4"/>
  </w:style>
  <w:style w:type="character" w:customStyle="1" w:styleId="fm-citation-ids-label">
    <w:name w:val="fm-citation-ids-label"/>
    <w:basedOn w:val="DefaultParagraphFont"/>
    <w:rsid w:val="008260A4"/>
  </w:style>
  <w:style w:type="character" w:styleId="LineNumber">
    <w:name w:val="line number"/>
    <w:basedOn w:val="DefaultParagraphFont"/>
    <w:uiPriority w:val="99"/>
    <w:semiHidden/>
    <w:unhideWhenUsed/>
    <w:rsid w:val="005328D1"/>
  </w:style>
  <w:style w:type="character" w:styleId="CommentReference">
    <w:name w:val="annotation reference"/>
    <w:basedOn w:val="DefaultParagraphFont"/>
    <w:uiPriority w:val="99"/>
    <w:semiHidden/>
    <w:unhideWhenUsed/>
    <w:rsid w:val="00B77D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19029">
      <w:bodyDiv w:val="1"/>
      <w:marLeft w:val="0"/>
      <w:marRight w:val="0"/>
      <w:marTop w:val="0"/>
      <w:marBottom w:val="0"/>
      <w:divBdr>
        <w:top w:val="none" w:sz="0" w:space="0" w:color="auto"/>
        <w:left w:val="none" w:sz="0" w:space="0" w:color="auto"/>
        <w:bottom w:val="none" w:sz="0" w:space="0" w:color="auto"/>
        <w:right w:val="none" w:sz="0" w:space="0" w:color="auto"/>
      </w:divBdr>
    </w:div>
    <w:div w:id="150262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056B550BF044B8F24DB3767FD6011" ma:contentTypeVersion="10" ma:contentTypeDescription="Create a new document." ma:contentTypeScope="" ma:versionID="9980b0665c1b26a10a5d133821782035">
  <xsd:schema xmlns:xsd="http://www.w3.org/2001/XMLSchema" xmlns:xs="http://www.w3.org/2001/XMLSchema" xmlns:p="http://schemas.microsoft.com/office/2006/metadata/properties" xmlns:ns2="f6046f29-5f9a-4222-b0e0-fab62d4fbb46" xmlns:ns3="3a50e11a-3f05-4ad6-a180-901be0e095d4" targetNamespace="http://schemas.microsoft.com/office/2006/metadata/properties" ma:root="true" ma:fieldsID="384b230215ba55127db84eb613c27631" ns2:_="" ns3:_="">
    <xsd:import namespace="f6046f29-5f9a-4222-b0e0-fab62d4fbb46"/>
    <xsd:import namespace="3a50e11a-3f05-4ad6-a180-901be0e09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46f29-5f9a-4222-b0e0-fab62d4f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0e11a-3f05-4ad6-a180-901be0e09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978CC-CD07-465F-AE0D-F8EA572DA31B}"/>
</file>

<file path=customXml/itemProps2.xml><?xml version="1.0" encoding="utf-8"?>
<ds:datastoreItem xmlns:ds="http://schemas.openxmlformats.org/officeDocument/2006/customXml" ds:itemID="{128162D9-47EB-4225-BF4E-01FC17965EBD}"/>
</file>

<file path=customXml/itemProps3.xml><?xml version="1.0" encoding="utf-8"?>
<ds:datastoreItem xmlns:ds="http://schemas.openxmlformats.org/officeDocument/2006/customXml" ds:itemID="{5A265A82-72ED-477E-BB5D-1C6C05118049}"/>
</file>

<file path=docProps/app.xml><?xml version="1.0" encoding="utf-8"?>
<Properties xmlns="http://schemas.openxmlformats.org/officeDocument/2006/extended-properties" xmlns:vt="http://schemas.openxmlformats.org/officeDocument/2006/docPropsVTypes">
  <Template>Normal</Template>
  <TotalTime>1</TotalTime>
  <Pages>22</Pages>
  <Words>10358</Words>
  <Characters>59045</Characters>
  <Application>Microsoft Office Word</Application>
  <DocSecurity>0</DocSecurity>
  <Lines>492</Lines>
  <Paragraphs>138</Paragraphs>
  <ScaleCrop>false</ScaleCrop>
  <Company/>
  <LinksUpToDate>false</LinksUpToDate>
  <CharactersWithSpaces>69265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Ward</dc:creator>
  <cp:keywords/>
  <dc:description/>
  <cp:lastModifiedBy>Colin Drummond</cp:lastModifiedBy>
  <cp:revision>2</cp:revision>
  <dcterms:created xsi:type="dcterms:W3CDTF">2019-10-02T08:51:00Z</dcterms:created>
  <dcterms:modified xsi:type="dcterms:W3CDTF">2019-10-02T08:51:00Z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0x010100E0D056B550BF044B8F24DB3767FD6011</vt:lpwstr>
  </property>
</Properties>
</file>