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5" w:rsidRPr="001E487A" w:rsidRDefault="00E72BC5" w:rsidP="001E487A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1E487A">
        <w:rPr>
          <w:rFonts w:ascii="Arial" w:hAnsi="Arial" w:cs="Arial"/>
          <w:b/>
          <w:lang w:val="en-GB"/>
        </w:rPr>
        <w:t>Supplemental Materials and Methods</w:t>
      </w:r>
    </w:p>
    <w:p w:rsidR="0057374E" w:rsidRPr="001E487A" w:rsidRDefault="0057374E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1E487A">
        <w:rPr>
          <w:rFonts w:ascii="Arial" w:hAnsi="Arial" w:cs="Arial"/>
          <w:i/>
          <w:lang w:val="en-US"/>
        </w:rPr>
        <w:t>Procedures</w:t>
      </w:r>
    </w:p>
    <w:p w:rsidR="007B722B" w:rsidRPr="001E487A" w:rsidRDefault="0057374E" w:rsidP="001E487A">
      <w:pPr>
        <w:spacing w:line="480" w:lineRule="auto"/>
        <w:jc w:val="both"/>
        <w:rPr>
          <w:rFonts w:ascii="Arial" w:hAnsi="Arial" w:cs="Arial"/>
          <w:lang w:val="en-GB"/>
        </w:rPr>
      </w:pPr>
      <w:r w:rsidRPr="001E487A">
        <w:rPr>
          <w:rFonts w:ascii="Arial" w:hAnsi="Arial" w:cs="Arial"/>
          <w:lang w:val="en-US"/>
        </w:rPr>
        <w:t>Standard anthropometric data (height, weight) were obtained in all subjects. Body mass index (BMI) was calculated as the weight in kilograms divided by the square of height in meters.</w:t>
      </w:r>
      <w:r w:rsidR="00086FC4" w:rsidRPr="001E487A">
        <w:rPr>
          <w:rFonts w:ascii="Arial" w:hAnsi="Arial" w:cs="Arial"/>
          <w:lang w:val="en-US"/>
        </w:rPr>
        <w:t xml:space="preserve"> </w:t>
      </w:r>
      <w:r w:rsidR="007B722B" w:rsidRPr="001E487A">
        <w:rPr>
          <w:rFonts w:ascii="Arial" w:hAnsi="Arial" w:cs="Arial"/>
          <w:lang w:val="en-GB"/>
        </w:rPr>
        <w:t>Sexual, physical</w:t>
      </w:r>
      <w:r w:rsidR="005C11AC" w:rsidRPr="001E487A">
        <w:rPr>
          <w:rFonts w:ascii="Arial" w:hAnsi="Arial" w:cs="Arial"/>
          <w:lang w:val="en-GB"/>
        </w:rPr>
        <w:t>,</w:t>
      </w:r>
      <w:r w:rsidR="007B722B" w:rsidRPr="001E487A">
        <w:rPr>
          <w:rFonts w:ascii="Arial" w:hAnsi="Arial" w:cs="Arial"/>
          <w:lang w:val="en-GB"/>
        </w:rPr>
        <w:t xml:space="preserve"> and psychological symptoms were assessed using the International Index of Erectile Function-Erectile Function (IIEF-EF) questionnaire</w:t>
      </w:r>
      <w:r w:rsidR="005C11AC" w:rsidRPr="001E487A">
        <w:rPr>
          <w:rFonts w:ascii="Arial" w:hAnsi="Arial" w:cs="Arial"/>
          <w:lang w:val="en-GB"/>
        </w:rPr>
        <w:t xml:space="preserve"> </w:t>
      </w:r>
      <w:r w:rsidR="00872B91">
        <w:rPr>
          <w:rFonts w:ascii="Arial" w:hAnsi="Arial" w:cs="Arial"/>
          <w:lang w:val="en-GB"/>
        </w:rPr>
        <w:t>(</w:t>
      </w:r>
      <w:hyperlink w:anchor="_ENREF_1" w:tooltip="Rosen RC, 1997 #1044" w:history="1">
        <w:r w:rsidR="005C11AC" w:rsidRPr="00872B91">
          <w:rPr>
            <w:rFonts w:ascii="Arial" w:hAnsi="Arial" w:cs="Arial"/>
            <w:lang w:val="en-GB"/>
          </w:rPr>
          <w:fldChar w:fldCharType="begin"/>
        </w:r>
        <w:r w:rsidR="005C11AC" w:rsidRPr="00872B91">
          <w:rPr>
            <w:rFonts w:ascii="Arial" w:hAnsi="Arial" w:cs="Arial"/>
            <w:lang w:val="en-GB"/>
          </w:rPr>
          <w:instrText xml:space="preserve"> ADDIN EN.CITE &lt;EndNote&gt;&lt;Cite&gt;&lt;Author&gt;Rosen RC&lt;/Author&gt;&lt;Year&gt;1997&lt;/Year&gt;&lt;RecNum&gt;1044&lt;/RecNum&gt;&lt;DisplayText&gt;&lt;style face="superscript"&gt;1&lt;/style&gt;&lt;/DisplayText&gt;&lt;record&gt;&lt;rec-number&gt;1044&lt;/rec-number&gt;&lt;foreign-keys&gt;&lt;key app="EN" db-id="59p2tdfan2stp9ezf0l5r0zr2ddw925wxzvw"&gt;1044&lt;/key&gt;&lt;/foreign-keys&gt;&lt;ref-type name="Journal Article"&gt;17&lt;/ref-type&gt;&lt;contributors&gt;&lt;authors&gt;&lt;author&gt;Rosen RC,, Riley A, Wagner G, Osterloh IH, Kirkpatrick J, Mishra A&lt;/author&gt;&lt;/authors&gt;&lt;/contributors&gt;&lt;titles&gt;&lt;title&gt;The international index of erectile function (IIEF): a multidimensional scale for assessment of erectile dysfunction&lt;/title&gt;&lt;secondary-title&gt;Urology&lt;/secondary-title&gt;&lt;/titles&gt;&lt;periodical&gt;&lt;full-title&gt;Urology&lt;/full-title&gt;&lt;/periodical&gt;&lt;pages&gt;822-30&lt;/pages&gt;&lt;volume&gt;49&lt;/volume&gt;&lt;number&gt;6&lt;/number&gt;&lt;dates&gt;&lt;year&gt;1997&lt;/year&gt;&lt;/dates&gt;&lt;urls&gt;&lt;/urls&gt;&lt;/record&gt;&lt;/Cite&gt;&lt;/EndNote&gt;</w:instrText>
        </w:r>
        <w:r w:rsidR="005C11AC" w:rsidRPr="00872B91">
          <w:rPr>
            <w:rFonts w:ascii="Arial" w:hAnsi="Arial" w:cs="Arial"/>
            <w:lang w:val="en-GB"/>
          </w:rPr>
          <w:fldChar w:fldCharType="separate"/>
        </w:r>
        <w:r w:rsidR="005C11AC" w:rsidRPr="00872B91">
          <w:rPr>
            <w:rFonts w:ascii="Arial" w:hAnsi="Arial" w:cs="Arial"/>
            <w:lang w:val="en-GB"/>
          </w:rPr>
          <w:t>1</w:t>
        </w:r>
        <w:r w:rsidR="005C11AC" w:rsidRPr="00872B91">
          <w:rPr>
            <w:rFonts w:ascii="Arial" w:hAnsi="Arial" w:cs="Arial"/>
            <w:lang w:val="en-GB"/>
          </w:rPr>
          <w:fldChar w:fldCharType="end"/>
        </w:r>
      </w:hyperlink>
      <w:r w:rsidR="00872B91">
        <w:rPr>
          <w:rFonts w:ascii="Arial" w:hAnsi="Arial" w:cs="Arial"/>
          <w:lang w:val="en-GB"/>
        </w:rPr>
        <w:t>)</w:t>
      </w:r>
      <w:r w:rsidR="007B722B" w:rsidRPr="001E487A">
        <w:rPr>
          <w:rFonts w:ascii="Arial" w:hAnsi="Arial" w:cs="Arial"/>
          <w:lang w:val="en-GB"/>
        </w:rPr>
        <w:t xml:space="preserve"> </w:t>
      </w:r>
      <w:r w:rsidR="00372623">
        <w:rPr>
          <w:rFonts w:ascii="Arial" w:hAnsi="Arial" w:cs="Arial"/>
          <w:lang w:val="en-GB"/>
        </w:rPr>
        <w:t>(0-6=severe dysfunction, 7-12=moderate dysfunction, 13-18=mild</w:t>
      </w:r>
      <w:r w:rsidR="006566A6">
        <w:rPr>
          <w:rFonts w:ascii="Arial" w:hAnsi="Arial" w:cs="Arial"/>
          <w:lang w:val="en-GB"/>
        </w:rPr>
        <w:t xml:space="preserve"> to moderate dysfunction, 19-24=</w:t>
      </w:r>
      <w:r w:rsidR="00372623">
        <w:rPr>
          <w:rFonts w:ascii="Arial" w:hAnsi="Arial" w:cs="Arial"/>
          <w:lang w:val="en-GB"/>
        </w:rPr>
        <w:t xml:space="preserve">mild dysfunction, 25-30=no dysfunction) </w:t>
      </w:r>
      <w:r w:rsidR="007B722B" w:rsidRPr="001E487A">
        <w:rPr>
          <w:rFonts w:ascii="Arial" w:hAnsi="Arial" w:cs="Arial"/>
          <w:lang w:val="en-GB"/>
        </w:rPr>
        <w:t xml:space="preserve">and the Aging Male’s Symptoms (AMS) scale </w:t>
      </w:r>
      <w:r w:rsidR="00872B91">
        <w:rPr>
          <w:rFonts w:ascii="Arial" w:hAnsi="Arial" w:cs="Arial"/>
          <w:lang w:val="en-GB"/>
        </w:rPr>
        <w:t>(</w:t>
      </w:r>
      <w:hyperlink w:anchor="_ENREF_2" w:tooltip="Heinemann LA, 2003 #1043" w:history="1">
        <w:r w:rsidR="005C11AC" w:rsidRPr="00872B91">
          <w:rPr>
            <w:rFonts w:ascii="Arial" w:hAnsi="Arial" w:cs="Arial"/>
            <w:lang w:val="en-GB"/>
          </w:rPr>
          <w:fldChar w:fldCharType="begin"/>
        </w:r>
        <w:r w:rsidR="005C11AC" w:rsidRPr="00872B91">
          <w:rPr>
            <w:rFonts w:ascii="Arial" w:hAnsi="Arial" w:cs="Arial"/>
            <w:lang w:val="en-GB"/>
          </w:rPr>
          <w:instrText xml:space="preserve"> ADDIN EN.CITE &lt;EndNote&gt;&lt;Cite&gt;&lt;Author&gt;Heinemann LA&lt;/Author&gt;&lt;Year&gt;2003&lt;/Year&gt;&lt;RecNum&gt;1043&lt;/RecNum&gt;&lt;DisplayText&gt;&lt;style face="superscript"&gt;2&lt;/style&gt;&lt;/DisplayText&gt;&lt;record&gt;&lt;rec-number&gt;1043&lt;/rec-number&gt;&lt;foreign-keys&gt;&lt;key app="EN" db-id="59p2tdfan2stp9ezf0l5r0zr2ddw925wxzvw"&gt;1043&lt;/key&gt;&lt;/foreign-keys&gt;&lt;ref-type name="Journal Article"&gt;17&lt;/ref-type&gt;&lt;contributors&gt;&lt;authors&gt;&lt;author&gt;Heinemann LA,, Saad F, Zimmermann T, Novak A, Myon E, Badia X, Potthoff P, T&amp;apos;Sjoen G, Pöllänen P, Goncharow NP, Kim S, Giroudet C&lt;/author&gt;&lt;/authors&gt;&lt;/contributors&gt;&lt;titles&gt;&lt;title&gt;The Aging Males&amp;apos; Symptoms (AMS) scale: update and compilation of international versions&lt;/title&gt;&lt;secondary-title&gt;Health Qual Life Outcomes&lt;/secondary-title&gt;&lt;/titles&gt;&lt;periodical&gt;&lt;full-title&gt;Health Qual Life Outcomes&lt;/full-title&gt;&lt;/periodical&gt;&lt;volume&gt;1&lt;/volume&gt;&lt;number&gt;15&lt;/number&gt;&lt;dates&gt;&lt;year&gt;2003&lt;/year&gt;&lt;/dates&gt;&lt;urls&gt;&lt;/urls&gt;&lt;/record&gt;&lt;/Cite&gt;&lt;/EndNote&gt;</w:instrText>
        </w:r>
        <w:r w:rsidR="005C11AC" w:rsidRPr="00872B91">
          <w:rPr>
            <w:rFonts w:ascii="Arial" w:hAnsi="Arial" w:cs="Arial"/>
            <w:lang w:val="en-GB"/>
          </w:rPr>
          <w:fldChar w:fldCharType="separate"/>
        </w:r>
        <w:r w:rsidR="005C11AC" w:rsidRPr="00872B91">
          <w:rPr>
            <w:rFonts w:ascii="Arial" w:hAnsi="Arial" w:cs="Arial"/>
            <w:lang w:val="en-GB"/>
          </w:rPr>
          <w:t>2</w:t>
        </w:r>
        <w:r w:rsidR="005C11AC" w:rsidRPr="00872B91">
          <w:rPr>
            <w:rFonts w:ascii="Arial" w:hAnsi="Arial" w:cs="Arial"/>
            <w:lang w:val="en-GB"/>
          </w:rPr>
          <w:fldChar w:fldCharType="end"/>
        </w:r>
      </w:hyperlink>
      <w:r w:rsidR="00872B91">
        <w:rPr>
          <w:rFonts w:ascii="Arial" w:hAnsi="Arial" w:cs="Arial"/>
          <w:lang w:val="en-GB"/>
        </w:rPr>
        <w:t>)</w:t>
      </w:r>
      <w:r w:rsidR="00404FEC" w:rsidRPr="00872B91">
        <w:rPr>
          <w:rFonts w:ascii="Arial" w:hAnsi="Arial" w:cs="Arial"/>
          <w:lang w:val="en-GB"/>
        </w:rPr>
        <w:t xml:space="preserve"> </w:t>
      </w:r>
      <w:r w:rsidR="00404FEC">
        <w:rPr>
          <w:rFonts w:ascii="Arial" w:hAnsi="Arial" w:cs="Arial"/>
          <w:lang w:val="en-GB"/>
        </w:rPr>
        <w:t>(level of complaints: 17-26=no/little, 27-36=mild, 37-49=moderate, ≥</w:t>
      </w:r>
      <w:r w:rsidR="005B4B62">
        <w:rPr>
          <w:rFonts w:ascii="Arial" w:hAnsi="Arial" w:cs="Arial"/>
          <w:lang w:val="en-GB"/>
        </w:rPr>
        <w:t>50=</w:t>
      </w:r>
      <w:r w:rsidR="00404FEC">
        <w:rPr>
          <w:rFonts w:ascii="Arial" w:hAnsi="Arial" w:cs="Arial"/>
          <w:lang w:val="en-GB"/>
        </w:rPr>
        <w:t>severe)</w:t>
      </w:r>
      <w:r w:rsidR="005B4B62">
        <w:rPr>
          <w:rFonts w:ascii="Arial" w:hAnsi="Arial" w:cs="Arial"/>
          <w:lang w:val="en-GB"/>
        </w:rPr>
        <w:t>.</w:t>
      </w:r>
    </w:p>
    <w:p w:rsidR="0057374E" w:rsidRPr="001E487A" w:rsidRDefault="0057374E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</w:p>
    <w:p w:rsidR="00E72BC5" w:rsidRPr="001E487A" w:rsidRDefault="00032E7B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032E7B">
        <w:rPr>
          <w:rFonts w:ascii="Arial" w:hAnsi="Arial" w:cs="Arial"/>
          <w:i/>
          <w:lang w:val="en-GB"/>
        </w:rPr>
        <w:t>Mass Spectrometry</w:t>
      </w:r>
      <w:r w:rsidRPr="001E487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(</w:t>
      </w:r>
      <w:r w:rsidR="00E72BC5" w:rsidRPr="001E487A">
        <w:rPr>
          <w:rFonts w:ascii="Arial" w:hAnsi="Arial" w:cs="Arial"/>
          <w:i/>
          <w:lang w:val="en-US"/>
        </w:rPr>
        <w:t>MS</w:t>
      </w:r>
      <w:r>
        <w:rPr>
          <w:rFonts w:ascii="Arial" w:hAnsi="Arial" w:cs="Arial"/>
          <w:i/>
          <w:lang w:val="en-US"/>
        </w:rPr>
        <w:t>)</w:t>
      </w:r>
      <w:r w:rsidR="00E72BC5" w:rsidRPr="001E487A">
        <w:rPr>
          <w:rFonts w:ascii="Arial" w:hAnsi="Arial" w:cs="Arial"/>
          <w:i/>
          <w:lang w:val="en-US"/>
        </w:rPr>
        <w:t xml:space="preserve"> measurements</w:t>
      </w:r>
    </w:p>
    <w:p w:rsidR="00E72BC5" w:rsidRPr="001E487A" w:rsidRDefault="00E72BC5" w:rsidP="001E487A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1E487A">
        <w:rPr>
          <w:rFonts w:ascii="Arial" w:hAnsi="Arial" w:cs="Arial"/>
          <w:lang w:val="en-US"/>
        </w:rPr>
        <w:t>25(OH)D measurements by</w:t>
      </w:r>
      <w:r w:rsidR="00032E7B">
        <w:rPr>
          <w:rFonts w:ascii="Arial" w:hAnsi="Arial" w:cs="Arial"/>
          <w:lang w:val="en-US"/>
        </w:rPr>
        <w:t xml:space="preserve"> </w:t>
      </w:r>
      <w:r w:rsidR="00032E7B" w:rsidRPr="004031FF">
        <w:rPr>
          <w:rFonts w:ascii="Arial" w:hAnsi="Arial" w:cs="Arial"/>
          <w:lang w:val="en-GB"/>
        </w:rPr>
        <w:t>Isotope-Dilution Liquid Chromatography Tandem Mass Spectrometry</w:t>
      </w:r>
      <w:r w:rsidRPr="001E487A">
        <w:rPr>
          <w:rFonts w:ascii="Arial" w:hAnsi="Arial" w:cs="Arial"/>
          <w:lang w:val="en-US"/>
        </w:rPr>
        <w:t xml:space="preserve"> </w:t>
      </w:r>
      <w:r w:rsidR="00032E7B">
        <w:rPr>
          <w:rFonts w:ascii="Arial" w:hAnsi="Arial" w:cs="Arial"/>
          <w:lang w:val="en-US"/>
        </w:rPr>
        <w:t>(</w:t>
      </w:r>
      <w:r w:rsidRPr="001E487A">
        <w:rPr>
          <w:rFonts w:ascii="Arial" w:hAnsi="Arial" w:cs="Arial"/>
          <w:lang w:val="en-US"/>
        </w:rPr>
        <w:t>ID-XLC-MS/MS</w:t>
      </w:r>
      <w:r w:rsidR="00032E7B">
        <w:rPr>
          <w:rFonts w:ascii="Arial" w:hAnsi="Arial" w:cs="Arial"/>
          <w:lang w:val="en-US"/>
        </w:rPr>
        <w:t>)</w:t>
      </w:r>
      <w:r w:rsidRPr="001E487A">
        <w:rPr>
          <w:rFonts w:ascii="Arial" w:hAnsi="Arial" w:cs="Arial"/>
          <w:lang w:val="en-US"/>
        </w:rPr>
        <w:t xml:space="preserve"> were performed at the Endocrine Laboratory of the VU University Medical Center (Amsterdam, the Netherlands) as described before </w:t>
      </w:r>
      <w:r w:rsidR="00872B91">
        <w:rPr>
          <w:rFonts w:ascii="Arial" w:hAnsi="Arial" w:cs="Arial"/>
          <w:lang w:val="en-US"/>
        </w:rPr>
        <w:t>(</w:t>
      </w:r>
      <w:hyperlink w:anchor="_ENREF_3" w:tooltip="Dirks NF, 2016 #1037" w:history="1">
        <w:r w:rsidR="005C11AC" w:rsidRPr="00872B91">
          <w:rPr>
            <w:rFonts w:ascii="Arial" w:hAnsi="Arial" w:cs="Arial"/>
            <w:lang w:val="en-US"/>
          </w:rPr>
          <w:fldChar w:fldCharType="begin"/>
        </w:r>
        <w:r w:rsidR="005C11AC" w:rsidRPr="00872B91">
          <w:rPr>
            <w:rFonts w:ascii="Arial" w:hAnsi="Arial" w:cs="Arial"/>
            <w:lang w:val="en-US"/>
          </w:rPr>
          <w:instrText xml:space="preserve"> ADDIN EN.CITE &lt;EndNote&gt;&lt;Cite&gt;&lt;Author&gt;Dirks NF&lt;/Author&gt;&lt;Year&gt;2016&lt;/Year&gt;&lt;RecNum&gt;1037&lt;/RecNum&gt;&lt;DisplayText&gt;&lt;style face="superscript"&gt;3&lt;/style&gt;&lt;/DisplayText&gt;&lt;record&gt;&lt;rec-number&gt;1037&lt;/rec-number&gt;&lt;foreign-keys&gt;&lt;key app="EN" db-id="59p2tdfan2stp9ezf0l5r0zr2ddw925wxzvw"&gt;1037&lt;/key&gt;&lt;/foreign-keys&gt;&lt;ref-type name="Journal Article"&gt;17&lt;/ref-type&gt;&lt;contributors&gt;&lt;authors&gt;&lt;author&gt;Dirks NF,, Vesper HW, van Herwaarden AE, van den Ouweland JM, Kema IP, Krabbe JG, Heijboer AC&lt;/author&gt;&lt;/authors&gt;&lt;/contributors&gt;&lt;titles&gt;&lt;title&gt;Various calibration procedures result in optimal standardization of routinely used 25(OH)D ID-LC-MS/MS methods&lt;/title&gt;&lt;secondary-title&gt;Clin Chim Acta&lt;/secondary-title&gt;&lt;/titles&gt;&lt;periodical&gt;&lt;full-title&gt;Clin Chim Acta&lt;/full-title&gt;&lt;/periodical&gt;&lt;pages&gt;49-54&lt;/pages&gt;&lt;volume&gt;462&lt;/volume&gt;&lt;dates&gt;&lt;year&gt;2016&lt;/year&gt;&lt;/dates&gt;&lt;urls&gt;&lt;/urls&gt;&lt;/record&gt;&lt;/Cite&gt;&lt;/EndNote&gt;</w:instrText>
        </w:r>
        <w:r w:rsidR="005C11AC" w:rsidRPr="00872B91">
          <w:rPr>
            <w:rFonts w:ascii="Arial" w:hAnsi="Arial" w:cs="Arial"/>
            <w:lang w:val="en-US"/>
          </w:rPr>
          <w:fldChar w:fldCharType="separate"/>
        </w:r>
        <w:r w:rsidR="005C11AC" w:rsidRPr="00872B91">
          <w:rPr>
            <w:rFonts w:ascii="Arial" w:hAnsi="Arial" w:cs="Arial"/>
            <w:lang w:val="en-US"/>
          </w:rPr>
          <w:t>3</w:t>
        </w:r>
        <w:r w:rsidR="005C11AC" w:rsidRPr="00872B91">
          <w:rPr>
            <w:rFonts w:ascii="Arial" w:hAnsi="Arial" w:cs="Arial"/>
            <w:lang w:val="en-US"/>
          </w:rPr>
          <w:fldChar w:fldCharType="end"/>
        </w:r>
      </w:hyperlink>
      <w:r w:rsidR="00872B91">
        <w:rPr>
          <w:rFonts w:ascii="Arial" w:hAnsi="Arial" w:cs="Arial"/>
          <w:lang w:val="en-US"/>
        </w:rPr>
        <w:t>)</w:t>
      </w:r>
      <w:r w:rsidRPr="001E487A">
        <w:rPr>
          <w:rFonts w:ascii="Arial" w:hAnsi="Arial" w:cs="Arial"/>
          <w:lang w:val="en-US"/>
        </w:rPr>
        <w:t xml:space="preserve">. In short, internal </w:t>
      </w:r>
      <w:proofErr w:type="gramStart"/>
      <w:r w:rsidRPr="001E487A">
        <w:rPr>
          <w:rFonts w:ascii="Arial" w:hAnsi="Arial" w:cs="Arial"/>
          <w:lang w:val="en-US"/>
        </w:rPr>
        <w:t xml:space="preserve">standards  </w:t>
      </w:r>
      <w:r w:rsidRPr="001E487A">
        <w:rPr>
          <w:rFonts w:ascii="Arial" w:hAnsi="Arial" w:cs="Arial"/>
          <w:vertAlign w:val="superscript"/>
          <w:lang w:val="en-US"/>
        </w:rPr>
        <w:t>13</w:t>
      </w:r>
      <w:r w:rsidRPr="001E487A">
        <w:rPr>
          <w:rFonts w:ascii="Arial" w:hAnsi="Arial" w:cs="Arial"/>
          <w:lang w:val="en-US"/>
        </w:rPr>
        <w:t>C</w:t>
      </w:r>
      <w:r w:rsidRPr="001E487A">
        <w:rPr>
          <w:rFonts w:ascii="Arial" w:hAnsi="Arial" w:cs="Arial"/>
          <w:vertAlign w:val="subscript"/>
          <w:lang w:val="en-US"/>
        </w:rPr>
        <w:t>5</w:t>
      </w:r>
      <w:proofErr w:type="gramEnd"/>
      <w:r w:rsidRPr="001E487A">
        <w:rPr>
          <w:rFonts w:ascii="Arial" w:hAnsi="Arial" w:cs="Arial"/>
          <w:lang w:val="en-US"/>
        </w:rPr>
        <w:t>–25(OH)D</w:t>
      </w:r>
      <w:r w:rsidRPr="001E487A">
        <w:rPr>
          <w:rFonts w:ascii="Arial" w:hAnsi="Arial" w:cs="Arial"/>
          <w:vertAlign w:val="subscript"/>
          <w:lang w:val="en-US"/>
        </w:rPr>
        <w:t>3</w:t>
      </w:r>
      <w:r w:rsidRPr="001E487A">
        <w:rPr>
          <w:rFonts w:ascii="Arial" w:hAnsi="Arial" w:cs="Arial"/>
          <w:lang w:val="en-US"/>
        </w:rPr>
        <w:t xml:space="preserve"> and </w:t>
      </w:r>
      <w:r w:rsidRPr="001E487A">
        <w:rPr>
          <w:rFonts w:ascii="Arial" w:hAnsi="Arial" w:cs="Arial"/>
          <w:vertAlign w:val="superscript"/>
          <w:lang w:val="en-US"/>
        </w:rPr>
        <w:t>2</w:t>
      </w:r>
      <w:r w:rsidRPr="001E487A">
        <w:rPr>
          <w:rFonts w:ascii="Arial" w:hAnsi="Arial" w:cs="Arial"/>
          <w:lang w:val="en-US"/>
        </w:rPr>
        <w:t>H</w:t>
      </w:r>
      <w:r w:rsidRPr="001E487A">
        <w:rPr>
          <w:rFonts w:ascii="Arial" w:hAnsi="Arial" w:cs="Arial"/>
          <w:vertAlign w:val="subscript"/>
          <w:lang w:val="en-US"/>
        </w:rPr>
        <w:t>6</w:t>
      </w:r>
      <w:r w:rsidRPr="001E487A">
        <w:rPr>
          <w:rFonts w:ascii="Arial" w:hAnsi="Arial" w:cs="Arial"/>
          <w:lang w:val="en-US"/>
        </w:rPr>
        <w:t>–25(OH)D</w:t>
      </w:r>
      <w:r w:rsidRPr="001E487A">
        <w:rPr>
          <w:rFonts w:ascii="Arial" w:hAnsi="Arial" w:cs="Arial"/>
          <w:vertAlign w:val="subscript"/>
          <w:lang w:val="en-US"/>
        </w:rPr>
        <w:t>2</w:t>
      </w:r>
      <w:r w:rsidRPr="001E487A">
        <w:rPr>
          <w:rFonts w:ascii="Arial" w:hAnsi="Arial" w:cs="Arial"/>
          <w:lang w:val="en-US"/>
        </w:rPr>
        <w:t xml:space="preserve"> were added to the samples and 25(OH)D was released from its binding proteins with acetonitrile. After a liquid-liquid extraction using hexane, samples were </w:t>
      </w:r>
      <w:proofErr w:type="spellStart"/>
      <w:r w:rsidRPr="001E487A">
        <w:rPr>
          <w:rFonts w:ascii="Arial" w:hAnsi="Arial" w:cs="Arial"/>
          <w:lang w:val="en-US"/>
        </w:rPr>
        <w:t>analysed</w:t>
      </w:r>
      <w:proofErr w:type="spellEnd"/>
      <w:r w:rsidRPr="001E487A">
        <w:rPr>
          <w:rFonts w:ascii="Arial" w:hAnsi="Arial" w:cs="Arial"/>
          <w:lang w:val="en-US"/>
        </w:rPr>
        <w:t xml:space="preserve"> by LC-MS/MS (</w:t>
      </w:r>
      <w:proofErr w:type="spellStart"/>
      <w:r w:rsidRPr="001E487A">
        <w:rPr>
          <w:rFonts w:ascii="Arial" w:hAnsi="Arial" w:cs="Arial"/>
          <w:lang w:val="en-US"/>
        </w:rPr>
        <w:t>Acquity</w:t>
      </w:r>
      <w:proofErr w:type="spellEnd"/>
      <w:r w:rsidRPr="001E487A">
        <w:rPr>
          <w:rFonts w:ascii="Arial" w:hAnsi="Arial" w:cs="Arial"/>
          <w:lang w:val="en-US"/>
        </w:rPr>
        <w:t xml:space="preserve"> UPLC coupled to a Quattro Premier XE MS/MS, Waters Corp., Milford, MA, USA)). The limit of quantitation (LOQ) was 4.0 </w:t>
      </w:r>
      <w:proofErr w:type="spellStart"/>
      <w:r w:rsidRPr="001E487A">
        <w:rPr>
          <w:rFonts w:ascii="Arial" w:hAnsi="Arial" w:cs="Arial"/>
          <w:lang w:val="en-US"/>
        </w:rPr>
        <w:t>nmol</w:t>
      </w:r>
      <w:proofErr w:type="spellEnd"/>
      <w:r w:rsidRPr="001E487A">
        <w:rPr>
          <w:rFonts w:ascii="Arial" w:hAnsi="Arial" w:cs="Arial"/>
          <w:lang w:val="en-US"/>
        </w:rPr>
        <w:t xml:space="preserve">/L; </w:t>
      </w:r>
      <w:proofErr w:type="spellStart"/>
      <w:r w:rsidRPr="001E487A">
        <w:rPr>
          <w:rFonts w:ascii="Arial" w:hAnsi="Arial" w:cs="Arial"/>
          <w:lang w:val="en-US"/>
        </w:rPr>
        <w:t>intraassay</w:t>
      </w:r>
      <w:proofErr w:type="spellEnd"/>
      <w:r w:rsidRPr="001E487A">
        <w:rPr>
          <w:rFonts w:ascii="Arial" w:hAnsi="Arial" w:cs="Arial"/>
          <w:lang w:val="en-US"/>
        </w:rPr>
        <w:t xml:space="preserve"> CV was &lt;4.5%, and </w:t>
      </w:r>
      <w:proofErr w:type="spellStart"/>
      <w:r w:rsidRPr="001E487A">
        <w:rPr>
          <w:rFonts w:ascii="Arial" w:hAnsi="Arial" w:cs="Arial"/>
          <w:lang w:val="en-US"/>
        </w:rPr>
        <w:t>interassay</w:t>
      </w:r>
      <w:proofErr w:type="spellEnd"/>
      <w:r w:rsidRPr="001E487A">
        <w:rPr>
          <w:rFonts w:ascii="Arial" w:hAnsi="Arial" w:cs="Arial"/>
          <w:lang w:val="en-US"/>
        </w:rPr>
        <w:t xml:space="preserve"> CV was &lt;5.5% for concentrations between 17 and 160 </w:t>
      </w:r>
      <w:proofErr w:type="spellStart"/>
      <w:r w:rsidRPr="001E487A">
        <w:rPr>
          <w:rFonts w:ascii="Arial" w:hAnsi="Arial" w:cs="Arial"/>
          <w:lang w:val="en-US"/>
        </w:rPr>
        <w:t>nmol</w:t>
      </w:r>
      <w:proofErr w:type="spellEnd"/>
      <w:r w:rsidRPr="001E487A">
        <w:rPr>
          <w:rFonts w:ascii="Arial" w:hAnsi="Arial" w:cs="Arial"/>
          <w:lang w:val="en-US"/>
        </w:rPr>
        <w:t>/L. 25(OH)D2 and 25(OH)D3 were measured separately, however, in the current article we used the sum of both.</w:t>
      </w:r>
    </w:p>
    <w:p w:rsidR="00E72BC5" w:rsidRPr="001E487A" w:rsidRDefault="00E72BC5" w:rsidP="001E487A">
      <w:pPr>
        <w:tabs>
          <w:tab w:val="left" w:pos="7797"/>
        </w:tabs>
        <w:spacing w:after="0" w:line="480" w:lineRule="auto"/>
        <w:jc w:val="both"/>
        <w:rPr>
          <w:rFonts w:ascii="Arial" w:hAnsi="Arial" w:cs="Arial"/>
          <w:lang w:val="en-US"/>
        </w:rPr>
      </w:pPr>
      <w:r w:rsidRPr="001E487A">
        <w:rPr>
          <w:rFonts w:ascii="Arial" w:hAnsi="Arial" w:cs="Arial"/>
          <w:lang w:val="en-US"/>
        </w:rPr>
        <w:t xml:space="preserve">TT measurements by ID-XLS-MS/MS were performed at the Endocrine Laboratory of the VU University Medical Center (Amsterdam, the Netherlands) </w:t>
      </w:r>
      <w:r w:rsidR="00872B91">
        <w:rPr>
          <w:rFonts w:ascii="Arial" w:hAnsi="Arial" w:cs="Arial"/>
          <w:lang w:val="en-US"/>
        </w:rPr>
        <w:t>as described before</w:t>
      </w:r>
      <w:r w:rsidRPr="001E487A">
        <w:rPr>
          <w:rFonts w:ascii="Arial" w:hAnsi="Arial" w:cs="Arial"/>
          <w:lang w:val="en-US"/>
        </w:rPr>
        <w:t xml:space="preserve"> </w:t>
      </w:r>
      <w:r w:rsidR="00872B91">
        <w:rPr>
          <w:rFonts w:ascii="Arial" w:hAnsi="Arial" w:cs="Arial"/>
          <w:lang w:val="en-US"/>
        </w:rPr>
        <w:t>(</w:t>
      </w:r>
      <w:hyperlink w:anchor="_ENREF_4" w:tooltip="Büttler RM, 2015 #1038" w:history="1">
        <w:r w:rsidR="005C11AC" w:rsidRPr="00872B91">
          <w:rPr>
            <w:rFonts w:ascii="Arial" w:hAnsi="Arial" w:cs="Arial"/>
            <w:lang w:val="en-US"/>
          </w:rPr>
          <w:fldChar w:fldCharType="begin"/>
        </w:r>
        <w:r w:rsidR="005C11AC" w:rsidRPr="00872B91">
          <w:rPr>
            <w:rFonts w:ascii="Arial" w:hAnsi="Arial" w:cs="Arial"/>
            <w:lang w:val="en-US"/>
          </w:rPr>
          <w:instrText xml:space="preserve"> ADDIN EN.CITE &lt;EndNote&gt;&lt;Cite&gt;&lt;Author&gt;Büttler RM&lt;/Author&gt;&lt;Year&gt;2015&lt;/Year&gt;&lt;RecNum&gt;1038&lt;/RecNum&gt;&lt;DisplayText&gt;&lt;style face="superscript"&gt;4&lt;/style&gt;&lt;/DisplayText&gt;&lt;record&gt;&lt;rec-number&gt;1038&lt;/rec-number&gt;&lt;foreign-keys&gt;&lt;key app="EN" db-id="59p2tdfan2stp9ezf0l5r0zr2ddw925wxzvw"&gt;1038&lt;/key&gt;&lt;/foreign-keys&gt;&lt;ref-type name="Journal Article"&gt;17&lt;/ref-type&gt;&lt;contributors&gt;&lt;authors&gt;&lt;author&gt;Büttler RM,, Martens F, Kushnir MM, Ackermans MT,&lt;/author&gt;&lt;author&gt;Blankenstein MA, Heijboer AC&lt;/author&gt;&lt;/authors&gt;&lt;/contributors&gt;&lt;titles&gt;&lt;title&gt;Simultaneous measurement of testosterone, androstenedione and dehydroepiandrosterone (DHEA) in serum and plasma with isotope-dilution 2-dimension ultra high performance liquid-chromatography tandem mass spectrometry (ID-LC-MS/MS)&lt;/title&gt;&lt;secondary-title&gt;Clin Chim Acta&lt;/secondary-title&gt;&lt;/titles&gt;&lt;periodical&gt;&lt;full-title&gt;Clin Chim Acta&lt;/full-title&gt;&lt;/periodical&gt;&lt;volume&gt;438&lt;/volume&gt;&lt;number&gt;157-9&lt;/number&gt;&lt;dates&gt;&lt;year&gt;2015&lt;/year&gt;&lt;/dates&gt;&lt;urls&gt;&lt;/urls&gt;&lt;/record&gt;&lt;/Cite&gt;&lt;/EndNote&gt;</w:instrText>
        </w:r>
        <w:r w:rsidR="005C11AC" w:rsidRPr="00872B91">
          <w:rPr>
            <w:rFonts w:ascii="Arial" w:hAnsi="Arial" w:cs="Arial"/>
            <w:lang w:val="en-US"/>
          </w:rPr>
          <w:fldChar w:fldCharType="separate"/>
        </w:r>
        <w:r w:rsidR="005C11AC" w:rsidRPr="00872B91">
          <w:rPr>
            <w:rFonts w:ascii="Arial" w:hAnsi="Arial" w:cs="Arial"/>
            <w:lang w:val="en-US"/>
          </w:rPr>
          <w:t>4</w:t>
        </w:r>
        <w:r w:rsidR="005C11AC" w:rsidRPr="00872B91">
          <w:rPr>
            <w:rFonts w:ascii="Arial" w:hAnsi="Arial" w:cs="Arial"/>
            <w:lang w:val="en-US"/>
          </w:rPr>
          <w:fldChar w:fldCharType="end"/>
        </w:r>
      </w:hyperlink>
      <w:r w:rsidR="00872B91">
        <w:rPr>
          <w:rFonts w:ascii="Arial" w:hAnsi="Arial" w:cs="Arial"/>
          <w:lang w:val="en-US"/>
        </w:rPr>
        <w:t>).</w:t>
      </w:r>
      <w:r w:rsidRPr="001E487A">
        <w:rPr>
          <w:rFonts w:ascii="Arial" w:hAnsi="Arial" w:cs="Arial"/>
          <w:lang w:val="en-US"/>
        </w:rPr>
        <w:t xml:space="preserve"> In short, an internal standard ([</w:t>
      </w:r>
      <w:r w:rsidRPr="001E487A">
        <w:rPr>
          <w:rFonts w:ascii="Arial" w:hAnsi="Arial" w:cs="Arial"/>
          <w:vertAlign w:val="superscript"/>
          <w:lang w:val="en-US"/>
        </w:rPr>
        <w:t>13</w:t>
      </w:r>
      <w:r w:rsidRPr="001E487A">
        <w:rPr>
          <w:rFonts w:ascii="Arial" w:hAnsi="Arial" w:cs="Arial"/>
          <w:lang w:val="en-US"/>
        </w:rPr>
        <w:t>C</w:t>
      </w:r>
      <w:r w:rsidRPr="001E487A">
        <w:rPr>
          <w:rFonts w:ascii="Arial" w:hAnsi="Arial" w:cs="Arial"/>
          <w:vertAlign w:val="subscript"/>
          <w:lang w:val="en-US"/>
        </w:rPr>
        <w:t>3</w:t>
      </w:r>
      <w:r w:rsidRPr="001E487A">
        <w:rPr>
          <w:rFonts w:ascii="Arial" w:hAnsi="Arial" w:cs="Arial"/>
          <w:lang w:val="en-US"/>
        </w:rPr>
        <w:t xml:space="preserve">]-testosterone) was added to the samples and testosterone was released from its binding proteins with acetonitrile. After a liquid-liquid extraction using </w:t>
      </w:r>
      <w:proofErr w:type="spellStart"/>
      <w:r w:rsidRPr="001E487A">
        <w:rPr>
          <w:rFonts w:ascii="Arial" w:hAnsi="Arial" w:cs="Arial"/>
          <w:lang w:val="en-US"/>
        </w:rPr>
        <w:t>hexane</w:t>
      </w:r>
      <w:proofErr w:type="gramStart"/>
      <w:r w:rsidRPr="001E487A">
        <w:rPr>
          <w:rFonts w:ascii="Arial" w:hAnsi="Arial" w:cs="Arial"/>
          <w:lang w:val="en-US"/>
        </w:rPr>
        <w:t>:ether</w:t>
      </w:r>
      <w:proofErr w:type="spellEnd"/>
      <w:proofErr w:type="gramEnd"/>
      <w:r w:rsidRPr="001E487A">
        <w:rPr>
          <w:rFonts w:ascii="Arial" w:hAnsi="Arial" w:cs="Arial"/>
          <w:lang w:val="en-US"/>
        </w:rPr>
        <w:t xml:space="preserve">, samples were </w:t>
      </w:r>
      <w:proofErr w:type="spellStart"/>
      <w:r w:rsidRPr="001E487A">
        <w:rPr>
          <w:rFonts w:ascii="Arial" w:hAnsi="Arial" w:cs="Arial"/>
          <w:lang w:val="en-US"/>
        </w:rPr>
        <w:t>analysed</w:t>
      </w:r>
      <w:proofErr w:type="spellEnd"/>
      <w:r w:rsidRPr="001E487A">
        <w:rPr>
          <w:rFonts w:ascii="Arial" w:hAnsi="Arial" w:cs="Arial"/>
          <w:lang w:val="en-US"/>
        </w:rPr>
        <w:t xml:space="preserve"> by LC-MS/MS (</w:t>
      </w:r>
      <w:proofErr w:type="spellStart"/>
      <w:r w:rsidRPr="001E487A">
        <w:rPr>
          <w:rFonts w:ascii="Arial" w:hAnsi="Arial" w:cs="Arial"/>
          <w:lang w:val="en-US"/>
        </w:rPr>
        <w:t>Acquity</w:t>
      </w:r>
      <w:proofErr w:type="spellEnd"/>
      <w:r w:rsidRPr="001E487A">
        <w:rPr>
          <w:rFonts w:ascii="Arial" w:hAnsi="Arial" w:cs="Arial"/>
          <w:lang w:val="en-US"/>
        </w:rPr>
        <w:t xml:space="preserve"> 2D-UPLC </w:t>
      </w:r>
    </w:p>
    <w:p w:rsidR="00E72BC5" w:rsidRPr="001E487A" w:rsidRDefault="00E72BC5" w:rsidP="001E487A">
      <w:pPr>
        <w:tabs>
          <w:tab w:val="left" w:pos="7797"/>
        </w:tabs>
        <w:spacing w:after="0" w:line="480" w:lineRule="auto"/>
        <w:jc w:val="both"/>
        <w:rPr>
          <w:rFonts w:ascii="Arial" w:hAnsi="Arial" w:cs="Arial"/>
          <w:lang w:val="en-US"/>
        </w:rPr>
      </w:pPr>
      <w:proofErr w:type="gramStart"/>
      <w:r w:rsidRPr="001E487A">
        <w:rPr>
          <w:rFonts w:ascii="Arial" w:hAnsi="Arial" w:cs="Arial"/>
          <w:lang w:val="en-US"/>
        </w:rPr>
        <w:lastRenderedPageBreak/>
        <w:t xml:space="preserve">Coupled to a </w:t>
      </w:r>
      <w:proofErr w:type="spellStart"/>
      <w:r w:rsidRPr="001E487A">
        <w:rPr>
          <w:rFonts w:ascii="Arial" w:hAnsi="Arial" w:cs="Arial"/>
          <w:lang w:val="en-US"/>
        </w:rPr>
        <w:t>Xevo</w:t>
      </w:r>
      <w:proofErr w:type="spellEnd"/>
      <w:r w:rsidRPr="001E487A">
        <w:rPr>
          <w:rFonts w:ascii="Arial" w:hAnsi="Arial" w:cs="Arial"/>
          <w:lang w:val="en-US"/>
        </w:rPr>
        <w:t xml:space="preserve"> TQ-S tandem mass spectrometer (Waters Corp., Milford, MA, USA)).</w:t>
      </w:r>
      <w:proofErr w:type="gramEnd"/>
      <w:r w:rsidRPr="001E487A">
        <w:rPr>
          <w:rFonts w:ascii="Arial" w:hAnsi="Arial" w:cs="Arial"/>
          <w:lang w:val="en-US"/>
        </w:rPr>
        <w:t xml:space="preserve"> The LOQ was 0.10 </w:t>
      </w:r>
      <w:proofErr w:type="spellStart"/>
      <w:r w:rsidRPr="001E487A">
        <w:rPr>
          <w:rFonts w:ascii="Arial" w:hAnsi="Arial" w:cs="Arial"/>
          <w:lang w:val="en-US"/>
        </w:rPr>
        <w:t>nmol</w:t>
      </w:r>
      <w:proofErr w:type="spellEnd"/>
      <w:r w:rsidRPr="001E487A">
        <w:rPr>
          <w:rFonts w:ascii="Arial" w:hAnsi="Arial" w:cs="Arial"/>
          <w:lang w:val="en-US"/>
        </w:rPr>
        <w:t>/L (2.88 ng/</w:t>
      </w:r>
      <w:proofErr w:type="spellStart"/>
      <w:r w:rsidRPr="001E487A">
        <w:rPr>
          <w:rFonts w:ascii="Arial" w:hAnsi="Arial" w:cs="Arial"/>
          <w:lang w:val="en-US"/>
        </w:rPr>
        <w:t>dL</w:t>
      </w:r>
      <w:proofErr w:type="spellEnd"/>
      <w:r w:rsidRPr="001E487A">
        <w:rPr>
          <w:rFonts w:ascii="Arial" w:hAnsi="Arial" w:cs="Arial"/>
          <w:lang w:val="en-US"/>
        </w:rPr>
        <w:t xml:space="preserve">); inter-assay variation at 0.1 </w:t>
      </w:r>
      <w:proofErr w:type="spellStart"/>
      <w:r w:rsidRPr="001E487A">
        <w:rPr>
          <w:rFonts w:ascii="Arial" w:hAnsi="Arial" w:cs="Arial"/>
          <w:lang w:val="en-US"/>
        </w:rPr>
        <w:t>nmol</w:t>
      </w:r>
      <w:proofErr w:type="spellEnd"/>
      <w:r w:rsidRPr="001E487A">
        <w:rPr>
          <w:rFonts w:ascii="Arial" w:hAnsi="Arial" w:cs="Arial"/>
          <w:lang w:val="en-US"/>
        </w:rPr>
        <w:t xml:space="preserve">/L was 10.6% and between 0.9 and 14 </w:t>
      </w:r>
      <w:proofErr w:type="spellStart"/>
      <w:r w:rsidRPr="001E487A">
        <w:rPr>
          <w:rFonts w:ascii="Arial" w:hAnsi="Arial" w:cs="Arial"/>
          <w:lang w:val="en-US"/>
        </w:rPr>
        <w:t>nmol</w:t>
      </w:r>
      <w:proofErr w:type="spellEnd"/>
      <w:r w:rsidRPr="001E487A">
        <w:rPr>
          <w:rFonts w:ascii="Arial" w:hAnsi="Arial" w:cs="Arial"/>
          <w:lang w:val="en-US"/>
        </w:rPr>
        <w:t xml:space="preserve">/L &lt;6%. </w:t>
      </w:r>
    </w:p>
    <w:p w:rsidR="00E72BC5" w:rsidRPr="001E487A" w:rsidRDefault="00E72BC5" w:rsidP="001E487A">
      <w:pPr>
        <w:spacing w:line="480" w:lineRule="auto"/>
        <w:rPr>
          <w:rFonts w:ascii="Arial" w:hAnsi="Arial" w:cs="Arial"/>
          <w:lang w:val="en-US"/>
        </w:rPr>
      </w:pPr>
      <w:r w:rsidRPr="001E487A">
        <w:rPr>
          <w:rFonts w:ascii="Arial" w:hAnsi="Arial" w:cs="Arial"/>
          <w:lang w:val="en-US"/>
        </w:rPr>
        <w:t xml:space="preserve">Both the 25(OH)D and the testosterone method were </w:t>
      </w:r>
      <w:r w:rsidRPr="001E487A">
        <w:rPr>
          <w:rFonts w:ascii="Arial" w:eastAsia="Calibri" w:hAnsi="Arial" w:cs="Arial"/>
          <w:lang w:val="en-US"/>
        </w:rPr>
        <w:t xml:space="preserve">standardized well </w:t>
      </w:r>
      <w:r w:rsidR="00872B91">
        <w:rPr>
          <w:rFonts w:ascii="Arial" w:eastAsia="Calibri" w:hAnsi="Arial" w:cs="Arial"/>
          <w:lang w:val="en-US"/>
        </w:rPr>
        <w:t>(</w:t>
      </w:r>
      <w:r w:rsidRPr="00872B91">
        <w:rPr>
          <w:rFonts w:ascii="Arial" w:eastAsia="Calibri" w:hAnsi="Arial" w:cs="Arial"/>
          <w:lang w:val="en-US"/>
        </w:rPr>
        <w:fldChar w:fldCharType="begin"/>
      </w:r>
      <w:r w:rsidR="005C11AC" w:rsidRPr="00872B91">
        <w:rPr>
          <w:rFonts w:ascii="Arial" w:eastAsia="Calibri" w:hAnsi="Arial" w:cs="Arial"/>
          <w:lang w:val="en-US"/>
        </w:rPr>
        <w:instrText xml:space="preserve"> ADDIN EN.CITE &lt;EndNote&gt;&lt;Cite&gt;&lt;Author&gt;Büttler RM&lt;/Author&gt;&lt;Year&gt;2015&lt;/Year&gt;&lt;RecNum&gt;1039&lt;/RecNum&gt;&lt;DisplayText&gt;&lt;style face="superscript"&gt;3, 5&lt;/style&gt;&lt;/DisplayText&gt;&lt;record&gt;&lt;rec-number&gt;1039&lt;/rec-number&gt;&lt;foreign-keys&gt;&lt;key app="EN" db-id="59p2tdfan2stp9ezf0l5r0zr2ddw925wxzvw"&gt;1039&lt;/key&gt;&lt;/foreign-keys&gt;&lt;ref-type name="Journal Article"&gt;17&lt;/ref-type&gt;&lt;contributors&gt;&lt;authors&gt;&lt;author&gt;Büttler RM,, Martens F, Fanelli F, Pham HT, Kushnir MM, Janssen MJ, Owen L, Taylor AE, Soeborg T, Blankenstein MA, Heijboer AC &lt;/author&gt;&lt;/authors&gt;&lt;/contributors&gt;&lt;titles&gt;&lt;title&gt;Comparison of 7 Published LC-MS/MS Methods for the Simultaneous Measurement of Testosterone, Androstenedione, and Dehydroepiandrosterone in Serum&lt;/title&gt;&lt;secondary-title&gt;Clin Chem&lt;/secondary-title&gt;&lt;/titles&gt;&lt;periodical&gt;&lt;full-title&gt;Clin Chem&lt;/full-title&gt;&lt;/periodical&gt;&lt;pages&gt;1475-83&lt;/pages&gt;&lt;volume&gt;61&lt;/volume&gt;&lt;number&gt;12&lt;/number&gt;&lt;dates&gt;&lt;year&gt;2015&lt;/year&gt;&lt;/dates&gt;&lt;urls&gt;&lt;/urls&gt;&lt;/record&gt;&lt;/Cite&gt;&lt;Cite&gt;&lt;Author&gt;Dirks NF&lt;/Author&gt;&lt;Year&gt;2016&lt;/Year&gt;&lt;RecNum&gt;1040&lt;/RecNum&gt;&lt;record&gt;&lt;rec-number&gt;1040&lt;/rec-number&gt;&lt;foreign-keys&gt;&lt;key app="EN" db-id="59p2tdfan2stp9ezf0l5r0zr2ddw925wxzvw"&gt;1040&lt;/key&gt;&lt;/foreign-keys&gt;&lt;ref-type name="Journal Article"&gt;17&lt;/ref-type&gt;&lt;contributors&gt;&lt;authors&gt;&lt;author&gt;Dirks NF,, Vesper HW, van Herwaarden AE, van den Ouweland JM, Kema IP, Krabbe JG, Heijboer AC&lt;/author&gt;&lt;/authors&gt;&lt;/contributors&gt;&lt;titles&gt;&lt;title&gt;Various calibration procedures result in optimal standardization of routinely used 25(OH)D ID-LC-MS/MS methods&lt;/title&gt;&lt;secondary-title&gt;Clin Chim Acta&lt;/secondary-title&gt;&lt;/titles&gt;&lt;periodical&gt;&lt;full-title&gt;Clin Chim Acta&lt;/full-title&gt;&lt;/periodical&gt;&lt;pages&gt;49-54&lt;/pages&gt;&lt;volume&gt;462&lt;/volume&gt;&lt;dates&gt;&lt;year&gt;2016&lt;/year&gt;&lt;/dates&gt;&lt;urls&gt;&lt;/urls&gt;&lt;/record&gt;&lt;/Cite&gt;&lt;/EndNote&gt;</w:instrText>
      </w:r>
      <w:r w:rsidRPr="00872B91">
        <w:rPr>
          <w:rFonts w:ascii="Arial" w:eastAsia="Calibri" w:hAnsi="Arial" w:cs="Arial"/>
          <w:lang w:val="en-US"/>
        </w:rPr>
        <w:fldChar w:fldCharType="separate"/>
      </w:r>
      <w:hyperlink w:anchor="_ENREF_3" w:tooltip="Dirks NF, 2016 #1037" w:history="1">
        <w:r w:rsidR="005C11AC" w:rsidRPr="00872B91">
          <w:rPr>
            <w:rFonts w:ascii="Arial" w:eastAsia="Calibri" w:hAnsi="Arial" w:cs="Arial"/>
            <w:lang w:val="en-US"/>
          </w:rPr>
          <w:t>3</w:t>
        </w:r>
      </w:hyperlink>
      <w:r w:rsidR="005C11AC" w:rsidRPr="00872B91">
        <w:rPr>
          <w:rFonts w:ascii="Arial" w:eastAsia="Calibri" w:hAnsi="Arial" w:cs="Arial"/>
          <w:lang w:val="en-US"/>
        </w:rPr>
        <w:t xml:space="preserve">, </w:t>
      </w:r>
      <w:hyperlink w:anchor="_ENREF_5" w:tooltip="Büttler RM, 2015 #1039" w:history="1">
        <w:r w:rsidR="005C11AC" w:rsidRPr="00872B91">
          <w:rPr>
            <w:rFonts w:ascii="Arial" w:eastAsia="Calibri" w:hAnsi="Arial" w:cs="Arial"/>
            <w:lang w:val="en-US"/>
          </w:rPr>
          <w:t>5</w:t>
        </w:r>
      </w:hyperlink>
      <w:r w:rsidRPr="00872B91">
        <w:rPr>
          <w:rFonts w:ascii="Arial" w:eastAsia="Calibri" w:hAnsi="Arial" w:cs="Arial"/>
          <w:lang w:val="en-US"/>
        </w:rPr>
        <w:fldChar w:fldCharType="end"/>
      </w:r>
      <w:r w:rsidR="00872B91">
        <w:rPr>
          <w:rFonts w:ascii="Arial" w:eastAsia="Calibri" w:hAnsi="Arial" w:cs="Arial"/>
          <w:lang w:val="en-US"/>
        </w:rPr>
        <w:t>)</w:t>
      </w:r>
      <w:r w:rsidRPr="001E487A">
        <w:rPr>
          <w:rFonts w:ascii="Arial" w:eastAsia="Calibri" w:hAnsi="Arial" w:cs="Arial"/>
          <w:lang w:val="en-US"/>
        </w:rPr>
        <w:t>.</w:t>
      </w:r>
    </w:p>
    <w:p w:rsidR="00E72BC5" w:rsidRPr="001E487A" w:rsidRDefault="00E72BC5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</w:p>
    <w:p w:rsidR="00E72BC5" w:rsidRPr="001E487A" w:rsidRDefault="00E72BC5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1E487A">
        <w:rPr>
          <w:rFonts w:ascii="Arial" w:hAnsi="Arial" w:cs="Arial"/>
          <w:i/>
          <w:lang w:val="en-US"/>
        </w:rPr>
        <w:t>Biochemical analyses</w:t>
      </w:r>
    </w:p>
    <w:p w:rsidR="00E72BC5" w:rsidRPr="001E487A" w:rsidRDefault="00F91A96" w:rsidP="001E487A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4031FF">
        <w:rPr>
          <w:rFonts w:ascii="Arial" w:hAnsi="Arial" w:cs="Arial"/>
          <w:lang w:val="en-GB"/>
        </w:rPr>
        <w:t xml:space="preserve">Routine laboratory parameters were immediately measured on a daily basis. </w:t>
      </w:r>
      <w:r w:rsidR="00E72BC5" w:rsidRPr="001E487A">
        <w:rPr>
          <w:rFonts w:ascii="Arial" w:hAnsi="Arial" w:cs="Arial"/>
          <w:lang w:val="en-US"/>
        </w:rPr>
        <w:t xml:space="preserve">For evaluation of inclusion criteria, 25(OH)D was measured using a commercially available enzyme immunoassay (IDS, </w:t>
      </w:r>
      <w:proofErr w:type="spellStart"/>
      <w:r w:rsidR="00E72BC5" w:rsidRPr="001E487A">
        <w:rPr>
          <w:rFonts w:ascii="Arial" w:hAnsi="Arial" w:cs="Arial"/>
          <w:lang w:val="en-US"/>
        </w:rPr>
        <w:t>Boldon</w:t>
      </w:r>
      <w:proofErr w:type="spellEnd"/>
      <w:r w:rsidR="00E72BC5" w:rsidRPr="001E487A">
        <w:rPr>
          <w:rFonts w:ascii="Arial" w:hAnsi="Arial" w:cs="Arial"/>
          <w:lang w:val="en-US"/>
        </w:rPr>
        <w:t xml:space="preserve">, UK) with intra- and </w:t>
      </w:r>
      <w:proofErr w:type="spellStart"/>
      <w:r w:rsidR="00E72BC5" w:rsidRPr="001E487A">
        <w:rPr>
          <w:rFonts w:ascii="Arial" w:hAnsi="Arial" w:cs="Arial"/>
          <w:lang w:val="en-US"/>
        </w:rPr>
        <w:t>interassay</w:t>
      </w:r>
      <w:proofErr w:type="spellEnd"/>
      <w:r w:rsidR="00E72BC5" w:rsidRPr="001E487A">
        <w:rPr>
          <w:rFonts w:ascii="Arial" w:hAnsi="Arial" w:cs="Arial"/>
          <w:lang w:val="en-US"/>
        </w:rPr>
        <w:t xml:space="preserve"> coefficients of variation (CV) of 5.6 and 6.4%, respectively, and TT was measured by luminescence immunoassay </w:t>
      </w:r>
      <w:r w:rsidR="00E72BC5" w:rsidRPr="001E487A">
        <w:rPr>
          <w:rFonts w:ascii="Arial" w:hAnsi="Arial" w:cs="Arial"/>
          <w:lang w:val="en-GB"/>
        </w:rPr>
        <w:t>(</w:t>
      </w:r>
      <w:r w:rsidR="00E72BC5" w:rsidRPr="001E487A">
        <w:rPr>
          <w:rFonts w:ascii="Arial" w:hAnsi="Arial" w:cs="Arial"/>
          <w:lang w:val="en-US"/>
        </w:rPr>
        <w:t xml:space="preserve">Siemens, Erlangen, Germany; intra- and </w:t>
      </w:r>
      <w:proofErr w:type="spellStart"/>
      <w:r w:rsidR="00E72BC5" w:rsidRPr="001E487A">
        <w:rPr>
          <w:rFonts w:ascii="Arial" w:hAnsi="Arial" w:cs="Arial"/>
          <w:lang w:val="en-US"/>
        </w:rPr>
        <w:t>interassay</w:t>
      </w:r>
      <w:proofErr w:type="spellEnd"/>
      <w:r w:rsidR="00E72BC5" w:rsidRPr="001E487A">
        <w:rPr>
          <w:rFonts w:ascii="Arial" w:hAnsi="Arial" w:cs="Arial"/>
          <w:lang w:val="en-US"/>
        </w:rPr>
        <w:t xml:space="preserve"> CVs of &lt;10%). SHBG was measured by luminescence immunoassay (</w:t>
      </w:r>
      <w:proofErr w:type="spellStart"/>
      <w:r w:rsidR="00E72BC5" w:rsidRPr="001E487A">
        <w:rPr>
          <w:rFonts w:ascii="Arial" w:hAnsi="Arial" w:cs="Arial"/>
          <w:lang w:val="en-US"/>
        </w:rPr>
        <w:t>Cobas</w:t>
      </w:r>
      <w:proofErr w:type="spellEnd"/>
      <w:r w:rsidR="00E72BC5" w:rsidRPr="001E487A">
        <w:rPr>
          <w:rFonts w:ascii="Arial" w:hAnsi="Arial" w:cs="Arial"/>
          <w:lang w:val="en-US"/>
        </w:rPr>
        <w:t xml:space="preserve">, Roche, Basel, Switzerland) with an intra- and </w:t>
      </w:r>
      <w:proofErr w:type="spellStart"/>
      <w:r w:rsidR="00E72BC5" w:rsidRPr="001E487A">
        <w:rPr>
          <w:rFonts w:ascii="Arial" w:hAnsi="Arial" w:cs="Arial"/>
          <w:lang w:val="en-US"/>
        </w:rPr>
        <w:t>interassay</w:t>
      </w:r>
      <w:proofErr w:type="spellEnd"/>
      <w:r w:rsidR="00E72BC5" w:rsidRPr="001E487A">
        <w:rPr>
          <w:rFonts w:ascii="Arial" w:hAnsi="Arial" w:cs="Arial"/>
          <w:lang w:val="en-US"/>
        </w:rPr>
        <w:t xml:space="preserve"> CV of 1.3% and 2.1%, respectively. LH and FSH were measured by enzyme immunoassay (</w:t>
      </w:r>
      <w:proofErr w:type="spellStart"/>
      <w:r w:rsidR="00E72BC5" w:rsidRPr="001E487A">
        <w:rPr>
          <w:rFonts w:ascii="Arial" w:hAnsi="Arial" w:cs="Arial"/>
          <w:lang w:val="en-US"/>
        </w:rPr>
        <w:t>DiaMetra</w:t>
      </w:r>
      <w:proofErr w:type="spellEnd"/>
      <w:r w:rsidR="00E72BC5" w:rsidRPr="001E487A">
        <w:rPr>
          <w:rFonts w:ascii="Arial" w:hAnsi="Arial" w:cs="Arial"/>
          <w:lang w:val="en-US"/>
        </w:rPr>
        <w:t xml:space="preserve"> </w:t>
      </w:r>
      <w:proofErr w:type="spellStart"/>
      <w:r w:rsidR="00E72BC5" w:rsidRPr="001E487A">
        <w:rPr>
          <w:rFonts w:ascii="Arial" w:hAnsi="Arial" w:cs="Arial"/>
          <w:lang w:val="en-US"/>
        </w:rPr>
        <w:t>S.r.l</w:t>
      </w:r>
      <w:proofErr w:type="spellEnd"/>
      <w:r w:rsidR="00E72BC5" w:rsidRPr="001E487A">
        <w:rPr>
          <w:rFonts w:ascii="Arial" w:hAnsi="Arial" w:cs="Arial"/>
          <w:lang w:val="en-US"/>
        </w:rPr>
        <w:t xml:space="preserve">., </w:t>
      </w:r>
      <w:proofErr w:type="spellStart"/>
      <w:r w:rsidR="00E72BC5" w:rsidRPr="001E487A">
        <w:rPr>
          <w:rFonts w:ascii="Arial" w:hAnsi="Arial" w:cs="Arial"/>
          <w:lang w:val="en-US"/>
        </w:rPr>
        <w:t>Segrate</w:t>
      </w:r>
      <w:proofErr w:type="spellEnd"/>
      <w:r w:rsidR="00E72BC5" w:rsidRPr="001E487A">
        <w:rPr>
          <w:rFonts w:ascii="Arial" w:hAnsi="Arial" w:cs="Arial"/>
          <w:lang w:val="en-US"/>
        </w:rPr>
        <w:t xml:space="preserve"> (MI), Italy; intra- and </w:t>
      </w:r>
      <w:proofErr w:type="spellStart"/>
      <w:r w:rsidR="00E72BC5" w:rsidRPr="001E487A">
        <w:rPr>
          <w:rFonts w:ascii="Arial" w:hAnsi="Arial" w:cs="Arial"/>
          <w:lang w:val="en-US"/>
        </w:rPr>
        <w:t>interassay</w:t>
      </w:r>
      <w:proofErr w:type="spellEnd"/>
      <w:r w:rsidR="00E72BC5" w:rsidRPr="001E487A">
        <w:rPr>
          <w:rFonts w:ascii="Arial" w:hAnsi="Arial" w:cs="Arial"/>
          <w:lang w:val="en-US"/>
        </w:rPr>
        <w:t xml:space="preserve"> CVs of &lt;10%) and estradiol was measured by chemiluminescent immunoassay (</w:t>
      </w:r>
      <w:proofErr w:type="spellStart"/>
      <w:r w:rsidR="00E72BC5" w:rsidRPr="001E487A">
        <w:rPr>
          <w:rFonts w:ascii="Arial" w:hAnsi="Arial" w:cs="Arial"/>
          <w:lang w:val="en-US"/>
        </w:rPr>
        <w:t>Immulite</w:t>
      </w:r>
      <w:proofErr w:type="spellEnd"/>
      <w:r w:rsidR="00E72BC5" w:rsidRPr="001E487A">
        <w:rPr>
          <w:rFonts w:ascii="Arial" w:hAnsi="Arial" w:cs="Arial"/>
          <w:lang w:val="en-US"/>
        </w:rPr>
        <w:t xml:space="preserve">, Siemens Healthcare, Germany; intra- and </w:t>
      </w:r>
      <w:proofErr w:type="spellStart"/>
      <w:r w:rsidR="00E72BC5" w:rsidRPr="001E487A">
        <w:rPr>
          <w:rFonts w:ascii="Arial" w:hAnsi="Arial" w:cs="Arial"/>
          <w:lang w:val="en-US"/>
        </w:rPr>
        <w:t>interassay</w:t>
      </w:r>
      <w:proofErr w:type="spellEnd"/>
      <w:r w:rsidR="00E72BC5" w:rsidRPr="001E487A">
        <w:rPr>
          <w:rFonts w:ascii="Arial" w:hAnsi="Arial" w:cs="Arial"/>
          <w:lang w:val="en-US"/>
        </w:rPr>
        <w:t xml:space="preserve"> CVs of 15 and 16%, respectively). </w:t>
      </w:r>
      <w:r w:rsidR="00E72BC5" w:rsidRPr="001E487A">
        <w:rPr>
          <w:rFonts w:ascii="Arial" w:hAnsi="Arial" w:cs="Arial"/>
          <w:lang w:val="en-GB"/>
        </w:rPr>
        <w:t>Insulin (Siemens</w:t>
      </w:r>
      <w:proofErr w:type="gramStart"/>
      <w:r w:rsidR="00E72BC5" w:rsidRPr="001E487A">
        <w:rPr>
          <w:rFonts w:ascii="Arial" w:hAnsi="Arial" w:cs="Arial"/>
          <w:lang w:val="en-GB"/>
        </w:rPr>
        <w:t>,  Germany</w:t>
      </w:r>
      <w:proofErr w:type="gramEnd"/>
      <w:r w:rsidR="00E72BC5" w:rsidRPr="001E487A">
        <w:rPr>
          <w:rFonts w:ascii="Arial" w:hAnsi="Arial" w:cs="Arial"/>
          <w:lang w:val="en-GB"/>
        </w:rPr>
        <w:t xml:space="preserve">) was measured by luminescence immunoassay (intra- and </w:t>
      </w:r>
      <w:proofErr w:type="spellStart"/>
      <w:r w:rsidR="00E72BC5" w:rsidRPr="001E487A">
        <w:rPr>
          <w:rFonts w:ascii="Arial" w:hAnsi="Arial" w:cs="Arial"/>
          <w:lang w:val="en-GB"/>
        </w:rPr>
        <w:t>interassay</w:t>
      </w:r>
      <w:proofErr w:type="spellEnd"/>
      <w:r w:rsidR="00E72BC5" w:rsidRPr="001E487A">
        <w:rPr>
          <w:rFonts w:ascii="Arial" w:hAnsi="Arial" w:cs="Arial"/>
          <w:lang w:val="en-GB"/>
        </w:rPr>
        <w:t xml:space="preserve"> CVs of 4% and 2.6 %, respectively). </w:t>
      </w:r>
      <w:r w:rsidR="00E72BC5" w:rsidRPr="001E487A">
        <w:rPr>
          <w:rFonts w:ascii="Arial" w:hAnsi="Arial" w:cs="Arial"/>
          <w:lang w:val="en-US"/>
        </w:rPr>
        <w:t xml:space="preserve">PTH was measured with </w:t>
      </w:r>
      <w:proofErr w:type="spellStart"/>
      <w:r w:rsidR="00E72BC5" w:rsidRPr="001E487A">
        <w:rPr>
          <w:rFonts w:ascii="Arial" w:hAnsi="Arial" w:cs="Arial"/>
          <w:lang w:val="en-US"/>
        </w:rPr>
        <w:t>ElectroChemiLuminescence</w:t>
      </w:r>
      <w:proofErr w:type="spellEnd"/>
      <w:r w:rsidR="00E72BC5" w:rsidRPr="001E487A">
        <w:rPr>
          <w:rFonts w:ascii="Arial" w:hAnsi="Arial" w:cs="Arial"/>
          <w:lang w:val="en-US"/>
        </w:rPr>
        <w:t xml:space="preserve"> Immunoassay (ECLIA) (Roche Diagnostics, Mannheim, Germany) with an intra- and inter-assay CV of 1.5% to 2.7% and 3.0% to 6.5%, respectively. All other parameters (total cholesterol [TC], HDL, LDL, triglycerides, serum and urine calcium) were determined by routine laboratory procedures.</w:t>
      </w:r>
    </w:p>
    <w:p w:rsidR="00E72BC5" w:rsidRPr="001E487A" w:rsidRDefault="00E72BC5" w:rsidP="001E487A">
      <w:pPr>
        <w:tabs>
          <w:tab w:val="left" w:pos="7797"/>
        </w:tabs>
        <w:spacing w:after="0" w:line="480" w:lineRule="auto"/>
        <w:jc w:val="both"/>
        <w:rPr>
          <w:rFonts w:ascii="Arial" w:hAnsi="Arial" w:cs="Arial"/>
          <w:lang w:val="en-US"/>
        </w:rPr>
      </w:pPr>
    </w:p>
    <w:p w:rsidR="00E72BC5" w:rsidRPr="001E487A" w:rsidRDefault="003679AD" w:rsidP="001E487A">
      <w:pPr>
        <w:spacing w:after="0" w:line="480" w:lineRule="auto"/>
        <w:jc w:val="both"/>
        <w:rPr>
          <w:rFonts w:ascii="Arial" w:hAnsi="Arial" w:cs="Arial"/>
          <w:i/>
          <w:lang w:val="en-US"/>
        </w:rPr>
      </w:pPr>
      <w:r w:rsidRPr="001E487A">
        <w:rPr>
          <w:rFonts w:ascii="Arial" w:hAnsi="Arial" w:cs="Arial"/>
          <w:i/>
          <w:lang w:val="en-US"/>
        </w:rPr>
        <w:t>Dual-energy X-ray absorptiometry (</w:t>
      </w:r>
      <w:r w:rsidR="00E72BC5" w:rsidRPr="001E487A">
        <w:rPr>
          <w:rFonts w:ascii="Arial" w:hAnsi="Arial" w:cs="Arial"/>
          <w:i/>
          <w:lang w:val="en-US"/>
        </w:rPr>
        <w:t>DXA</w:t>
      </w:r>
      <w:r w:rsidRPr="001E487A">
        <w:rPr>
          <w:rFonts w:ascii="Arial" w:hAnsi="Arial" w:cs="Arial"/>
          <w:i/>
          <w:lang w:val="en-US"/>
        </w:rPr>
        <w:t>)</w:t>
      </w:r>
    </w:p>
    <w:p w:rsidR="00D16824" w:rsidRPr="001E487A" w:rsidRDefault="00E72BC5" w:rsidP="001E487A">
      <w:pPr>
        <w:spacing w:line="480" w:lineRule="auto"/>
        <w:jc w:val="both"/>
        <w:rPr>
          <w:rFonts w:ascii="Arial" w:hAnsi="Arial" w:cs="Arial"/>
          <w:lang w:val="en-GB"/>
        </w:rPr>
      </w:pPr>
      <w:r w:rsidRPr="001E487A">
        <w:rPr>
          <w:rFonts w:ascii="Arial" w:hAnsi="Arial" w:cs="Arial"/>
          <w:lang w:val="en-GB"/>
        </w:rPr>
        <w:t xml:space="preserve">Body fat and lean mass was measured at baseline and at </w:t>
      </w:r>
      <w:r w:rsidR="0076750C" w:rsidRPr="001E487A">
        <w:rPr>
          <w:rFonts w:ascii="Arial" w:hAnsi="Arial" w:cs="Arial"/>
          <w:lang w:val="en-GB"/>
        </w:rPr>
        <w:t>study end</w:t>
      </w:r>
      <w:r w:rsidRPr="001E487A">
        <w:rPr>
          <w:rFonts w:ascii="Arial" w:hAnsi="Arial" w:cs="Arial"/>
          <w:lang w:val="en-GB"/>
        </w:rPr>
        <w:t>. Fat mass was assessed using DXA scans (</w:t>
      </w:r>
      <w:proofErr w:type="spellStart"/>
      <w:r w:rsidRPr="001E487A">
        <w:rPr>
          <w:rFonts w:ascii="Arial" w:hAnsi="Arial" w:cs="Arial"/>
          <w:lang w:val="en-GB"/>
        </w:rPr>
        <w:t>iDXA</w:t>
      </w:r>
      <w:proofErr w:type="spellEnd"/>
      <w:r w:rsidRPr="001E487A">
        <w:rPr>
          <w:rFonts w:ascii="Arial" w:hAnsi="Arial" w:cs="Arial"/>
          <w:lang w:val="en-GB"/>
        </w:rPr>
        <w:t>, GE Lunar, Madison, WI)</w:t>
      </w:r>
      <w:r w:rsidR="0076750C" w:rsidRPr="001E487A">
        <w:rPr>
          <w:rFonts w:ascii="Arial" w:hAnsi="Arial" w:cs="Arial"/>
          <w:lang w:val="en-GB"/>
        </w:rPr>
        <w:t xml:space="preserve"> and lean mass was calculated as weight (kg) -</w:t>
      </w:r>
      <w:r w:rsidR="00AD3D1A" w:rsidRPr="001E487A">
        <w:rPr>
          <w:rFonts w:ascii="Arial" w:hAnsi="Arial" w:cs="Arial"/>
          <w:lang w:val="en-GB"/>
        </w:rPr>
        <w:t xml:space="preserve"> </w:t>
      </w:r>
      <w:r w:rsidR="0076750C" w:rsidRPr="001E487A">
        <w:rPr>
          <w:rFonts w:ascii="Arial" w:hAnsi="Arial" w:cs="Arial"/>
          <w:lang w:val="en-GB"/>
        </w:rPr>
        <w:t>fat mass (kg)</w:t>
      </w:r>
      <w:r w:rsidRPr="001E487A">
        <w:rPr>
          <w:rFonts w:ascii="Arial" w:hAnsi="Arial" w:cs="Arial"/>
          <w:lang w:val="en-GB"/>
        </w:rPr>
        <w:t>.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Two investigators performed all analyses. DXA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has been validated previously in children, adults, and the elderly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 xml:space="preserve">and has been found to be a reliable </w:t>
      </w:r>
      <w:r w:rsidRPr="001E487A">
        <w:rPr>
          <w:rFonts w:ascii="Arial" w:hAnsi="Arial" w:cs="Arial"/>
          <w:lang w:val="en-GB"/>
        </w:rPr>
        <w:lastRenderedPageBreak/>
        <w:t>and valid method for measuring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 xml:space="preserve">fat mass </w:t>
      </w:r>
      <w:r w:rsidR="00872B91">
        <w:rPr>
          <w:rFonts w:ascii="Arial" w:hAnsi="Arial" w:cs="Arial"/>
          <w:lang w:val="en-GB"/>
        </w:rPr>
        <w:t>(</w:t>
      </w:r>
      <w:r w:rsidRPr="00872B91">
        <w:rPr>
          <w:rFonts w:ascii="Arial" w:hAnsi="Arial" w:cs="Arial"/>
          <w:lang w:val="en-GB"/>
        </w:rPr>
        <w:fldChar w:fldCharType="begin"/>
      </w:r>
      <w:r w:rsidR="005C11AC" w:rsidRPr="00872B91">
        <w:rPr>
          <w:rFonts w:ascii="Arial" w:hAnsi="Arial" w:cs="Arial"/>
          <w:lang w:val="en-GB"/>
        </w:rPr>
        <w:instrText xml:space="preserve"> ADDIN EN.CITE &lt;EndNote&gt;&lt;Cite&gt;&lt;Author&gt;Glickman SG&lt;/Author&gt;&lt;Year&gt;2004&lt;/Year&gt;&lt;RecNum&gt;511&lt;/RecNum&gt;&lt;DisplayText&gt;&lt;style face="superscript"&gt;6, 7&lt;/style&gt;&lt;/DisplayText&gt;&lt;record&gt;&lt;rec-number&gt;511&lt;/rec-number&gt;&lt;foreign-keys&gt;&lt;key app="EN" db-id="59p2tdfan2stp9ezf0l5r0zr2ddw925wxzvw"&gt;511&lt;/key&gt;&lt;/foreign-keys&gt;&lt;ref-type name="Journal Article"&gt;17&lt;/ref-type&gt;&lt;contributors&gt;&lt;authors&gt;&lt;author&gt;Glickman SG,, Marn CS, Supiano MA, Dengel DR&lt;/author&gt;&lt;/authors&gt;&lt;/contributors&gt;&lt;titles&gt;&lt;title&gt;Validity and reliability of dual-energy X-ray absorptiometry for the assessment of abdominal adiposity&lt;/title&gt;&lt;secondary-title&gt;J Appl Physiol&lt;/secondary-title&gt;&lt;/titles&gt;&lt;pages&gt;509-14&lt;/pages&gt;&lt;volume&gt;97&lt;/volume&gt;&lt;number&gt;2&lt;/number&gt;&lt;dates&gt;&lt;year&gt;2004&lt;/year&gt;&lt;/dates&gt;&lt;urls&gt;&lt;/urls&gt;&lt;/record&gt;&lt;/Cite&gt;&lt;Cite&gt;&lt;Author&gt;Park YW&lt;/Author&gt;&lt;Year&gt;2002&lt;/Year&gt;&lt;RecNum&gt;512&lt;/RecNum&gt;&lt;record&gt;&lt;rec-number&gt;512&lt;/rec-number&gt;&lt;foreign-keys&gt;&lt;key app="EN" db-id="59p2tdfan2stp9ezf0l5r0zr2ddw925wxzvw"&gt;512&lt;/key&gt;&lt;/foreign-keys&gt;&lt;ref-type name="Journal Article"&gt;17&lt;/ref-type&gt;&lt;contributors&gt;&lt;authors&gt;&lt;author&gt;Park YW,, Heymsfield SB, Gallagher D&lt;/author&gt;&lt;/authors&gt;&lt;/contributors&gt;&lt;titles&gt;&lt;title&gt;Are dual-energy X-ray absorptiometry regional estimates associated with visceral adipose tissue mass?&lt;/title&gt;&lt;secondary-title&gt;Int J Obes Relat Metab Disord&lt;/secondary-title&gt;&lt;/titles&gt;&lt;pages&gt;978-83&lt;/pages&gt;&lt;volume&gt;26&lt;/volume&gt;&lt;number&gt;7&lt;/number&gt;&lt;dates&gt;&lt;year&gt;2002&lt;/year&gt;&lt;/dates&gt;&lt;urls&gt;&lt;/urls&gt;&lt;/record&gt;&lt;/Cite&gt;&lt;/EndNote&gt;</w:instrText>
      </w:r>
      <w:r w:rsidRPr="00872B91">
        <w:rPr>
          <w:rFonts w:ascii="Arial" w:hAnsi="Arial" w:cs="Arial"/>
          <w:lang w:val="en-GB"/>
        </w:rPr>
        <w:fldChar w:fldCharType="separate"/>
      </w:r>
      <w:hyperlink w:anchor="_ENREF_6" w:tooltip="Glickman SG, 2004 #511" w:history="1">
        <w:r w:rsidR="005C11AC" w:rsidRPr="00872B91">
          <w:rPr>
            <w:rFonts w:ascii="Arial" w:hAnsi="Arial" w:cs="Arial"/>
            <w:lang w:val="en-GB"/>
          </w:rPr>
          <w:t>6</w:t>
        </w:r>
      </w:hyperlink>
      <w:r w:rsidR="005C11AC" w:rsidRPr="00872B91">
        <w:rPr>
          <w:rFonts w:ascii="Arial" w:hAnsi="Arial" w:cs="Arial"/>
          <w:lang w:val="en-GB"/>
        </w:rPr>
        <w:t xml:space="preserve">, </w:t>
      </w:r>
      <w:hyperlink w:anchor="_ENREF_7" w:tooltip="Park YW, 2002 #512" w:history="1">
        <w:r w:rsidR="005C11AC" w:rsidRPr="00872B91">
          <w:rPr>
            <w:rFonts w:ascii="Arial" w:hAnsi="Arial" w:cs="Arial"/>
            <w:lang w:val="en-GB"/>
          </w:rPr>
          <w:t>7</w:t>
        </w:r>
      </w:hyperlink>
      <w:r w:rsidRPr="00872B91">
        <w:rPr>
          <w:rFonts w:ascii="Arial" w:hAnsi="Arial" w:cs="Arial"/>
          <w:lang w:val="en-GB"/>
        </w:rPr>
        <w:fldChar w:fldCharType="end"/>
      </w:r>
      <w:r w:rsidR="00872B91">
        <w:rPr>
          <w:rFonts w:ascii="Arial" w:hAnsi="Arial" w:cs="Arial"/>
          <w:lang w:val="en-GB"/>
        </w:rPr>
        <w:t>)</w:t>
      </w:r>
      <w:r w:rsidRPr="001E487A">
        <w:rPr>
          <w:rFonts w:ascii="Arial" w:hAnsi="Arial" w:cs="Arial"/>
          <w:lang w:val="en-GB"/>
        </w:rPr>
        <w:t>. The CV (</w:t>
      </w:r>
      <w:r w:rsidRPr="001E487A">
        <w:rPr>
          <w:rFonts w:ascii="Arial" w:hAnsi="Arial" w:cs="Arial"/>
          <w:i/>
          <w:iCs/>
          <w:lang w:val="en-GB"/>
        </w:rPr>
        <w:t>i.e.</w:t>
      </w:r>
      <w:r w:rsidRPr="001E487A">
        <w:rPr>
          <w:rFonts w:ascii="Arial" w:hAnsi="Arial" w:cs="Arial"/>
          <w:lang w:val="en-GB"/>
        </w:rPr>
        <w:t xml:space="preserve"> SD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from the mean) was evaluated in our laboratory by scanning one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person (a female, 30 y</w:t>
      </w:r>
      <w:r w:rsidR="000A5A42">
        <w:rPr>
          <w:rFonts w:ascii="Arial" w:hAnsi="Arial" w:cs="Arial"/>
          <w:lang w:val="en-GB"/>
        </w:rPr>
        <w:t>ears</w:t>
      </w:r>
      <w:r w:rsidRPr="001E487A">
        <w:rPr>
          <w:rFonts w:ascii="Arial" w:hAnsi="Arial" w:cs="Arial"/>
          <w:lang w:val="en-GB"/>
        </w:rPr>
        <w:t xml:space="preserve"> of age, 30% body fat, with normal weight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and height) seven times in the same day, with repositioning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between each scan. For this individual, the CV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was 2% for abdominal fat mass and total fat mass. The equipment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was calibrated each day using a standardized phantom to detect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drifts in measurements, and equipment servicing was performed</w:t>
      </w:r>
      <w:r w:rsidRPr="001E487A">
        <w:rPr>
          <w:rFonts w:ascii="Arial" w:hAnsi="Arial" w:cs="Arial"/>
          <w:vertAlign w:val="superscript"/>
          <w:lang w:val="en-GB"/>
        </w:rPr>
        <w:t xml:space="preserve"> </w:t>
      </w:r>
      <w:r w:rsidRPr="001E487A">
        <w:rPr>
          <w:rFonts w:ascii="Arial" w:hAnsi="Arial" w:cs="Arial"/>
          <w:lang w:val="en-GB"/>
        </w:rPr>
        <w:t>regularly.</w:t>
      </w:r>
      <w:r w:rsidR="00D16824" w:rsidRPr="001E487A">
        <w:rPr>
          <w:rFonts w:ascii="Arial" w:hAnsi="Arial" w:cs="Arial"/>
          <w:lang w:val="en-GB"/>
        </w:rPr>
        <w:br w:type="page"/>
      </w:r>
    </w:p>
    <w:p w:rsidR="00D16824" w:rsidRPr="001E487A" w:rsidRDefault="00D16824" w:rsidP="001E487A">
      <w:pPr>
        <w:spacing w:line="480" w:lineRule="auto"/>
        <w:rPr>
          <w:rFonts w:ascii="Arial" w:hAnsi="Arial" w:cs="Arial"/>
          <w:b/>
          <w:lang w:val="en-GB"/>
        </w:rPr>
      </w:pPr>
      <w:r w:rsidRPr="001E487A">
        <w:rPr>
          <w:rFonts w:ascii="Arial" w:hAnsi="Arial" w:cs="Arial"/>
          <w:b/>
          <w:lang w:val="en-GB"/>
        </w:rPr>
        <w:lastRenderedPageBreak/>
        <w:t>References</w:t>
      </w:r>
    </w:p>
    <w:p w:rsidR="005C11AC" w:rsidRPr="001E487A" w:rsidRDefault="00D16824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r w:rsidRPr="001E487A">
        <w:rPr>
          <w:rFonts w:ascii="Arial" w:hAnsi="Arial" w:cs="Arial"/>
          <w:lang w:val="en-GB"/>
        </w:rPr>
        <w:fldChar w:fldCharType="begin"/>
      </w:r>
      <w:r w:rsidRPr="001E487A">
        <w:rPr>
          <w:rFonts w:ascii="Arial" w:hAnsi="Arial" w:cs="Arial"/>
          <w:lang w:val="en-GB"/>
        </w:rPr>
        <w:instrText xml:space="preserve"> ADDIN EN.REFLIST </w:instrText>
      </w:r>
      <w:r w:rsidRPr="001E487A">
        <w:rPr>
          <w:rFonts w:ascii="Arial" w:hAnsi="Arial" w:cs="Arial"/>
          <w:lang w:val="en-GB"/>
        </w:rPr>
        <w:fldChar w:fldCharType="separate"/>
      </w:r>
      <w:bookmarkStart w:id="0" w:name="_ENREF_1"/>
      <w:r w:rsidR="005C11AC" w:rsidRPr="001E487A">
        <w:rPr>
          <w:rFonts w:ascii="Arial" w:hAnsi="Arial" w:cs="Arial"/>
          <w:noProof/>
          <w:lang w:val="en-GB"/>
        </w:rPr>
        <w:t>1</w:t>
      </w:r>
      <w:r w:rsidR="005C11AC" w:rsidRPr="001E487A">
        <w:rPr>
          <w:rFonts w:ascii="Arial" w:hAnsi="Arial" w:cs="Arial"/>
          <w:noProof/>
          <w:lang w:val="en-GB"/>
        </w:rPr>
        <w:tab/>
        <w:t xml:space="preserve">Rosen RC, Riley A, Wagner G, Osterloh IH, Kirkpatrick J, Mishra A (1997) The international index of erectile function (IIEF): a multidimensional scale for assessment of erectile dysfunction. </w:t>
      </w:r>
      <w:r w:rsidR="005C11AC" w:rsidRPr="001E487A">
        <w:rPr>
          <w:rFonts w:ascii="Arial" w:hAnsi="Arial" w:cs="Arial"/>
          <w:i/>
          <w:noProof/>
          <w:lang w:val="en-GB"/>
        </w:rPr>
        <w:t>Urology</w:t>
      </w:r>
      <w:r w:rsidR="005C11AC" w:rsidRPr="001E487A">
        <w:rPr>
          <w:rFonts w:ascii="Arial" w:hAnsi="Arial" w:cs="Arial"/>
          <w:noProof/>
          <w:lang w:val="en-GB"/>
        </w:rPr>
        <w:t xml:space="preserve"> </w:t>
      </w:r>
      <w:r w:rsidR="005C11AC" w:rsidRPr="001E487A">
        <w:rPr>
          <w:rFonts w:ascii="Arial" w:hAnsi="Arial" w:cs="Arial"/>
          <w:b/>
          <w:noProof/>
          <w:lang w:val="en-GB"/>
        </w:rPr>
        <w:t>49</w:t>
      </w:r>
      <w:r w:rsidR="005C11AC" w:rsidRPr="001E487A">
        <w:rPr>
          <w:rFonts w:ascii="Arial" w:hAnsi="Arial" w:cs="Arial"/>
          <w:noProof/>
          <w:lang w:val="en-GB"/>
        </w:rPr>
        <w:t>, 822-830.</w:t>
      </w:r>
      <w:bookmarkEnd w:id="0"/>
    </w:p>
    <w:p w:rsidR="005C11AC" w:rsidRPr="001E487A" w:rsidRDefault="005C11AC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bookmarkStart w:id="1" w:name="_ENREF_2"/>
      <w:r w:rsidRPr="001E487A">
        <w:rPr>
          <w:rFonts w:ascii="Arial" w:hAnsi="Arial" w:cs="Arial"/>
          <w:noProof/>
          <w:lang w:val="en-GB"/>
        </w:rPr>
        <w:t>2</w:t>
      </w:r>
      <w:r w:rsidRPr="001E487A">
        <w:rPr>
          <w:rFonts w:ascii="Arial" w:hAnsi="Arial" w:cs="Arial"/>
          <w:noProof/>
          <w:lang w:val="en-GB"/>
        </w:rPr>
        <w:tab/>
        <w:t xml:space="preserve">Heinemann LA, Saad F, Zimmermann T, Novak A, Myon E, Badia X, Potthoff P, T'Sjoen G, Pöllänen P, Goncharow NP, Kim S, Giroudet C (2003) The Aging Males' Symptoms (AMS) scale: update and compilation of international versions. </w:t>
      </w:r>
      <w:r w:rsidRPr="001E487A">
        <w:rPr>
          <w:rFonts w:ascii="Arial" w:hAnsi="Arial" w:cs="Arial"/>
          <w:i/>
          <w:noProof/>
          <w:lang w:val="en-GB"/>
        </w:rPr>
        <w:t>Health Qual Life Outcomes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1</w:t>
      </w:r>
      <w:r w:rsidRPr="001E487A">
        <w:rPr>
          <w:rFonts w:ascii="Arial" w:hAnsi="Arial" w:cs="Arial"/>
          <w:noProof/>
          <w:lang w:val="en-GB"/>
        </w:rPr>
        <w:t>.</w:t>
      </w:r>
      <w:bookmarkEnd w:id="1"/>
    </w:p>
    <w:p w:rsidR="005C11AC" w:rsidRPr="001E487A" w:rsidRDefault="005C11AC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bookmarkStart w:id="2" w:name="_ENREF_3"/>
      <w:r w:rsidRPr="001E487A">
        <w:rPr>
          <w:rFonts w:ascii="Arial" w:hAnsi="Arial" w:cs="Arial"/>
          <w:noProof/>
          <w:lang w:val="en-GB"/>
        </w:rPr>
        <w:t>3</w:t>
      </w:r>
      <w:r w:rsidRPr="001E487A">
        <w:rPr>
          <w:rFonts w:ascii="Arial" w:hAnsi="Arial" w:cs="Arial"/>
          <w:noProof/>
          <w:lang w:val="en-GB"/>
        </w:rPr>
        <w:tab/>
        <w:t xml:space="preserve">Dirks NF, Vesper HW, van Herwaarden AE, van den Ouweland JM, Kema IP, Krabbe JG, Heijboer AC (2016) Various calibration procedures result in optimal standardization of routinely used 25(OH)D ID-LC-MS/MS methods. </w:t>
      </w:r>
      <w:r w:rsidRPr="001E487A">
        <w:rPr>
          <w:rFonts w:ascii="Arial" w:hAnsi="Arial" w:cs="Arial"/>
          <w:i/>
          <w:noProof/>
          <w:lang w:val="en-GB"/>
        </w:rPr>
        <w:t>Clin Chim Acta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462</w:t>
      </w:r>
      <w:r w:rsidRPr="001E487A">
        <w:rPr>
          <w:rFonts w:ascii="Arial" w:hAnsi="Arial" w:cs="Arial"/>
          <w:noProof/>
          <w:lang w:val="en-GB"/>
        </w:rPr>
        <w:t>, 49-54.</w:t>
      </w:r>
      <w:bookmarkEnd w:id="2"/>
    </w:p>
    <w:p w:rsidR="005C11AC" w:rsidRPr="001E487A" w:rsidRDefault="005C11AC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bookmarkStart w:id="3" w:name="_ENREF_4"/>
      <w:r w:rsidRPr="001E487A">
        <w:rPr>
          <w:rFonts w:ascii="Arial" w:hAnsi="Arial" w:cs="Arial"/>
          <w:noProof/>
          <w:lang w:val="en-GB"/>
        </w:rPr>
        <w:t>4</w:t>
      </w:r>
      <w:r w:rsidRPr="001E487A">
        <w:rPr>
          <w:rFonts w:ascii="Arial" w:hAnsi="Arial" w:cs="Arial"/>
          <w:noProof/>
          <w:lang w:val="en-GB"/>
        </w:rPr>
        <w:tab/>
        <w:t xml:space="preserve">Büttler RM, Martens F, Kushnir MM, Ackermans MT, &amp; Blankenstein MA, H.A. (2015) Simultaneous measurement of testosterone, androstenedione and dehydroepiandrosterone (DHEA) in serum and plasma with isotope-dilution 2-dimension ultra high performance liquid-chromatography tandem mass spectrometry (ID-LC-MS/MS). </w:t>
      </w:r>
      <w:r w:rsidRPr="001E487A">
        <w:rPr>
          <w:rFonts w:ascii="Arial" w:hAnsi="Arial" w:cs="Arial"/>
          <w:i/>
          <w:noProof/>
          <w:lang w:val="en-GB"/>
        </w:rPr>
        <w:t>Clin Chim Acta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438</w:t>
      </w:r>
      <w:r w:rsidRPr="001E487A">
        <w:rPr>
          <w:rFonts w:ascii="Arial" w:hAnsi="Arial" w:cs="Arial"/>
          <w:noProof/>
          <w:lang w:val="en-GB"/>
        </w:rPr>
        <w:t>.</w:t>
      </w:r>
      <w:bookmarkEnd w:id="3"/>
    </w:p>
    <w:p w:rsidR="005C11AC" w:rsidRPr="001E487A" w:rsidRDefault="005C11AC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bookmarkStart w:id="4" w:name="_ENREF_5"/>
      <w:r w:rsidRPr="001E487A">
        <w:rPr>
          <w:rFonts w:ascii="Arial" w:hAnsi="Arial" w:cs="Arial"/>
          <w:noProof/>
          <w:lang w:val="en-GB"/>
        </w:rPr>
        <w:t>5</w:t>
      </w:r>
      <w:r w:rsidRPr="001E487A">
        <w:rPr>
          <w:rFonts w:ascii="Arial" w:hAnsi="Arial" w:cs="Arial"/>
          <w:noProof/>
          <w:lang w:val="en-GB"/>
        </w:rPr>
        <w:tab/>
        <w:t xml:space="preserve">Büttler RM, Martens F, Fanelli F, Pham HT, Kushnir MM, Janssen MJ, Owen L, Taylor AE, Soeborg T, Blankenstein MA, Heijboer AC (2015) Comparison of 7 Published LC-MS/MS Methods for the Simultaneous Measurement of Testosterone, Androstenedione, and Dehydroepiandrosterone in Serum. </w:t>
      </w:r>
      <w:r w:rsidRPr="001E487A">
        <w:rPr>
          <w:rFonts w:ascii="Arial" w:hAnsi="Arial" w:cs="Arial"/>
          <w:i/>
          <w:noProof/>
          <w:lang w:val="en-GB"/>
        </w:rPr>
        <w:t>Clin Chem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61</w:t>
      </w:r>
      <w:r w:rsidRPr="001E487A">
        <w:rPr>
          <w:rFonts w:ascii="Arial" w:hAnsi="Arial" w:cs="Arial"/>
          <w:noProof/>
          <w:lang w:val="en-GB"/>
        </w:rPr>
        <w:t>, 1475-1483.</w:t>
      </w:r>
      <w:bookmarkEnd w:id="4"/>
    </w:p>
    <w:p w:rsidR="005C11AC" w:rsidRPr="001E487A" w:rsidRDefault="005C11AC" w:rsidP="001E487A">
      <w:pPr>
        <w:spacing w:after="0" w:line="480" w:lineRule="auto"/>
        <w:rPr>
          <w:rFonts w:ascii="Arial" w:hAnsi="Arial" w:cs="Arial"/>
          <w:noProof/>
          <w:lang w:val="en-GB"/>
        </w:rPr>
      </w:pPr>
      <w:bookmarkStart w:id="5" w:name="_ENREF_6"/>
      <w:r w:rsidRPr="001E487A">
        <w:rPr>
          <w:rFonts w:ascii="Arial" w:hAnsi="Arial" w:cs="Arial"/>
          <w:noProof/>
          <w:lang w:val="en-GB"/>
        </w:rPr>
        <w:t>6</w:t>
      </w:r>
      <w:r w:rsidRPr="001E487A">
        <w:rPr>
          <w:rFonts w:ascii="Arial" w:hAnsi="Arial" w:cs="Arial"/>
          <w:noProof/>
          <w:lang w:val="en-GB"/>
        </w:rPr>
        <w:tab/>
        <w:t xml:space="preserve">Glickman SG, Marn CS, Supiano MA, Dengel DR (2004) Validity and reliability of dual-energy X-ray absorptiometry for the assessment of abdominal adiposity. </w:t>
      </w:r>
      <w:r w:rsidRPr="001E487A">
        <w:rPr>
          <w:rFonts w:ascii="Arial" w:hAnsi="Arial" w:cs="Arial"/>
          <w:i/>
          <w:noProof/>
          <w:lang w:val="en-GB"/>
        </w:rPr>
        <w:t>J Appl Physiol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97</w:t>
      </w:r>
      <w:r w:rsidRPr="001E487A">
        <w:rPr>
          <w:rFonts w:ascii="Arial" w:hAnsi="Arial" w:cs="Arial"/>
          <w:noProof/>
          <w:lang w:val="en-GB"/>
        </w:rPr>
        <w:t>, 509-514.</w:t>
      </w:r>
      <w:bookmarkEnd w:id="5"/>
    </w:p>
    <w:p w:rsidR="005C11AC" w:rsidRPr="001E487A" w:rsidRDefault="005C11AC" w:rsidP="001E487A">
      <w:pPr>
        <w:spacing w:line="480" w:lineRule="auto"/>
        <w:rPr>
          <w:rFonts w:ascii="Arial" w:hAnsi="Arial" w:cs="Arial"/>
          <w:noProof/>
          <w:lang w:val="en-GB"/>
        </w:rPr>
      </w:pPr>
      <w:bookmarkStart w:id="6" w:name="_ENREF_7"/>
      <w:r w:rsidRPr="001E487A">
        <w:rPr>
          <w:rFonts w:ascii="Arial" w:hAnsi="Arial" w:cs="Arial"/>
          <w:noProof/>
          <w:lang w:val="en-GB"/>
        </w:rPr>
        <w:t>7</w:t>
      </w:r>
      <w:r w:rsidRPr="001E487A">
        <w:rPr>
          <w:rFonts w:ascii="Arial" w:hAnsi="Arial" w:cs="Arial"/>
          <w:noProof/>
          <w:lang w:val="en-GB"/>
        </w:rPr>
        <w:tab/>
        <w:t xml:space="preserve">Park YW, Heymsfield SB, Gallagher D (2002) Are dual-energy X-ray absorptiometry regional estimates associated with visceral adipose tissue mass? </w:t>
      </w:r>
      <w:r w:rsidRPr="001E487A">
        <w:rPr>
          <w:rFonts w:ascii="Arial" w:hAnsi="Arial" w:cs="Arial"/>
          <w:i/>
          <w:noProof/>
          <w:lang w:val="en-GB"/>
        </w:rPr>
        <w:t>Int J Obes Relat Metab Disord</w:t>
      </w:r>
      <w:r w:rsidRPr="001E487A">
        <w:rPr>
          <w:rFonts w:ascii="Arial" w:hAnsi="Arial" w:cs="Arial"/>
          <w:noProof/>
          <w:lang w:val="en-GB"/>
        </w:rPr>
        <w:t xml:space="preserve"> </w:t>
      </w:r>
      <w:r w:rsidRPr="001E487A">
        <w:rPr>
          <w:rFonts w:ascii="Arial" w:hAnsi="Arial" w:cs="Arial"/>
          <w:b/>
          <w:noProof/>
          <w:lang w:val="en-GB"/>
        </w:rPr>
        <w:t>26</w:t>
      </w:r>
      <w:r w:rsidRPr="001E487A">
        <w:rPr>
          <w:rFonts w:ascii="Arial" w:hAnsi="Arial" w:cs="Arial"/>
          <w:noProof/>
          <w:lang w:val="en-GB"/>
        </w:rPr>
        <w:t>, 978-983.</w:t>
      </w:r>
      <w:bookmarkEnd w:id="6"/>
    </w:p>
    <w:p w:rsidR="00DF326B" w:rsidRDefault="00D16824" w:rsidP="00DF326B">
      <w:pPr>
        <w:spacing w:line="480" w:lineRule="auto"/>
        <w:rPr>
          <w:rFonts w:ascii="Arial" w:hAnsi="Arial" w:cs="Arial"/>
          <w:lang w:val="en-GB"/>
        </w:rPr>
      </w:pPr>
      <w:r w:rsidRPr="001E487A">
        <w:rPr>
          <w:rFonts w:ascii="Arial" w:hAnsi="Arial" w:cs="Arial"/>
          <w:lang w:val="en-GB"/>
        </w:rPr>
        <w:fldChar w:fldCharType="end"/>
      </w:r>
      <w:r w:rsidR="00DF326B">
        <w:rPr>
          <w:rFonts w:ascii="Arial" w:hAnsi="Arial" w:cs="Arial"/>
          <w:lang w:val="en-GB"/>
        </w:rPr>
        <w:br w:type="page"/>
      </w:r>
    </w:p>
    <w:p w:rsidR="0033491A" w:rsidRPr="00DF326B" w:rsidRDefault="00DF326B" w:rsidP="001E487A">
      <w:pPr>
        <w:spacing w:line="480" w:lineRule="auto"/>
        <w:rPr>
          <w:rFonts w:ascii="Arial" w:hAnsi="Arial" w:cs="Arial"/>
          <w:b/>
          <w:lang w:val="en-GB"/>
        </w:rPr>
      </w:pPr>
      <w:r w:rsidRPr="00DF326B">
        <w:rPr>
          <w:rFonts w:ascii="Arial" w:hAnsi="Arial" w:cs="Arial"/>
          <w:b/>
          <w:highlight w:val="yellow"/>
          <w:lang w:val="en-GB"/>
        </w:rPr>
        <w:lastRenderedPageBreak/>
        <w:t>Supplemental table legends</w:t>
      </w:r>
    </w:p>
    <w:p w:rsidR="00DF326B" w:rsidRPr="00DC5887" w:rsidRDefault="00DF326B" w:rsidP="00DF326B">
      <w:pPr>
        <w:spacing w:line="480" w:lineRule="auto"/>
        <w:rPr>
          <w:rFonts w:ascii="Arial" w:hAnsi="Arial" w:cs="Arial"/>
          <w:highlight w:val="yellow"/>
          <w:lang w:val="en-US"/>
        </w:rPr>
      </w:pPr>
      <w:proofErr w:type="gramStart"/>
      <w:r w:rsidRPr="00DC5887">
        <w:rPr>
          <w:rFonts w:ascii="Arial" w:hAnsi="Arial" w:cs="Arial"/>
          <w:b/>
          <w:highlight w:val="yellow"/>
          <w:lang w:val="en-US"/>
        </w:rPr>
        <w:t>Table 2:</w:t>
      </w:r>
      <w:r w:rsidRPr="00DC5887">
        <w:rPr>
          <w:rFonts w:ascii="Arial" w:hAnsi="Arial" w:cs="Arial"/>
          <w:highlight w:val="yellow"/>
          <w:lang w:val="en-US"/>
        </w:rPr>
        <w:t xml:space="preserve"> Seasonal variation of 25</w:t>
      </w:r>
      <w:r>
        <w:rPr>
          <w:rFonts w:ascii="Arial" w:hAnsi="Arial" w:cs="Arial"/>
          <w:highlight w:val="yellow"/>
          <w:lang w:val="en-US"/>
        </w:rPr>
        <w:t>-hydroxy</w:t>
      </w:r>
      <w:r w:rsidRPr="00DC5887">
        <w:rPr>
          <w:rFonts w:ascii="Arial" w:hAnsi="Arial" w:cs="Arial"/>
          <w:highlight w:val="yellow"/>
          <w:lang w:val="en-US"/>
        </w:rPr>
        <w:t>vitamin D, PTH, total testosterone, free testosterone, and free androgen index at baseline.</w:t>
      </w:r>
      <w:proofErr w:type="gramEnd"/>
      <w:r w:rsidRPr="00DC5887">
        <w:rPr>
          <w:rFonts w:ascii="Arial" w:hAnsi="Arial" w:cs="Arial"/>
          <w:highlight w:val="yellow"/>
          <w:lang w:val="en-US"/>
        </w:rPr>
        <w:t xml:space="preserve"> </w:t>
      </w:r>
    </w:p>
    <w:p w:rsidR="00DF326B" w:rsidRDefault="00DF326B" w:rsidP="00DF326B">
      <w:pPr>
        <w:spacing w:line="480" w:lineRule="auto"/>
        <w:rPr>
          <w:rFonts w:ascii="Arial" w:hAnsi="Arial" w:cs="Arial"/>
          <w:lang w:val="en-US"/>
        </w:rPr>
      </w:pPr>
      <w:r w:rsidRPr="00DC5887">
        <w:rPr>
          <w:rFonts w:ascii="Arial" w:hAnsi="Arial" w:cs="Arial"/>
          <w:highlight w:val="yellow"/>
          <w:lang w:val="en-US"/>
        </w:rPr>
        <w:t xml:space="preserve">Comparison of biochemical characteristics were performed using ANOVA. </w:t>
      </w:r>
      <w:r w:rsidRPr="00F527AB">
        <w:rPr>
          <w:rFonts w:ascii="Arial" w:hAnsi="Arial" w:cs="Arial"/>
          <w:highlight w:val="yellow"/>
          <w:lang w:val="en-US"/>
        </w:rPr>
        <w:t>Season 1: January-March, season 2: April-June, season 3: July-September, season 4: October-December</w:t>
      </w:r>
    </w:p>
    <w:p w:rsidR="00DF326B" w:rsidRDefault="00DF326B">
      <w:pPr>
        <w:rPr>
          <w:lang w:val="en-US"/>
        </w:rPr>
      </w:pPr>
      <w:r>
        <w:rPr>
          <w:lang w:val="en-US"/>
        </w:rPr>
        <w:br w:type="page"/>
      </w:r>
    </w:p>
    <w:p w:rsidR="00DF326B" w:rsidRPr="00DF326B" w:rsidRDefault="00DF326B" w:rsidP="00DF326B">
      <w:pPr>
        <w:spacing w:line="480" w:lineRule="auto"/>
        <w:rPr>
          <w:rFonts w:ascii="Arial" w:hAnsi="Arial" w:cs="Arial"/>
          <w:b/>
          <w:lang w:val="en-US"/>
        </w:rPr>
      </w:pPr>
      <w:r w:rsidRPr="00DF326B">
        <w:rPr>
          <w:rFonts w:ascii="Arial" w:hAnsi="Arial" w:cs="Arial"/>
          <w:b/>
          <w:highlight w:val="yellow"/>
          <w:lang w:val="en-US"/>
        </w:rPr>
        <w:lastRenderedPageBreak/>
        <w:t>Supplemental table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54"/>
        <w:gridCol w:w="943"/>
        <w:gridCol w:w="654"/>
        <w:gridCol w:w="993"/>
        <w:gridCol w:w="654"/>
        <w:gridCol w:w="943"/>
        <w:gridCol w:w="654"/>
        <w:gridCol w:w="943"/>
        <w:gridCol w:w="599"/>
      </w:tblGrid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>Season 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 xml:space="preserve">Season </w:t>
            </w:r>
            <w:r w:rsidRPr="00E2613C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 xml:space="preserve">Season </w:t>
            </w:r>
            <w:r w:rsidRPr="00E2613C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 xml:space="preserve">Season </w:t>
            </w:r>
            <w:r w:rsidRPr="00E2613C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</w:p>
        </w:tc>
      </w:tr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IQR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IQR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IQR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IQR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p-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value</w:t>
            </w:r>
            <w:proofErr w:type="spellEnd"/>
          </w:p>
        </w:tc>
      </w:tr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val="en-US" w:eastAsia="de-DE"/>
              </w:rPr>
              <w:t>25-hydroxyvitamin D (</w:t>
            </w:r>
            <w:proofErr w:type="spellStart"/>
            <w:r w:rsidRPr="00926A22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val="en-US" w:eastAsia="de-DE"/>
              </w:rPr>
              <w:t>nmol</w:t>
            </w:r>
            <w:proofErr w:type="spellEnd"/>
            <w:r w:rsidRPr="00926A22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val="en-US" w:eastAsia="de-DE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37-61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52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44-68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73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60-84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37-58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&lt;0.001</w:t>
            </w:r>
          </w:p>
        </w:tc>
      </w:tr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PTH (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pg</w:t>
            </w:r>
            <w:proofErr w:type="spellEnd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/ml)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46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.0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-62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44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36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.0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-53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51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40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1-62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44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25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-50.1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0.056</w:t>
            </w:r>
          </w:p>
        </w:tc>
      </w:tr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Total testosterone (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nmol</w:t>
            </w:r>
            <w:proofErr w:type="spellEnd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/l)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18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8-21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7-22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16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5-18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18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16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7-20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5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0.988</w:t>
            </w:r>
          </w:p>
        </w:tc>
      </w:tr>
      <w:tr w:rsidR="00DF326B" w:rsidRPr="00926A22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 xml:space="preserve">Free 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tes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tosterone</w:t>
            </w:r>
            <w:proofErr w:type="spellEnd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 xml:space="preserve"> (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ng</w:t>
            </w:r>
            <w:proofErr w:type="spellEnd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/ml)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073-0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09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076--0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088-0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102-0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132</w:t>
            </w:r>
          </w:p>
        </w:tc>
        <w:tc>
          <w:tcPr>
            <w:tcW w:w="0" w:type="auto"/>
            <w:vAlign w:val="center"/>
          </w:tcPr>
          <w:p w:rsidR="00DF326B" w:rsidRPr="00926A22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0.324</w:t>
            </w:r>
          </w:p>
        </w:tc>
      </w:tr>
      <w:tr w:rsidR="00DF326B" w:rsidRPr="00993F43" w:rsidTr="00E27AC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 xml:space="preserve">Free androgen </w:t>
            </w:r>
            <w:proofErr w:type="spellStart"/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index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8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6-11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7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5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8-13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6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7-7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4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326B" w:rsidRPr="00E2613C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</w:pP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4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.3</w:t>
            </w:r>
            <w:r w:rsidRPr="00E2613C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-8</w:t>
            </w: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.6</w:t>
            </w:r>
          </w:p>
        </w:tc>
        <w:tc>
          <w:tcPr>
            <w:tcW w:w="0" w:type="auto"/>
            <w:vAlign w:val="center"/>
          </w:tcPr>
          <w:p w:rsidR="00DF326B" w:rsidRPr="00507384" w:rsidRDefault="00DF326B" w:rsidP="00E27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926A22">
              <w:rPr>
                <w:rFonts w:ascii="Calibri" w:eastAsia="Times New Roman" w:hAnsi="Calibri" w:cs="Times New Roman"/>
                <w:color w:val="000000"/>
                <w:highlight w:val="yellow"/>
                <w:lang w:val="en-US" w:eastAsia="de-DE"/>
              </w:rPr>
              <w:t>0.258</w:t>
            </w:r>
          </w:p>
        </w:tc>
      </w:tr>
    </w:tbl>
    <w:p w:rsidR="00DF326B" w:rsidRDefault="00DF326B" w:rsidP="00DF326B">
      <w:pPr>
        <w:rPr>
          <w:rFonts w:ascii="Arial" w:hAnsi="Arial" w:cs="Arial"/>
          <w:b/>
          <w:lang w:val="en-US"/>
        </w:rPr>
      </w:pPr>
      <w:bookmarkStart w:id="7" w:name="_GoBack"/>
      <w:bookmarkEnd w:id="7"/>
    </w:p>
    <w:sectPr w:rsidR="00DF326B" w:rsidSect="00B15A2D"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4F" w:rsidRDefault="00D14E4F" w:rsidP="00DF326B">
      <w:pPr>
        <w:spacing w:after="0" w:line="240" w:lineRule="auto"/>
      </w:pPr>
      <w:r>
        <w:separator/>
      </w:r>
    </w:p>
  </w:endnote>
  <w:endnote w:type="continuationSeparator" w:id="0">
    <w:p w:rsidR="00D14E4F" w:rsidRDefault="00D14E4F" w:rsidP="00DF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697"/>
      <w:docPartObj>
        <w:docPartGallery w:val="Page Numbers (Bottom of Page)"/>
        <w:docPartUnique/>
      </w:docPartObj>
    </w:sdtPr>
    <w:sdtContent>
      <w:p w:rsidR="00DF326B" w:rsidRDefault="00DF32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F326B" w:rsidRDefault="00DF32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4F" w:rsidRDefault="00D14E4F" w:rsidP="00DF326B">
      <w:pPr>
        <w:spacing w:after="0" w:line="240" w:lineRule="auto"/>
      </w:pPr>
      <w:r>
        <w:separator/>
      </w:r>
    </w:p>
  </w:footnote>
  <w:footnote w:type="continuationSeparator" w:id="0">
    <w:p w:rsidR="00D14E4F" w:rsidRDefault="00D14E4F" w:rsidP="00DF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 Endocri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p2tdfan2stp9ezf0l5r0zr2ddw925wxzvw&quot;&gt;PCOS-ZMF&lt;record-ids&gt;&lt;item&gt;511&lt;/item&gt;&lt;item&gt;512&lt;/item&gt;&lt;item&gt;1037&lt;/item&gt;&lt;item&gt;1038&lt;/item&gt;&lt;item&gt;1039&lt;/item&gt;&lt;item&gt;1040&lt;/item&gt;&lt;item&gt;1043&lt;/item&gt;&lt;item&gt;1044&lt;/item&gt;&lt;/record-ids&gt;&lt;/item&gt;&lt;/Libraries&gt;"/>
  </w:docVars>
  <w:rsids>
    <w:rsidRoot w:val="00E72BC5"/>
    <w:rsid w:val="000171FB"/>
    <w:rsid w:val="00032E7B"/>
    <w:rsid w:val="00061D85"/>
    <w:rsid w:val="00086FC4"/>
    <w:rsid w:val="000A340E"/>
    <w:rsid w:val="000A5A42"/>
    <w:rsid w:val="001E487A"/>
    <w:rsid w:val="003679AD"/>
    <w:rsid w:val="00372623"/>
    <w:rsid w:val="00404FEC"/>
    <w:rsid w:val="0057374E"/>
    <w:rsid w:val="005B176A"/>
    <w:rsid w:val="005B4B62"/>
    <w:rsid w:val="005C11AC"/>
    <w:rsid w:val="006566A6"/>
    <w:rsid w:val="0076750C"/>
    <w:rsid w:val="007B722B"/>
    <w:rsid w:val="00872B91"/>
    <w:rsid w:val="00901103"/>
    <w:rsid w:val="00A377D6"/>
    <w:rsid w:val="00AD3D1A"/>
    <w:rsid w:val="00B15A2D"/>
    <w:rsid w:val="00D14E4F"/>
    <w:rsid w:val="00D16824"/>
    <w:rsid w:val="00DE751D"/>
    <w:rsid w:val="00DF326B"/>
    <w:rsid w:val="00E02EAB"/>
    <w:rsid w:val="00E72BC5"/>
    <w:rsid w:val="00F063E1"/>
    <w:rsid w:val="00F91A96"/>
    <w:rsid w:val="00F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6824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15A2D"/>
  </w:style>
  <w:style w:type="paragraph" w:styleId="Kopfzeile">
    <w:name w:val="header"/>
    <w:basedOn w:val="Standard"/>
    <w:link w:val="KopfzeileZchn"/>
    <w:uiPriority w:val="99"/>
    <w:unhideWhenUsed/>
    <w:rsid w:val="00D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26B"/>
  </w:style>
  <w:style w:type="paragraph" w:styleId="Fuzeile">
    <w:name w:val="footer"/>
    <w:basedOn w:val="Standard"/>
    <w:link w:val="FuzeileZchn"/>
    <w:uiPriority w:val="99"/>
    <w:unhideWhenUsed/>
    <w:rsid w:val="00D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6824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15A2D"/>
  </w:style>
  <w:style w:type="paragraph" w:styleId="Kopfzeile">
    <w:name w:val="header"/>
    <w:basedOn w:val="Standard"/>
    <w:link w:val="KopfzeileZchn"/>
    <w:uiPriority w:val="99"/>
    <w:unhideWhenUsed/>
    <w:rsid w:val="00D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26B"/>
  </w:style>
  <w:style w:type="paragraph" w:styleId="Fuzeile">
    <w:name w:val="footer"/>
    <w:basedOn w:val="Standard"/>
    <w:link w:val="FuzeileZchn"/>
    <w:uiPriority w:val="99"/>
    <w:unhideWhenUsed/>
    <w:rsid w:val="00D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2017-07-26T14:44:00Z</dcterms:created>
  <dcterms:modified xsi:type="dcterms:W3CDTF">2017-07-26T14:44:00Z</dcterms:modified>
</cp:coreProperties>
</file>