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4C" w:rsidRPr="001E4CE0" w:rsidRDefault="000A4B4C" w:rsidP="001E4CE0">
      <w:pPr>
        <w:ind w:left="-540"/>
        <w:rPr>
          <w:rFonts w:asciiTheme="minorHAnsi" w:hAnsiTheme="minorHAnsi" w:cstheme="minorHAnsi"/>
          <w:b/>
        </w:rPr>
      </w:pPr>
      <w:r w:rsidRPr="001E4CE0">
        <w:rPr>
          <w:rFonts w:asciiTheme="minorHAnsi" w:hAnsiTheme="minorHAnsi" w:cstheme="minorHAnsi"/>
          <w:b/>
        </w:rPr>
        <w:t xml:space="preserve">Appendix A. Protocol: Transgender Male </w:t>
      </w:r>
    </w:p>
    <w:p w:rsidR="000A4B4C" w:rsidRPr="001E4CE0" w:rsidRDefault="000A4B4C" w:rsidP="000A4B4C">
      <w:pPr>
        <w:ind w:left="-63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866"/>
        <w:gridCol w:w="1525"/>
        <w:gridCol w:w="1628"/>
        <w:gridCol w:w="1923"/>
        <w:gridCol w:w="2428"/>
        <w:gridCol w:w="1525"/>
      </w:tblGrid>
      <w:tr w:rsidR="000A4B4C" w:rsidRPr="001E4CE0" w:rsidTr="000A4B4C">
        <w:trPr>
          <w:cantSplit/>
          <w:trHeight w:val="2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CE0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Study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Participants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Age (years)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Medication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Duration of Treatment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Deutsch 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[1]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29 ± 6.9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Testosterone cypionate 200 mg weekly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6 months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van </w:t>
            </w: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Caenegem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[2]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27 ± 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tabs>
                <w:tab w:val="left" w:pos="13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TU 1,000 mg/12 weeks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Pelusi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 al.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[3]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27.9-33.9;26.6-32.1;25.6-30.9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Testosterone enanthate 100 mg/10 days IM; testosterone gel 50 mg/day TTS; TU 1,000 mg/6-12 weeks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Wierckx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[4]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tabs>
                <w:tab w:val="left" w:pos="7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27.3 ± 8.5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TU 1,000 mg/6-12 weeks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Mueller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[5]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30.4 ± 9.1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TU 1,000 mg IM/12 weeks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Cupisti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[6]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29.9 (CI 27.8-32.0)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TU 1,000 mg/12 weeks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Perrone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[7]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Testosterone enanthate 100 mg/10 days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Haraldsen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[8]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25.1 ± 4.8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Testosterone </w:t>
            </w: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enantate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250 mg/3 weeks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Mueller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[9]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29.6 ± 9.0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TU 1,000 mg/3 months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Berra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[10]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30.4 ± 5.4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Testosterone enanthate 100 mg/10 days IM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tabs>
                <w:tab w:val="left" w:pos="390"/>
                <w:tab w:val="center" w:pos="532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6 months</w:t>
            </w:r>
          </w:p>
          <w:p w:rsidR="000A4B4C" w:rsidRPr="001E4CE0" w:rsidRDefault="000A4B4C" w:rsidP="008C2791">
            <w:pPr>
              <w:tabs>
                <w:tab w:val="left" w:pos="390"/>
                <w:tab w:val="center" w:pos="5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Giltay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[11]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median 36.7 (range 21-61)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Sustanon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250mg/2 weeks (n = 61); TU 240 mg/day OR (n = 20)</w:t>
            </w:r>
          </w:p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tabs>
                <w:tab w:val="left" w:pos="405"/>
                <w:tab w:val="center" w:pos="5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3-4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Elbers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[12]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23 ± 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Sustanon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250mg/2 weeks IM</w:t>
            </w:r>
          </w:p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1998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Giltay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[13]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median 23 (range 16-33)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Sustanon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250mg/2 weeks IM</w:t>
            </w:r>
          </w:p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1997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Elbers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[14]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24 ± 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Sustanon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250mg/2 weeks IM</w:t>
            </w:r>
          </w:p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1997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Elbers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[15]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23 ± 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Sustanon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250mg/2 weeks IM</w:t>
            </w:r>
          </w:p>
          <w:p w:rsidR="000A4B4C" w:rsidRPr="001E4CE0" w:rsidRDefault="000A4B4C" w:rsidP="008C27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</w:tbl>
    <w:p w:rsidR="000A4B4C" w:rsidRPr="001E4CE0" w:rsidRDefault="000A4B4C" w:rsidP="000A4B4C">
      <w:pPr>
        <w:ind w:left="-630"/>
        <w:rPr>
          <w:rFonts w:asciiTheme="minorHAnsi" w:eastAsia="Times New Roman" w:hAnsiTheme="minorHAnsi" w:cstheme="minorHAnsi"/>
          <w:sz w:val="18"/>
          <w:szCs w:val="18"/>
        </w:rPr>
      </w:pPr>
      <w:r w:rsidRPr="001E4C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4CE0">
        <w:rPr>
          <w:rFonts w:asciiTheme="minorHAnsi" w:eastAsia="Times New Roman" w:hAnsiTheme="minorHAnsi" w:cstheme="minorHAnsi"/>
          <w:sz w:val="18"/>
          <w:szCs w:val="18"/>
        </w:rPr>
        <w:t xml:space="preserve"> Abbreviations: TU, testosterone undecanoate; IM, intramuscular; TTS, transdermal; OR, oral       </w:t>
      </w:r>
    </w:p>
    <w:p w:rsidR="000A4B4C" w:rsidRPr="001E4CE0" w:rsidRDefault="000A4B4C" w:rsidP="000A4B4C">
      <w:pPr>
        <w:ind w:left="-630"/>
        <w:rPr>
          <w:rFonts w:asciiTheme="minorHAnsi" w:eastAsia="Times New Roman" w:hAnsiTheme="minorHAnsi" w:cstheme="minorHAnsi"/>
          <w:sz w:val="22"/>
          <w:szCs w:val="22"/>
        </w:rPr>
      </w:pPr>
    </w:p>
    <w:p w:rsidR="000A4B4C" w:rsidRPr="001E4CE0" w:rsidRDefault="000A4B4C" w:rsidP="000A4B4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4CE0">
        <w:rPr>
          <w:rFonts w:asciiTheme="minorHAnsi" w:hAnsiTheme="minorHAnsi" w:cstheme="minorHAnsi"/>
          <w:b/>
          <w:bCs/>
          <w:sz w:val="22"/>
          <w:szCs w:val="22"/>
          <w:u w:val="single"/>
        </w:rPr>
        <w:t>Appendix A References</w:t>
      </w:r>
      <w:r w:rsidRPr="001E4CE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[1] Deutsch MB,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Bhakri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V,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Kubicek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K. Effects of Cross-Sex Hormone Treatment on Transgender Women and Men.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Obstet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Gynecol. 2015;125(3):605–10.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[2] Van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Caenegem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Wierckx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K,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Taes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Y, Schreiner T,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Vandewalle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Toye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K, et al. Body composition, bone turnover, and bone mass in trans men during testosterone treatment: 1-year follow-up data from a prospective case-controlled study (ENIGI).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Eur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 Endocrinol. 2015;172(2):163–71.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[3]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Pelusi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C, Costantino A,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Martelli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V,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Lambertini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Bazzocchi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A, Ponti F, et al. Effects of three different testosterone formulations in female-to-male transsexual persons. J</w:t>
      </w:r>
      <w:r w:rsidR="001E4CE0">
        <w:rPr>
          <w:rFonts w:asciiTheme="minorHAnsi" w:hAnsiTheme="minorHAnsi" w:cstheme="minorHAnsi"/>
          <w:sz w:val="22"/>
          <w:szCs w:val="22"/>
        </w:rPr>
        <w:t xml:space="preserve"> Sex Med. 2014;11(12):3002–11.</w:t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[4]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Wierckx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K, Van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Caenegem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E, Schreiner T,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Haraldsen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I, Fisher A,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Toye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K, et al. Cross-sex hormone therapy in trans persons is safe and effective at short-time follow-up: Results from the European network for the investigation of gender incongruence. J Sex Med. 2014;11(8):1999–2011.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[5] Mueller A,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Haeberle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L,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Zollver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H, Claassen T,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Kronawitter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D,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Oppelt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PG, et al. Effects of Intramuscular Testosterone Undecanoate on Body Composition and Bone Mineral Density in Female-to-Male Transsexuals. J Sex Med. 2010;7(9):3190–8.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[6]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Cupisti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Giltay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EJ, Gooren LJ,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Kronawitter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D,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Oppelt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PG, Beckmann MW, et al. The impact of testosterone administration to female-to-male transsexuals on insulin resistance and lipid parameters compared with women with polycystic ovary syndrome.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Fertil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Steril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>. 2010;94(7):2647–53.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[7] Perrone AM,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Cerpolini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S, Maria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Salfi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NC,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Ceccarelli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C, De Giorgi LB,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Formelli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G, et al. Effect of long-term testosterone administration on the endometrium of female-to-male (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FtM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>) transsexuals. J Sex Med. 2009;6(11):3193–200.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[8]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Haraldsen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IR,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Haug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Falch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J, Egeland T,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Opjordsmoen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S. Cross-sex pattern of bone mineral density in early onset gender identity disorder.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Horm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Behav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>. 2007;52(3):334–43.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[9] Mueller A,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Kiesewetter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F, Binder H, Beckmann MW, Dittrich R. Long-term administration of testosterone undecanoate every 3 months for testosterone supplementation in female-to-male transsexuals. J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Clin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Endocrinol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Metab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>. 2007;92(9):3470–5.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[10] Berra M,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Armillotta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F,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D’emidio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L, Costantino A,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Martorana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G,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Pelusi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G, et al. Testosterone decreases adiponectin levels in female to male transsexuals. Asian J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Androl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>. 2006;8(6):725–9.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[11]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Giltay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EJ,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Toorians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AWFT,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Sarabjitsingh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AR, de Vries NA, Gooren LJG. Established risk factors for coronary heart disease are unrelated to androgen-induced baldness in female-to-male transsexuals. J Endocrinol. 2004;180(1):107–12.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[12]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Elbers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JMH,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Giltay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EJ,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Teerlink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T,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Scheffer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PG,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Asscheman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H,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Seidell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JC, et al. Effects of sex steroids on components of the insulin resistance syndrome in transsexual subjects.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Clin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Endocrinol (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Oxf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>). 2003;58(5):562–71.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[13]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Giltay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EJ,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Hoogeveen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EK,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Elbers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JM, Gooren LJ,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Asscheman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H,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Stehouwer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CD, et al. Effects of sex steroids on plasma total homocysteine levels: A study in transsexual males and females. J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Clin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Endocrinol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Metab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>. 1998;83(2):550–3.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[14]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Elbers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JMH,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Asscheman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H,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Seidell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JC,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Megens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JAJ, Gooren LJG. Long-term testosterone administration increases visceral fat in female to male transsexuals. J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Clin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Endocrinol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Metab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>. 1997;82(7):2044–7.</w:t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0A4B4C">
      <w:pPr>
        <w:rPr>
          <w:rFonts w:asciiTheme="minorHAnsi" w:hAnsiTheme="minorHAnsi" w:cstheme="minorHAnsi"/>
          <w:sz w:val="22"/>
          <w:szCs w:val="22"/>
        </w:rPr>
        <w:sectPr w:rsidR="000A4B4C" w:rsidRPr="001E4CE0" w:rsidSect="00B47D0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E4CE0">
        <w:rPr>
          <w:rFonts w:asciiTheme="minorHAnsi" w:hAnsiTheme="minorHAnsi" w:cstheme="minorHAnsi"/>
          <w:sz w:val="22"/>
          <w:szCs w:val="22"/>
        </w:rPr>
        <w:t xml:space="preserve">[15]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Elbers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JMH,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Asscheman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H,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Seidell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JC,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Frölich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M,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Meinders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AE, Gooren LJG. Reversal of the sex difference in serum leptin levels upon cross-sex hormone administration in transsexuals. J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Clin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 xml:space="preserve"> Endocrinol </w:t>
      </w:r>
      <w:proofErr w:type="spellStart"/>
      <w:r w:rsidRPr="001E4CE0">
        <w:rPr>
          <w:rFonts w:asciiTheme="minorHAnsi" w:hAnsiTheme="minorHAnsi" w:cstheme="minorHAnsi"/>
          <w:sz w:val="22"/>
          <w:szCs w:val="22"/>
        </w:rPr>
        <w:t>Metab</w:t>
      </w:r>
      <w:proofErr w:type="spellEnd"/>
      <w:r w:rsidRPr="001E4CE0">
        <w:rPr>
          <w:rFonts w:asciiTheme="minorHAnsi" w:hAnsiTheme="minorHAnsi" w:cstheme="minorHAnsi"/>
          <w:sz w:val="22"/>
          <w:szCs w:val="22"/>
        </w:rPr>
        <w:t>. 1997;82(10):3267–70.</w:t>
      </w:r>
      <w:r w:rsidRPr="001E4CE0">
        <w:rPr>
          <w:rFonts w:asciiTheme="minorHAnsi" w:hAnsiTheme="minorHAnsi" w:cstheme="minorHAnsi"/>
          <w:sz w:val="22"/>
          <w:szCs w:val="22"/>
        </w:rPr>
        <w:tab/>
      </w:r>
    </w:p>
    <w:p w:rsidR="000A4B4C" w:rsidRPr="001E4CE0" w:rsidRDefault="000A4B4C" w:rsidP="000A4B4C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</w:p>
    <w:p w:rsidR="000A4B4C" w:rsidRPr="001E4CE0" w:rsidRDefault="000A4B4C" w:rsidP="001E4CE0">
      <w:pPr>
        <w:ind w:left="-540"/>
        <w:rPr>
          <w:rFonts w:asciiTheme="minorHAnsi" w:hAnsiTheme="minorHAnsi" w:cstheme="minorHAnsi"/>
          <w:b/>
        </w:rPr>
      </w:pPr>
      <w:r w:rsidRPr="001E4CE0">
        <w:rPr>
          <w:rFonts w:asciiTheme="minorHAnsi" w:hAnsiTheme="minorHAnsi" w:cstheme="minorHAnsi"/>
          <w:b/>
          <w:bCs/>
        </w:rPr>
        <w:t>A</w:t>
      </w:r>
      <w:r w:rsidRPr="001E4CE0">
        <w:rPr>
          <w:rFonts w:asciiTheme="minorHAnsi" w:hAnsiTheme="minorHAnsi" w:cstheme="minorHAnsi"/>
          <w:b/>
          <w:color w:val="auto"/>
        </w:rPr>
        <w:t xml:space="preserve">ppendix B. </w:t>
      </w:r>
      <w:r w:rsidRPr="001E4CE0">
        <w:rPr>
          <w:rFonts w:asciiTheme="minorHAnsi" w:hAnsiTheme="minorHAnsi" w:cstheme="minorHAnsi"/>
          <w:b/>
        </w:rPr>
        <w:t xml:space="preserve"> Protocol: Transgender Female</w:t>
      </w:r>
    </w:p>
    <w:p w:rsidR="000A4B4C" w:rsidRPr="001E4CE0" w:rsidRDefault="000A4B4C" w:rsidP="000A4B4C">
      <w:pPr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tbl>
      <w:tblPr>
        <w:tblStyle w:val="TableGrid"/>
        <w:tblW w:w="13721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63"/>
        <w:gridCol w:w="1917"/>
        <w:gridCol w:w="1503"/>
        <w:gridCol w:w="1484"/>
        <w:gridCol w:w="5266"/>
        <w:gridCol w:w="2088"/>
      </w:tblGrid>
      <w:tr w:rsidR="000A4B4C" w:rsidRPr="001E4CE0" w:rsidTr="000A4B4C">
        <w:trPr>
          <w:cantSplit/>
          <w:trHeight w:val="440"/>
          <w:tblHeader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4CE0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Study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Participants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Age (years)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Medication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A4B4C" w:rsidRPr="001E4CE0" w:rsidRDefault="000A4B4C" w:rsidP="000A4B4C">
            <w:pPr>
              <w:jc w:val="center"/>
              <w:rPr>
                <w:rFonts w:asciiTheme="minorHAnsi" w:hAnsiTheme="minorHAnsi" w:cstheme="minorHAnsi"/>
              </w:rPr>
            </w:pPr>
            <w:r w:rsidRPr="001E4CE0">
              <w:rPr>
                <w:rFonts w:asciiTheme="minorHAnsi" w:hAnsiTheme="minorHAnsi" w:cstheme="minorHAnsi"/>
                <w:b/>
                <w:bCs/>
              </w:rPr>
              <w:t>Duration of Treatment</w:t>
            </w:r>
          </w:p>
        </w:tc>
      </w:tr>
      <w:tr w:rsidR="000A4B4C" w:rsidRPr="001E4CE0" w:rsidTr="000A4B4C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Gava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[1]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CPA 50 mg/day or leuprolide acetate 3,75 mg/month IM + Estradiol 1-2 mg TTS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  <w:trHeight w:val="84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tabs>
                <w:tab w:val="left" w:pos="420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Deutsch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[2]</w:t>
            </w:r>
          </w:p>
          <w:p w:rsidR="000A4B4C" w:rsidRPr="001E4CE0" w:rsidRDefault="000A4B4C" w:rsidP="008C2791">
            <w:pPr>
              <w:tabs>
                <w:tab w:val="left" w:pos="4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29 ± 9.4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tabs>
                <w:tab w:val="left" w:pos="16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Spironolactone 100 mg/day OR+ 17Estradiol 2 mg 2 </w:t>
            </w: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OR (n=14) or 17-β Estradiol patch 100 mcg/day TTS (n= 1) or Estradiol valerate 20 mg/2 weeks IM (n= 1)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6 months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4B4C" w:rsidRPr="001E4CE0" w:rsidTr="000A4B4C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Wierckx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[3]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31.7 ± 14.8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CPA 50 mg/day OR + Estradiol valerate 4 mg/day OR (n = 40) or 17-β Estradiol patch 100 mcg/24 hours TTS (n = 13)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Mueller et al.</w:t>
            </w:r>
            <w:r w:rsid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[4]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4C" w:rsidRPr="001E4CE0" w:rsidRDefault="000A4B4C" w:rsidP="008C279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36.3 ± 11.3</w:t>
            </w:r>
          </w:p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tabs>
                <w:tab w:val="left" w:pos="26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3.8 mg </w:t>
            </w: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goserelin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acetate/4 weeks + Estradiol valerate 10 mg/10 days IM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Haraldsen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[5]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29.3 ± 7.8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50 mcg </w:t>
            </w: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Ethinylestradiol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Elbers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 [6]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26 ± 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100 mg CPA**+ 100 mcg </w:t>
            </w: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Ethinylestradiol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1999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Elbers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[7]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26 ± 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100 mg CPA **+ 100 mcg </w:t>
            </w: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Ethinylestradiol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  <w:trHeight w:val="53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1998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Giltay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[8]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median 27 (range 18-37)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100 mg CPA**+ 100 mcg </w:t>
            </w: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Ethinylestradiol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  <w:tr w:rsidR="000A4B4C" w:rsidRPr="001E4CE0" w:rsidTr="000A4B4C">
        <w:trPr>
          <w:cantSplit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1997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Elbers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et al.</w:t>
            </w:r>
            <w:r w:rsidR="001E4C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E4CE0">
              <w:rPr>
                <w:rFonts w:asciiTheme="minorHAnsi" w:hAnsiTheme="minorHAnsi" w:cstheme="minorHAnsi"/>
                <w:i/>
                <w:sz w:val="22"/>
                <w:szCs w:val="22"/>
              </w:rPr>
              <w:t>[9]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26 ± 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100 mg CPA**+ 100 mcg </w:t>
            </w:r>
            <w:proofErr w:type="spellStart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Ethinylestradiol</w:t>
            </w:r>
            <w:proofErr w:type="spellEnd"/>
            <w:r w:rsidRPr="001E4CE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4C" w:rsidRPr="001E4CE0" w:rsidRDefault="000A4B4C" w:rsidP="008C27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4CE0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</w:p>
        </w:tc>
      </w:tr>
    </w:tbl>
    <w:p w:rsidR="000A4B4C" w:rsidRPr="001E4CE0" w:rsidRDefault="000A4B4C" w:rsidP="000A4B4C">
      <w:pPr>
        <w:ind w:left="-720"/>
        <w:rPr>
          <w:rFonts w:asciiTheme="minorHAnsi" w:hAnsiTheme="minorHAnsi" w:cstheme="minorHAnsi"/>
          <w:sz w:val="18"/>
          <w:szCs w:val="18"/>
        </w:rPr>
      </w:pPr>
      <w:r w:rsidRPr="001E4CE0">
        <w:rPr>
          <w:rFonts w:asciiTheme="minorHAnsi" w:hAnsiTheme="minorHAnsi" w:cstheme="minorHAnsi"/>
          <w:sz w:val="18"/>
          <w:szCs w:val="18"/>
        </w:rPr>
        <w:t xml:space="preserve">    Abbreviations:  CPA, cyproterone acetate; OR, oral; TTS, transdermal; IM, intramuscular; OR, oral</w:t>
      </w:r>
    </w:p>
    <w:p w:rsidR="000A4B4C" w:rsidRPr="001E4CE0" w:rsidRDefault="000A4B4C" w:rsidP="000A4B4C">
      <w:pPr>
        <w:ind w:left="-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E4CE0">
        <w:rPr>
          <w:rFonts w:asciiTheme="minorHAnsi" w:hAnsiTheme="minorHAnsi" w:cstheme="minorHAnsi"/>
          <w:sz w:val="22"/>
          <w:szCs w:val="22"/>
        </w:rPr>
        <w:t xml:space="preserve"> </w:t>
      </w:r>
      <w:r w:rsidRPr="001E4CE0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 </w:t>
      </w:r>
    </w:p>
    <w:p w:rsidR="000A4B4C" w:rsidRPr="001E4CE0" w:rsidRDefault="000A4B4C" w:rsidP="000A4B4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E4CE0">
        <w:rPr>
          <w:rFonts w:asciiTheme="minorHAnsi" w:hAnsiTheme="minorHAnsi" w:cstheme="minorHAnsi"/>
          <w:b/>
          <w:bCs/>
          <w:sz w:val="22"/>
          <w:szCs w:val="22"/>
          <w:u w:val="single"/>
        </w:rPr>
        <w:t>Appendix B References</w:t>
      </w:r>
      <w:r w:rsidRPr="001E4CE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>[1]</w:t>
      </w:r>
      <w:r w:rsidR="001E4CE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Gava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G,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Cerpolini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S,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Martelli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V, Battista G,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Seracchioli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R,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Meriggiola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MC. Cyproterone acetate versus leuprolide acetate in combination with transdermal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oestradiol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in transwomen: a comparison of safety and effectiveness.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Clin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Endocrinol (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Oxf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). </w:t>
      </w:r>
      <w:proofErr w:type="gramStart"/>
      <w:r w:rsidRPr="001E4CE0">
        <w:rPr>
          <w:rFonts w:asciiTheme="minorHAnsi" w:hAnsiTheme="minorHAnsi" w:cstheme="minorHAnsi"/>
          <w:bCs/>
          <w:sz w:val="22"/>
          <w:szCs w:val="22"/>
        </w:rPr>
        <w:t>2016;n</w:t>
      </w:r>
      <w:proofErr w:type="gramEnd"/>
      <w:r w:rsidRPr="001E4CE0">
        <w:rPr>
          <w:rFonts w:asciiTheme="minorHAnsi" w:hAnsiTheme="minorHAnsi" w:cstheme="minorHAnsi"/>
          <w:bCs/>
          <w:sz w:val="22"/>
          <w:szCs w:val="22"/>
        </w:rPr>
        <w:t>/a-n/a.</w:t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>[2]</w:t>
      </w:r>
      <w:r w:rsidR="001E4C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4CE0">
        <w:rPr>
          <w:rFonts w:asciiTheme="minorHAnsi" w:hAnsiTheme="minorHAnsi" w:cstheme="minorHAnsi"/>
          <w:bCs/>
          <w:sz w:val="22"/>
          <w:szCs w:val="22"/>
        </w:rPr>
        <w:t xml:space="preserve">Deutsch MB,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Bhakri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V,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Kubicek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K. Effects of Cross-Sex Hormone Treatment on Transgender Women and Men.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Obstet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Gynecol. 2015;125(3):605–10.</w:t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>[3]</w:t>
      </w:r>
      <w:r w:rsidR="001E4CE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Wierckx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K, Van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Caenegem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E, Schreiner T,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Haraldsen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I, Fisher A,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Toye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K, et al. Cross-sex hormone therapy in trans persons is safe and effective at short-time follow-up: Results from the European network for the investigation of gender incongruence. J Sex Med. 2014;11(8):1999–2011.</w:t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ab/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 xml:space="preserve">[4] Mueller A,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Haeberle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L,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Zollver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H, Claassen T,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Kronawitter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D,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Oppelt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PG, et al. Effects of Intramuscular Testosterone Undecanoate on Body Composition and Bone Mineral Density in Female-to-Male Transsexuals. J Sex Med. 2010;7(9):3190–8.</w:t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 xml:space="preserve">[5]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Haraldsen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IR,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Haug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E,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Falch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J, Egeland T,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Opjordsmoen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S. Cross-sex pattern of bone mineral density in early onset gender identity disorder.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Horm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Behav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>. 2007;52(3):334–43.</w:t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 xml:space="preserve">[6]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Elbers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JMH,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Giltay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EJ,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Teerlink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T,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Scheffer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PG,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Asscheman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H,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Seidell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JC, et al. Effects of sex steroids on components of the insulin resistance Syndrome in transsexual subjects.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Clin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Endocrinol (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Oxf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>). 2003;58(5):562–71.</w:t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 xml:space="preserve">[7]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Elbers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JMH,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Asscheman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H,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Seidell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JC, Gooren LJG. Effects of sex steroid hormones on regional fat depots as assessed by magnetic resonance imaging in transsexuals. Am J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Physiol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Metab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>. 1999;276(2</w:t>
      </w:r>
      <w:proofErr w:type="gramStart"/>
      <w:r w:rsidRPr="001E4CE0">
        <w:rPr>
          <w:rFonts w:asciiTheme="minorHAnsi" w:hAnsiTheme="minorHAnsi" w:cstheme="minorHAnsi"/>
          <w:bCs/>
          <w:sz w:val="22"/>
          <w:szCs w:val="22"/>
        </w:rPr>
        <w:t>):E</w:t>
      </w:r>
      <w:proofErr w:type="gramEnd"/>
      <w:r w:rsidRPr="001E4CE0">
        <w:rPr>
          <w:rFonts w:asciiTheme="minorHAnsi" w:hAnsiTheme="minorHAnsi" w:cstheme="minorHAnsi"/>
          <w:bCs/>
          <w:sz w:val="22"/>
          <w:szCs w:val="22"/>
        </w:rPr>
        <w:t>317–25.</w:t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p w:rsidR="000A4B4C" w:rsidRPr="001E4CE0" w:rsidRDefault="000A4B4C" w:rsidP="001E4CE0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 xml:space="preserve">[8]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Giltay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EJ,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Hoogeveen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EK,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Elbers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JM, Gooren LJ,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Asscheman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H,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Stehouwer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CD, et al. Effects of sex steroids on plasma total homocysteine levels: A study in transsexual males and females. J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Clin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Endocrinol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Metab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>. 1998;83(2):550–3.</w:t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p w:rsidR="00DA4B95" w:rsidRPr="001E4CE0" w:rsidRDefault="000A4B4C" w:rsidP="000A4B4C">
      <w:pPr>
        <w:rPr>
          <w:rFonts w:asciiTheme="minorHAnsi" w:hAnsiTheme="minorHAnsi" w:cstheme="minorHAnsi"/>
          <w:sz w:val="22"/>
          <w:szCs w:val="22"/>
        </w:rPr>
      </w:pPr>
      <w:r w:rsidRPr="001E4CE0">
        <w:rPr>
          <w:rFonts w:asciiTheme="minorHAnsi" w:hAnsiTheme="minorHAnsi" w:cstheme="minorHAnsi"/>
          <w:bCs/>
          <w:sz w:val="22"/>
          <w:szCs w:val="22"/>
        </w:rPr>
        <w:t xml:space="preserve">[9]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Elbers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JMH,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Asscheman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H,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Seidell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JC,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Frölich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M,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Meinders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AE, Gooren LJG. Reversal of the sex difference in serum leptin levels upon cross-sex hormone administration in transsexuals. J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Clin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 xml:space="preserve"> Endocrinol </w:t>
      </w:r>
      <w:proofErr w:type="spellStart"/>
      <w:r w:rsidRPr="001E4CE0">
        <w:rPr>
          <w:rFonts w:asciiTheme="minorHAnsi" w:hAnsiTheme="minorHAnsi" w:cstheme="minorHAnsi"/>
          <w:bCs/>
          <w:sz w:val="22"/>
          <w:szCs w:val="22"/>
        </w:rPr>
        <w:t>Metab</w:t>
      </w:r>
      <w:proofErr w:type="spellEnd"/>
      <w:r w:rsidRPr="001E4CE0">
        <w:rPr>
          <w:rFonts w:asciiTheme="minorHAnsi" w:hAnsiTheme="minorHAnsi" w:cstheme="minorHAnsi"/>
          <w:bCs/>
          <w:sz w:val="22"/>
          <w:szCs w:val="22"/>
        </w:rPr>
        <w:t>. 1997;82(10):3267–70.</w:t>
      </w:r>
      <w:r w:rsidRPr="001E4CE0">
        <w:rPr>
          <w:rFonts w:asciiTheme="minorHAnsi" w:hAnsiTheme="minorHAnsi" w:cstheme="minorHAnsi"/>
          <w:bCs/>
          <w:sz w:val="22"/>
          <w:szCs w:val="22"/>
        </w:rPr>
        <w:tab/>
      </w:r>
    </w:p>
    <w:sectPr w:rsidR="00DA4B95" w:rsidRPr="001E4CE0" w:rsidSect="000A4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69" w:rsidRDefault="00317A69" w:rsidP="000A4B4C">
      <w:r>
        <w:separator/>
      </w:r>
    </w:p>
  </w:endnote>
  <w:endnote w:type="continuationSeparator" w:id="0">
    <w:p w:rsidR="00317A69" w:rsidRDefault="00317A69" w:rsidP="000A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929163"/>
      <w:docPartObj>
        <w:docPartGallery w:val="Page Numbers (Bottom of Page)"/>
        <w:docPartUnique/>
      </w:docPartObj>
    </w:sdtPr>
    <w:sdtEndPr/>
    <w:sdtContent>
      <w:sdt>
        <w:sdtPr>
          <w:id w:val="-430518547"/>
          <w:docPartObj>
            <w:docPartGallery w:val="Page Numbers (Top of Page)"/>
            <w:docPartUnique/>
          </w:docPartObj>
        </w:sdtPr>
        <w:sdtEndPr/>
        <w:sdtContent>
          <w:p w:rsidR="00523E02" w:rsidRDefault="00317A69" w:rsidP="000A4B4C">
            <w:pPr>
              <w:pStyle w:val="Footer"/>
              <w:jc w:val="center"/>
              <w:rPr>
                <w:b/>
                <w:bCs/>
              </w:rPr>
            </w:pPr>
          </w:p>
          <w:p w:rsidR="00523E02" w:rsidRDefault="00317A69" w:rsidP="003064BC">
            <w:pPr>
              <w:pStyle w:val="Footer"/>
              <w:tabs>
                <w:tab w:val="center" w:pos="4680"/>
                <w:tab w:val="left" w:pos="7020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:rsidR="00523E02" w:rsidRDefault="00317A69" w:rsidP="0003093C">
    <w:pPr>
      <w:pStyle w:val="Footer"/>
      <w:tabs>
        <w:tab w:val="clear" w:pos="4320"/>
        <w:tab w:val="clear" w:pos="8640"/>
        <w:tab w:val="left" w:pos="2115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69" w:rsidRDefault="00317A69" w:rsidP="000A4B4C">
      <w:r>
        <w:separator/>
      </w:r>
    </w:p>
  </w:footnote>
  <w:footnote w:type="continuationSeparator" w:id="0">
    <w:p w:rsidR="00317A69" w:rsidRDefault="00317A69" w:rsidP="000A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C"/>
    <w:rsid w:val="000A4B4C"/>
    <w:rsid w:val="001E4CE0"/>
    <w:rsid w:val="00317A69"/>
    <w:rsid w:val="005C6597"/>
    <w:rsid w:val="00CB5D8E"/>
    <w:rsid w:val="00D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A212"/>
  <w15:chartTrackingRefBased/>
  <w15:docId w15:val="{89F05FB8-CE75-4FD2-96C2-3A4E6065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B4C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B4C"/>
    <w:pPr>
      <w:tabs>
        <w:tab w:val="center" w:pos="4320"/>
        <w:tab w:val="right" w:pos="8640"/>
      </w:tabs>
    </w:pPr>
    <w:rPr>
      <w:rFonts w:eastAsia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4B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4B4C"/>
    <w:pPr>
      <w:tabs>
        <w:tab w:val="center" w:pos="4320"/>
        <w:tab w:val="right" w:pos="8640"/>
      </w:tabs>
    </w:pPr>
    <w:rPr>
      <w:rFonts w:eastAsia="Times New Roman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4B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DB364C2FF2E46BA16FD10974C5AE8" ma:contentTypeVersion="5" ma:contentTypeDescription="Create a new document." ma:contentTypeScope="" ma:versionID="e5b457bd6b245ece7327a5d33fe917f5">
  <xsd:schema xmlns:xsd="http://www.w3.org/2001/XMLSchema" xmlns:xs="http://www.w3.org/2001/XMLSchema" xmlns:p="http://schemas.microsoft.com/office/2006/metadata/properties" xmlns:ns2="3a305450-9688-4a8d-b3ea-c4d2bd027644" xmlns:ns3="f1fd84e8-612a-4884-901b-9d9d2141a15b" targetNamespace="http://schemas.microsoft.com/office/2006/metadata/properties" ma:root="true" ma:fieldsID="21d91d39fbe139d57b4ad83c6795a61c" ns2:_="" ns3:_="">
    <xsd:import namespace="3a305450-9688-4a8d-b3ea-c4d2bd027644"/>
    <xsd:import namespace="f1fd84e8-612a-4884-901b-9d9d2141a15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5450-9688-4a8d-b3ea-c4d2bd027644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a305450-9688-4a8d-b3ea-c4d2bd027644" xsi:nil="true"/>
  </documentManagement>
</p:properties>
</file>

<file path=customXml/itemProps1.xml><?xml version="1.0" encoding="utf-8"?>
<ds:datastoreItem xmlns:ds="http://schemas.openxmlformats.org/officeDocument/2006/customXml" ds:itemID="{7C14D25F-66D3-405E-9B1D-90295850F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8D4F9-CE2B-4996-82AD-99A85E10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05450-9688-4a8d-b3ea-c4d2bd027644"/>
    <ds:schemaRef ds:uri="f1fd84e8-612a-4884-901b-9d9d2141a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A10E5-23E7-4FBD-97AF-B49679B2393A}">
  <ds:schemaRefs>
    <ds:schemaRef ds:uri="http://schemas.microsoft.com/office/2006/metadata/properties"/>
    <ds:schemaRef ds:uri="http://schemas.microsoft.com/office/infopath/2007/PartnerControls"/>
    <ds:schemaRef ds:uri="3a305450-9688-4a8d-b3ea-c4d2bd027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Stephens-Lyman, Melanie</dc:creator>
  <cp:keywords/>
  <dc:description/>
  <cp:lastModifiedBy>Stephens-Lyman, Melanie</cp:lastModifiedBy>
  <cp:revision>1</cp:revision>
  <dcterms:created xsi:type="dcterms:W3CDTF">2017-09-26T15:24:00Z</dcterms:created>
  <dcterms:modified xsi:type="dcterms:W3CDTF">2017-09-26T15:46:00Z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0x0101006E4DB364C2FF2E46BA16FD10974C5AE8</vt:lpwstr>
  </property>
</Properties>
</file>