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3E" w:rsidRDefault="00D4733E" w:rsidP="00D4733E">
      <w:pPr>
        <w:spacing w:line="480" w:lineRule="auto"/>
      </w:pPr>
      <w:bookmarkStart w:id="0" w:name="_GoBack"/>
      <w:bookmarkEnd w:id="0"/>
      <w:r>
        <w:rPr>
          <w:b/>
        </w:rPr>
        <w:t>Supplemental Figure.</w:t>
      </w:r>
      <w:r>
        <w:t xml:space="preserve"> Azithromycin MIC among GISP isolates by clinic and through time. Each subfigure shows the mean azithromycin MIC (black line; gray ribbon shows standard deviation of data) in each clinic and month.</w:t>
      </w:r>
    </w:p>
    <w:p w:rsidR="00D4733E" w:rsidRDefault="00D4733E" w:rsidP="00D4733E">
      <w:pPr>
        <w:spacing w:after="0" w:line="480" w:lineRule="auto"/>
      </w:pPr>
      <w:r w:rsidRPr="00B933A1">
        <w:rPr>
          <w:b/>
        </w:rPr>
        <w:t>Supplemental Table.</w:t>
      </w:r>
      <w:r>
        <w:t xml:space="preserve"> Baselines, amplitudes, and phases of seasonal macrolide use among </w:t>
      </w:r>
      <w:proofErr w:type="spellStart"/>
      <w:r>
        <w:t>MarketScan</w:t>
      </w:r>
      <w:proofErr w:type="spellEnd"/>
      <w:r>
        <w:t xml:space="preserve"> members. The data include 2011-2015 for overall, age groups, and regions. Ranges indicate 95% confidence intervals.</w:t>
      </w:r>
    </w:p>
    <w:tbl>
      <w:tblPr>
        <w:tblStyle w:val="TableGrid"/>
        <w:tblW w:w="8180" w:type="dxa"/>
        <w:tblLook w:val="04A0" w:firstRow="1" w:lastRow="0" w:firstColumn="1" w:lastColumn="0" w:noHBand="0" w:noVBand="1"/>
      </w:tblPr>
      <w:tblGrid>
        <w:gridCol w:w="1345"/>
        <w:gridCol w:w="2520"/>
        <w:gridCol w:w="2160"/>
        <w:gridCol w:w="2155"/>
      </w:tblGrid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Baseline (monthly fills per 1,000 members)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Amplitude (monthly fills per 1,000 members)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Phase (months, 0.0=January 1st)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Overall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12.84 (12.40 to 13.28)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4.75 (4.14 to 5.37)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0.03 (-0.22 to 0.28)</w:t>
            </w:r>
          </w:p>
        </w:tc>
      </w:tr>
      <w:tr w:rsidR="00D4733E" w:rsidRPr="00DF7C95" w:rsidTr="00015245">
        <w:tc>
          <w:tcPr>
            <w:tcW w:w="1345" w:type="dxa"/>
          </w:tcPr>
          <w:p w:rsidR="00D4733E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Year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55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2011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14.40 (13.92 to 14.88)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5.41 (4.73 to 6.09)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0.14 (-0.10 to 0.38)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2012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13.56 (12.95 to 14.18)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4.97 (4.10 to 5.84)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-0.19 (-0.52 to 0.15)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2013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11.82 (10.87 to 12.78)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5.00 (3.65 to 6.36)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0.14 (-0.38 to 0.66)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2014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10.91 (10.00 to 11.82)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3.91 (2.63 to 5.20)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-0.17 (-0.81 to 0.47)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2015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13.51 (13.09 to 13.93)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4.56 (3.96 to 5.15)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0.17 (-0.08 to 0.42)</w:t>
            </w:r>
          </w:p>
        </w:tc>
      </w:tr>
      <w:tr w:rsidR="00D4733E" w:rsidRPr="00DF7C95" w:rsidTr="00015245">
        <w:tc>
          <w:tcPr>
            <w:tcW w:w="1345" w:type="dxa"/>
          </w:tcPr>
          <w:p w:rsidR="00D4733E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55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10-19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10.99 (10.56 to 11.42)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3.60 (2.99 to 4.21)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-0.00 (-0.33 to 0.32)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20-29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11.01 (10.59 to 11.42)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3.29 (2.71 to 3.88)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-0.07 (-0.41 to 0.27)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30-39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14.16 (13.66 to 14.67)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5.37 (4.65 to 6.08)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-0.05 (-0.31 to 0.20)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40-49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13.74 (13.29 to 14.19)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5.54 (4.90 to 6.18)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0.06 (-0.16 to 0.28)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50-59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13.79 (13.31 to 14.27)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5.53 (4.85 to 6.21)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0.11 (-0.12 to 0.35)</w:t>
            </w:r>
          </w:p>
        </w:tc>
      </w:tr>
      <w:tr w:rsidR="00D4733E" w:rsidRPr="00DF7C95" w:rsidTr="00015245">
        <w:tc>
          <w:tcPr>
            <w:tcW w:w="1345" w:type="dxa"/>
          </w:tcPr>
          <w:p w:rsidR="00D4733E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Region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2155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Midwest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12.47 (12.00 to 12.93)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4.50 (3.84 to 5.16)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-0.02 (-0.30 to 0.27)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Northeast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11.96 (11.45 to 12.46)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4.28 (3.57 to 5.00)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0.10 (-0.22 to 0.42)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South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15.14 (14.67 to 15.61)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5.77 (5.10 to 6.44)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-0.14 (-0.36 to 0.08)</w:t>
            </w:r>
          </w:p>
        </w:tc>
      </w:tr>
      <w:tr w:rsidR="00D4733E" w:rsidRPr="00DF7C95" w:rsidTr="00015245">
        <w:tc>
          <w:tcPr>
            <w:tcW w:w="134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 West</w:t>
            </w:r>
          </w:p>
        </w:tc>
        <w:tc>
          <w:tcPr>
            <w:tcW w:w="2520" w:type="dxa"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9.71 (9.31 to 10.11) *</w:t>
            </w:r>
          </w:p>
        </w:tc>
        <w:tc>
          <w:tcPr>
            <w:tcW w:w="2160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3.73 (3.16 to 4.30) *</w:t>
            </w:r>
          </w:p>
        </w:tc>
        <w:tc>
          <w:tcPr>
            <w:tcW w:w="2155" w:type="dxa"/>
            <w:hideMark/>
          </w:tcPr>
          <w:p w:rsidR="00D4733E" w:rsidRPr="00DF7C95" w:rsidRDefault="00D4733E" w:rsidP="00015245">
            <w:pPr>
              <w:contextualSpacing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DF7C95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0.50 (0.21 to 0.80) *</w:t>
            </w:r>
          </w:p>
        </w:tc>
      </w:tr>
    </w:tbl>
    <w:p w:rsidR="00D4733E" w:rsidRPr="00391D12" w:rsidRDefault="00D4733E" w:rsidP="00D4733E">
      <w:pPr>
        <w:spacing w:after="0" w:line="480" w:lineRule="auto"/>
      </w:pPr>
      <w:r>
        <w:t xml:space="preserve">*: </w:t>
      </w:r>
      <w:r>
        <w:rPr>
          <w:i/>
        </w:rPr>
        <w:t>p</w:t>
      </w:r>
      <w:r>
        <w:t xml:space="preserve"> &lt; 0.05, Wald’s test</w:t>
      </w:r>
    </w:p>
    <w:p w:rsidR="009D1F71" w:rsidRDefault="009D1F71"/>
    <w:sectPr w:rsidR="009D1F71" w:rsidSect="007D5CBD">
      <w:pgSz w:w="12240" w:h="15840"/>
      <w:pgMar w:top="1440" w:right="1800" w:bottom="1440" w:left="1800" w:header="720" w:footer="720" w:gutter="0"/>
      <w:lnNumType w:countBy="1" w:restart="continuous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E"/>
    <w:rsid w:val="00485934"/>
    <w:rsid w:val="009D1F71"/>
    <w:rsid w:val="00D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3E"/>
    <w:pPr>
      <w:spacing w:after="0" w:line="240" w:lineRule="auto"/>
    </w:pPr>
    <w:rPr>
      <w:rFonts w:ascii="Arial" w:eastAsiaTheme="minorEastAsia" w:hAnsi="Arial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3E"/>
    <w:pPr>
      <w:spacing w:after="0" w:line="240" w:lineRule="auto"/>
    </w:pPr>
    <w:rPr>
      <w:rFonts w:ascii="Arial" w:eastAsiaTheme="minorEastAsia" w:hAnsi="Arial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11F28736.dotm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Selvaraj</dc:creator>
  <cp:lastModifiedBy>Rajesh Selvaraj</cp:lastModifiedBy>
  <cp:revision>1</cp:revision>
  <dcterms:created xsi:type="dcterms:W3CDTF">2018-09-14T19:35:00Z</dcterms:created>
  <dcterms:modified xsi:type="dcterms:W3CDTF">2018-09-14T19:36:00Z</dcterms:modified>
</cp:coreProperties>
</file>