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3" w:rsidRPr="00826B32" w:rsidRDefault="00826B32" w:rsidP="008027FB">
      <w:pPr>
        <w:spacing w:before="120" w:after="0" w:line="360" w:lineRule="auto"/>
        <w:rPr>
          <w:rFonts w:ascii="Arial" w:hAnsi="Arial" w:cs="Arial"/>
          <w:b/>
          <w:sz w:val="24"/>
          <w:lang w:val="en-US"/>
        </w:rPr>
      </w:pPr>
      <w:r w:rsidRPr="00826B32">
        <w:rPr>
          <w:rFonts w:ascii="Arial" w:hAnsi="Arial" w:cs="Arial"/>
          <w:b/>
          <w:sz w:val="24"/>
          <w:lang w:val="en-US"/>
        </w:rPr>
        <w:t>SUPPLEMENTARY MATERIAL</w:t>
      </w:r>
    </w:p>
    <w:p w:rsidR="008027FB" w:rsidRPr="00B6650D" w:rsidRDefault="008027FB" w:rsidP="008027FB">
      <w:pPr>
        <w:pStyle w:val="Heading2"/>
        <w:rPr>
          <w:b w:val="0"/>
          <w:color w:val="auto"/>
          <w:szCs w:val="24"/>
          <w:lang w:val="en-US"/>
        </w:rPr>
      </w:pPr>
      <w:r w:rsidRPr="00B6650D">
        <w:rPr>
          <w:rStyle w:val="Strong"/>
          <w:rFonts w:ascii="Arial" w:hAnsi="Arial" w:cs="Arial"/>
          <w:b/>
          <w:color w:val="auto"/>
          <w:szCs w:val="24"/>
          <w:lang w:val="en-US"/>
        </w:rPr>
        <w:t>Immune modulatory microRNAs involved in tumor attack and tumor immune escape</w:t>
      </w:r>
    </w:p>
    <w:p w:rsidR="008027FB" w:rsidRPr="00D006FF" w:rsidRDefault="008027FB" w:rsidP="008027FB">
      <w:r w:rsidRPr="00D006FF">
        <w:t>Stefan B. Eichmüller, Wolfram Osen, Ofer Mandelboim, Barbara Seliger</w:t>
      </w:r>
    </w:p>
    <w:p w:rsidR="008027FB" w:rsidRDefault="008027FB" w:rsidP="008027FB">
      <w:pPr>
        <w:pStyle w:val="Heading1"/>
        <w:tabs>
          <w:tab w:val="left" w:pos="9072"/>
        </w:tabs>
        <w:spacing w:after="0" w:line="360" w:lineRule="auto"/>
        <w:rPr>
          <w:color w:val="auto"/>
          <w:sz w:val="22"/>
          <w:szCs w:val="24"/>
          <w:lang w:val="de-DE"/>
        </w:rPr>
      </w:pPr>
    </w:p>
    <w:p w:rsidR="00826B32" w:rsidRPr="00826B32" w:rsidRDefault="00826B32" w:rsidP="00826B32">
      <w:pPr>
        <w:rPr>
          <w:rFonts w:ascii="Arial" w:eastAsiaTheme="majorEastAsia" w:hAnsi="Arial" w:cs="Arial"/>
          <w:b/>
          <w:bCs/>
          <w:szCs w:val="24"/>
          <w:u w:val="single"/>
          <w:lang w:val="en-US" w:eastAsia="de-DE"/>
        </w:rPr>
      </w:pPr>
      <w:bookmarkStart w:id="0" w:name="_GoBack"/>
      <w:r w:rsidRPr="00826B32">
        <w:rPr>
          <w:rFonts w:ascii="Arial" w:eastAsiaTheme="majorEastAsia" w:hAnsi="Arial" w:cs="Arial"/>
          <w:b/>
          <w:bCs/>
          <w:szCs w:val="24"/>
          <w:u w:val="single"/>
          <w:lang w:val="en-US" w:eastAsia="de-DE"/>
        </w:rPr>
        <w:t>Supplementary Methods</w:t>
      </w:r>
    </w:p>
    <w:bookmarkEnd w:id="0"/>
    <w:p w:rsidR="00803B1B" w:rsidRPr="00803B1B" w:rsidRDefault="00803B1B" w:rsidP="008027FB">
      <w:pPr>
        <w:pStyle w:val="Heading1"/>
        <w:tabs>
          <w:tab w:val="left" w:pos="9072"/>
        </w:tabs>
        <w:spacing w:after="0" w:line="360" w:lineRule="auto"/>
        <w:rPr>
          <w:color w:val="auto"/>
          <w:sz w:val="22"/>
          <w:szCs w:val="24"/>
        </w:rPr>
      </w:pPr>
      <w:r w:rsidRPr="00803B1B">
        <w:rPr>
          <w:color w:val="auto"/>
          <w:sz w:val="22"/>
          <w:szCs w:val="24"/>
        </w:rPr>
        <w:t>Search Strategy and Selection Criteria</w:t>
      </w:r>
    </w:p>
    <w:p w:rsidR="00803B1B" w:rsidRPr="00803B1B" w:rsidRDefault="00803B1B" w:rsidP="008027FB">
      <w:pPr>
        <w:autoSpaceDE w:val="0"/>
        <w:autoSpaceDN w:val="0"/>
        <w:adjustRightInd w:val="0"/>
        <w:spacing w:before="120" w:after="0" w:line="360" w:lineRule="auto"/>
        <w:jc w:val="both"/>
        <w:rPr>
          <w:rFonts w:ascii="Arial" w:hAnsi="Arial" w:cs="Arial"/>
          <w:lang w:val="en-US"/>
        </w:rPr>
      </w:pPr>
      <w:r w:rsidRPr="00803B1B">
        <w:rPr>
          <w:rFonts w:ascii="Arial" w:hAnsi="Arial" w:cs="Arial"/>
          <w:lang w:val="en-US"/>
        </w:rPr>
        <w:t xml:space="preserve">This review article is based on a systematic literature review performed on the bibliographic data bases Medline and PubMed, including </w:t>
      </w:r>
      <w:r>
        <w:rPr>
          <w:rFonts w:ascii="Arial" w:hAnsi="Arial" w:cs="Arial"/>
          <w:lang w:val="en-US"/>
        </w:rPr>
        <w:t xml:space="preserve">following </w:t>
      </w:r>
      <w:r w:rsidRPr="00803B1B">
        <w:rPr>
          <w:rFonts w:ascii="Arial" w:hAnsi="Arial" w:cs="Arial"/>
          <w:lang w:val="en-US"/>
        </w:rPr>
        <w:t>search terms related to microRNAs in combination with tumor and/or immune cells</w:t>
      </w:r>
      <w:r>
        <w:rPr>
          <w:rFonts w:ascii="Arial" w:hAnsi="Arial" w:cs="Arial"/>
          <w:lang w:val="en-US"/>
        </w:rPr>
        <w:t>:</w:t>
      </w:r>
      <w:r w:rsidRPr="00803B1B">
        <w:rPr>
          <w:rFonts w:ascii="Arial" w:hAnsi="Arial" w:cs="Arial"/>
          <w:lang w:val="en-US"/>
        </w:rPr>
        <w:t xml:space="preserve"> “microRNAs and immune response”, “microRNAs and immune escape”, “microRNAs and HLA/MHC”, “microRNAs and co-inhibitory factors”, “microRNAs and interferon signaling”, “microRNAs and immunotherapy”, “microRNAs and tumor therapy”, “microRNAs and immune modulation”, “microRNAs and immune modulatory molecules”, “microRNAs and cross presentation” and “microRNAs and tumor microenvironment”. Only articles published in English were used with a focus on </w:t>
      </w:r>
      <w:proofErr w:type="gramStart"/>
      <w:r w:rsidRPr="00803B1B">
        <w:rPr>
          <w:rFonts w:ascii="Arial" w:hAnsi="Arial" w:cs="Arial"/>
          <w:lang w:val="en-US"/>
        </w:rPr>
        <w:t>tumors</w:t>
      </w:r>
      <w:proofErr w:type="gramEnd"/>
      <w:r w:rsidRPr="00803B1B">
        <w:rPr>
          <w:rFonts w:ascii="Arial" w:hAnsi="Arial" w:cs="Arial"/>
          <w:lang w:val="en-US"/>
        </w:rPr>
        <w:t xml:space="preserve"> and immune effector cells, in particular T cells, NK cells and dendritic cells.</w:t>
      </w:r>
    </w:p>
    <w:p w:rsidR="00803B1B" w:rsidRPr="00803B1B" w:rsidRDefault="00803B1B" w:rsidP="008027FB">
      <w:pPr>
        <w:autoSpaceDE w:val="0"/>
        <w:autoSpaceDN w:val="0"/>
        <w:adjustRightInd w:val="0"/>
        <w:spacing w:before="120" w:after="0" w:line="360" w:lineRule="auto"/>
        <w:jc w:val="both"/>
        <w:rPr>
          <w:rFonts w:ascii="Arial" w:hAnsi="Arial" w:cs="Arial"/>
          <w:lang w:val="en-US"/>
        </w:rPr>
      </w:pPr>
    </w:p>
    <w:p w:rsidR="00803B1B" w:rsidRPr="00803B1B" w:rsidRDefault="00803B1B" w:rsidP="008027FB">
      <w:pPr>
        <w:pStyle w:val="Heading1"/>
        <w:tabs>
          <w:tab w:val="left" w:pos="9072"/>
        </w:tabs>
        <w:spacing w:after="0" w:line="360" w:lineRule="auto"/>
        <w:rPr>
          <w:color w:val="auto"/>
          <w:sz w:val="22"/>
        </w:rPr>
      </w:pPr>
      <w:r w:rsidRPr="00803B1B">
        <w:rPr>
          <w:color w:val="auto"/>
          <w:sz w:val="22"/>
        </w:rPr>
        <w:t>Bioinformatics analysis</w:t>
      </w:r>
    </w:p>
    <w:p w:rsidR="00803B1B" w:rsidRPr="00803B1B" w:rsidRDefault="00803B1B" w:rsidP="008027FB">
      <w:pPr>
        <w:autoSpaceDE w:val="0"/>
        <w:autoSpaceDN w:val="0"/>
        <w:adjustRightInd w:val="0"/>
        <w:spacing w:before="120" w:after="0" w:line="360" w:lineRule="auto"/>
        <w:jc w:val="both"/>
        <w:rPr>
          <w:rFonts w:ascii="Arial" w:hAnsi="Arial" w:cs="Arial"/>
          <w:lang w:val="en-US"/>
        </w:rPr>
      </w:pPr>
      <w:r w:rsidRPr="00803B1B">
        <w:rPr>
          <w:rFonts w:ascii="Arial" w:hAnsi="Arial" w:cs="Arial"/>
          <w:lang w:val="en-US"/>
        </w:rPr>
        <w:t xml:space="preserve">The software suite </w:t>
      </w:r>
      <w:proofErr w:type="spellStart"/>
      <w:r w:rsidRPr="00803B1B">
        <w:rPr>
          <w:rFonts w:ascii="Arial" w:hAnsi="Arial" w:cs="Arial"/>
          <w:lang w:val="en-US"/>
        </w:rPr>
        <w:t>MetaCore</w:t>
      </w:r>
      <w:r w:rsidRPr="00803B1B">
        <w:rPr>
          <w:rFonts w:ascii="Arial" w:hAnsi="Arial" w:cs="Arial"/>
          <w:vertAlign w:val="superscript"/>
          <w:lang w:val="en-US"/>
        </w:rPr>
        <w:t>TM</w:t>
      </w:r>
      <w:proofErr w:type="spellEnd"/>
      <w:r w:rsidRPr="00803B1B">
        <w:rPr>
          <w:rFonts w:ascii="Arial" w:hAnsi="Arial" w:cs="Arial"/>
          <w:lang w:val="en-US"/>
        </w:rPr>
        <w:t xml:space="preserve"> containing more than 1.6 million manually curated molecular interactions (http://thomsonreuters.com/metacore/, accessed 11-10-2016) was used to generate networks illustrating the direct and indirect regulatory effects of miRNAs on the expression of the checkpoint molecules PD-1, PD-L1, CD28, CTLA-4, and ICOS-L. To determine direct regulation by miRNAs, the building algorithm was set to “expand by one interaction” with directions set to “both” and the use of activated canonical pathways. As </w:t>
      </w:r>
      <w:r w:rsidRPr="00803B1B">
        <w:rPr>
          <w:rFonts w:ascii="Arial" w:hAnsi="Arial" w:cs="Arial"/>
          <w:i/>
          <w:lang w:val="en-US"/>
        </w:rPr>
        <w:t>interaction</w:t>
      </w:r>
      <w:r w:rsidRPr="00803B1B">
        <w:rPr>
          <w:rFonts w:ascii="Arial" w:hAnsi="Arial" w:cs="Arial"/>
          <w:lang w:val="en-US"/>
        </w:rPr>
        <w:t xml:space="preserve"> type, “miRNA binding” was selected and </w:t>
      </w:r>
      <w:r w:rsidRPr="00803B1B">
        <w:rPr>
          <w:rFonts w:ascii="Arial" w:hAnsi="Arial" w:cs="Arial"/>
          <w:i/>
          <w:lang w:val="en-US"/>
        </w:rPr>
        <w:t>object</w:t>
      </w:r>
      <w:r w:rsidRPr="00803B1B">
        <w:rPr>
          <w:rFonts w:ascii="Arial" w:hAnsi="Arial" w:cs="Arial"/>
          <w:lang w:val="en-US"/>
        </w:rPr>
        <w:t xml:space="preserve"> types were restricted to “generic binding protein”, “generic receptor”, “RNA” and “transcription factor” (TF).</w:t>
      </w:r>
    </w:p>
    <w:p w:rsidR="00803B1B" w:rsidRDefault="00803B1B" w:rsidP="008027FB">
      <w:pPr>
        <w:autoSpaceDE w:val="0"/>
        <w:autoSpaceDN w:val="0"/>
        <w:adjustRightInd w:val="0"/>
        <w:spacing w:before="120" w:after="0" w:line="360" w:lineRule="auto"/>
        <w:ind w:firstLine="708"/>
        <w:jc w:val="both"/>
        <w:rPr>
          <w:rFonts w:ascii="Arial" w:hAnsi="Arial" w:cs="Arial"/>
          <w:lang w:val="en-US"/>
        </w:rPr>
      </w:pPr>
      <w:r w:rsidRPr="00803B1B">
        <w:rPr>
          <w:rFonts w:ascii="Arial" w:hAnsi="Arial" w:cs="Arial"/>
          <w:lang w:val="en-US"/>
        </w:rPr>
        <w:t>To trace indirect regulation through miRNA-targeted TFs, the building algorithm was set to “</w:t>
      </w:r>
      <w:proofErr w:type="gramStart"/>
      <w:r w:rsidRPr="00803B1B">
        <w:rPr>
          <w:rFonts w:ascii="Arial" w:hAnsi="Arial" w:cs="Arial"/>
          <w:lang w:val="en-US"/>
        </w:rPr>
        <w:t>auto expand</w:t>
      </w:r>
      <w:proofErr w:type="gramEnd"/>
      <w:r w:rsidRPr="00803B1B">
        <w:rPr>
          <w:rFonts w:ascii="Arial" w:hAnsi="Arial" w:cs="Arial"/>
          <w:lang w:val="en-US"/>
        </w:rPr>
        <w:t xml:space="preserve">” and the number of nodes was set to 50. The </w:t>
      </w:r>
      <w:r w:rsidRPr="00803B1B">
        <w:rPr>
          <w:rFonts w:ascii="Arial" w:hAnsi="Arial" w:cs="Arial"/>
          <w:i/>
          <w:lang w:val="en-US"/>
        </w:rPr>
        <w:t>interaction</w:t>
      </w:r>
      <w:r w:rsidRPr="00803B1B">
        <w:rPr>
          <w:rFonts w:ascii="Arial" w:hAnsi="Arial" w:cs="Arial"/>
          <w:lang w:val="en-US"/>
        </w:rPr>
        <w:t xml:space="preserve"> types were restricted to “Transcription regulation and miRNA binding”. The </w:t>
      </w:r>
      <w:r w:rsidRPr="00803B1B">
        <w:rPr>
          <w:rFonts w:ascii="Arial" w:hAnsi="Arial" w:cs="Arial"/>
          <w:i/>
          <w:lang w:val="en-US"/>
        </w:rPr>
        <w:t>object</w:t>
      </w:r>
      <w:r w:rsidRPr="00803B1B">
        <w:rPr>
          <w:rFonts w:ascii="Arial" w:hAnsi="Arial" w:cs="Arial"/>
          <w:lang w:val="en-US"/>
        </w:rPr>
        <w:t xml:space="preserve"> types were restricted to “Generic binding protein”, “Generic receptor”, “RNA” and “Transcription factor”. Networks are depicted as hub-centric layouts; the nomenclature of miRNAs was standardized (e.g. microRNA-24-1 was changed to miR-24-1).</w:t>
      </w:r>
    </w:p>
    <w:p w:rsidR="00803B1B" w:rsidRPr="00803B1B" w:rsidRDefault="008027FB" w:rsidP="008027FB">
      <w:pPr>
        <w:autoSpaceDE w:val="0"/>
        <w:autoSpaceDN w:val="0"/>
        <w:adjustRightInd w:val="0"/>
        <w:spacing w:before="120" w:after="0" w:line="360" w:lineRule="auto"/>
        <w:jc w:val="both"/>
        <w:rPr>
          <w:rFonts w:ascii="Arial" w:hAnsi="Arial" w:cs="Arial"/>
          <w:lang w:val="en-US"/>
        </w:rPr>
      </w:pPr>
      <w:r>
        <w:rPr>
          <w:rFonts w:ascii="Arial" w:hAnsi="Arial" w:cs="Arial"/>
          <w:lang w:val="en-US"/>
        </w:rPr>
        <w:lastRenderedPageBreak/>
        <w:t xml:space="preserve">Abbreviations: </w:t>
      </w:r>
      <w:r w:rsidR="009B329D">
        <w:rPr>
          <w:rFonts w:ascii="Arial" w:hAnsi="Arial" w:cs="Arial"/>
          <w:lang w:val="en-US"/>
        </w:rPr>
        <w:t>CD</w:t>
      </w:r>
      <w:r>
        <w:rPr>
          <w:rFonts w:ascii="Arial" w:hAnsi="Arial" w:cs="Arial"/>
          <w:lang w:val="en-US"/>
        </w:rPr>
        <w:t>28</w:t>
      </w:r>
      <w:r w:rsidR="009B329D">
        <w:rPr>
          <w:rFonts w:ascii="Arial" w:hAnsi="Arial" w:cs="Arial"/>
          <w:lang w:val="en-US"/>
        </w:rPr>
        <w:t>, cluster of differentiation</w:t>
      </w:r>
      <w:r>
        <w:rPr>
          <w:rFonts w:ascii="Arial" w:hAnsi="Arial" w:cs="Arial"/>
          <w:lang w:val="en-US"/>
        </w:rPr>
        <w:t xml:space="preserve"> 28 (receptor for CD80 and CD86); </w:t>
      </w:r>
      <w:r w:rsidR="009B329D">
        <w:rPr>
          <w:rFonts w:ascii="Arial" w:hAnsi="Arial" w:cs="Arial"/>
          <w:lang w:val="en-US"/>
        </w:rPr>
        <w:t>CTLA-4</w:t>
      </w:r>
      <w:r w:rsidR="009B329D" w:rsidRPr="009B329D">
        <w:rPr>
          <w:rFonts w:ascii="Arial" w:hAnsi="Arial" w:cs="Arial"/>
          <w:lang w:val="en-US"/>
        </w:rPr>
        <w:t>, cytotoxic T-lymphocyte associated protein 4</w:t>
      </w:r>
      <w:r>
        <w:rPr>
          <w:rFonts w:ascii="Arial" w:hAnsi="Arial" w:cs="Arial"/>
          <w:lang w:val="en-US"/>
        </w:rPr>
        <w:t xml:space="preserve">; </w:t>
      </w:r>
      <w:r w:rsidR="009B329D" w:rsidRPr="009B329D">
        <w:rPr>
          <w:rFonts w:ascii="Arial" w:hAnsi="Arial" w:cs="Arial"/>
          <w:lang w:val="en-US"/>
        </w:rPr>
        <w:t>ICOS-L, inducible T-cell co-stimulator ligand</w:t>
      </w:r>
      <w:r>
        <w:rPr>
          <w:rFonts w:ascii="Arial" w:hAnsi="Arial" w:cs="Arial"/>
          <w:lang w:val="en-US"/>
        </w:rPr>
        <w:t xml:space="preserve">; </w:t>
      </w:r>
      <w:r w:rsidR="009B329D">
        <w:rPr>
          <w:rFonts w:ascii="Arial" w:hAnsi="Arial" w:cs="Arial"/>
          <w:lang w:val="en-US"/>
        </w:rPr>
        <w:t>PD-1, programmed cell death 1</w:t>
      </w:r>
      <w:r>
        <w:rPr>
          <w:rFonts w:ascii="Arial" w:hAnsi="Arial" w:cs="Arial"/>
          <w:lang w:val="en-US"/>
        </w:rPr>
        <w:t xml:space="preserve">; </w:t>
      </w:r>
      <w:r w:rsidR="009B329D" w:rsidRPr="009B329D">
        <w:rPr>
          <w:rFonts w:ascii="Arial" w:hAnsi="Arial" w:cs="Arial"/>
          <w:lang w:val="en-US"/>
        </w:rPr>
        <w:t>PD-L1, PD ligand 1</w:t>
      </w:r>
      <w:r w:rsidR="00B6650D">
        <w:rPr>
          <w:rFonts w:ascii="Arial" w:hAnsi="Arial" w:cs="Arial"/>
          <w:lang w:val="en-US"/>
        </w:rPr>
        <w:t>.</w:t>
      </w:r>
    </w:p>
    <w:sectPr w:rsidR="00803B1B" w:rsidRPr="00803B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1B"/>
    <w:rsid w:val="00267C42"/>
    <w:rsid w:val="00364009"/>
    <w:rsid w:val="008027FB"/>
    <w:rsid w:val="00803B1B"/>
    <w:rsid w:val="00826B32"/>
    <w:rsid w:val="008A3E00"/>
    <w:rsid w:val="008D037C"/>
    <w:rsid w:val="00957BA5"/>
    <w:rsid w:val="009B329D"/>
    <w:rsid w:val="00A7120D"/>
    <w:rsid w:val="00B6650D"/>
    <w:rsid w:val="00B72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B1B"/>
    <w:pPr>
      <w:keepNext/>
      <w:keepLines/>
      <w:spacing w:before="120" w:after="120" w:line="480" w:lineRule="auto"/>
      <w:jc w:val="both"/>
      <w:outlineLvl w:val="0"/>
    </w:pPr>
    <w:rPr>
      <w:rFonts w:ascii="Arial" w:eastAsiaTheme="majorEastAsia" w:hAnsi="Arial" w:cs="Arial"/>
      <w:b/>
      <w:bCs/>
      <w:color w:val="1F497D" w:themeColor="text2"/>
      <w:sz w:val="28"/>
      <w:szCs w:val="28"/>
      <w:lang w:val="en-US" w:eastAsia="de-DE"/>
    </w:rPr>
  </w:style>
  <w:style w:type="paragraph" w:styleId="Heading2">
    <w:name w:val="heading 2"/>
    <w:basedOn w:val="Normal"/>
    <w:next w:val="Normal"/>
    <w:link w:val="Heading2Char"/>
    <w:uiPriority w:val="9"/>
    <w:semiHidden/>
    <w:unhideWhenUsed/>
    <w:qFormat/>
    <w:rsid w:val="008027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1B"/>
    <w:rPr>
      <w:rFonts w:ascii="Arial" w:eastAsiaTheme="majorEastAsia" w:hAnsi="Arial" w:cs="Arial"/>
      <w:b/>
      <w:bCs/>
      <w:color w:val="1F497D" w:themeColor="text2"/>
      <w:sz w:val="28"/>
      <w:szCs w:val="28"/>
      <w:lang w:val="en-US" w:eastAsia="de-DE"/>
    </w:rPr>
  </w:style>
  <w:style w:type="character" w:styleId="CommentReference">
    <w:name w:val="annotation reference"/>
    <w:basedOn w:val="DefaultParagraphFont"/>
    <w:uiPriority w:val="99"/>
    <w:semiHidden/>
    <w:unhideWhenUsed/>
    <w:rsid w:val="00803B1B"/>
    <w:rPr>
      <w:sz w:val="16"/>
      <w:szCs w:val="16"/>
    </w:rPr>
  </w:style>
  <w:style w:type="paragraph" w:styleId="CommentText">
    <w:name w:val="annotation text"/>
    <w:basedOn w:val="Normal"/>
    <w:link w:val="CommentTextChar"/>
    <w:uiPriority w:val="99"/>
    <w:semiHidden/>
    <w:unhideWhenUsed/>
    <w:rsid w:val="00803B1B"/>
    <w:pPr>
      <w:spacing w:line="240" w:lineRule="auto"/>
    </w:pPr>
    <w:rPr>
      <w:sz w:val="20"/>
      <w:szCs w:val="20"/>
    </w:rPr>
  </w:style>
  <w:style w:type="character" w:customStyle="1" w:styleId="CommentTextChar">
    <w:name w:val="Comment Text Char"/>
    <w:basedOn w:val="DefaultParagraphFont"/>
    <w:link w:val="CommentText"/>
    <w:uiPriority w:val="99"/>
    <w:semiHidden/>
    <w:rsid w:val="00803B1B"/>
    <w:rPr>
      <w:sz w:val="20"/>
      <w:szCs w:val="20"/>
    </w:rPr>
  </w:style>
  <w:style w:type="paragraph" w:styleId="CommentSubject">
    <w:name w:val="annotation subject"/>
    <w:basedOn w:val="CommentText"/>
    <w:next w:val="CommentText"/>
    <w:link w:val="CommentSubjectChar"/>
    <w:uiPriority w:val="99"/>
    <w:semiHidden/>
    <w:unhideWhenUsed/>
    <w:rsid w:val="00803B1B"/>
    <w:rPr>
      <w:b/>
      <w:bCs/>
    </w:rPr>
  </w:style>
  <w:style w:type="character" w:customStyle="1" w:styleId="CommentSubjectChar">
    <w:name w:val="Comment Subject Char"/>
    <w:basedOn w:val="CommentTextChar"/>
    <w:link w:val="CommentSubject"/>
    <w:uiPriority w:val="99"/>
    <w:semiHidden/>
    <w:rsid w:val="00803B1B"/>
    <w:rPr>
      <w:b/>
      <w:bCs/>
      <w:sz w:val="20"/>
      <w:szCs w:val="20"/>
    </w:rPr>
  </w:style>
  <w:style w:type="paragraph" w:styleId="BalloonText">
    <w:name w:val="Balloon Text"/>
    <w:basedOn w:val="Normal"/>
    <w:link w:val="BalloonTextChar"/>
    <w:uiPriority w:val="99"/>
    <w:semiHidden/>
    <w:unhideWhenUsed/>
    <w:rsid w:val="0080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1B"/>
    <w:rPr>
      <w:rFonts w:ascii="Tahoma" w:hAnsi="Tahoma" w:cs="Tahoma"/>
      <w:sz w:val="16"/>
      <w:szCs w:val="16"/>
    </w:rPr>
  </w:style>
  <w:style w:type="character" w:customStyle="1" w:styleId="Heading2Char">
    <w:name w:val="Heading 2 Char"/>
    <w:basedOn w:val="DefaultParagraphFont"/>
    <w:link w:val="Heading2"/>
    <w:uiPriority w:val="9"/>
    <w:semiHidden/>
    <w:rsid w:val="008027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99"/>
    <w:qFormat/>
    <w:rsid w:val="008027FB"/>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B1B"/>
    <w:pPr>
      <w:keepNext/>
      <w:keepLines/>
      <w:spacing w:before="120" w:after="120" w:line="480" w:lineRule="auto"/>
      <w:jc w:val="both"/>
      <w:outlineLvl w:val="0"/>
    </w:pPr>
    <w:rPr>
      <w:rFonts w:ascii="Arial" w:eastAsiaTheme="majorEastAsia" w:hAnsi="Arial" w:cs="Arial"/>
      <w:b/>
      <w:bCs/>
      <w:color w:val="1F497D" w:themeColor="text2"/>
      <w:sz w:val="28"/>
      <w:szCs w:val="28"/>
      <w:lang w:val="en-US" w:eastAsia="de-DE"/>
    </w:rPr>
  </w:style>
  <w:style w:type="paragraph" w:styleId="Heading2">
    <w:name w:val="heading 2"/>
    <w:basedOn w:val="Normal"/>
    <w:next w:val="Normal"/>
    <w:link w:val="Heading2Char"/>
    <w:uiPriority w:val="9"/>
    <w:semiHidden/>
    <w:unhideWhenUsed/>
    <w:qFormat/>
    <w:rsid w:val="008027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1B"/>
    <w:rPr>
      <w:rFonts w:ascii="Arial" w:eastAsiaTheme="majorEastAsia" w:hAnsi="Arial" w:cs="Arial"/>
      <w:b/>
      <w:bCs/>
      <w:color w:val="1F497D" w:themeColor="text2"/>
      <w:sz w:val="28"/>
      <w:szCs w:val="28"/>
      <w:lang w:val="en-US" w:eastAsia="de-DE"/>
    </w:rPr>
  </w:style>
  <w:style w:type="character" w:styleId="CommentReference">
    <w:name w:val="annotation reference"/>
    <w:basedOn w:val="DefaultParagraphFont"/>
    <w:uiPriority w:val="99"/>
    <w:semiHidden/>
    <w:unhideWhenUsed/>
    <w:rsid w:val="00803B1B"/>
    <w:rPr>
      <w:sz w:val="16"/>
      <w:szCs w:val="16"/>
    </w:rPr>
  </w:style>
  <w:style w:type="paragraph" w:styleId="CommentText">
    <w:name w:val="annotation text"/>
    <w:basedOn w:val="Normal"/>
    <w:link w:val="CommentTextChar"/>
    <w:uiPriority w:val="99"/>
    <w:semiHidden/>
    <w:unhideWhenUsed/>
    <w:rsid w:val="00803B1B"/>
    <w:pPr>
      <w:spacing w:line="240" w:lineRule="auto"/>
    </w:pPr>
    <w:rPr>
      <w:sz w:val="20"/>
      <w:szCs w:val="20"/>
    </w:rPr>
  </w:style>
  <w:style w:type="character" w:customStyle="1" w:styleId="CommentTextChar">
    <w:name w:val="Comment Text Char"/>
    <w:basedOn w:val="DefaultParagraphFont"/>
    <w:link w:val="CommentText"/>
    <w:uiPriority w:val="99"/>
    <w:semiHidden/>
    <w:rsid w:val="00803B1B"/>
    <w:rPr>
      <w:sz w:val="20"/>
      <w:szCs w:val="20"/>
    </w:rPr>
  </w:style>
  <w:style w:type="paragraph" w:styleId="CommentSubject">
    <w:name w:val="annotation subject"/>
    <w:basedOn w:val="CommentText"/>
    <w:next w:val="CommentText"/>
    <w:link w:val="CommentSubjectChar"/>
    <w:uiPriority w:val="99"/>
    <w:semiHidden/>
    <w:unhideWhenUsed/>
    <w:rsid w:val="00803B1B"/>
    <w:rPr>
      <w:b/>
      <w:bCs/>
    </w:rPr>
  </w:style>
  <w:style w:type="character" w:customStyle="1" w:styleId="CommentSubjectChar">
    <w:name w:val="Comment Subject Char"/>
    <w:basedOn w:val="CommentTextChar"/>
    <w:link w:val="CommentSubject"/>
    <w:uiPriority w:val="99"/>
    <w:semiHidden/>
    <w:rsid w:val="00803B1B"/>
    <w:rPr>
      <w:b/>
      <w:bCs/>
      <w:sz w:val="20"/>
      <w:szCs w:val="20"/>
    </w:rPr>
  </w:style>
  <w:style w:type="paragraph" w:styleId="BalloonText">
    <w:name w:val="Balloon Text"/>
    <w:basedOn w:val="Normal"/>
    <w:link w:val="BalloonTextChar"/>
    <w:uiPriority w:val="99"/>
    <w:semiHidden/>
    <w:unhideWhenUsed/>
    <w:rsid w:val="0080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1B"/>
    <w:rPr>
      <w:rFonts w:ascii="Tahoma" w:hAnsi="Tahoma" w:cs="Tahoma"/>
      <w:sz w:val="16"/>
      <w:szCs w:val="16"/>
    </w:rPr>
  </w:style>
  <w:style w:type="character" w:customStyle="1" w:styleId="Heading2Char">
    <w:name w:val="Heading 2 Char"/>
    <w:basedOn w:val="DefaultParagraphFont"/>
    <w:link w:val="Heading2"/>
    <w:uiPriority w:val="9"/>
    <w:semiHidden/>
    <w:rsid w:val="008027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99"/>
    <w:qFormat/>
    <w:rsid w:val="008027FB"/>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DKFZ</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osen</dc:creator>
  <cp:lastModifiedBy>Boehm, Amanda</cp:lastModifiedBy>
  <cp:revision>2</cp:revision>
  <dcterms:created xsi:type="dcterms:W3CDTF">2017-02-09T15:22:00Z</dcterms:created>
  <dcterms:modified xsi:type="dcterms:W3CDTF">2017-02-09T15:22:00Z</dcterms:modified>
</cp:coreProperties>
</file>