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Look w:val="04A0" w:firstRow="1" w:lastRow="0" w:firstColumn="1" w:lastColumn="0" w:noHBand="0" w:noVBand="1"/>
      </w:tblPr>
      <w:tblGrid>
        <w:gridCol w:w="3510"/>
        <w:gridCol w:w="2041"/>
        <w:gridCol w:w="2041"/>
        <w:gridCol w:w="1858"/>
        <w:gridCol w:w="1080"/>
      </w:tblGrid>
      <w:tr w:rsidR="00C00487" w:rsidRPr="00EC54CC" w14:paraId="532AFE96" w14:textId="77777777" w:rsidTr="00C00487">
        <w:trPr>
          <w:trHeight w:val="24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DDBA" w14:textId="19CC1982" w:rsidR="00C00487" w:rsidRPr="00EC54CC" w:rsidRDefault="00C00487" w:rsidP="00B412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Supplementary Table </w:t>
            </w:r>
            <w:r w:rsidR="004862A9"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Other </w:t>
            </w:r>
            <w:r w:rsidR="004862A9"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>measures of sitting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and risk of young-onset CRC diagnosed prior to age 50</w:t>
            </w:r>
          </w:p>
        </w:tc>
      </w:tr>
      <w:tr w:rsidR="00C00487" w:rsidRPr="00EC54CC" w14:paraId="5BFE9D9A" w14:textId="77777777" w:rsidTr="00C00487">
        <w:trPr>
          <w:trHeight w:val="2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AE6A" w14:textId="77777777" w:rsidR="00C00487" w:rsidRPr="00EC54CC" w:rsidRDefault="00C00487" w:rsidP="00B412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DDE4" w14:textId="77777777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D554F" w14:textId="29C38FEF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-trend</w:t>
            </w:r>
            <w:r w:rsidR="008B4675" w:rsidRPr="008B4675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||</w:t>
            </w:r>
          </w:p>
        </w:tc>
      </w:tr>
      <w:tr w:rsidR="00C00487" w:rsidRPr="00EC54CC" w14:paraId="7AAE3796" w14:textId="77777777" w:rsidTr="00C00487">
        <w:trPr>
          <w:trHeight w:val="2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F7FB" w14:textId="77777777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4CA0" w14:textId="77777777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≤7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53F2" w14:textId="77777777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7.1-14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18C5" w14:textId="77777777" w:rsidR="00C00487" w:rsidRPr="00EC54CC" w:rsidRDefault="00C00487" w:rsidP="00B412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&gt;14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061DB2" w14:textId="77777777" w:rsidR="00C00487" w:rsidRPr="00EC54CC" w:rsidRDefault="00C00487" w:rsidP="00B41219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0487" w:rsidRPr="00EC54CC" w14:paraId="4C0EA140" w14:textId="77777777" w:rsidTr="00C00487">
        <w:trPr>
          <w:trHeight w:val="5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77480" w14:textId="71A4573F" w:rsidR="00C00487" w:rsidRPr="00EC54CC" w:rsidRDefault="00C00487" w:rsidP="00B412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Other sitting at home</w:t>
            </w:r>
            <w:r w:rsidR="000602A0" w:rsidRPr="000602A0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017B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0487" w:rsidRPr="00EC54CC" w14:paraId="4D03B36B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FEB9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DD51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4BA9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26724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9443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0487" w:rsidRPr="00EC54CC" w14:paraId="068F18B5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6EB10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Person-years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47A75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557,492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ADCCE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425,563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59FE1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279,485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35ACC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0487" w:rsidRPr="00EC54CC" w14:paraId="23B7BA09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8E01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Age-adjusted RR (95% CI)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8353" w14:textId="76318DA3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BB26" w14:textId="7E940DB1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1.05 (0.69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1.60)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A341" w14:textId="714A5AA3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1.30 (0.82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2.06)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D798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</w:tr>
      <w:tr w:rsidR="00C00487" w:rsidRPr="00EC54CC" w14:paraId="0C749B61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8C09D" w14:textId="01C5B101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1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C54C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1C9A" w14:textId="17A56E12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2A6A" w14:textId="5731A1F5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1.06 (0.69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1.61)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290E" w14:textId="5F8CB602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1.34 (0.84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2.15)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E45D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C00487" w:rsidRPr="00EC54CC" w14:paraId="1E463884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998AD" w14:textId="50A9DA58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2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06C8" w14:textId="002A5CE0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E9B8" w14:textId="7B1E9D74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1.06 (0.69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1.62)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011F" w14:textId="16C12525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1.36 (0.85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2.18)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F4D4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</w:tr>
      <w:tr w:rsidR="00C00487" w:rsidRPr="00EC54CC" w14:paraId="1D98EA52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2EF15" w14:textId="1FD38098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3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A4EA" w14:textId="654DC0D7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65E5" w14:textId="4F0BD522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1.05 (0.69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1.60)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E791" w14:textId="04B58E81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1.34 (0.84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2.15)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A9CAA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C00487" w:rsidRPr="00EC54CC" w14:paraId="23BE404D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06FD" w14:textId="77777777" w:rsidR="00C00487" w:rsidRPr="00EC54CC" w:rsidRDefault="00C00487" w:rsidP="00B412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b/>
                <w:bCs/>
                <w:color w:val="000000"/>
                <w:sz w:val="20"/>
                <w:szCs w:val="20"/>
              </w:rPr>
              <w:t>Sitting at work or away from home or driving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CF0E" w14:textId="77777777" w:rsidR="00C00487" w:rsidRPr="00EC54CC" w:rsidRDefault="00C00487" w:rsidP="00B4121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487" w:rsidRPr="00EC54CC" w14:paraId="74E162A0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993F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E678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6899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C212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1C8F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0487" w:rsidRPr="00EC54CC" w14:paraId="50EE6AF8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9BAD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Person-years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DF97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374,469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6FFC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388,822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DF01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499,249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F5A3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0487" w:rsidRPr="00EC54CC" w14:paraId="50AF3997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967D" w14:textId="77777777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Age-adjusted RR (95% CI)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36EB" w14:textId="5E09E9C1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3925D" w14:textId="7F5C0F9C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0.75 (0.46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1.21)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CE14" w14:textId="740ABB23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1.09 (0.71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BC5F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</w:tr>
      <w:tr w:rsidR="00C00487" w:rsidRPr="00EC54CC" w14:paraId="4319291B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2EB8" w14:textId="7A3EC120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1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C54C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3304" w14:textId="2C854C00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0921" w14:textId="262DC5CE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0.75 (0.46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1.23)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0762" w14:textId="02A3C500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1.07 (0.70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36FC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0.47</w:t>
            </w:r>
          </w:p>
        </w:tc>
      </w:tr>
      <w:tr w:rsidR="00C00487" w:rsidRPr="00EC54CC" w14:paraId="28321F3A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B631" w14:textId="245EE9BC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2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5748" w14:textId="67A1D87C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4B0F" w14:textId="703FEF48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0.75 (0.46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1.23)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597D" w14:textId="424D8B49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1.07 (0.70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DE7D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0.46</w:t>
            </w:r>
          </w:p>
        </w:tc>
      </w:tr>
      <w:tr w:rsidR="00C00487" w:rsidRPr="00EC54CC" w14:paraId="53B05E02" w14:textId="77777777" w:rsidTr="00C00487">
        <w:trPr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C84B" w14:textId="06F916EA" w:rsidR="00C00487" w:rsidRPr="00EC54CC" w:rsidRDefault="00C00487" w:rsidP="00B412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Multivariate model 3 RR (95% CI)</w:t>
            </w:r>
            <w:r w:rsidR="008B4675" w:rsidRPr="008B467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B605" w14:textId="24A04B4F" w:rsidR="00C00487" w:rsidRPr="00EC54CC" w:rsidRDefault="00934975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B04F" w14:textId="4599C8C3" w:rsidR="00C00487" w:rsidRPr="00EC54CC" w:rsidRDefault="00EC55C9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0.75 (0.46 to</w:t>
            </w:r>
            <w:r w:rsidR="00C00487"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1.22)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C661" w14:textId="3B46E806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1.05 (0.68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3E7F" w14:textId="77777777" w:rsidR="00C00487" w:rsidRPr="00EC54CC" w:rsidRDefault="00C00487" w:rsidP="00B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0.52</w:t>
            </w:r>
          </w:p>
        </w:tc>
      </w:tr>
      <w:tr w:rsidR="00C00487" w:rsidRPr="00EC54CC" w14:paraId="730ABEB4" w14:textId="77777777" w:rsidTr="00C00487">
        <w:trPr>
          <w:trHeight w:val="285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64B2" w14:textId="77777777" w:rsidR="00C00487" w:rsidRPr="00EC54CC" w:rsidRDefault="00C00487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Abbreviations: CI, confidence interval; RR, relative risk. </w:t>
            </w:r>
          </w:p>
        </w:tc>
      </w:tr>
      <w:tr w:rsidR="00C00487" w:rsidRPr="00EC54CC" w14:paraId="67DEE3CC" w14:textId="77777777" w:rsidTr="00C00487">
        <w:trPr>
          <w:trHeight w:val="7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E883" w14:textId="097C0670" w:rsidR="00C00487" w:rsidRPr="00EC54CC" w:rsidRDefault="008B4675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>Includes time reading, meal time, time spent at a desk.</w:t>
            </w:r>
          </w:p>
        </w:tc>
      </w:tr>
      <w:tr w:rsidR="00C00487" w:rsidRPr="00EC54CC" w14:paraId="65EBC4E0" w14:textId="77777777" w:rsidTr="00C00487">
        <w:trPr>
          <w:trHeight w:val="81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ECD6" w14:textId="7A82730E" w:rsidR="00C00487" w:rsidRPr="00EC54CC" w:rsidRDefault="008B4675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Adjusted for height (continuous), family history of CRC (yes/no), diabetes (yes/no), screening lower endoscopy within past 10 years (yes/no), lower endoscopy due to other indications within past 10 years (yes/no), smoking (continuous pack-years), alcohol intake (continuous), regular use of aspirin (yes/no), non-steroidal anti-inflammatory drugs (yes/no), race,  multivitamin (yes/no), menopausal status and menopausal hormone use (premenopausal, never, and current use of menopausal hormone), and dietary intake (total calories, red meat, </w:t>
            </w:r>
            <w:r w:rsidR="00EC54CC" w:rsidRPr="00EC54CC">
              <w:rPr>
                <w:rFonts w:eastAsia="Times New Roman"/>
                <w:color w:val="000000"/>
                <w:sz w:val="16"/>
                <w:szCs w:val="18"/>
              </w:rPr>
              <w:t>fiber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>, folate, calcium, Alternate Healthy Eating Index 2010, continuous).</w:t>
            </w:r>
          </w:p>
        </w:tc>
      </w:tr>
      <w:tr w:rsidR="00C00487" w:rsidRPr="00EC54CC" w14:paraId="35509CDB" w14:textId="77777777" w:rsidTr="00C00487">
        <w:trPr>
          <w:trHeight w:val="7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BE63" w14:textId="25597863" w:rsidR="00C00487" w:rsidRPr="00EC54CC" w:rsidRDefault="008B4675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>Additionally adjusted for physical activities (continuous).</w:t>
            </w:r>
          </w:p>
        </w:tc>
      </w:tr>
      <w:tr w:rsidR="00C00487" w:rsidRPr="00EC54CC" w14:paraId="0186A408" w14:textId="77777777" w:rsidTr="00C00487">
        <w:trPr>
          <w:trHeight w:val="7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3C92" w14:textId="746255C8" w:rsidR="00C00487" w:rsidRPr="00EC54CC" w:rsidRDefault="008B4675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§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Additionally adjusted for 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>physical activities (continuous)</w:t>
            </w:r>
            <w:r w:rsidR="00071A1B">
              <w:rPr>
                <w:rFonts w:eastAsia="Times New Roman"/>
                <w:color w:val="000000"/>
                <w:sz w:val="16"/>
                <w:szCs w:val="18"/>
              </w:rPr>
              <w:t xml:space="preserve"> and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>body mass index (continuous).</w:t>
            </w:r>
          </w:p>
        </w:tc>
      </w:tr>
      <w:tr w:rsidR="00C00487" w:rsidRPr="00EC54CC" w14:paraId="71E67800" w14:textId="77777777" w:rsidTr="00C00487">
        <w:trPr>
          <w:trHeight w:val="7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51B" w14:textId="0C5A181E" w:rsidR="00C00487" w:rsidRPr="00EC54CC" w:rsidRDefault="008B4675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||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Calculated using the median of each sedentary </w:t>
            </w:r>
            <w:r w:rsidR="00EC54CC" w:rsidRPr="00EC54CC">
              <w:rPr>
                <w:rFonts w:eastAsia="Times New Roman"/>
                <w:color w:val="000000"/>
                <w:sz w:val="16"/>
                <w:szCs w:val="18"/>
              </w:rPr>
              <w:t>behavior</w:t>
            </w:r>
            <w:r w:rsidR="00C00487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 category as a continuous variable.</w:t>
            </w:r>
          </w:p>
        </w:tc>
      </w:tr>
      <w:tr w:rsidR="00C00487" w:rsidRPr="00EC54CC" w14:paraId="782D7230" w14:textId="77777777" w:rsidTr="00C00487">
        <w:trPr>
          <w:trHeight w:val="7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9060" w14:textId="77777777" w:rsidR="00C00487" w:rsidRPr="00EC54CC" w:rsidRDefault="00C00487" w:rsidP="00B41219">
            <w:pPr>
              <w:contextualSpacing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</w:tbl>
    <w:p w14:paraId="028287F0" w14:textId="77777777" w:rsidR="00C00487" w:rsidRPr="00EC54CC" w:rsidRDefault="00C00487" w:rsidP="00C00487"/>
    <w:p w14:paraId="1ACCECC9" w14:textId="77777777" w:rsidR="00C00487" w:rsidRPr="00EC54CC" w:rsidRDefault="00C00487" w:rsidP="00504503"/>
    <w:p w14:paraId="41AA4564" w14:textId="77777777" w:rsidR="00C00487" w:rsidRPr="00EC54CC" w:rsidRDefault="00C00487" w:rsidP="00504503"/>
    <w:p w14:paraId="7C740945" w14:textId="77777777" w:rsidR="00C00487" w:rsidRPr="00EC54CC" w:rsidRDefault="00C00487">
      <w:r w:rsidRPr="00EC54CC">
        <w:br w:type="page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330"/>
        <w:gridCol w:w="2010"/>
        <w:gridCol w:w="2010"/>
        <w:gridCol w:w="2010"/>
        <w:gridCol w:w="1080"/>
      </w:tblGrid>
      <w:tr w:rsidR="004862A9" w:rsidRPr="00EC54CC" w14:paraId="0DABEA9F" w14:textId="77777777" w:rsidTr="001E364C">
        <w:trPr>
          <w:trHeight w:val="24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ABFD" w14:textId="48A9872F" w:rsidR="004862A9" w:rsidRPr="00EC54CC" w:rsidRDefault="004862A9" w:rsidP="001E36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Supplementary Table 2. 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Light-intensity </w:t>
            </w:r>
            <w:r w:rsidR="00EC54CC"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>behaviors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and risk of young-onset CRC diagnosed prior to age 50</w:t>
            </w:r>
          </w:p>
        </w:tc>
      </w:tr>
      <w:tr w:rsidR="004862A9" w:rsidRPr="00EC54CC" w14:paraId="61DC0331" w14:textId="77777777" w:rsidTr="001E364C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83D8" w14:textId="77777777" w:rsidR="004862A9" w:rsidRPr="00EC54CC" w:rsidRDefault="004862A9" w:rsidP="001E36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2C425" w14:textId="77777777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Hours per week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B8EA5" w14:textId="69D97AC9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p-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trend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§</w:t>
            </w:r>
          </w:p>
        </w:tc>
      </w:tr>
      <w:tr w:rsidR="004862A9" w:rsidRPr="00EC54CC" w14:paraId="04B856FF" w14:textId="77777777" w:rsidTr="001E364C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51EE" w14:textId="77777777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AFD36" w14:textId="77777777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0 - 14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0F414" w14:textId="77777777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14.1-34.9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A006" w14:textId="77777777" w:rsidR="004862A9" w:rsidRPr="00EC54CC" w:rsidRDefault="004862A9" w:rsidP="001E36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≥35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17CA4A" w14:textId="77777777" w:rsidR="004862A9" w:rsidRPr="00EC54CC" w:rsidRDefault="004862A9" w:rsidP="001E364C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862A9" w:rsidRPr="00EC54CC" w14:paraId="04E03CC6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2D82" w14:textId="77777777" w:rsidR="004862A9" w:rsidRPr="00EC54CC" w:rsidRDefault="004862A9" w:rsidP="001E3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b/>
                <w:bCs/>
                <w:color w:val="000000"/>
                <w:sz w:val="20"/>
                <w:szCs w:val="20"/>
              </w:rPr>
              <w:t>Standing or walking at work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A8E6" w14:textId="77777777" w:rsidR="004862A9" w:rsidRPr="00EC54CC" w:rsidRDefault="004862A9" w:rsidP="001E36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2A9" w:rsidRPr="00EC54CC" w14:paraId="5E34988C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C5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62EF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5170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1959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0EC6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62A9" w:rsidRPr="00EC54CC" w14:paraId="2D05441F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22CE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Person-years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FA8D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316,302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B22A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689,715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BEE9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254,369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DFB0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62A9" w:rsidRPr="00EC54CC" w14:paraId="749BEA77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234B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Age-adjusted RR (95% CI)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B967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975B" w14:textId="5AAB8DCD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0.81 (0.53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707A" w14:textId="634971C5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0.72 (0.42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B9E1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</w:tr>
      <w:tr w:rsidR="004862A9" w:rsidRPr="00EC54CC" w14:paraId="1E8973BD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CFA5" w14:textId="5C938A8E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1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Pr="00EC54CC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9C85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8144" w14:textId="24201EB1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0.80 (0.52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FD92" w14:textId="2605CFF5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0.72 (0.42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AB38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</w:tr>
      <w:tr w:rsidR="004862A9" w:rsidRPr="00EC54CC" w14:paraId="57C44053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DED2" w14:textId="48BF3089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2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EADD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128E" w14:textId="3E16042F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0.79 (0.52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1.20)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8523" w14:textId="1089FF59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0.70 (0.41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685A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</w:tr>
      <w:tr w:rsidR="004862A9" w:rsidRPr="00EC54CC" w14:paraId="7584D948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A51E" w14:textId="53612968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3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3821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27BA" w14:textId="5B66653F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0.78 (0.52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1.19)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C6F6" w14:textId="1DBEA669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0.69 (0.40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B4A4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4862A9" w:rsidRPr="00EC54CC" w14:paraId="5EE1AFD9" w14:textId="77777777" w:rsidTr="001E364C">
        <w:trPr>
          <w:trHeight w:val="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99F8" w14:textId="77777777" w:rsidR="004862A9" w:rsidRPr="00EC54CC" w:rsidRDefault="004862A9" w:rsidP="001E3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b/>
                <w:bCs/>
                <w:color w:val="000000"/>
                <w:sz w:val="20"/>
                <w:szCs w:val="20"/>
              </w:rPr>
              <w:t>Standing or walking at home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677B" w14:textId="77777777" w:rsidR="004862A9" w:rsidRPr="00EC54CC" w:rsidRDefault="004862A9" w:rsidP="001E364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2A9" w:rsidRPr="00EC54CC" w14:paraId="4F5FA8C3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13B1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2A71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1349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9003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C1A5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62A9" w:rsidRPr="00EC54CC" w14:paraId="757BF38B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282B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Person-years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BF9C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446,788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69CF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607,028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157F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206,570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9E2D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62A9" w:rsidRPr="00EC54CC" w14:paraId="6CE624DE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1B7A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Age-adjusted RR (95% CI)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D417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35BE" w14:textId="7B7AF18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0.84 (0.57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1.24)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AD7E" w14:textId="159E0878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0.79 (0.45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6ACD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</w:tr>
      <w:tr w:rsidR="004862A9" w:rsidRPr="00EC54CC" w14:paraId="53E6BD90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5627" w14:textId="14A1900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1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Pr="00EC54CC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F99A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3DD9" w14:textId="12693602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0.86 (0.58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6A72" w14:textId="6D502E1E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0.85 (0.48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9598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0.54</w:t>
            </w:r>
          </w:p>
        </w:tc>
      </w:tr>
      <w:tr w:rsidR="004862A9" w:rsidRPr="00EC54CC" w14:paraId="47F62271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12E1" w14:textId="45C087CA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2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2C36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F1BB" w14:textId="2FB57925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0.86 (0.58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1.28)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4BCF" w14:textId="0C5F9C2B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0.84 (0.48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F281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0.52</w:t>
            </w:r>
          </w:p>
        </w:tc>
      </w:tr>
      <w:tr w:rsidR="004862A9" w:rsidRPr="00EC54CC" w14:paraId="498AF98E" w14:textId="77777777" w:rsidTr="001E364C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3240" w14:textId="1F633BE7" w:rsidR="004862A9" w:rsidRPr="00EC54CC" w:rsidRDefault="004862A9" w:rsidP="001E36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color w:val="000000"/>
                <w:sz w:val="20"/>
                <w:szCs w:val="20"/>
              </w:rPr>
              <w:t xml:space="preserve">   Model 3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89BFC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1179" w14:textId="586E8B0F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0.88 (0.59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1.31)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43C6" w14:textId="38932739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0.88 (0.50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BD4C" w14:textId="77777777" w:rsidR="004862A9" w:rsidRPr="00EC54CC" w:rsidRDefault="004862A9" w:rsidP="001E36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0.64</w:t>
            </w:r>
          </w:p>
        </w:tc>
      </w:tr>
      <w:tr w:rsidR="004862A9" w:rsidRPr="00EC54CC" w14:paraId="26FC9E07" w14:textId="77777777" w:rsidTr="001E364C">
        <w:trPr>
          <w:trHeight w:val="161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9A9E" w14:textId="77777777" w:rsidR="004862A9" w:rsidRPr="00EC54CC" w:rsidRDefault="004862A9" w:rsidP="001E364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C54CC">
              <w:rPr>
                <w:rFonts w:eastAsia="Times New Roman"/>
                <w:color w:val="000000"/>
                <w:sz w:val="16"/>
                <w:szCs w:val="16"/>
              </w:rPr>
              <w:t xml:space="preserve">Abbreviations: CI, confidence interval; RR, relative risk. </w:t>
            </w:r>
          </w:p>
        </w:tc>
      </w:tr>
      <w:tr w:rsidR="004862A9" w:rsidRPr="00EC54CC" w14:paraId="7E279ED2" w14:textId="77777777" w:rsidTr="001E364C">
        <w:trPr>
          <w:trHeight w:val="693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4B7C" w14:textId="76D33374" w:rsidR="004862A9" w:rsidRPr="00EC54CC" w:rsidRDefault="008B4675" w:rsidP="001E364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 xml:space="preserve">Adjusted for height (continuous), family history of CRC (yes/no), diabetes (yes/no), screening lower endoscopy within past 10 years (yes/no), lower endoscopy due to other indications within past 10 years (yes/no), smoking (continuous pack-years), alcohol intake (continuous), regular use of aspirin (yes/no), non-steroidal anti-inflammatory drugs (yes/no), race,  multivitamin (yes/no), menopausal status and menopausal hormone use (premenopausal, never, and current use of menopausal hormone), and dietary intake (total calories, red meat, </w:t>
            </w:r>
            <w:r w:rsidR="00EC54CC" w:rsidRPr="00EC54CC">
              <w:rPr>
                <w:rFonts w:eastAsia="Times New Roman"/>
                <w:color w:val="000000"/>
                <w:sz w:val="16"/>
                <w:szCs w:val="16"/>
              </w:rPr>
              <w:t>fiber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>, folate, calcium, Alternate Healthy Eating Index 2010, continuous).</w:t>
            </w:r>
          </w:p>
        </w:tc>
      </w:tr>
      <w:tr w:rsidR="004862A9" w:rsidRPr="00EC54CC" w14:paraId="44708728" w14:textId="77777777" w:rsidTr="001E364C">
        <w:trPr>
          <w:trHeight w:val="7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E921" w14:textId="7E5129B0" w:rsidR="004862A9" w:rsidRPr="00EC54CC" w:rsidRDefault="008B4675" w:rsidP="001E364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>Additionally adjusted for physical activities (continuous).</w:t>
            </w:r>
          </w:p>
        </w:tc>
      </w:tr>
      <w:tr w:rsidR="004862A9" w:rsidRPr="00EC54CC" w14:paraId="458CEABF" w14:textId="77777777" w:rsidTr="001E364C">
        <w:trPr>
          <w:trHeight w:val="7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E026" w14:textId="7B81C2A1" w:rsidR="004862A9" w:rsidRPr="00EC54CC" w:rsidRDefault="008B4675" w:rsidP="001E364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 xml:space="preserve">Additionally adjusted for 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>physical activities (continuous)</w:t>
            </w:r>
            <w:r w:rsidR="00071A1B">
              <w:rPr>
                <w:rFonts w:eastAsia="Times New Roman"/>
                <w:color w:val="000000"/>
                <w:sz w:val="16"/>
                <w:szCs w:val="18"/>
              </w:rPr>
              <w:t xml:space="preserve"> and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>body mass index (continuous).</w:t>
            </w:r>
          </w:p>
        </w:tc>
      </w:tr>
      <w:tr w:rsidR="004862A9" w:rsidRPr="00EC54CC" w14:paraId="59406BBC" w14:textId="77777777" w:rsidTr="001E364C">
        <w:trPr>
          <w:trHeight w:val="7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6C2A" w14:textId="0C6C8016" w:rsidR="004862A9" w:rsidRPr="00EC54CC" w:rsidRDefault="008B4675" w:rsidP="001E364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§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 xml:space="preserve">Calculated using the median of each sedentary </w:t>
            </w:r>
            <w:r w:rsidR="00EC54CC" w:rsidRPr="00EC54CC">
              <w:rPr>
                <w:rFonts w:eastAsia="Times New Roman"/>
                <w:color w:val="000000"/>
                <w:sz w:val="16"/>
                <w:szCs w:val="16"/>
              </w:rPr>
              <w:t>behavior</w:t>
            </w:r>
            <w:r w:rsidR="004862A9" w:rsidRPr="00EC54CC">
              <w:rPr>
                <w:rFonts w:eastAsia="Times New Roman"/>
                <w:color w:val="000000"/>
                <w:sz w:val="16"/>
                <w:szCs w:val="16"/>
              </w:rPr>
              <w:t xml:space="preserve"> category as a continuous variable.</w:t>
            </w:r>
          </w:p>
        </w:tc>
      </w:tr>
    </w:tbl>
    <w:p w14:paraId="5D1251B7" w14:textId="1771FB64" w:rsidR="00504503" w:rsidRPr="00EC54CC" w:rsidRDefault="004862A9" w:rsidP="00504503">
      <w:r w:rsidRPr="00EC54CC"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790"/>
        <w:gridCol w:w="2010"/>
        <w:gridCol w:w="2010"/>
        <w:gridCol w:w="2010"/>
        <w:gridCol w:w="1260"/>
      </w:tblGrid>
      <w:tr w:rsidR="00504503" w:rsidRPr="00EC54CC" w14:paraId="7C417777" w14:textId="77777777" w:rsidTr="00975021">
        <w:trPr>
          <w:trHeight w:val="26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5B9B1" w14:textId="091EAE34" w:rsidR="00504503" w:rsidRPr="00EC54CC" w:rsidRDefault="00504503" w:rsidP="009750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Supplementary Table </w:t>
            </w:r>
            <w:r w:rsidR="00C00487"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Sedentary TV </w:t>
            </w:r>
            <w:r w:rsidR="00110DBF">
              <w:rPr>
                <w:rFonts w:eastAsia="Times New Roman"/>
                <w:bCs/>
                <w:color w:val="000000"/>
                <w:sz w:val="20"/>
                <w:szCs w:val="20"/>
              </w:rPr>
              <w:t>viewing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time and risk of conventional CRC diagnosed at age 50 and above</w:t>
            </w:r>
          </w:p>
        </w:tc>
      </w:tr>
      <w:tr w:rsidR="00504503" w:rsidRPr="00EC54CC" w14:paraId="27231A9F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0AF6" w14:textId="77777777" w:rsidR="00504503" w:rsidRPr="00EC54CC" w:rsidRDefault="00504503" w:rsidP="009750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E6D96" w14:textId="1B8015F6" w:rsidR="00504503" w:rsidRPr="00EC54CC" w:rsidRDefault="00110DBF" w:rsidP="009750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10D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Sedentary TV viewing time </w:t>
            </w:r>
            <w:r w:rsidR="00504503"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(Hours per week)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EF4D4" w14:textId="2B58155A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EC54C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trend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§</w:t>
            </w:r>
          </w:p>
        </w:tc>
      </w:tr>
      <w:tr w:rsidR="00504503" w:rsidRPr="00EC54CC" w14:paraId="054586E8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02AF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0B18A" w14:textId="77777777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≤7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DD4B" w14:textId="77777777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7.1-14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137EC" w14:textId="77777777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&gt;14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FB42FC" w14:textId="77777777" w:rsidR="00504503" w:rsidRPr="00EC54CC" w:rsidRDefault="00504503" w:rsidP="0097502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04503" w:rsidRPr="00EC54CC" w14:paraId="7F391EEE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1F16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80A8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9BEC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A658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503E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503" w:rsidRPr="00EC54CC" w14:paraId="62170927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8A72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Person-years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062A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900,227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4F6D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525,691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DE18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361,465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FBDB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503" w:rsidRPr="00EC54CC" w14:paraId="49C04962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6FC1B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Age-adjusted RR (95% CI)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509A" w14:textId="09F1E0A4" w:rsidR="00504503" w:rsidRPr="00EC54CC" w:rsidRDefault="00934975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1802" w14:textId="4A095813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1.25 (0.89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1.77)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EC81" w14:textId="64D2BCC8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1.19 (0.79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DA4B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</w:tr>
      <w:tr w:rsidR="00504503" w:rsidRPr="00EC54CC" w14:paraId="0B095C38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2225" w14:textId="514B4FC9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Model 1 RR (95% CI)</w:t>
            </w:r>
            <w:r w:rsidR="00071A1B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="00071A1B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Pr="00EC54C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D4B5" w14:textId="009ABF34" w:rsidR="00504503" w:rsidRPr="00EC54CC" w:rsidRDefault="00934975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19EA" w14:textId="5F5F8592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1.27 (0.89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1.80)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1102" w14:textId="01496B45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1.18 (0.78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3BE4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504503" w:rsidRPr="00EC54CC" w14:paraId="35479CDF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8147" w14:textId="5E6E8641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Model 2 RR (95% CI)</w:t>
            </w:r>
            <w:r w:rsidR="00071A1B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255C" w14:textId="34C99013" w:rsidR="00504503" w:rsidRPr="00EC54CC" w:rsidRDefault="00934975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067A" w14:textId="2983F8D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1.28 (0.90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1.82)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4346" w14:textId="34DF5E22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1.20 (0.79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9CD0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</w:tr>
      <w:tr w:rsidR="00504503" w:rsidRPr="00EC54CC" w14:paraId="7ED134C3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9F187" w14:textId="085D5456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Model 3 RR (95% CI)</w:t>
            </w:r>
            <w:r w:rsidR="008B4675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38BB3" w14:textId="73BE9D01" w:rsidR="00504503" w:rsidRPr="00EC54CC" w:rsidRDefault="00934975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3530D" w14:textId="0F52ABDB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1.30 (0.91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611D5" w14:textId="5A803AC3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1.23 (0.80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1.89)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6F8BD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</w:tr>
      <w:tr w:rsidR="00504503" w:rsidRPr="00EC54CC" w14:paraId="0D72F857" w14:textId="77777777" w:rsidTr="00975021">
        <w:trPr>
          <w:trHeight w:val="63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0F55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Abbreviations: CI, confidence interval; RR, relative risk. </w:t>
            </w:r>
          </w:p>
        </w:tc>
      </w:tr>
      <w:tr w:rsidR="00504503" w:rsidRPr="00EC54CC" w14:paraId="3BCC0FB6" w14:textId="77777777" w:rsidTr="00975021">
        <w:trPr>
          <w:trHeight w:val="7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C786" w14:textId="3C2D04A4" w:rsidR="00504503" w:rsidRPr="00EC54CC" w:rsidRDefault="00071A1B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Adjusted for height (continuous), family history of CRC (yes/no), diabetes (yes/no), screening lower endoscopy within past 10 years (yes/no), lower endoscopy due to other indications within past 10 years (yes/no), smoking (continuous pack-years), alcohol intake (continuous), regular use of aspirin (yes/no), non-steroidal anti-inflammatory drugs (yes/no), race,  multivitamin (yes/no), menopausal status and menopausal hormone use (premenopausal, never, and current use of menopausal hormone), and dietary intake (total calories, red meat, </w:t>
            </w:r>
            <w:r w:rsidR="00EC54CC" w:rsidRPr="00EC54CC">
              <w:rPr>
                <w:rFonts w:eastAsia="Times New Roman"/>
                <w:color w:val="000000"/>
                <w:sz w:val="16"/>
                <w:szCs w:val="18"/>
              </w:rPr>
              <w:t>fiber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>, folate, calcium, Alternate Healthy Eating Index 2010, continuous).</w:t>
            </w:r>
          </w:p>
        </w:tc>
      </w:tr>
      <w:tr w:rsidR="00504503" w:rsidRPr="00EC54CC" w14:paraId="3565184F" w14:textId="77777777" w:rsidTr="00975021">
        <w:trPr>
          <w:trHeight w:val="7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7D28" w14:textId="044896BB" w:rsidR="00504503" w:rsidRPr="00EC54CC" w:rsidRDefault="00071A1B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†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>Additionally adjusted for physical activities (continuous).</w:t>
            </w:r>
          </w:p>
        </w:tc>
      </w:tr>
      <w:tr w:rsidR="00504503" w:rsidRPr="00EC54CC" w14:paraId="15BE5762" w14:textId="77777777" w:rsidTr="00975021">
        <w:trPr>
          <w:trHeight w:val="7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720F" w14:textId="3C1486C3" w:rsidR="00504503" w:rsidRPr="00EC54CC" w:rsidRDefault="008B4675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‡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Additionally adjusted for 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>physical activities (continuous)</w:t>
            </w:r>
            <w:r w:rsidR="00071A1B">
              <w:rPr>
                <w:rFonts w:eastAsia="Times New Roman"/>
                <w:color w:val="000000"/>
                <w:sz w:val="16"/>
                <w:szCs w:val="18"/>
              </w:rPr>
              <w:t xml:space="preserve"> and</w:t>
            </w:r>
            <w:r w:rsidR="00071A1B" w:rsidRPr="00E8177B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  <w:bookmarkStart w:id="0" w:name="_GoBack"/>
            <w:bookmarkEnd w:id="0"/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>body mass index (continuous).</w:t>
            </w:r>
          </w:p>
        </w:tc>
      </w:tr>
      <w:tr w:rsidR="00504503" w:rsidRPr="00EC54CC" w14:paraId="085EF70E" w14:textId="77777777" w:rsidTr="00975021">
        <w:trPr>
          <w:trHeight w:val="7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0B58" w14:textId="2DEE73F2" w:rsidR="00504503" w:rsidRPr="00EC54CC" w:rsidRDefault="008B4675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§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Calculated using the median of each sedentary </w:t>
            </w:r>
            <w:r w:rsidR="00EC54CC" w:rsidRPr="00EC54CC">
              <w:rPr>
                <w:rFonts w:eastAsia="Times New Roman"/>
                <w:color w:val="000000"/>
                <w:sz w:val="16"/>
                <w:szCs w:val="18"/>
              </w:rPr>
              <w:t>behavior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 category as a continuous variable.</w:t>
            </w:r>
          </w:p>
        </w:tc>
      </w:tr>
    </w:tbl>
    <w:p w14:paraId="3E387D86" w14:textId="77777777" w:rsidR="00504503" w:rsidRPr="00EC54CC" w:rsidRDefault="00504503" w:rsidP="00504503"/>
    <w:p w14:paraId="18344251" w14:textId="77777777" w:rsidR="00504503" w:rsidRPr="00EC54CC" w:rsidRDefault="00504503" w:rsidP="00504503">
      <w:r w:rsidRPr="00EC54CC"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790"/>
        <w:gridCol w:w="3645"/>
        <w:gridCol w:w="3645"/>
      </w:tblGrid>
      <w:tr w:rsidR="00504503" w:rsidRPr="00EC54CC" w14:paraId="78EE663D" w14:textId="77777777" w:rsidTr="00975021">
        <w:trPr>
          <w:trHeight w:val="26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0DF97" w14:textId="421154E0" w:rsidR="00504503" w:rsidRPr="00EC54CC" w:rsidRDefault="00504503" w:rsidP="009750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Supplementary Table </w:t>
            </w:r>
            <w:r w:rsidR="00C00487"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10DBF">
              <w:rPr>
                <w:rFonts w:eastAsia="Times New Roman"/>
                <w:bCs/>
                <w:color w:val="000000"/>
                <w:sz w:val="20"/>
                <w:szCs w:val="20"/>
              </w:rPr>
              <w:t>Joint analysis of sedentary TV viewing</w:t>
            </w: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time, body mass index, and risk of young-onset CRC diagnosed prior to age 50</w:t>
            </w:r>
          </w:p>
        </w:tc>
      </w:tr>
      <w:tr w:rsidR="00504503" w:rsidRPr="00EC54CC" w14:paraId="6E73908E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2FD0" w14:textId="77777777" w:rsidR="00504503" w:rsidRPr="00EC54CC" w:rsidRDefault="00504503" w:rsidP="0097502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82FEE" w14:textId="7368E910" w:rsidR="00504503" w:rsidRPr="00EC54CC" w:rsidRDefault="00110DBF" w:rsidP="009750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10D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Sedentary TV viewing time </w:t>
            </w:r>
            <w:r w:rsidR="00504503"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(Hours per week)</w:t>
            </w:r>
          </w:p>
        </w:tc>
      </w:tr>
      <w:tr w:rsidR="00504503" w:rsidRPr="00EC54CC" w14:paraId="4227185A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D8248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BF72D" w14:textId="77777777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625DA" w14:textId="77777777" w:rsidR="00504503" w:rsidRPr="00EC54CC" w:rsidRDefault="00504503" w:rsidP="009750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EC54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≥</w:t>
            </w: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504503" w:rsidRPr="00EC54CC" w14:paraId="4BCE6A3F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0DC8" w14:textId="5F0547BE" w:rsidR="00504503" w:rsidRPr="00EC54CC" w:rsidRDefault="00504503" w:rsidP="0097502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/>
                <w:color w:val="000000"/>
                <w:sz w:val="20"/>
                <w:szCs w:val="20"/>
              </w:rPr>
              <w:t>BMI</w:t>
            </w:r>
            <w:r w:rsidR="00071A1B"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B0BD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F889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503" w:rsidRPr="00EC54CC" w14:paraId="6986E469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E1DB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&lt;25 kg/m</w:t>
            </w:r>
            <w:r w:rsidRPr="00EC54C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B68C6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F4215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503" w:rsidRPr="00EC54CC" w14:paraId="7A58DAFA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5869A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 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C8D1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D1F7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504503" w:rsidRPr="00EC54CC" w14:paraId="2809B600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988A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RR (95% CI)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9B961" w14:textId="212DD345" w:rsidR="00504503" w:rsidRPr="00EC54CC" w:rsidRDefault="00934975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1(referent)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99083" w14:textId="338A84A3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1.30 (0.68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 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>2.47)</w:t>
            </w:r>
          </w:p>
        </w:tc>
      </w:tr>
      <w:tr w:rsidR="00504503" w:rsidRPr="00EC54CC" w14:paraId="4E3C09F8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F19F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bCs/>
                <w:color w:val="000000"/>
                <w:sz w:val="20"/>
                <w:szCs w:val="20"/>
              </w:rPr>
              <w:t>≥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>25 kg/m</w:t>
            </w:r>
            <w:r w:rsidRPr="00EC54C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D2F83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48AC1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503" w:rsidRPr="00EC54CC" w14:paraId="3350AA4C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5299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Cases 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99D0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19F80" w14:textId="77777777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504503" w:rsidRPr="00EC54CC" w14:paraId="5A674FFF" w14:textId="77777777" w:rsidTr="00975021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F350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 xml:space="preserve">   RR (95% CI)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00567" w14:textId="33E3F2C8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1.26 (0.80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</w:t>
            </w:r>
            <w:r w:rsidR="009E4A2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>1.96)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02E0" w14:textId="290F7710" w:rsidR="00504503" w:rsidRPr="00EC54CC" w:rsidRDefault="00504503" w:rsidP="009750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54CC">
              <w:rPr>
                <w:rFonts w:eastAsia="Times New Roman"/>
                <w:color w:val="000000"/>
                <w:sz w:val="20"/>
                <w:szCs w:val="20"/>
              </w:rPr>
              <w:t>2.41 (1.41</w:t>
            </w:r>
            <w:r w:rsidR="00EC55C9">
              <w:rPr>
                <w:rFonts w:eastAsia="Times New Roman"/>
                <w:color w:val="000000"/>
                <w:sz w:val="20"/>
                <w:szCs w:val="20"/>
              </w:rPr>
              <w:t xml:space="preserve"> to </w:t>
            </w:r>
            <w:r w:rsidRPr="00EC54CC">
              <w:rPr>
                <w:rFonts w:eastAsia="Times New Roman"/>
                <w:color w:val="000000"/>
                <w:sz w:val="20"/>
                <w:szCs w:val="20"/>
              </w:rPr>
              <w:t>4.11)</w:t>
            </w:r>
          </w:p>
        </w:tc>
      </w:tr>
      <w:tr w:rsidR="00504503" w:rsidRPr="00EC54CC" w14:paraId="45674F5E" w14:textId="77777777" w:rsidTr="00975021">
        <w:trPr>
          <w:trHeight w:val="63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D6F5" w14:textId="77777777" w:rsidR="00504503" w:rsidRPr="00EC54CC" w:rsidRDefault="00504503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Abbreviations: BMI: body mass index; CI, confidence interval; RR, relative risk. </w:t>
            </w:r>
          </w:p>
        </w:tc>
      </w:tr>
      <w:tr w:rsidR="00504503" w:rsidRPr="00EC54CC" w14:paraId="283BD1B4" w14:textId="77777777" w:rsidTr="00975021">
        <w:trPr>
          <w:trHeight w:val="7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A53D" w14:textId="7DE78F43" w:rsidR="00504503" w:rsidRPr="00EC54CC" w:rsidRDefault="00071A1B" w:rsidP="0097502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8B4675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*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 xml:space="preserve">Adjusted for height (continuous), family history of CRC (yes/no), diabetes (yes/no), screening lower endoscopy within past 10 years (yes/no), lower endoscopy due to other indications within past 10 years (yes/no), smoking (continuous pack-years), alcohol intake (continuous), regular use of aspirin (yes/no), non-steroidal anti-inflammatory drugs (yes/no), race,  multivitamin (yes/no), menopausal status and menopausal hormone use (premenopausal, never, and current use of menopausal hormone), and dietary intake (total calories, red meat, </w:t>
            </w:r>
            <w:r w:rsidR="00EC54CC" w:rsidRPr="00EC54CC">
              <w:rPr>
                <w:rFonts w:eastAsia="Times New Roman"/>
                <w:color w:val="000000"/>
                <w:sz w:val="16"/>
                <w:szCs w:val="18"/>
              </w:rPr>
              <w:t>fiber</w:t>
            </w:r>
            <w:r w:rsidR="00504503" w:rsidRPr="00EC54CC">
              <w:rPr>
                <w:rFonts w:eastAsia="Times New Roman"/>
                <w:color w:val="000000"/>
                <w:sz w:val="16"/>
                <w:szCs w:val="18"/>
              </w:rPr>
              <w:t>, folate, calcium, Alternate Healthy Eating Index 2010, continuous).</w:t>
            </w:r>
          </w:p>
        </w:tc>
      </w:tr>
    </w:tbl>
    <w:p w14:paraId="19E8B73E" w14:textId="77777777" w:rsidR="00504503" w:rsidRPr="00EC54CC" w:rsidRDefault="00504503" w:rsidP="00504503"/>
    <w:sectPr w:rsidR="00504503" w:rsidRPr="00EC54CC" w:rsidSect="0009773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E355" w14:textId="77777777" w:rsidR="00B519C3" w:rsidRDefault="00B519C3">
      <w:r>
        <w:separator/>
      </w:r>
    </w:p>
  </w:endnote>
  <w:endnote w:type="continuationSeparator" w:id="0">
    <w:p w14:paraId="0A91B0B7" w14:textId="77777777" w:rsidR="00B519C3" w:rsidRDefault="00B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314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87763C" w14:textId="77777777" w:rsidR="004B2267" w:rsidRDefault="00B538EA" w:rsidP="008813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FA663" w14:textId="77777777" w:rsidR="004B2267" w:rsidRDefault="00B519C3" w:rsidP="00097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106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5E42B" w14:textId="77777777" w:rsidR="004B2267" w:rsidRDefault="00B538EA" w:rsidP="008813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42F2994" w14:textId="77777777" w:rsidR="004B2267" w:rsidRDefault="00B519C3" w:rsidP="000977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8C0C" w14:textId="77777777" w:rsidR="00B519C3" w:rsidRDefault="00B519C3">
      <w:r>
        <w:separator/>
      </w:r>
    </w:p>
  </w:footnote>
  <w:footnote w:type="continuationSeparator" w:id="0">
    <w:p w14:paraId="0A85149E" w14:textId="77777777" w:rsidR="00B519C3" w:rsidRDefault="00B5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E87"/>
    <w:multiLevelType w:val="hybridMultilevel"/>
    <w:tmpl w:val="DA9E9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3"/>
    <w:rsid w:val="00007CC6"/>
    <w:rsid w:val="00014D3B"/>
    <w:rsid w:val="00031269"/>
    <w:rsid w:val="000317DC"/>
    <w:rsid w:val="00035EFD"/>
    <w:rsid w:val="00036B1A"/>
    <w:rsid w:val="0004395A"/>
    <w:rsid w:val="00045D8D"/>
    <w:rsid w:val="0005261A"/>
    <w:rsid w:val="00056E3B"/>
    <w:rsid w:val="00060203"/>
    <w:rsid w:val="000602A0"/>
    <w:rsid w:val="00064999"/>
    <w:rsid w:val="00071A1B"/>
    <w:rsid w:val="00071B03"/>
    <w:rsid w:val="00080129"/>
    <w:rsid w:val="0009189F"/>
    <w:rsid w:val="000929AB"/>
    <w:rsid w:val="00094915"/>
    <w:rsid w:val="000A0259"/>
    <w:rsid w:val="000A33D6"/>
    <w:rsid w:val="000A3ADA"/>
    <w:rsid w:val="000B6D13"/>
    <w:rsid w:val="000C60C4"/>
    <w:rsid w:val="000D1992"/>
    <w:rsid w:val="000F487F"/>
    <w:rsid w:val="000F7543"/>
    <w:rsid w:val="00110DBF"/>
    <w:rsid w:val="001171DE"/>
    <w:rsid w:val="00122917"/>
    <w:rsid w:val="001233CA"/>
    <w:rsid w:val="00123F63"/>
    <w:rsid w:val="00132524"/>
    <w:rsid w:val="00134571"/>
    <w:rsid w:val="0013733D"/>
    <w:rsid w:val="00142AF9"/>
    <w:rsid w:val="001451AC"/>
    <w:rsid w:val="001631D0"/>
    <w:rsid w:val="001718E4"/>
    <w:rsid w:val="001764C2"/>
    <w:rsid w:val="0018107E"/>
    <w:rsid w:val="001842AA"/>
    <w:rsid w:val="00184995"/>
    <w:rsid w:val="00186C86"/>
    <w:rsid w:val="00190A1B"/>
    <w:rsid w:val="00195BE9"/>
    <w:rsid w:val="001A7AD8"/>
    <w:rsid w:val="001B30A4"/>
    <w:rsid w:val="001B3A59"/>
    <w:rsid w:val="001C1335"/>
    <w:rsid w:val="001C1448"/>
    <w:rsid w:val="001C4EB3"/>
    <w:rsid w:val="001C66D4"/>
    <w:rsid w:val="001D2B7A"/>
    <w:rsid w:val="001D457B"/>
    <w:rsid w:val="001D7CC6"/>
    <w:rsid w:val="001E5C0F"/>
    <w:rsid w:val="001F3FAE"/>
    <w:rsid w:val="002010C9"/>
    <w:rsid w:val="00216EC0"/>
    <w:rsid w:val="00234353"/>
    <w:rsid w:val="00245C63"/>
    <w:rsid w:val="00246FB6"/>
    <w:rsid w:val="0024784C"/>
    <w:rsid w:val="002479CE"/>
    <w:rsid w:val="002542F5"/>
    <w:rsid w:val="00254E19"/>
    <w:rsid w:val="00256070"/>
    <w:rsid w:val="00256C63"/>
    <w:rsid w:val="00260BA3"/>
    <w:rsid w:val="002657A1"/>
    <w:rsid w:val="00285651"/>
    <w:rsid w:val="002A0ED1"/>
    <w:rsid w:val="002A3B1C"/>
    <w:rsid w:val="002B3CDB"/>
    <w:rsid w:val="002B5D4B"/>
    <w:rsid w:val="002C3131"/>
    <w:rsid w:val="002E095E"/>
    <w:rsid w:val="002E19AF"/>
    <w:rsid w:val="002E7280"/>
    <w:rsid w:val="002F4AF5"/>
    <w:rsid w:val="002F51D0"/>
    <w:rsid w:val="003038B7"/>
    <w:rsid w:val="00305BE9"/>
    <w:rsid w:val="00305E36"/>
    <w:rsid w:val="00313331"/>
    <w:rsid w:val="0035032F"/>
    <w:rsid w:val="00360DD9"/>
    <w:rsid w:val="003719C3"/>
    <w:rsid w:val="00371FB1"/>
    <w:rsid w:val="00394015"/>
    <w:rsid w:val="003A2DBB"/>
    <w:rsid w:val="003B2813"/>
    <w:rsid w:val="003C34CF"/>
    <w:rsid w:val="003D657F"/>
    <w:rsid w:val="003E00F4"/>
    <w:rsid w:val="003E3EF1"/>
    <w:rsid w:val="003F4F5C"/>
    <w:rsid w:val="003F77FB"/>
    <w:rsid w:val="004036A6"/>
    <w:rsid w:val="004038DE"/>
    <w:rsid w:val="00406E68"/>
    <w:rsid w:val="00407BF8"/>
    <w:rsid w:val="004267A0"/>
    <w:rsid w:val="0043578D"/>
    <w:rsid w:val="0043584D"/>
    <w:rsid w:val="004451F9"/>
    <w:rsid w:val="00452103"/>
    <w:rsid w:val="00462645"/>
    <w:rsid w:val="004654BB"/>
    <w:rsid w:val="00480BA2"/>
    <w:rsid w:val="0048326A"/>
    <w:rsid w:val="004844CB"/>
    <w:rsid w:val="004862A9"/>
    <w:rsid w:val="00487E07"/>
    <w:rsid w:val="004B1B20"/>
    <w:rsid w:val="004B20BE"/>
    <w:rsid w:val="004C02CC"/>
    <w:rsid w:val="004C0F96"/>
    <w:rsid w:val="004C1B03"/>
    <w:rsid w:val="004C710F"/>
    <w:rsid w:val="004D48A1"/>
    <w:rsid w:val="004D6C67"/>
    <w:rsid w:val="004E36F8"/>
    <w:rsid w:val="004E7579"/>
    <w:rsid w:val="004F5917"/>
    <w:rsid w:val="00504503"/>
    <w:rsid w:val="00506BBF"/>
    <w:rsid w:val="005148E1"/>
    <w:rsid w:val="00526524"/>
    <w:rsid w:val="00530C1E"/>
    <w:rsid w:val="00533C37"/>
    <w:rsid w:val="00543EAC"/>
    <w:rsid w:val="0054499B"/>
    <w:rsid w:val="0055772B"/>
    <w:rsid w:val="00560C5B"/>
    <w:rsid w:val="00565977"/>
    <w:rsid w:val="00571883"/>
    <w:rsid w:val="00572534"/>
    <w:rsid w:val="005818F7"/>
    <w:rsid w:val="00582E60"/>
    <w:rsid w:val="005830CF"/>
    <w:rsid w:val="00587FFC"/>
    <w:rsid w:val="0059013D"/>
    <w:rsid w:val="005944E0"/>
    <w:rsid w:val="005A0A2F"/>
    <w:rsid w:val="005D225F"/>
    <w:rsid w:val="005D6232"/>
    <w:rsid w:val="005E5ACC"/>
    <w:rsid w:val="005E6784"/>
    <w:rsid w:val="005E6C15"/>
    <w:rsid w:val="005F6629"/>
    <w:rsid w:val="006063FC"/>
    <w:rsid w:val="00606AA9"/>
    <w:rsid w:val="00621675"/>
    <w:rsid w:val="00622F2C"/>
    <w:rsid w:val="00624E0B"/>
    <w:rsid w:val="00625B6C"/>
    <w:rsid w:val="0063069E"/>
    <w:rsid w:val="006306AC"/>
    <w:rsid w:val="00636C1C"/>
    <w:rsid w:val="00646DB8"/>
    <w:rsid w:val="00655231"/>
    <w:rsid w:val="00656892"/>
    <w:rsid w:val="006600B4"/>
    <w:rsid w:val="00660F37"/>
    <w:rsid w:val="00666484"/>
    <w:rsid w:val="006745B0"/>
    <w:rsid w:val="00676A5D"/>
    <w:rsid w:val="00690173"/>
    <w:rsid w:val="0069060F"/>
    <w:rsid w:val="00690C39"/>
    <w:rsid w:val="00693362"/>
    <w:rsid w:val="006A44B3"/>
    <w:rsid w:val="006A679B"/>
    <w:rsid w:val="006B3324"/>
    <w:rsid w:val="006B3B59"/>
    <w:rsid w:val="006B746B"/>
    <w:rsid w:val="006C6825"/>
    <w:rsid w:val="006E6E9D"/>
    <w:rsid w:val="006F7C2C"/>
    <w:rsid w:val="007006D7"/>
    <w:rsid w:val="007123A9"/>
    <w:rsid w:val="00713611"/>
    <w:rsid w:val="00714BBA"/>
    <w:rsid w:val="00720FAC"/>
    <w:rsid w:val="00733428"/>
    <w:rsid w:val="0074301E"/>
    <w:rsid w:val="00750B9A"/>
    <w:rsid w:val="00761A91"/>
    <w:rsid w:val="00765A64"/>
    <w:rsid w:val="0078187C"/>
    <w:rsid w:val="00786FA8"/>
    <w:rsid w:val="00791B5B"/>
    <w:rsid w:val="0079336A"/>
    <w:rsid w:val="00793F5F"/>
    <w:rsid w:val="007A4879"/>
    <w:rsid w:val="007A7C7A"/>
    <w:rsid w:val="007B32C8"/>
    <w:rsid w:val="007C69B4"/>
    <w:rsid w:val="007D36FB"/>
    <w:rsid w:val="007D3901"/>
    <w:rsid w:val="007E15F0"/>
    <w:rsid w:val="007F1F8A"/>
    <w:rsid w:val="0080554D"/>
    <w:rsid w:val="008063E9"/>
    <w:rsid w:val="00812608"/>
    <w:rsid w:val="008141A8"/>
    <w:rsid w:val="00825C57"/>
    <w:rsid w:val="008266E5"/>
    <w:rsid w:val="00833D4F"/>
    <w:rsid w:val="0084227C"/>
    <w:rsid w:val="008526A5"/>
    <w:rsid w:val="008536EA"/>
    <w:rsid w:val="0086214D"/>
    <w:rsid w:val="0086510D"/>
    <w:rsid w:val="00867840"/>
    <w:rsid w:val="008829DE"/>
    <w:rsid w:val="008864E0"/>
    <w:rsid w:val="008A35D5"/>
    <w:rsid w:val="008B07A5"/>
    <w:rsid w:val="008B4675"/>
    <w:rsid w:val="008C58D6"/>
    <w:rsid w:val="008C6E5D"/>
    <w:rsid w:val="008C7670"/>
    <w:rsid w:val="008F3BE7"/>
    <w:rsid w:val="00901491"/>
    <w:rsid w:val="0090246B"/>
    <w:rsid w:val="0091136A"/>
    <w:rsid w:val="00913408"/>
    <w:rsid w:val="00913EEC"/>
    <w:rsid w:val="009144C0"/>
    <w:rsid w:val="009170D1"/>
    <w:rsid w:val="00920221"/>
    <w:rsid w:val="00922282"/>
    <w:rsid w:val="00931E23"/>
    <w:rsid w:val="00934975"/>
    <w:rsid w:val="00945986"/>
    <w:rsid w:val="0094712C"/>
    <w:rsid w:val="00950D9A"/>
    <w:rsid w:val="00962DB4"/>
    <w:rsid w:val="0096638F"/>
    <w:rsid w:val="009668BE"/>
    <w:rsid w:val="009707CF"/>
    <w:rsid w:val="00980020"/>
    <w:rsid w:val="00981464"/>
    <w:rsid w:val="00985FDC"/>
    <w:rsid w:val="009922DA"/>
    <w:rsid w:val="00995264"/>
    <w:rsid w:val="009A04E3"/>
    <w:rsid w:val="009A36D1"/>
    <w:rsid w:val="009A4EAD"/>
    <w:rsid w:val="009B3FAA"/>
    <w:rsid w:val="009C4323"/>
    <w:rsid w:val="009C4EF8"/>
    <w:rsid w:val="009C66D1"/>
    <w:rsid w:val="009C6EA8"/>
    <w:rsid w:val="009D73E9"/>
    <w:rsid w:val="009E4A2C"/>
    <w:rsid w:val="009E70BF"/>
    <w:rsid w:val="009F13F3"/>
    <w:rsid w:val="00A04FB8"/>
    <w:rsid w:val="00A07278"/>
    <w:rsid w:val="00A131DF"/>
    <w:rsid w:val="00A14A1B"/>
    <w:rsid w:val="00A14F4D"/>
    <w:rsid w:val="00A27DCB"/>
    <w:rsid w:val="00A3435E"/>
    <w:rsid w:val="00A41578"/>
    <w:rsid w:val="00A45798"/>
    <w:rsid w:val="00A525D7"/>
    <w:rsid w:val="00A61F26"/>
    <w:rsid w:val="00A736DD"/>
    <w:rsid w:val="00A73E83"/>
    <w:rsid w:val="00A9035F"/>
    <w:rsid w:val="00A91584"/>
    <w:rsid w:val="00A9760F"/>
    <w:rsid w:val="00AB0FFA"/>
    <w:rsid w:val="00AB1549"/>
    <w:rsid w:val="00AB7AEA"/>
    <w:rsid w:val="00AC3A11"/>
    <w:rsid w:val="00AE25DD"/>
    <w:rsid w:val="00AF716F"/>
    <w:rsid w:val="00B02F0D"/>
    <w:rsid w:val="00B05F94"/>
    <w:rsid w:val="00B118B6"/>
    <w:rsid w:val="00B12BC6"/>
    <w:rsid w:val="00B1691C"/>
    <w:rsid w:val="00B3278C"/>
    <w:rsid w:val="00B3748A"/>
    <w:rsid w:val="00B46F02"/>
    <w:rsid w:val="00B519C3"/>
    <w:rsid w:val="00B538EA"/>
    <w:rsid w:val="00B55B5A"/>
    <w:rsid w:val="00B56825"/>
    <w:rsid w:val="00B60E15"/>
    <w:rsid w:val="00B61686"/>
    <w:rsid w:val="00B71830"/>
    <w:rsid w:val="00B7421C"/>
    <w:rsid w:val="00B823A4"/>
    <w:rsid w:val="00B8306D"/>
    <w:rsid w:val="00B84EAF"/>
    <w:rsid w:val="00B859BC"/>
    <w:rsid w:val="00B85ED3"/>
    <w:rsid w:val="00B8793E"/>
    <w:rsid w:val="00B93536"/>
    <w:rsid w:val="00BC42A1"/>
    <w:rsid w:val="00BC58AF"/>
    <w:rsid w:val="00BD2E69"/>
    <w:rsid w:val="00BD31A4"/>
    <w:rsid w:val="00BD3BA2"/>
    <w:rsid w:val="00BD52A6"/>
    <w:rsid w:val="00BD58BE"/>
    <w:rsid w:val="00BF1466"/>
    <w:rsid w:val="00C00487"/>
    <w:rsid w:val="00C01F6C"/>
    <w:rsid w:val="00C222F1"/>
    <w:rsid w:val="00C26850"/>
    <w:rsid w:val="00C348CA"/>
    <w:rsid w:val="00C4734D"/>
    <w:rsid w:val="00C50051"/>
    <w:rsid w:val="00C572DC"/>
    <w:rsid w:val="00C646B7"/>
    <w:rsid w:val="00C76E49"/>
    <w:rsid w:val="00C80765"/>
    <w:rsid w:val="00C8230F"/>
    <w:rsid w:val="00C83739"/>
    <w:rsid w:val="00C8409B"/>
    <w:rsid w:val="00C87437"/>
    <w:rsid w:val="00C90DE6"/>
    <w:rsid w:val="00C91BDB"/>
    <w:rsid w:val="00C956CE"/>
    <w:rsid w:val="00C957C3"/>
    <w:rsid w:val="00CA0047"/>
    <w:rsid w:val="00CB4E9C"/>
    <w:rsid w:val="00CD3B38"/>
    <w:rsid w:val="00CD3C71"/>
    <w:rsid w:val="00CD52CD"/>
    <w:rsid w:val="00CE0052"/>
    <w:rsid w:val="00D20965"/>
    <w:rsid w:val="00D20A5B"/>
    <w:rsid w:val="00D249D1"/>
    <w:rsid w:val="00D418AD"/>
    <w:rsid w:val="00D55127"/>
    <w:rsid w:val="00D55703"/>
    <w:rsid w:val="00D62299"/>
    <w:rsid w:val="00D70F55"/>
    <w:rsid w:val="00D71554"/>
    <w:rsid w:val="00D75DBC"/>
    <w:rsid w:val="00D75F3F"/>
    <w:rsid w:val="00D82B10"/>
    <w:rsid w:val="00D86957"/>
    <w:rsid w:val="00D91C72"/>
    <w:rsid w:val="00D9381E"/>
    <w:rsid w:val="00D9433B"/>
    <w:rsid w:val="00D96686"/>
    <w:rsid w:val="00DA1E37"/>
    <w:rsid w:val="00DB70D7"/>
    <w:rsid w:val="00DB72F3"/>
    <w:rsid w:val="00DC5AED"/>
    <w:rsid w:val="00DE1173"/>
    <w:rsid w:val="00DE37C7"/>
    <w:rsid w:val="00E00841"/>
    <w:rsid w:val="00E0307C"/>
    <w:rsid w:val="00E05A17"/>
    <w:rsid w:val="00E11A9F"/>
    <w:rsid w:val="00E21A2F"/>
    <w:rsid w:val="00E23DD2"/>
    <w:rsid w:val="00E30215"/>
    <w:rsid w:val="00E36F37"/>
    <w:rsid w:val="00E370E8"/>
    <w:rsid w:val="00E41100"/>
    <w:rsid w:val="00E444BC"/>
    <w:rsid w:val="00E51240"/>
    <w:rsid w:val="00E66B79"/>
    <w:rsid w:val="00E711A1"/>
    <w:rsid w:val="00E73CB9"/>
    <w:rsid w:val="00E82845"/>
    <w:rsid w:val="00E84B05"/>
    <w:rsid w:val="00E92573"/>
    <w:rsid w:val="00EA3A7F"/>
    <w:rsid w:val="00EA600F"/>
    <w:rsid w:val="00EB7AB3"/>
    <w:rsid w:val="00EC54CC"/>
    <w:rsid w:val="00EC55C9"/>
    <w:rsid w:val="00ED3F4E"/>
    <w:rsid w:val="00EE21DA"/>
    <w:rsid w:val="00EE35B2"/>
    <w:rsid w:val="00EE78BA"/>
    <w:rsid w:val="00EF5D8D"/>
    <w:rsid w:val="00EF61D6"/>
    <w:rsid w:val="00EF6F85"/>
    <w:rsid w:val="00F03916"/>
    <w:rsid w:val="00F057DD"/>
    <w:rsid w:val="00F06985"/>
    <w:rsid w:val="00F171EE"/>
    <w:rsid w:val="00F224C5"/>
    <w:rsid w:val="00F23A74"/>
    <w:rsid w:val="00F45C61"/>
    <w:rsid w:val="00F55F51"/>
    <w:rsid w:val="00F60AD2"/>
    <w:rsid w:val="00F65762"/>
    <w:rsid w:val="00F72655"/>
    <w:rsid w:val="00F766EE"/>
    <w:rsid w:val="00F8046E"/>
    <w:rsid w:val="00F87FE1"/>
    <w:rsid w:val="00F903AA"/>
    <w:rsid w:val="00F9286F"/>
    <w:rsid w:val="00FB59E1"/>
    <w:rsid w:val="00FC4C11"/>
    <w:rsid w:val="00FD6200"/>
    <w:rsid w:val="00FD6EC8"/>
    <w:rsid w:val="00FF49C8"/>
    <w:rsid w:val="00FF60A0"/>
    <w:rsid w:val="00FF6F6B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AB41"/>
  <w14:defaultImageDpi w14:val="32767"/>
  <w15:chartTrackingRefBased/>
  <w15:docId w15:val="{FA4CF161-D2AE-414F-BCC0-9427D566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50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03"/>
    <w:rPr>
      <w:rFonts w:eastAsia="SimSun"/>
    </w:rPr>
  </w:style>
  <w:style w:type="character" w:styleId="PageNumber">
    <w:name w:val="page number"/>
    <w:basedOn w:val="DefaultParagraphFont"/>
    <w:uiPriority w:val="99"/>
    <w:semiHidden/>
    <w:unhideWhenUsed/>
    <w:rsid w:val="00504503"/>
  </w:style>
  <w:style w:type="paragraph" w:styleId="BalloonText">
    <w:name w:val="Balloon Text"/>
    <w:basedOn w:val="Normal"/>
    <w:link w:val="BalloonTextChar"/>
    <w:uiPriority w:val="99"/>
    <w:semiHidden/>
    <w:unhideWhenUsed/>
    <w:rsid w:val="00E008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41"/>
    <w:rPr>
      <w:rFonts w:ascii="Times New Roman" w:eastAsia="SimSu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0841"/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C0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487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Long H.,M.D.</dc:creator>
  <cp:keywords/>
  <dc:description/>
  <cp:lastModifiedBy>Nguyen, Long H.,M.D.</cp:lastModifiedBy>
  <cp:revision>10</cp:revision>
  <dcterms:created xsi:type="dcterms:W3CDTF">2018-07-13T04:04:00Z</dcterms:created>
  <dcterms:modified xsi:type="dcterms:W3CDTF">2018-09-18T02:52:00Z</dcterms:modified>
</cp:coreProperties>
</file>