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745"/>
        <w:gridCol w:w="944"/>
        <w:gridCol w:w="609"/>
        <w:gridCol w:w="943"/>
        <w:gridCol w:w="609"/>
        <w:gridCol w:w="943"/>
        <w:gridCol w:w="609"/>
        <w:gridCol w:w="949"/>
        <w:gridCol w:w="609"/>
      </w:tblGrid>
      <w:tr w:rsidR="00292CE5" w:rsidRPr="002A0182" w:rsidTr="008D4C0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Appendices</w:t>
            </w:r>
          </w:p>
        </w:tc>
      </w:tr>
      <w:tr w:rsidR="00292CE5" w:rsidRPr="002A0182" w:rsidTr="008D4C07">
        <w:trPr>
          <w:trHeight w:val="31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A1: Two-Stage Model using Predictors from Rauh (2015) as endogenous to Freedom from Influence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Leg 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Leg 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Gov 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Gov 2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(0.138)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(0.136)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Autonomy ~ Budget per Monitored + Legislative Appoint Authority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(0.111)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Autonomy ~ Budget per Monitored + Executive Appoint Authority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(0.120)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per Monitored Individual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 of Budget Independence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per Monitored Individual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for Legislature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Regulations for Executive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Fulltime Commission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Dem/Strong Dem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Spatial Index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(0.142)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(0.141)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(0.163)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Unified State Government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Significance:*0.05, **0.01, ***0.001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logLik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2CE5" w:rsidRPr="002A0182" w:rsidTr="008D4C0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 that the signs are consistent with the model in table 2. Comparing LRs shows that the more parsimonious model is preferred. Bootstrap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</w:t>
            </w: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estimated using method proposed by Keljian (1971).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Table A2: Predicting Effectiveness of Regulation - Southern Variable Included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Leg 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Leg 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Gov 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 Gov 2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(0.200)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from Legislative Influence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Freedom from Executive Influence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per Monitored Individual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 of Budget Independence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per Monitored Individual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Regulations for Legislature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Regulations for Executive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Fulltime Commission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(0.035)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Dem/Strong Dem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(0.224)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(0.224)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(0.251)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(0.248)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Spatial Index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(0.177)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(0.174)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(0.193)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(0.083)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South: Unified Party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: Unified Party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(0.051)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255"/>
        </w:trPr>
        <w:tc>
          <w:tcPr>
            <w:tcW w:w="4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Significance: *0.05, **0.01, ***0.001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CE5" w:rsidRPr="002A0182" w:rsidTr="008D4C07">
        <w:trPr>
          <w:trHeight w:val="300"/>
        </w:trPr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logLIK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-25.829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-25.922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-29.311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-28.828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CE5" w:rsidRPr="002A0182" w:rsidRDefault="00292CE5" w:rsidP="008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92CE5" w:rsidRPr="00807077" w:rsidRDefault="00292CE5" w:rsidP="00292CE5">
      <w:pPr>
        <w:rPr>
          <w:rFonts w:ascii="Times New Roman" w:hAnsi="Times New Roman" w:cs="Times New Roman"/>
          <w:sz w:val="20"/>
          <w:szCs w:val="20"/>
        </w:rPr>
      </w:pPr>
      <w:r w:rsidRPr="002A0182">
        <w:rPr>
          <w:rFonts w:ascii="Times New Roman" w:eastAsia="Times New Roman" w:hAnsi="Times New Roman" w:cs="Times New Roman"/>
          <w:color w:val="000000"/>
          <w:sz w:val="20"/>
          <w:szCs w:val="20"/>
        </w:rPr>
        <w:t>The signs are consistent with the model in table 2 indicating that the model is robust to introduction of additional variables. Comparing LRs shows that the more parsimonious model is preferred.</w:t>
      </w:r>
    </w:p>
    <w:p w:rsidR="00472C92" w:rsidRDefault="00472C92">
      <w:bookmarkStart w:id="0" w:name="_GoBack"/>
      <w:bookmarkEnd w:id="0"/>
    </w:p>
    <w:sectPr w:rsidR="00472C92" w:rsidSect="00996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5"/>
    <w:rsid w:val="00292CE5"/>
    <w:rsid w:val="004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DA640-B7D2-4329-9C75-DB139AE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Rauh, William Jonathan</dc:creator>
  <cp:keywords/>
  <dc:description/>
  <cp:lastModifiedBy>Rauh, William Jonathan</cp:lastModifiedBy>
  <cp:revision>1</cp:revision>
  <dcterms:created xsi:type="dcterms:W3CDTF">2016-09-13T16:40:00Z</dcterms:created>
  <dcterms:modified xsi:type="dcterms:W3CDTF">2016-09-13T16:41:00Z</dcterms:modified>
</cp:coreProperties>
</file>