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AA" w:rsidRPr="002174AA" w:rsidRDefault="002174AA" w:rsidP="002174AA">
      <w:pPr>
        <w:spacing w:afterLines="100" w:after="312"/>
        <w:jc w:val="center"/>
        <w:rPr>
          <w:rFonts w:ascii="Times" w:hAnsi="Times" w:cstheme="majorBidi"/>
          <w:b/>
          <w:color w:val="000000" w:themeColor="text1"/>
          <w:sz w:val="28"/>
          <w:szCs w:val="28"/>
        </w:rPr>
      </w:pPr>
      <w:bookmarkStart w:id="0" w:name="_Toc45914193"/>
      <w:bookmarkStart w:id="1" w:name="_GoBack"/>
      <w:bookmarkEnd w:id="1"/>
      <w:r w:rsidRPr="002174AA">
        <w:rPr>
          <w:rFonts w:ascii="Times" w:hAnsi="Times" w:cstheme="majorBidi"/>
          <w:b/>
          <w:color w:val="000000" w:themeColor="text1"/>
          <w:sz w:val="28"/>
          <w:szCs w:val="28"/>
        </w:rPr>
        <w:t xml:space="preserve">Online </w:t>
      </w:r>
      <w:r w:rsidR="00DF36D6">
        <w:rPr>
          <w:rFonts w:ascii="Times" w:hAnsi="Times" w:cstheme="majorBidi"/>
          <w:b/>
          <w:color w:val="000000" w:themeColor="text1"/>
          <w:sz w:val="28"/>
          <w:szCs w:val="28"/>
        </w:rPr>
        <w:t>Supporting Information</w:t>
      </w:r>
      <w:r w:rsidRPr="002174AA">
        <w:rPr>
          <w:rFonts w:ascii="Times" w:hAnsi="Times" w:cstheme="majorBidi"/>
          <w:b/>
          <w:color w:val="000000" w:themeColor="text1"/>
          <w:sz w:val="28"/>
          <w:szCs w:val="28"/>
        </w:rPr>
        <w:t xml:space="preserve"> for “Bureaucratic Control and Strategic Compliance: How Do Subnational Governments Implement Central Guidelines in China?”</w:t>
      </w:r>
    </w:p>
    <w:p w:rsidR="000C5ADF" w:rsidRDefault="002174AA" w:rsidP="002174AA">
      <w:pPr>
        <w:spacing w:afterLines="100" w:after="312"/>
        <w:jc w:val="center"/>
        <w:rPr>
          <w:rFonts w:ascii="Times" w:hAnsi="Times" w:cstheme="majorBidi"/>
          <w:b/>
          <w:color w:val="000000" w:themeColor="text1"/>
          <w:sz w:val="28"/>
          <w:szCs w:val="28"/>
        </w:rPr>
      </w:pPr>
      <w:proofErr w:type="spellStart"/>
      <w:r w:rsidRPr="002174AA">
        <w:rPr>
          <w:rFonts w:ascii="Times" w:hAnsi="Times" w:cstheme="majorBidi" w:hint="eastAsia"/>
          <w:b/>
          <w:color w:val="000000" w:themeColor="text1"/>
          <w:sz w:val="28"/>
          <w:szCs w:val="28"/>
        </w:rPr>
        <w:t>S</w:t>
      </w:r>
      <w:r w:rsidRPr="002174AA">
        <w:rPr>
          <w:rFonts w:ascii="Times" w:hAnsi="Times" w:cstheme="majorBidi"/>
          <w:b/>
          <w:color w:val="000000" w:themeColor="text1"/>
          <w:sz w:val="28"/>
          <w:szCs w:val="28"/>
        </w:rPr>
        <w:t>hiyang</w:t>
      </w:r>
      <w:proofErr w:type="spellEnd"/>
      <w:r w:rsidRPr="002174AA">
        <w:rPr>
          <w:rFonts w:ascii="Times" w:hAnsi="Times" w:cstheme="majorBidi"/>
          <w:b/>
          <w:color w:val="000000" w:themeColor="text1"/>
          <w:sz w:val="28"/>
          <w:szCs w:val="28"/>
        </w:rPr>
        <w:t xml:space="preserve"> Xiao </w:t>
      </w:r>
    </w:p>
    <w:p w:rsidR="000C5ADF" w:rsidRDefault="000C5ADF" w:rsidP="002174AA">
      <w:pPr>
        <w:spacing w:afterLines="100" w:after="312"/>
        <w:jc w:val="center"/>
        <w:rPr>
          <w:rFonts w:ascii="Times New Roman" w:hAnsi="Times New Roman" w:cs="Times New Roman"/>
        </w:rPr>
      </w:pPr>
      <w:r w:rsidRPr="009529C2">
        <w:rPr>
          <w:rFonts w:ascii="Times New Roman" w:hAnsi="Times New Roman" w:cs="Times New Roman"/>
        </w:rPr>
        <w:t>Maxwell School of Citizenship and Public Affairs</w:t>
      </w:r>
    </w:p>
    <w:p w:rsidR="000C5ADF" w:rsidRDefault="000C5ADF" w:rsidP="002174AA">
      <w:pPr>
        <w:spacing w:afterLines="100" w:after="312"/>
        <w:jc w:val="center"/>
        <w:rPr>
          <w:rFonts w:ascii="Times" w:hAnsi="Times" w:cstheme="majorBidi"/>
          <w:b/>
          <w:color w:val="000000" w:themeColor="text1"/>
          <w:sz w:val="28"/>
          <w:szCs w:val="28"/>
        </w:rPr>
      </w:pPr>
      <w:r w:rsidRPr="009529C2">
        <w:rPr>
          <w:rFonts w:ascii="Times New Roman" w:hAnsi="Times New Roman" w:cs="Times New Roman"/>
        </w:rPr>
        <w:t>Syracuse University</w:t>
      </w:r>
      <w:r w:rsidDel="000C5ADF">
        <w:rPr>
          <w:rFonts w:ascii="Times" w:hAnsi="Times" w:cstheme="majorBidi"/>
          <w:b/>
          <w:color w:val="000000" w:themeColor="text1"/>
          <w:sz w:val="28"/>
          <w:szCs w:val="28"/>
        </w:rPr>
        <w:t xml:space="preserve"> </w:t>
      </w:r>
    </w:p>
    <w:p w:rsidR="000C5ADF" w:rsidRDefault="002174AA" w:rsidP="002174AA">
      <w:pPr>
        <w:spacing w:afterLines="100" w:after="312"/>
        <w:jc w:val="center"/>
        <w:rPr>
          <w:rFonts w:ascii="Times" w:hAnsi="Times" w:cstheme="majorBidi"/>
          <w:b/>
          <w:color w:val="000000" w:themeColor="text1"/>
          <w:sz w:val="28"/>
          <w:szCs w:val="28"/>
        </w:rPr>
      </w:pPr>
      <w:proofErr w:type="spellStart"/>
      <w:r w:rsidRPr="002174AA">
        <w:rPr>
          <w:rFonts w:ascii="Times" w:hAnsi="Times" w:cstheme="majorBidi"/>
          <w:b/>
          <w:color w:val="000000" w:themeColor="text1"/>
          <w:sz w:val="28"/>
          <w:szCs w:val="28"/>
        </w:rPr>
        <w:t>Xufeng</w:t>
      </w:r>
      <w:proofErr w:type="spellEnd"/>
      <w:r w:rsidRPr="002174AA">
        <w:rPr>
          <w:rFonts w:ascii="Times" w:hAnsi="Times" w:cstheme="majorBidi"/>
          <w:b/>
          <w:color w:val="000000" w:themeColor="text1"/>
          <w:sz w:val="28"/>
          <w:szCs w:val="28"/>
        </w:rPr>
        <w:t xml:space="preserve"> Zhu</w:t>
      </w:r>
    </w:p>
    <w:p w:rsidR="000C5ADF" w:rsidRDefault="000C5ADF" w:rsidP="002174AA">
      <w:pPr>
        <w:spacing w:afterLines="100" w:after="312"/>
        <w:jc w:val="center"/>
        <w:rPr>
          <w:rFonts w:ascii="Times New Roman" w:eastAsia="SimHei" w:hAnsi="Times New Roman" w:cs="Times New Roman"/>
        </w:rPr>
      </w:pPr>
      <w:r w:rsidRPr="009529C2">
        <w:rPr>
          <w:rFonts w:ascii="Times New Roman" w:eastAsia="SimHei" w:hAnsi="Times New Roman" w:cs="Times New Roman"/>
        </w:rPr>
        <w:t>School of Public Policy and Management</w:t>
      </w:r>
    </w:p>
    <w:p w:rsidR="002174AA" w:rsidRPr="002174AA" w:rsidRDefault="000C5ADF" w:rsidP="002174AA">
      <w:pPr>
        <w:spacing w:afterLines="100" w:after="312"/>
        <w:jc w:val="center"/>
        <w:rPr>
          <w:rFonts w:ascii="Times" w:hAnsi="Times" w:cstheme="majorBidi"/>
          <w:b/>
          <w:color w:val="000000" w:themeColor="text1"/>
          <w:sz w:val="28"/>
          <w:szCs w:val="28"/>
        </w:rPr>
      </w:pPr>
      <w:r w:rsidRPr="009529C2">
        <w:rPr>
          <w:rFonts w:ascii="Times New Roman" w:eastAsia="SimHei" w:hAnsi="Times New Roman" w:cs="Times New Roman"/>
        </w:rPr>
        <w:t>Tsinghua University</w:t>
      </w:r>
    </w:p>
    <w:p w:rsidR="002174AA" w:rsidRDefault="002174AA">
      <w:pPr>
        <w:rPr>
          <w:rFonts w:ascii="Times" w:hAnsi="Times" w:cstheme="majorBidi"/>
          <w:b/>
          <w:color w:val="000000" w:themeColor="text1"/>
        </w:rPr>
      </w:pPr>
      <w:r>
        <w:rPr>
          <w:rFonts w:ascii="Times" w:hAnsi="Times" w:cstheme="majorBidi"/>
          <w:b/>
          <w:color w:val="000000" w:themeColor="text1"/>
        </w:rPr>
        <w:br w:type="page"/>
      </w:r>
    </w:p>
    <w:p w:rsidR="002174AA" w:rsidRPr="00A32034" w:rsidRDefault="002174AA" w:rsidP="00463B1E">
      <w:pPr>
        <w:rPr>
          <w:rFonts w:ascii="Times New Roman" w:hAnsi="Times New Roman" w:cs="Times New Roman"/>
          <w:b/>
          <w:bCs/>
          <w:color w:val="000000" w:themeColor="text1"/>
        </w:rPr>
      </w:pPr>
      <w:r w:rsidRPr="00A32034">
        <w:rPr>
          <w:rFonts w:ascii="Times New Roman" w:hAnsi="Times New Roman" w:cs="Times New Roman"/>
          <w:b/>
          <w:bCs/>
          <w:color w:val="000000" w:themeColor="text1"/>
        </w:rPr>
        <w:lastRenderedPageBreak/>
        <w:t xml:space="preserve">Table </w:t>
      </w:r>
      <w:r>
        <w:rPr>
          <w:rFonts w:ascii="Times New Roman" w:hAnsi="Times New Roman" w:cs="Times New Roman"/>
          <w:b/>
          <w:bCs/>
          <w:color w:val="000000" w:themeColor="text1"/>
        </w:rPr>
        <w:t>B</w:t>
      </w:r>
      <w:r w:rsidR="00463B1E">
        <w:rPr>
          <w:rFonts w:ascii="Times New Roman" w:hAnsi="Times New Roman" w:cs="Times New Roman"/>
          <w:b/>
          <w:bCs/>
          <w:color w:val="000000" w:themeColor="text1"/>
        </w:rPr>
        <w:t>1</w:t>
      </w:r>
      <w:r w:rsidRPr="00A32034">
        <w:rPr>
          <w:rFonts w:ascii="Times New Roman" w:hAnsi="Times New Roman" w:cs="Times New Roman"/>
          <w:b/>
          <w:bCs/>
          <w:color w:val="000000" w:themeColor="text1"/>
        </w:rPr>
        <w:t>: Pooled Event History Analysis after Including Policy Field Fixed Effects</w:t>
      </w:r>
    </w:p>
    <w:bookmarkEnd w:id="0"/>
    <w:tbl>
      <w:tblPr>
        <w:tblW w:w="7371" w:type="dxa"/>
        <w:jc w:val="center"/>
        <w:tblLayout w:type="fixed"/>
        <w:tblCellMar>
          <w:left w:w="75" w:type="dxa"/>
          <w:right w:w="75" w:type="dxa"/>
        </w:tblCellMar>
        <w:tblLook w:val="0000" w:firstRow="0" w:lastRow="0" w:firstColumn="0" w:lastColumn="0" w:noHBand="0" w:noVBand="0"/>
      </w:tblPr>
      <w:tblGrid>
        <w:gridCol w:w="2327"/>
        <w:gridCol w:w="1261"/>
        <w:gridCol w:w="1260"/>
        <w:gridCol w:w="1260"/>
        <w:gridCol w:w="1263"/>
      </w:tblGrid>
      <w:tr w:rsidR="002174AA" w:rsidRPr="00183A38" w:rsidTr="004512FB">
        <w:trPr>
          <w:trHeight w:val="335"/>
          <w:jc w:val="center"/>
        </w:trPr>
        <w:tc>
          <w:tcPr>
            <w:tcW w:w="2327" w:type="dxa"/>
            <w:tcBorders>
              <w:top w:val="thinThickLargeGap" w:sz="24" w:space="0" w:color="auto"/>
              <w:left w:val="nil"/>
              <w:bottom w:val="single" w:sz="4" w:space="0" w:color="auto"/>
              <w:right w:val="nil"/>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thinThickLargeGap" w:sz="2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Model 1</w:t>
            </w:r>
          </w:p>
        </w:tc>
        <w:tc>
          <w:tcPr>
            <w:tcW w:w="1260" w:type="dxa"/>
            <w:tcBorders>
              <w:top w:val="thinThickLargeGap" w:sz="2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Model 2</w:t>
            </w:r>
          </w:p>
        </w:tc>
        <w:tc>
          <w:tcPr>
            <w:tcW w:w="1260" w:type="dxa"/>
            <w:tcBorders>
              <w:top w:val="thinThickLargeGap" w:sz="2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Model 3</w:t>
            </w:r>
          </w:p>
        </w:tc>
        <w:tc>
          <w:tcPr>
            <w:tcW w:w="1263" w:type="dxa"/>
            <w:tcBorders>
              <w:top w:val="thinThickLargeGap" w:sz="2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Model 4</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Degree of Control</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-0.118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-0.857***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-0.201**</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-0.146</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w:t>
            </w:r>
            <w:r w:rsidRPr="00183A38">
              <w:rPr>
                <w:rFonts w:ascii="Times New Roman" w:eastAsia="Times New Roman" w:hAnsi="Times New Roman" w:cs="Times New Roman"/>
                <w:bCs/>
                <w:color w:val="000000" w:themeColor="text1"/>
                <w:sz w:val="21"/>
                <w:szCs w:val="21"/>
              </w:rPr>
              <w:t>standardized)</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(0.210)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(0.029)</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(0.103)</w:t>
            </w:r>
          </w:p>
        </w:tc>
      </w:tr>
      <w:tr w:rsidR="00183A38" w:rsidRPr="00183A38" w:rsidTr="004512FB">
        <w:trPr>
          <w:jc w:val="center"/>
        </w:trPr>
        <w:tc>
          <w:tcPr>
            <w:tcW w:w="2327" w:type="dxa"/>
            <w:vMerge w:val="restart"/>
            <w:tcBorders>
              <w:top w:val="nil"/>
              <w:left w:val="nil"/>
              <w:right w:val="nil"/>
            </w:tcBorders>
          </w:tcPr>
          <w:p w:rsidR="00183A38" w:rsidRPr="00183A38" w:rsidRDefault="00183A38" w:rsidP="00183A38">
            <w:pPr>
              <w:autoSpaceDE w:val="0"/>
              <w:autoSpaceDN w:val="0"/>
              <w:adjustRightInd w:val="0"/>
              <w:ind w:left="210" w:hangingChars="100" w:hanging="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Provincial Revenue</w:t>
            </w:r>
            <w:r w:rsidRPr="00183A38">
              <w:rPr>
                <w:rFonts w:ascii="Times New Roman" w:eastAsia="Times New Roman" w:hAnsi="Times New Roman" w:cs="Times New Roman"/>
                <w:bCs/>
                <w:color w:val="000000" w:themeColor="text1"/>
                <w:sz w:val="21"/>
                <w:szCs w:val="21"/>
              </w:rPr>
              <w:br/>
            </w:r>
            <m:oMath>
              <m:r>
                <w:rPr>
                  <w:rFonts w:ascii="Cambria Math" w:eastAsia="Times New Roman" w:hAnsi="Cambria Math" w:cs="Times New Roman"/>
                  <w:color w:val="000000" w:themeColor="text1"/>
                  <w:sz w:val="21"/>
                  <w:szCs w:val="21"/>
                </w:rPr>
                <m:t xml:space="preserve"> ×</m:t>
              </m:r>
            </m:oMath>
            <w:r w:rsidRPr="00183A38">
              <w:rPr>
                <w:rFonts w:ascii="Times New Roman" w:eastAsiaTheme="minorEastAsia" w:hAnsi="Times New Roman" w:cs="Times New Roman" w:hint="eastAsia"/>
                <w:bCs/>
                <w:color w:val="000000" w:themeColor="text1"/>
                <w:sz w:val="21"/>
                <w:szCs w:val="21"/>
              </w:rPr>
              <w:t xml:space="preserve"> </w:t>
            </w:r>
            <w:r w:rsidRPr="00183A38">
              <w:rPr>
                <w:rFonts w:ascii="Times New Roman" w:eastAsia="Times New Roman" w:hAnsi="Times New Roman" w:cs="Times New Roman"/>
                <w:bCs/>
                <w:color w:val="000000" w:themeColor="text1"/>
                <w:sz w:val="21"/>
                <w:szCs w:val="21"/>
              </w:rPr>
              <w:t>Control</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-0.361***</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r>
      <w:tr w:rsidR="00183A38" w:rsidRPr="00183A38" w:rsidTr="004512FB">
        <w:trPr>
          <w:trHeight w:val="209"/>
          <w:jc w:val="center"/>
        </w:trPr>
        <w:tc>
          <w:tcPr>
            <w:tcW w:w="2327" w:type="dxa"/>
            <w:vMerge/>
            <w:tcBorders>
              <w:left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r>
      <w:tr w:rsidR="00183A38" w:rsidRPr="00183A38" w:rsidTr="004512FB">
        <w:trPr>
          <w:jc w:val="center"/>
        </w:trPr>
        <w:tc>
          <w:tcPr>
            <w:tcW w:w="2327" w:type="dxa"/>
            <w:vMerge w:val="restart"/>
            <w:tcBorders>
              <w:top w:val="nil"/>
              <w:left w:val="nil"/>
              <w:right w:val="nil"/>
            </w:tcBorders>
          </w:tcPr>
          <w:p w:rsidR="00183A38" w:rsidRPr="00183A38" w:rsidRDefault="00183A38" w:rsidP="00183A38">
            <w:pPr>
              <w:autoSpaceDE w:val="0"/>
              <w:autoSpaceDN w:val="0"/>
              <w:adjustRightInd w:val="0"/>
              <w:ind w:left="210" w:hangingChars="100" w:hanging="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 xml:space="preserve">Mobilization </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0.556**</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r>
      <w:tr w:rsidR="00183A38" w:rsidRPr="00183A38" w:rsidTr="004512FB">
        <w:trPr>
          <w:trHeight w:val="335"/>
          <w:jc w:val="center"/>
        </w:trPr>
        <w:tc>
          <w:tcPr>
            <w:tcW w:w="2327" w:type="dxa"/>
            <w:vMerge/>
            <w:tcBorders>
              <w:left w:val="nil"/>
              <w:bottom w:val="nil"/>
              <w:right w:val="nil"/>
            </w:tcBorders>
          </w:tcPr>
          <w:p w:rsidR="00183A38" w:rsidRPr="00183A38" w:rsidRDefault="00183A38" w:rsidP="00183A38">
            <w:pPr>
              <w:autoSpaceDE w:val="0"/>
              <w:autoSpaceDN w:val="0"/>
              <w:adjustRightInd w:val="0"/>
              <w:ind w:leftChars="100" w:left="450" w:hangingChars="100" w:hanging="21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(0.014)</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r>
      <w:tr w:rsidR="00183A38" w:rsidRPr="00183A38" w:rsidTr="004512FB">
        <w:trPr>
          <w:jc w:val="center"/>
        </w:trPr>
        <w:tc>
          <w:tcPr>
            <w:tcW w:w="2327" w:type="dxa"/>
            <w:vMerge w:val="restart"/>
            <w:tcBorders>
              <w:top w:val="nil"/>
              <w:left w:val="nil"/>
              <w:right w:val="nil"/>
            </w:tcBorders>
          </w:tcPr>
          <w:p w:rsidR="00183A38" w:rsidRPr="00183A38" w:rsidRDefault="00183A38" w:rsidP="00183A38">
            <w:pPr>
              <w:autoSpaceDE w:val="0"/>
              <w:autoSpaceDN w:val="0"/>
              <w:adjustRightInd w:val="0"/>
              <w:ind w:left="210" w:hangingChars="100" w:hanging="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 xml:space="preserve">Monitoring </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0.336</w:t>
            </w:r>
          </w:p>
        </w:tc>
      </w:tr>
      <w:tr w:rsidR="00183A38" w:rsidRPr="00183A38" w:rsidTr="004512FB">
        <w:trPr>
          <w:jc w:val="center"/>
        </w:trPr>
        <w:tc>
          <w:tcPr>
            <w:tcW w:w="2327" w:type="dxa"/>
            <w:vMerge/>
            <w:tcBorders>
              <w:left w:val="nil"/>
              <w:bottom w:val="nil"/>
              <w:right w:val="nil"/>
            </w:tcBorders>
          </w:tcPr>
          <w:p w:rsidR="00183A38" w:rsidRPr="00183A38" w:rsidRDefault="00183A38" w:rsidP="00183A38">
            <w:pPr>
              <w:autoSpaceDE w:val="0"/>
              <w:autoSpaceDN w:val="0"/>
              <w:adjustRightInd w:val="0"/>
              <w:ind w:leftChars="100" w:left="450" w:hangingChars="100" w:hanging="21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(0.214)</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Provincial Revenue</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-0.181</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-0.249**</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-0.140</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-0.175</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w:t>
            </w:r>
            <w:r w:rsidRPr="00183A38">
              <w:rPr>
                <w:rFonts w:ascii="Times New Roman" w:eastAsia="Times New Roman" w:hAnsi="Times New Roman" w:cs="Times New Roman"/>
                <w:bCs/>
                <w:color w:val="000000" w:themeColor="text1"/>
                <w:sz w:val="21"/>
                <w:szCs w:val="21"/>
              </w:rPr>
              <w:t>log form</w:t>
            </w:r>
            <w:r w:rsidRPr="00183A38">
              <w:rPr>
                <w:rFonts w:ascii="Times New Roman" w:eastAsia="Times New Roman" w:hAnsi="Times New Roman" w:cs="Times New Roman" w:hint="eastAsia"/>
                <w:bCs/>
                <w:color w:val="000000" w:themeColor="text1"/>
                <w:sz w:val="21"/>
                <w:szCs w:val="21"/>
              </w:rPr>
              <w:t>)</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(0.116)</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(0.209)</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(0.129)</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Mob</w:t>
            </w:r>
            <w:r w:rsidR="00AF54B2">
              <w:rPr>
                <w:rFonts w:ascii="Times New Roman" w:eastAsia="Times New Roman" w:hAnsi="Times New Roman" w:cs="Times New Roman"/>
                <w:bCs/>
                <w:color w:val="000000" w:themeColor="text1"/>
                <w:sz w:val="21"/>
                <w:szCs w:val="21"/>
              </w:rPr>
              <w:t>i</w:t>
            </w:r>
            <w:r w:rsidRPr="00183A38">
              <w:rPr>
                <w:rFonts w:ascii="Times New Roman" w:eastAsia="Times New Roman" w:hAnsi="Times New Roman" w:cs="Times New Roman"/>
                <w:bCs/>
                <w:color w:val="000000" w:themeColor="text1"/>
                <w:sz w:val="21"/>
                <w:szCs w:val="21"/>
              </w:rPr>
              <w:t>lization</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0.362</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0.294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0.394*</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0.355</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(0.106)</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(0.183)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(0.063)</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(0.103)</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Monitoring</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0.358**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0.341*</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0.397**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0.404**</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(0.055)</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(0.014)</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(0.040)</w:t>
            </w:r>
          </w:p>
        </w:tc>
      </w:tr>
      <w:tr w:rsidR="00183A38" w:rsidRPr="00183A38" w:rsidTr="004512FB">
        <w:trPr>
          <w:jc w:val="center"/>
        </w:trPr>
        <w:tc>
          <w:tcPr>
            <w:tcW w:w="2327" w:type="dxa"/>
            <w:tcBorders>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Guideline Level</w:t>
            </w:r>
          </w:p>
        </w:tc>
        <w:tc>
          <w:tcPr>
            <w:tcW w:w="1261" w:type="dxa"/>
            <w:tcBorders>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0.968***</w:t>
            </w:r>
          </w:p>
        </w:tc>
        <w:tc>
          <w:tcPr>
            <w:tcW w:w="1260" w:type="dxa"/>
            <w:tcBorders>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0.959***</w:t>
            </w:r>
          </w:p>
        </w:tc>
        <w:tc>
          <w:tcPr>
            <w:tcW w:w="1260" w:type="dxa"/>
            <w:tcBorders>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0.836***</w:t>
            </w:r>
          </w:p>
        </w:tc>
        <w:tc>
          <w:tcPr>
            <w:tcW w:w="1263" w:type="dxa"/>
            <w:tcBorders>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0.886***</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Topic Salience</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7.113**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7.435**</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8.626**</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6.959**</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(0.043)</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Guideline Length</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0.072</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0.106</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(0.447)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(0.364)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(0.206)</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(0.270)</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Age_Party_Chief</w:t>
            </w:r>
            <w:proofErr w:type="spellEnd"/>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-0.450***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-0.453***</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-0.452***</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-0.451***</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(0.000)</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Age_Governor</w:t>
            </w:r>
            <w:proofErr w:type="spellEnd"/>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0.284***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0.298***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0.291***</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0.287***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(0.009)</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(0.008)</w:t>
            </w:r>
          </w:p>
        </w:tc>
      </w:tr>
      <w:tr w:rsidR="00183A38" w:rsidRPr="00183A38" w:rsidTr="004512FB">
        <w:trPr>
          <w:trHeight w:val="335"/>
          <w:jc w:val="center"/>
        </w:trPr>
        <w:tc>
          <w:tcPr>
            <w:tcW w:w="2327" w:type="dxa"/>
            <w:vMerge w:val="restart"/>
            <w:tcBorders>
              <w:top w:val="nil"/>
              <w:left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Sameplace_Party_Chief</w:t>
            </w:r>
            <w:proofErr w:type="spellEnd"/>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-0.102</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-0.086</w:t>
            </w:r>
          </w:p>
        </w:tc>
      </w:tr>
      <w:tr w:rsidR="00183A38" w:rsidRPr="00183A38" w:rsidTr="004512FB">
        <w:trPr>
          <w:jc w:val="center"/>
        </w:trPr>
        <w:tc>
          <w:tcPr>
            <w:tcW w:w="2327" w:type="dxa"/>
            <w:vMerge/>
            <w:tcBorders>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(0.701)</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(0.684)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(0.625)</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(0.677)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Sameplace_Governor</w:t>
            </w:r>
            <w:proofErr w:type="spellEnd"/>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-0.046</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-0.056</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(0.576)</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(0.654)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(0.573)</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(0.577)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Central Region</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-0.127</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-0.144</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-0.126</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(0.489)</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(0.445)</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(0.627)</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(0.491)</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W</w:t>
            </w:r>
            <w:r w:rsidRPr="00183A38">
              <w:rPr>
                <w:rFonts w:ascii="Times New Roman" w:eastAsia="Times New Roman" w:hAnsi="Times New Roman" w:cs="Times New Roman"/>
                <w:bCs/>
                <w:color w:val="000000" w:themeColor="text1"/>
                <w:sz w:val="21"/>
                <w:szCs w:val="21"/>
              </w:rPr>
              <w:t>est Region</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-0.172</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-0.188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-0.124</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-0.167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(0.311)</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(0.272)</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(0.453)</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(0.327)</w:t>
            </w:r>
          </w:p>
        </w:tc>
      </w:tr>
      <w:tr w:rsidR="00183A38" w:rsidRPr="00183A38" w:rsidTr="004512FB">
        <w:trPr>
          <w:jc w:val="center"/>
        </w:trPr>
        <w:tc>
          <w:tcPr>
            <w:tcW w:w="2327" w:type="dxa"/>
            <w:tcBorders>
              <w:top w:val="nil"/>
              <w:left w:val="nil"/>
              <w:bottom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N</w:t>
            </w:r>
            <w:r w:rsidRPr="00183A38">
              <w:rPr>
                <w:rFonts w:ascii="Times New Roman" w:eastAsia="Times New Roman" w:hAnsi="Times New Roman" w:cs="Times New Roman"/>
                <w:bCs/>
                <w:color w:val="000000" w:themeColor="text1"/>
                <w:sz w:val="21"/>
                <w:szCs w:val="21"/>
              </w:rPr>
              <w:t>ortheast Region</w:t>
            </w:r>
          </w:p>
        </w:tc>
        <w:tc>
          <w:tcPr>
            <w:tcW w:w="1261"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-0.318*</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-0.336*</w:t>
            </w:r>
          </w:p>
        </w:tc>
        <w:tc>
          <w:tcPr>
            <w:tcW w:w="1260"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-0.299</w:t>
            </w:r>
          </w:p>
        </w:tc>
        <w:tc>
          <w:tcPr>
            <w:tcW w:w="1263" w:type="dxa"/>
            <w:tcBorders>
              <w:top w:val="nil"/>
              <w:left w:val="nil"/>
              <w:bottom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-0.310</w:t>
            </w:r>
          </w:p>
        </w:tc>
      </w:tr>
      <w:tr w:rsidR="00183A38" w:rsidRPr="00183A38" w:rsidTr="004512FB">
        <w:trPr>
          <w:jc w:val="center"/>
        </w:trPr>
        <w:tc>
          <w:tcPr>
            <w:tcW w:w="2327" w:type="dxa"/>
            <w:tcBorders>
              <w:top w:val="nil"/>
              <w:left w:val="nil"/>
              <w:right w:val="nil"/>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(0.094)</w:t>
            </w:r>
          </w:p>
        </w:tc>
        <w:tc>
          <w:tcPr>
            <w:tcW w:w="1260" w:type="dxa"/>
            <w:tcBorders>
              <w:top w:val="nil"/>
              <w:left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(0.081)</w:t>
            </w:r>
          </w:p>
        </w:tc>
        <w:tc>
          <w:tcPr>
            <w:tcW w:w="1260" w:type="dxa"/>
            <w:tcBorders>
              <w:top w:val="nil"/>
              <w:left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(0.109)</w:t>
            </w:r>
          </w:p>
        </w:tc>
        <w:tc>
          <w:tcPr>
            <w:tcW w:w="1263" w:type="dxa"/>
            <w:tcBorders>
              <w:top w:val="nil"/>
              <w:left w:val="nil"/>
              <w:right w:val="nil"/>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(0.101)</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hAnsi="Times New Roman" w:cs="Times New Roman"/>
                <w:bCs/>
                <w:color w:val="000000" w:themeColor="text1"/>
                <w:sz w:val="21"/>
                <w:szCs w:val="21"/>
              </w:rPr>
              <w:t>Product Quality</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-0.041</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0.021</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0.133</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0.036</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&amp;</w:t>
            </w:r>
            <w:r w:rsidRPr="00183A38">
              <w:rPr>
                <w:rFonts w:ascii="Times New Roman" w:eastAsia="Times New Roman" w:hAnsi="Times New Roman" w:cs="Times New Roman"/>
                <w:bCs/>
                <w:color w:val="000000" w:themeColor="text1"/>
                <w:sz w:val="21"/>
                <w:szCs w:val="21"/>
              </w:rPr>
              <w:t xml:space="preserve"> Commerce</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(0.897)</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(0.944)</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(0.679)</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(0.910)</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N</w:t>
            </w:r>
            <w:r w:rsidRPr="00183A38">
              <w:rPr>
                <w:rFonts w:ascii="Times New Roman" w:eastAsia="Times New Roman" w:hAnsi="Times New Roman" w:cs="Times New Roman"/>
                <w:bCs/>
                <w:color w:val="000000" w:themeColor="text1"/>
                <w:sz w:val="21"/>
                <w:szCs w:val="21"/>
              </w:rPr>
              <w:t>atural Resources</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-0.255</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-0.269</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-0.301</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-0.274</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&amp;</w:t>
            </w:r>
            <w:r w:rsidRPr="00183A38">
              <w:rPr>
                <w:rFonts w:ascii="Times New Roman" w:eastAsia="Times New Roman" w:hAnsi="Times New Roman" w:cs="Times New Roman"/>
                <w:bCs/>
                <w:color w:val="000000" w:themeColor="text1"/>
                <w:sz w:val="21"/>
                <w:szCs w:val="21"/>
              </w:rPr>
              <w:t xml:space="preserve"> Land</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(0.358)</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(0.319)</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(0.261)</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(0.322)</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E</w:t>
            </w:r>
            <w:r w:rsidRPr="00183A38">
              <w:rPr>
                <w:rFonts w:ascii="Times New Roman" w:eastAsia="Times New Roman" w:hAnsi="Times New Roman" w:cs="Times New Roman"/>
                <w:bCs/>
                <w:color w:val="000000" w:themeColor="text1"/>
                <w:sz w:val="21"/>
                <w:szCs w:val="21"/>
              </w:rPr>
              <w:t>nvironment Protect</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-0.448*</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-0.425*</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-0.334</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-0.400</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(0.090)</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(0.086)</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(0.191)</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(0.134)</w:t>
            </w:r>
          </w:p>
        </w:tc>
      </w:tr>
      <w:tr w:rsidR="00183A38" w:rsidRPr="00183A38" w:rsidTr="004512FB">
        <w:trPr>
          <w:jc w:val="center"/>
        </w:trPr>
        <w:tc>
          <w:tcPr>
            <w:tcW w:w="2327" w:type="dxa"/>
            <w:tcBorders>
              <w:top w:val="nil"/>
              <w:left w:val="nil"/>
              <w:bottom w:val="nil"/>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H</w:t>
            </w:r>
            <w:r w:rsidRPr="00183A38">
              <w:rPr>
                <w:rFonts w:ascii="Times New Roman" w:eastAsia="Times New Roman" w:hAnsi="Times New Roman" w:cs="Times New Roman"/>
                <w:bCs/>
                <w:color w:val="000000" w:themeColor="text1"/>
                <w:sz w:val="21"/>
                <w:szCs w:val="21"/>
              </w:rPr>
              <w:t>ealthcare</w:t>
            </w:r>
          </w:p>
        </w:tc>
        <w:tc>
          <w:tcPr>
            <w:tcW w:w="1261"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-0.326</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-0.298</w:t>
            </w:r>
          </w:p>
        </w:tc>
        <w:tc>
          <w:tcPr>
            <w:tcW w:w="1260"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-0.178</w:t>
            </w:r>
          </w:p>
        </w:tc>
        <w:tc>
          <w:tcPr>
            <w:tcW w:w="1263" w:type="dxa"/>
            <w:tcBorders>
              <w:top w:val="nil"/>
              <w:left w:val="nil"/>
              <w:bottom w:val="nil"/>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-0.242</w:t>
            </w:r>
          </w:p>
        </w:tc>
      </w:tr>
      <w:tr w:rsidR="00183A38" w:rsidRPr="00183A38" w:rsidTr="004512FB">
        <w:trPr>
          <w:jc w:val="center"/>
        </w:trPr>
        <w:tc>
          <w:tcPr>
            <w:tcW w:w="2327" w:type="dxa"/>
            <w:tcBorders>
              <w:top w:val="nil"/>
              <w:left w:val="nil"/>
              <w:bottom w:val="single" w:sz="4" w:space="0" w:color="auto"/>
              <w:right w:val="nil"/>
            </w:tcBorders>
            <w:shd w:val="clear" w:color="auto" w:fill="FFFFFF" w:themeFill="background1"/>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1261" w:type="dxa"/>
            <w:tcBorders>
              <w:top w:val="nil"/>
              <w:left w:val="nil"/>
              <w:bottom w:val="single" w:sz="4" w:space="0" w:color="auto"/>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(0.174)</w:t>
            </w:r>
          </w:p>
        </w:tc>
        <w:tc>
          <w:tcPr>
            <w:tcW w:w="1260" w:type="dxa"/>
            <w:tcBorders>
              <w:top w:val="nil"/>
              <w:left w:val="nil"/>
              <w:bottom w:val="single" w:sz="4" w:space="0" w:color="auto"/>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(0.163)</w:t>
            </w:r>
          </w:p>
        </w:tc>
        <w:tc>
          <w:tcPr>
            <w:tcW w:w="1260" w:type="dxa"/>
            <w:tcBorders>
              <w:top w:val="nil"/>
              <w:left w:val="nil"/>
              <w:bottom w:val="single" w:sz="4" w:space="0" w:color="auto"/>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(0.431)</w:t>
            </w:r>
          </w:p>
        </w:tc>
        <w:tc>
          <w:tcPr>
            <w:tcW w:w="1263" w:type="dxa"/>
            <w:tcBorders>
              <w:top w:val="nil"/>
              <w:left w:val="nil"/>
              <w:bottom w:val="single" w:sz="4" w:space="0" w:color="auto"/>
              <w:right w:val="nil"/>
            </w:tcBorders>
            <w:shd w:val="clear" w:color="auto" w:fill="FFFFFF" w:themeFill="background1"/>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(0.311)</w:t>
            </w:r>
          </w:p>
        </w:tc>
      </w:tr>
      <w:tr w:rsidR="002174AA" w:rsidRPr="00183A38" w:rsidTr="004512FB">
        <w:tblPrEx>
          <w:tblBorders>
            <w:bottom w:val="single" w:sz="6" w:space="0" w:color="auto"/>
          </w:tblBorders>
        </w:tblPrEx>
        <w:trPr>
          <w:jc w:val="center"/>
        </w:trPr>
        <w:tc>
          <w:tcPr>
            <w:tcW w:w="2327" w:type="dxa"/>
            <w:tcBorders>
              <w:top w:val="single" w:sz="4" w:space="0" w:color="auto"/>
              <w:left w:val="nil"/>
              <w:bottom w:val="single" w:sz="4" w:space="0" w:color="auto"/>
              <w:right w:val="nil"/>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AIC</w:t>
            </w:r>
          </w:p>
        </w:tc>
        <w:tc>
          <w:tcPr>
            <w:tcW w:w="1261"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2519.661</w:t>
            </w:r>
          </w:p>
        </w:tc>
        <w:tc>
          <w:tcPr>
            <w:tcW w:w="1260"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2504.119</w:t>
            </w:r>
          </w:p>
        </w:tc>
        <w:tc>
          <w:tcPr>
            <w:tcW w:w="1260"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2510.452</w:t>
            </w:r>
          </w:p>
        </w:tc>
        <w:tc>
          <w:tcPr>
            <w:tcW w:w="1263"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2518.298</w:t>
            </w:r>
          </w:p>
        </w:tc>
      </w:tr>
      <w:tr w:rsidR="002174AA" w:rsidRPr="00183A38" w:rsidTr="004512FB">
        <w:tblPrEx>
          <w:tblBorders>
            <w:bottom w:val="single" w:sz="6" w:space="0" w:color="auto"/>
          </w:tblBorders>
        </w:tblPrEx>
        <w:trPr>
          <w:jc w:val="center"/>
        </w:trPr>
        <w:tc>
          <w:tcPr>
            <w:tcW w:w="2327" w:type="dxa"/>
            <w:tcBorders>
              <w:top w:val="single" w:sz="4" w:space="0" w:color="auto"/>
              <w:left w:val="nil"/>
              <w:bottom w:val="single" w:sz="4" w:space="0" w:color="auto"/>
              <w:right w:val="nil"/>
            </w:tcBorders>
          </w:tcPr>
          <w:p w:rsidR="002174AA" w:rsidRPr="00183A38" w:rsidRDefault="009301DC" w:rsidP="009301DC">
            <w:pPr>
              <w:autoSpaceDE w:val="0"/>
              <w:autoSpaceDN w:val="0"/>
              <w:adjustRightInd w:val="0"/>
              <w:jc w:val="both"/>
              <w:rPr>
                <w:rFonts w:ascii="Times New Roman" w:eastAsia="Times New Roman" w:hAnsi="Times New Roman" w:cs="Times New Roman"/>
                <w:bCs/>
                <w:color w:val="000000" w:themeColor="text1"/>
                <w:sz w:val="21"/>
                <w:szCs w:val="21"/>
              </w:rPr>
            </w:pPr>
            <w:r>
              <w:rPr>
                <w:rFonts w:ascii="Times New Roman" w:eastAsia="Times New Roman" w:hAnsi="Times New Roman" w:cs="Times New Roman"/>
                <w:bCs/>
                <w:color w:val="000000" w:themeColor="text1"/>
                <w:sz w:val="21"/>
                <w:szCs w:val="21"/>
              </w:rPr>
              <w:t>P</w:t>
            </w:r>
            <w:r w:rsidRPr="00540E1E">
              <w:rPr>
                <w:rFonts w:ascii="Times New Roman" w:eastAsia="Times New Roman" w:hAnsi="Times New Roman" w:cs="Times New Roman"/>
                <w:bCs/>
                <w:color w:val="000000" w:themeColor="text1"/>
                <w:sz w:val="21"/>
                <w:szCs w:val="21"/>
              </w:rPr>
              <w:t>seudo</w:t>
            </w:r>
            <w:r w:rsidR="002174AA" w:rsidRPr="00183A38">
              <w:rPr>
                <w:rFonts w:ascii="Times New Roman" w:eastAsia="Times New Roman" w:hAnsi="Times New Roman" w:cs="Times New Roman"/>
                <w:bCs/>
                <w:color w:val="000000" w:themeColor="text1"/>
                <w:sz w:val="21"/>
                <w:szCs w:val="21"/>
              </w:rPr>
              <w:t xml:space="preserve"> R2</w:t>
            </w:r>
          </w:p>
        </w:tc>
        <w:tc>
          <w:tcPr>
            <w:tcW w:w="1261"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0.2740</w:t>
            </w:r>
          </w:p>
        </w:tc>
        <w:tc>
          <w:tcPr>
            <w:tcW w:w="1260"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0.2792</w:t>
            </w:r>
          </w:p>
        </w:tc>
        <w:tc>
          <w:tcPr>
            <w:tcW w:w="1260"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0.2773</w:t>
            </w:r>
          </w:p>
        </w:tc>
        <w:tc>
          <w:tcPr>
            <w:tcW w:w="1263" w:type="dxa"/>
            <w:tcBorders>
              <w:top w:val="single" w:sz="4" w:space="0" w:color="auto"/>
              <w:left w:val="nil"/>
              <w:bottom w:val="single" w:sz="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0.2750</w:t>
            </w:r>
          </w:p>
        </w:tc>
      </w:tr>
      <w:tr w:rsidR="002174AA" w:rsidRPr="00183A38" w:rsidTr="004512FB">
        <w:tblPrEx>
          <w:tblBorders>
            <w:bottom w:val="single" w:sz="6" w:space="0" w:color="auto"/>
          </w:tblBorders>
        </w:tblPrEx>
        <w:trPr>
          <w:jc w:val="center"/>
        </w:trPr>
        <w:tc>
          <w:tcPr>
            <w:tcW w:w="2327" w:type="dxa"/>
            <w:tcBorders>
              <w:top w:val="single" w:sz="4" w:space="0" w:color="auto"/>
              <w:left w:val="nil"/>
              <w:bottom w:val="thickThinLargeGap" w:sz="24" w:space="0" w:color="auto"/>
              <w:right w:val="nil"/>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Observations</w:t>
            </w:r>
          </w:p>
        </w:tc>
        <w:tc>
          <w:tcPr>
            <w:tcW w:w="1261" w:type="dxa"/>
            <w:tcBorders>
              <w:top w:val="single" w:sz="4" w:space="0" w:color="auto"/>
              <w:left w:val="nil"/>
              <w:bottom w:val="thickThinLargeGap" w:sz="2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2,763</w:t>
            </w:r>
          </w:p>
        </w:tc>
        <w:tc>
          <w:tcPr>
            <w:tcW w:w="1260" w:type="dxa"/>
            <w:tcBorders>
              <w:top w:val="single" w:sz="4" w:space="0" w:color="auto"/>
              <w:left w:val="nil"/>
              <w:bottom w:val="thickThinLargeGap" w:sz="2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2,763</w:t>
            </w:r>
          </w:p>
        </w:tc>
        <w:tc>
          <w:tcPr>
            <w:tcW w:w="1260" w:type="dxa"/>
            <w:tcBorders>
              <w:top w:val="single" w:sz="4" w:space="0" w:color="auto"/>
              <w:left w:val="nil"/>
              <w:bottom w:val="thickThinLargeGap" w:sz="2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2,763</w:t>
            </w:r>
          </w:p>
        </w:tc>
        <w:tc>
          <w:tcPr>
            <w:tcW w:w="1263" w:type="dxa"/>
            <w:tcBorders>
              <w:top w:val="single" w:sz="4" w:space="0" w:color="auto"/>
              <w:left w:val="nil"/>
              <w:bottom w:val="thickThinLargeGap" w:sz="24" w:space="0" w:color="auto"/>
              <w:right w:val="nil"/>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2,763</w:t>
            </w:r>
          </w:p>
        </w:tc>
      </w:tr>
    </w:tbl>
    <w:p w:rsidR="002174AA" w:rsidRPr="00A32034" w:rsidRDefault="002174AA" w:rsidP="002174AA">
      <w:pPr>
        <w:rPr>
          <w:rFonts w:ascii="Times New Roman" w:hAnsi="Times New Roman" w:cs="Times New Roman"/>
          <w:color w:val="000000" w:themeColor="text1"/>
          <w:sz w:val="21"/>
          <w:szCs w:val="21"/>
        </w:rPr>
      </w:pPr>
      <w:r w:rsidRPr="00A32034">
        <w:rPr>
          <w:rFonts w:ascii="Times New Roman" w:hAnsi="Times New Roman" w:cs="Times New Roman"/>
          <w:color w:val="000000" w:themeColor="text1"/>
          <w:sz w:val="21"/>
          <w:szCs w:val="21"/>
        </w:rPr>
        <w:t xml:space="preserve">Note: We did not report the estimates for constant and time dummies in the Table due to space limit. Observations are clustered by 42 central guidelines. </w:t>
      </w:r>
      <w:r w:rsidR="00183A38">
        <w:rPr>
          <w:rFonts w:ascii="Times New Roman" w:hAnsi="Times New Roman" w:cs="Times New Roman"/>
          <w:color w:val="000000" w:themeColor="text1"/>
          <w:sz w:val="21"/>
          <w:szCs w:val="21"/>
        </w:rPr>
        <w:t>P-values</w:t>
      </w:r>
      <w:r w:rsidRPr="00A32034">
        <w:rPr>
          <w:rFonts w:ascii="Times New Roman" w:hAnsi="Times New Roman" w:cs="Times New Roman"/>
          <w:color w:val="000000" w:themeColor="text1"/>
          <w:sz w:val="21"/>
          <w:szCs w:val="21"/>
        </w:rPr>
        <w:t xml:space="preserve"> are enclosed in parentheses. Policy field</w:t>
      </w:r>
      <w:r w:rsidRPr="00A32034">
        <w:rPr>
          <w:rFonts w:ascii="Times New Roman" w:hAnsi="Times New Roman" w:cs="Times New Roman" w:hint="eastAsia"/>
          <w:color w:val="000000" w:themeColor="text1"/>
          <w:sz w:val="21"/>
          <w:szCs w:val="21"/>
        </w:rPr>
        <w:t xml:space="preserve"> </w:t>
      </w:r>
      <w:r w:rsidRPr="00A32034">
        <w:rPr>
          <w:rFonts w:ascii="Times New Roman" w:hAnsi="Times New Roman" w:cs="Times New Roman"/>
          <w:color w:val="000000" w:themeColor="text1"/>
          <w:sz w:val="21"/>
          <w:szCs w:val="21"/>
        </w:rPr>
        <w:t>“Safety inspection” and region dummy “East region” are reference groups and omitted in the table. Notably, the independent effect of degree of control appears to be insignificant in Model 1. However, after we add intera</w:t>
      </w:r>
      <w:r w:rsidR="00AF54B2">
        <w:rPr>
          <w:rFonts w:ascii="Times New Roman" w:hAnsi="Times New Roman" w:cs="Times New Roman"/>
          <w:color w:val="000000" w:themeColor="text1"/>
          <w:sz w:val="21"/>
          <w:szCs w:val="21"/>
        </w:rPr>
        <w:t>c</w:t>
      </w:r>
      <w:r w:rsidRPr="00A32034">
        <w:rPr>
          <w:rFonts w:ascii="Times New Roman" w:hAnsi="Times New Roman" w:cs="Times New Roman"/>
          <w:color w:val="000000" w:themeColor="text1"/>
          <w:sz w:val="21"/>
          <w:szCs w:val="21"/>
        </w:rPr>
        <w:t xml:space="preserve">tion terms in the model, the results (graphically shown in Panels E and Panel F of Figure A1) become substantially similar to our previous findings.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0.01,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0.05,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0.1.</w:t>
      </w:r>
    </w:p>
    <w:p w:rsidR="002174AA" w:rsidRPr="00A32034" w:rsidRDefault="002174AA" w:rsidP="002174AA">
      <w:pPr>
        <w:rPr>
          <w:rFonts w:ascii="Times New Roman" w:hAnsi="Times New Roman" w:cs="Times New Roman"/>
          <w:b/>
          <w:bCs/>
          <w:color w:val="000000" w:themeColor="text1"/>
        </w:rPr>
      </w:pPr>
      <w:r w:rsidRPr="00A32034">
        <w:rPr>
          <w:rFonts w:ascii="Times New Roman" w:hAnsi="Times New Roman" w:cs="Times New Roman"/>
          <w:b/>
          <w:bCs/>
          <w:color w:val="000000" w:themeColor="text1"/>
        </w:rPr>
        <w:br w:type="page"/>
      </w:r>
    </w:p>
    <w:p w:rsidR="002174AA" w:rsidRPr="00A32034" w:rsidRDefault="002174AA" w:rsidP="002174AA">
      <w:pPr>
        <w:rPr>
          <w:rFonts w:ascii="Times New Roman" w:hAnsi="Times New Roman" w:cs="Times New Roman"/>
          <w:b/>
          <w:color w:val="000000" w:themeColor="text1"/>
        </w:rPr>
      </w:pPr>
      <w:r w:rsidRPr="00A32034">
        <w:rPr>
          <w:rFonts w:ascii="Times New Roman" w:hAnsi="Times New Roman" w:cs="Times New Roman" w:hint="eastAsia"/>
          <w:b/>
          <w:color w:val="000000" w:themeColor="text1"/>
        </w:rPr>
        <w:lastRenderedPageBreak/>
        <w:t>T</w:t>
      </w:r>
      <w:r w:rsidRPr="00A32034">
        <w:rPr>
          <w:rFonts w:ascii="Times New Roman" w:hAnsi="Times New Roman" w:cs="Times New Roman"/>
          <w:b/>
          <w:color w:val="000000" w:themeColor="text1"/>
        </w:rPr>
        <w:t xml:space="preserve">able </w:t>
      </w:r>
      <w:r>
        <w:rPr>
          <w:rFonts w:ascii="Times New Roman" w:hAnsi="Times New Roman" w:cs="Times New Roman"/>
          <w:b/>
          <w:color w:val="000000" w:themeColor="text1"/>
        </w:rPr>
        <w:t>B</w:t>
      </w:r>
      <w:r w:rsidR="00463B1E">
        <w:rPr>
          <w:rFonts w:ascii="Times New Roman" w:hAnsi="Times New Roman" w:cs="Times New Roman"/>
          <w:b/>
          <w:color w:val="000000" w:themeColor="text1"/>
        </w:rPr>
        <w:t>2</w:t>
      </w:r>
      <w:r w:rsidRPr="00A32034">
        <w:rPr>
          <w:rFonts w:ascii="Times New Roman" w:hAnsi="Times New Roman" w:cs="Times New Roman"/>
          <w:b/>
          <w:color w:val="000000" w:themeColor="text1"/>
        </w:rPr>
        <w:t>: Heckman Selection Model after Including Policy Field Fixed Effects</w:t>
      </w:r>
    </w:p>
    <w:p w:rsidR="002174AA" w:rsidRPr="00A32034" w:rsidRDefault="002174AA" w:rsidP="002174AA">
      <w:pPr>
        <w:rPr>
          <w:rFonts w:ascii="Times New Roman" w:hAnsi="Times New Roman" w:cs="Times New Roman"/>
          <w:b/>
          <w:color w:val="000000" w:themeColor="text1"/>
        </w:rPr>
      </w:pPr>
    </w:p>
    <w:tbl>
      <w:tblPr>
        <w:tblStyle w:val="220"/>
        <w:tblW w:w="5000" w:type="pct"/>
        <w:tblBorders>
          <w:top w:val="none" w:sz="0" w:space="0" w:color="auto"/>
          <w:bottom w:val="none" w:sz="0" w:space="0" w:color="auto"/>
        </w:tblBorders>
        <w:tblLook w:val="0600" w:firstRow="0" w:lastRow="0" w:firstColumn="0" w:lastColumn="0" w:noHBand="1" w:noVBand="1"/>
      </w:tblPr>
      <w:tblGrid>
        <w:gridCol w:w="2556"/>
        <w:gridCol w:w="1145"/>
        <w:gridCol w:w="1392"/>
        <w:gridCol w:w="1846"/>
        <w:gridCol w:w="1577"/>
      </w:tblGrid>
      <w:tr w:rsidR="002174AA" w:rsidRPr="00183A38" w:rsidTr="004512FB">
        <w:trPr>
          <w:trHeight w:val="20"/>
        </w:trPr>
        <w:tc>
          <w:tcPr>
            <w:tcW w:w="1501" w:type="pct"/>
            <w:tcBorders>
              <w:top w:val="single" w:sz="4" w:space="0" w:color="auto"/>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p>
        </w:tc>
        <w:tc>
          <w:tcPr>
            <w:tcW w:w="1489" w:type="pct"/>
            <w:gridSpan w:val="2"/>
            <w:tcBorders>
              <w:top w:val="single" w:sz="4" w:space="0" w:color="auto"/>
            </w:tcBorders>
            <w:vAlign w:val="center"/>
          </w:tcPr>
          <w:p w:rsidR="002174AA" w:rsidRPr="00183A38" w:rsidRDefault="002174AA" w:rsidP="004512FB">
            <w:pPr>
              <w:autoSpaceDE w:val="0"/>
              <w:autoSpaceDN w:val="0"/>
              <w:adjustRightInd w:val="0"/>
              <w:ind w:firstLineChars="400" w:firstLine="840"/>
              <w:jc w:val="right"/>
              <w:rPr>
                <w:rFonts w:ascii="Times New Roman" w:hAnsi="Times New Roman" w:cs="Times New Roman"/>
                <w:color w:val="000000" w:themeColor="text1"/>
                <w:sz w:val="21"/>
                <w:szCs w:val="21"/>
              </w:rPr>
            </w:pPr>
            <w:r w:rsidRPr="00183A38">
              <w:rPr>
                <w:rFonts w:ascii="Times New Roman" w:hAnsi="Times New Roman" w:cs="Times New Roman"/>
                <w:color w:val="000000" w:themeColor="text1"/>
                <w:sz w:val="21"/>
                <w:szCs w:val="21"/>
              </w:rPr>
              <w:t>Model 1:</w:t>
            </w:r>
          </w:p>
          <w:p w:rsidR="002174AA" w:rsidRPr="00183A38" w:rsidRDefault="002174AA" w:rsidP="004512FB">
            <w:pPr>
              <w:autoSpaceDE w:val="0"/>
              <w:autoSpaceDN w:val="0"/>
              <w:adjustRightInd w:val="0"/>
              <w:ind w:firstLineChars="250" w:firstLine="525"/>
              <w:jc w:val="right"/>
              <w:rPr>
                <w:rFonts w:ascii="Times New Roman" w:hAnsi="Times New Roman" w:cs="Times New Roman"/>
                <w:color w:val="000000" w:themeColor="text1"/>
                <w:sz w:val="21"/>
                <w:szCs w:val="21"/>
              </w:rPr>
            </w:pPr>
            <w:r w:rsidRPr="00183A38">
              <w:rPr>
                <w:rFonts w:ascii="Times New Roman" w:hAnsi="Times New Roman" w:cs="Times New Roman" w:hint="eastAsia"/>
                <w:color w:val="000000" w:themeColor="text1"/>
                <w:sz w:val="21"/>
                <w:szCs w:val="21"/>
              </w:rPr>
              <w:t>S</w:t>
            </w:r>
            <w:r w:rsidRPr="00183A38">
              <w:rPr>
                <w:rFonts w:ascii="Times New Roman" w:hAnsi="Times New Roman" w:cs="Times New Roman"/>
                <w:color w:val="000000" w:themeColor="text1"/>
                <w:sz w:val="21"/>
                <w:szCs w:val="21"/>
              </w:rPr>
              <w:t>traight Measure of</w:t>
            </w:r>
            <w:r w:rsidRPr="00183A38">
              <w:rPr>
                <w:rFonts w:ascii="Times New Roman" w:hAnsi="Times New Roman" w:cs="Times New Roman" w:hint="eastAsia"/>
                <w:color w:val="000000" w:themeColor="text1"/>
                <w:sz w:val="21"/>
                <w:szCs w:val="21"/>
              </w:rPr>
              <w:t xml:space="preserve"> </w:t>
            </w:r>
          </w:p>
          <w:p w:rsidR="002174AA" w:rsidRPr="00183A38" w:rsidRDefault="002174AA" w:rsidP="004512FB">
            <w:pPr>
              <w:autoSpaceDE w:val="0"/>
              <w:autoSpaceDN w:val="0"/>
              <w:adjustRightInd w:val="0"/>
              <w:ind w:firstLineChars="250" w:firstLine="525"/>
              <w:jc w:val="right"/>
              <w:rPr>
                <w:rFonts w:ascii="Times New Roman" w:hAnsi="Times New Roman" w:cs="Times New Roman"/>
                <w:color w:val="000000" w:themeColor="text1"/>
                <w:sz w:val="21"/>
                <w:szCs w:val="21"/>
              </w:rPr>
            </w:pPr>
            <w:r w:rsidRPr="00183A38">
              <w:rPr>
                <w:rFonts w:ascii="Times New Roman" w:hAnsi="Times New Roman" w:cs="Times New Roman"/>
                <w:color w:val="000000" w:themeColor="text1"/>
                <w:sz w:val="21"/>
                <w:szCs w:val="21"/>
              </w:rPr>
              <w:t>Content Coverage</w:t>
            </w:r>
          </w:p>
        </w:tc>
        <w:tc>
          <w:tcPr>
            <w:tcW w:w="2011" w:type="pct"/>
            <w:gridSpan w:val="2"/>
            <w:tcBorders>
              <w:top w:val="single" w:sz="4" w:space="0" w:color="auto"/>
            </w:tcBorders>
            <w:vAlign w:val="center"/>
          </w:tcPr>
          <w:p w:rsidR="002174AA" w:rsidRPr="00183A38" w:rsidRDefault="002174AA" w:rsidP="004512FB">
            <w:pPr>
              <w:autoSpaceDE w:val="0"/>
              <w:autoSpaceDN w:val="0"/>
              <w:adjustRightInd w:val="0"/>
              <w:jc w:val="right"/>
              <w:rPr>
                <w:rFonts w:ascii="Times New Roman" w:hAnsi="Times New Roman" w:cs="Times New Roman"/>
                <w:color w:val="000000" w:themeColor="text1"/>
                <w:sz w:val="21"/>
                <w:szCs w:val="21"/>
              </w:rPr>
            </w:pPr>
            <w:r w:rsidRPr="00183A38">
              <w:rPr>
                <w:rFonts w:ascii="Times New Roman" w:hAnsi="Times New Roman" w:cs="Times New Roman" w:hint="eastAsia"/>
                <w:color w:val="000000" w:themeColor="text1"/>
                <w:sz w:val="21"/>
                <w:szCs w:val="21"/>
              </w:rPr>
              <w:t>M</w:t>
            </w:r>
            <w:r w:rsidRPr="00183A38">
              <w:rPr>
                <w:rFonts w:ascii="Times New Roman" w:hAnsi="Times New Roman" w:cs="Times New Roman"/>
                <w:color w:val="000000" w:themeColor="text1"/>
                <w:sz w:val="21"/>
                <w:szCs w:val="21"/>
              </w:rPr>
              <w:t xml:space="preserve">odel 2: </w:t>
            </w:r>
          </w:p>
          <w:p w:rsidR="002174AA" w:rsidRPr="004512FB" w:rsidRDefault="002174AA" w:rsidP="004512FB">
            <w:pPr>
              <w:autoSpaceDE w:val="0"/>
              <w:autoSpaceDN w:val="0"/>
              <w:adjustRightInd w:val="0"/>
              <w:ind w:firstLine="360"/>
              <w:jc w:val="right"/>
              <w:rPr>
                <w:rFonts w:ascii="Times New Roman" w:hAnsi="Times New Roman" w:cs="Times New Roman"/>
                <w:color w:val="000000" w:themeColor="text1"/>
                <w:sz w:val="21"/>
                <w:szCs w:val="21"/>
              </w:rPr>
            </w:pPr>
            <w:r w:rsidRPr="004512FB">
              <w:rPr>
                <w:rFonts w:ascii="Times New Roman" w:hAnsi="Times New Roman" w:cs="Times New Roman"/>
                <w:color w:val="000000" w:themeColor="text1"/>
                <w:sz w:val="21"/>
                <w:szCs w:val="21"/>
              </w:rPr>
              <w:t>Refined Content Coverage after Removing Formulaic Sentences</w:t>
            </w:r>
          </w:p>
        </w:tc>
      </w:tr>
      <w:tr w:rsidR="002174AA" w:rsidRPr="00183A38" w:rsidTr="004512FB">
        <w:trPr>
          <w:trHeight w:val="20"/>
        </w:trPr>
        <w:tc>
          <w:tcPr>
            <w:tcW w:w="1501" w:type="pct"/>
            <w:tcBorders>
              <w:top w:val="single" w:sz="4" w:space="0" w:color="auto"/>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V</w:t>
            </w:r>
            <w:r w:rsidRPr="00183A38">
              <w:rPr>
                <w:rFonts w:ascii="Times New Roman" w:eastAsia="Times New Roman" w:hAnsi="Times New Roman" w:cs="Times New Roman"/>
                <w:bCs/>
                <w:color w:val="000000" w:themeColor="text1"/>
                <w:sz w:val="21"/>
                <w:szCs w:val="21"/>
              </w:rPr>
              <w:t>ariable</w:t>
            </w:r>
          </w:p>
        </w:tc>
        <w:tc>
          <w:tcPr>
            <w:tcW w:w="672" w:type="pct"/>
            <w:tcBorders>
              <w:top w:val="single" w:sz="4" w:space="0" w:color="auto"/>
            </w:tcBorders>
            <w:vAlign w:val="center"/>
          </w:tcPr>
          <w:p w:rsidR="002174AA" w:rsidRPr="00183A38" w:rsidRDefault="002174AA" w:rsidP="004512FB">
            <w:pPr>
              <w:autoSpaceDE w:val="0"/>
              <w:autoSpaceDN w:val="0"/>
              <w:adjustRightInd w:val="0"/>
              <w:jc w:val="right"/>
              <w:rPr>
                <w:rFonts w:ascii="Times New Roman" w:hAnsi="Times New Roman" w:cs="Times New Roman"/>
                <w:color w:val="000000" w:themeColor="text1"/>
                <w:sz w:val="21"/>
                <w:szCs w:val="21"/>
              </w:rPr>
            </w:pPr>
            <w:r w:rsidRPr="00183A38">
              <w:rPr>
                <w:rFonts w:ascii="Times New Roman" w:hAnsi="Times New Roman" w:cs="Times New Roman"/>
                <w:color w:val="000000" w:themeColor="text1"/>
                <w:sz w:val="21"/>
                <w:szCs w:val="21"/>
              </w:rPr>
              <w:t>Selection</w:t>
            </w:r>
          </w:p>
        </w:tc>
        <w:tc>
          <w:tcPr>
            <w:tcW w:w="816" w:type="pct"/>
            <w:tcBorders>
              <w:top w:val="single" w:sz="4" w:space="0" w:color="auto"/>
            </w:tcBorders>
            <w:vAlign w:val="center"/>
          </w:tcPr>
          <w:p w:rsidR="002174AA" w:rsidRPr="00183A38" w:rsidRDefault="002174AA" w:rsidP="004512FB">
            <w:pPr>
              <w:autoSpaceDE w:val="0"/>
              <w:autoSpaceDN w:val="0"/>
              <w:adjustRightInd w:val="0"/>
              <w:jc w:val="right"/>
              <w:rPr>
                <w:rFonts w:ascii="Times New Roman" w:hAnsi="Times New Roman" w:cs="Times New Roman"/>
                <w:color w:val="000000" w:themeColor="text1"/>
                <w:sz w:val="21"/>
                <w:szCs w:val="21"/>
              </w:rPr>
            </w:pPr>
            <w:r w:rsidRPr="00183A38">
              <w:rPr>
                <w:rFonts w:ascii="Times New Roman" w:hAnsi="Times New Roman" w:cs="Times New Roman" w:hint="eastAsia"/>
                <w:color w:val="000000" w:themeColor="text1"/>
                <w:sz w:val="21"/>
                <w:szCs w:val="21"/>
              </w:rPr>
              <w:t>O</w:t>
            </w:r>
            <w:r w:rsidRPr="00183A38">
              <w:rPr>
                <w:rFonts w:ascii="Times New Roman" w:hAnsi="Times New Roman" w:cs="Times New Roman"/>
                <w:color w:val="000000" w:themeColor="text1"/>
                <w:sz w:val="21"/>
                <w:szCs w:val="21"/>
              </w:rPr>
              <w:t>utcome</w:t>
            </w:r>
          </w:p>
        </w:tc>
        <w:tc>
          <w:tcPr>
            <w:tcW w:w="1084" w:type="pct"/>
            <w:tcBorders>
              <w:top w:val="single" w:sz="4" w:space="0" w:color="auto"/>
            </w:tcBorders>
            <w:vAlign w:val="center"/>
          </w:tcPr>
          <w:p w:rsidR="002174AA" w:rsidRPr="00183A38" w:rsidRDefault="002174AA" w:rsidP="004512FB">
            <w:pPr>
              <w:autoSpaceDE w:val="0"/>
              <w:autoSpaceDN w:val="0"/>
              <w:adjustRightInd w:val="0"/>
              <w:jc w:val="right"/>
              <w:rPr>
                <w:rFonts w:ascii="Times New Roman" w:hAnsi="Times New Roman" w:cs="Times New Roman"/>
                <w:color w:val="000000" w:themeColor="text1"/>
                <w:sz w:val="21"/>
                <w:szCs w:val="21"/>
              </w:rPr>
            </w:pPr>
            <w:r w:rsidRPr="00183A38">
              <w:rPr>
                <w:rFonts w:ascii="Times New Roman" w:hAnsi="Times New Roman" w:cs="Times New Roman" w:hint="eastAsia"/>
                <w:color w:val="000000" w:themeColor="text1"/>
                <w:sz w:val="21"/>
                <w:szCs w:val="21"/>
              </w:rPr>
              <w:t>S</w:t>
            </w:r>
            <w:r w:rsidRPr="00183A38">
              <w:rPr>
                <w:rFonts w:ascii="Times New Roman" w:hAnsi="Times New Roman" w:cs="Times New Roman"/>
                <w:color w:val="000000" w:themeColor="text1"/>
                <w:sz w:val="21"/>
                <w:szCs w:val="21"/>
              </w:rPr>
              <w:t>election</w:t>
            </w:r>
          </w:p>
        </w:tc>
        <w:tc>
          <w:tcPr>
            <w:tcW w:w="927" w:type="pct"/>
            <w:tcBorders>
              <w:top w:val="single" w:sz="4" w:space="0" w:color="auto"/>
            </w:tcBorders>
            <w:vAlign w:val="center"/>
          </w:tcPr>
          <w:p w:rsidR="002174AA" w:rsidRPr="00183A38" w:rsidRDefault="002174AA" w:rsidP="004512FB">
            <w:pPr>
              <w:autoSpaceDE w:val="0"/>
              <w:autoSpaceDN w:val="0"/>
              <w:adjustRightInd w:val="0"/>
              <w:jc w:val="right"/>
              <w:rPr>
                <w:rFonts w:ascii="Times New Roman" w:hAnsi="Times New Roman" w:cs="Times New Roman"/>
                <w:color w:val="000000" w:themeColor="text1"/>
                <w:sz w:val="21"/>
                <w:szCs w:val="21"/>
              </w:rPr>
            </w:pPr>
            <w:r w:rsidRPr="00183A38">
              <w:rPr>
                <w:rFonts w:ascii="Times New Roman" w:hAnsi="Times New Roman" w:cs="Times New Roman" w:hint="eastAsia"/>
                <w:color w:val="000000" w:themeColor="text1"/>
                <w:sz w:val="21"/>
                <w:szCs w:val="21"/>
              </w:rPr>
              <w:t>O</w:t>
            </w:r>
            <w:r w:rsidRPr="00183A38">
              <w:rPr>
                <w:rFonts w:ascii="Times New Roman" w:hAnsi="Times New Roman" w:cs="Times New Roman"/>
                <w:color w:val="000000" w:themeColor="text1"/>
                <w:sz w:val="21"/>
                <w:szCs w:val="21"/>
              </w:rPr>
              <w:t>utcome</w:t>
            </w:r>
          </w:p>
        </w:tc>
      </w:tr>
      <w:tr w:rsidR="00183A38" w:rsidRPr="00183A38" w:rsidTr="004512FB">
        <w:trPr>
          <w:trHeight w:val="20"/>
        </w:trPr>
        <w:tc>
          <w:tcPr>
            <w:tcW w:w="1501" w:type="pct"/>
            <w:tcBorders>
              <w:top w:val="single" w:sz="4" w:space="0" w:color="auto"/>
            </w:tcBorders>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Degree of control</w:t>
            </w:r>
          </w:p>
        </w:tc>
        <w:tc>
          <w:tcPr>
            <w:tcW w:w="672" w:type="pct"/>
            <w:tcBorders>
              <w:top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-0.136*</w:t>
            </w:r>
          </w:p>
        </w:tc>
        <w:tc>
          <w:tcPr>
            <w:tcW w:w="816" w:type="pct"/>
            <w:tcBorders>
              <w:top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-0.044*</w:t>
            </w:r>
          </w:p>
        </w:tc>
        <w:tc>
          <w:tcPr>
            <w:tcW w:w="1084" w:type="pct"/>
            <w:tcBorders>
              <w:top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-0.126</w:t>
            </w:r>
          </w:p>
        </w:tc>
        <w:tc>
          <w:tcPr>
            <w:tcW w:w="927" w:type="pct"/>
            <w:tcBorders>
              <w:top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-0.048*</w:t>
            </w:r>
          </w:p>
        </w:tc>
      </w:tr>
      <w:tr w:rsidR="00183A38" w:rsidRPr="00183A38" w:rsidTr="004512FB">
        <w:trPr>
          <w:trHeight w:val="20"/>
        </w:trPr>
        <w:tc>
          <w:tcPr>
            <w:tcW w:w="1501" w:type="pct"/>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w:t>
            </w:r>
            <w:r w:rsidRPr="00183A38">
              <w:rPr>
                <w:rFonts w:ascii="Times New Roman" w:eastAsia="Times New Roman" w:hAnsi="Times New Roman" w:cs="Times New Roman"/>
                <w:bCs/>
                <w:color w:val="000000" w:themeColor="text1"/>
                <w:sz w:val="21"/>
                <w:szCs w:val="21"/>
              </w:rPr>
              <w:t>standardized)</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(0.108)</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(0.097)</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Mobilization</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0.150</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0.033</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0.118</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0.037</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(0.332)</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(0.472)</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(0.429)</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(0.462)</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Monitoring</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0.225*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0.063</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0.223*</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0.072</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(0.084)</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(0.145)</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(0.064)</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(0.139)</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Provincial Revenue</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-0.044**</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-0.113*</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-0.059***</w:t>
            </w:r>
          </w:p>
        </w:tc>
      </w:tr>
      <w:tr w:rsidR="00183A38" w:rsidRPr="00183A38" w:rsidTr="004512FB">
        <w:trPr>
          <w:trHeight w:val="20"/>
        </w:trPr>
        <w:tc>
          <w:tcPr>
            <w:tcW w:w="1501" w:type="pct"/>
          </w:tcPr>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w:t>
            </w:r>
            <w:r w:rsidRPr="00183A38">
              <w:rPr>
                <w:rFonts w:ascii="Times New Roman" w:eastAsia="Times New Roman" w:hAnsi="Times New Roman" w:cs="Times New Roman"/>
                <w:bCs/>
                <w:color w:val="000000" w:themeColor="text1"/>
                <w:sz w:val="21"/>
                <w:szCs w:val="21"/>
              </w:rPr>
              <w:t>log form)</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(0.123)</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(0.015)</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(0.006)</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Guideline Length</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0.091*</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0.015</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0.092*</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0.014</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(0.082)</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(0.337)</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(0.070)</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(0.439)</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Topic Salience</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4.321***</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1.211**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4.598***</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1.376**</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(0.007)</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(0.020)</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(0.004)</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(0.017)</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Age_Governor</w:t>
            </w:r>
            <w:proofErr w:type="spellEnd"/>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0.174***</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0.063***</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0.167***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0.068***</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(0.003)</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(0.005)</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(0.002)</w:t>
            </w:r>
          </w:p>
        </w:tc>
      </w:tr>
      <w:tr w:rsidR="00183A38" w:rsidRPr="00183A38" w:rsidTr="004512FB">
        <w:trPr>
          <w:trHeight w:val="20"/>
        </w:trPr>
        <w:tc>
          <w:tcPr>
            <w:tcW w:w="1501" w:type="pct"/>
            <w:vMerge w:val="restar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Sameplace</w:t>
            </w:r>
            <w:proofErr w:type="spellEnd"/>
            <w:r w:rsidRPr="00183A38">
              <w:rPr>
                <w:rFonts w:ascii="Times New Roman" w:eastAsia="Times New Roman" w:hAnsi="Times New Roman" w:cs="Times New Roman"/>
                <w:bCs/>
                <w:color w:val="000000" w:themeColor="text1"/>
                <w:sz w:val="21"/>
                <w:szCs w:val="21"/>
              </w:rPr>
              <w:t>_</w:t>
            </w:r>
            <w:r w:rsidRPr="00183A38" w:rsidDel="00C43C39">
              <w:rPr>
                <w:rFonts w:ascii="Times New Roman" w:eastAsia="Times New Roman" w:hAnsi="Times New Roman" w:cs="Times New Roman"/>
                <w:bCs/>
                <w:color w:val="000000" w:themeColor="text1"/>
                <w:sz w:val="21"/>
                <w:szCs w:val="21"/>
              </w:rPr>
              <w:t xml:space="preserve"> </w:t>
            </w:r>
            <w:proofErr w:type="spellStart"/>
            <w:r w:rsidRPr="00183A38">
              <w:rPr>
                <w:rFonts w:ascii="Times New Roman" w:eastAsia="Times New Roman" w:hAnsi="Times New Roman" w:cs="Times New Roman" w:hint="eastAsia"/>
                <w:bCs/>
                <w:color w:val="000000" w:themeColor="text1"/>
                <w:sz w:val="21"/>
                <w:szCs w:val="21"/>
              </w:rPr>
              <w:t>P</w:t>
            </w:r>
            <w:r w:rsidRPr="00183A38">
              <w:rPr>
                <w:rFonts w:ascii="Times New Roman" w:eastAsia="Times New Roman" w:hAnsi="Times New Roman" w:cs="Times New Roman"/>
                <w:bCs/>
                <w:color w:val="000000" w:themeColor="text1"/>
                <w:sz w:val="21"/>
                <w:szCs w:val="21"/>
              </w:rPr>
              <w:t>arty_Chief</w:t>
            </w:r>
            <w:proofErr w:type="spellEnd"/>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-0.062</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0.008</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-0.061</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0.012</w:t>
            </w:r>
          </w:p>
        </w:tc>
      </w:tr>
      <w:tr w:rsidR="00183A38" w:rsidRPr="00183A38" w:rsidTr="004512FB">
        <w:trPr>
          <w:trHeight w:val="20"/>
        </w:trPr>
        <w:tc>
          <w:tcPr>
            <w:tcW w:w="1501" w:type="pct"/>
            <w:vMerge/>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(0.520)</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(0.786)</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(0.539)</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(0.709)</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Sameplace_Governor</w:t>
            </w:r>
            <w:proofErr w:type="spellEnd"/>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-0.058</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-0.036**</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(0.206)</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(0.267)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(0.023)</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C</w:t>
            </w:r>
            <w:r w:rsidRPr="00183A38">
              <w:rPr>
                <w:rFonts w:ascii="Times New Roman" w:hAnsi="Times New Roman" w:cs="Times New Roman"/>
                <w:bCs/>
                <w:color w:val="000000" w:themeColor="text1"/>
                <w:sz w:val="21"/>
                <w:szCs w:val="21"/>
              </w:rPr>
              <w:t>entral Region</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0.080</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0.001</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0.002</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(0.411)</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(0.960)</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(0.417)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(0.955)</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W</w:t>
            </w:r>
            <w:r w:rsidRPr="00183A38">
              <w:rPr>
                <w:rFonts w:ascii="Times New Roman" w:hAnsi="Times New Roman" w:cs="Times New Roman"/>
                <w:bCs/>
                <w:color w:val="000000" w:themeColor="text1"/>
                <w:sz w:val="21"/>
                <w:szCs w:val="21"/>
              </w:rPr>
              <w:t>est Region</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-0.004</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0.006</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-0.010</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(0.779)</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(0.887)</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(0.942)</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(0.762)</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N</w:t>
            </w:r>
            <w:r w:rsidRPr="00183A38">
              <w:rPr>
                <w:rFonts w:ascii="Times New Roman" w:hAnsi="Times New Roman" w:cs="Times New Roman"/>
                <w:bCs/>
                <w:color w:val="000000" w:themeColor="text1"/>
                <w:sz w:val="21"/>
                <w:szCs w:val="21"/>
              </w:rPr>
              <w:t>ortheast Region</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-0.105</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-0.038</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-0.113</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-0.044</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(0.310)</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(0.220)</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(0.268)</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(0.245)</w:t>
            </w:r>
          </w:p>
        </w:tc>
      </w:tr>
      <w:tr w:rsidR="00183A38" w:rsidRPr="00183A38" w:rsidTr="004512FB">
        <w:trPr>
          <w:trHeight w:val="20"/>
        </w:trPr>
        <w:tc>
          <w:tcPr>
            <w:tcW w:w="1501" w:type="pct"/>
            <w:vMerge w:val="restar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r w:rsidRPr="00183A38">
              <w:rPr>
                <w:rFonts w:ascii="Times New Roman" w:hAnsi="Times New Roman" w:cs="Times New Roman"/>
                <w:bCs/>
                <w:color w:val="000000" w:themeColor="text1"/>
                <w:sz w:val="21"/>
                <w:szCs w:val="21"/>
              </w:rPr>
              <w:t>Product Quality</w:t>
            </w:r>
          </w:p>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&amp;</w:t>
            </w:r>
            <w:r w:rsidRPr="00183A38">
              <w:rPr>
                <w:rFonts w:ascii="Times New Roman" w:hAnsi="Times New Roman" w:cs="Times New Roman"/>
                <w:bCs/>
                <w:color w:val="000000" w:themeColor="text1"/>
                <w:sz w:val="21"/>
                <w:szCs w:val="21"/>
              </w:rPr>
              <w:t xml:space="preserve"> </w:t>
            </w:r>
            <w:r w:rsidRPr="00183A38">
              <w:rPr>
                <w:rFonts w:ascii="Times New Roman" w:eastAsia="Times New Roman" w:hAnsi="Times New Roman" w:cs="Times New Roman"/>
                <w:bCs/>
                <w:color w:val="000000" w:themeColor="text1"/>
                <w:sz w:val="21"/>
                <w:szCs w:val="21"/>
              </w:rPr>
              <w:t>Commerce</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0.016</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0.022</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0.016</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0.015</w:t>
            </w:r>
          </w:p>
        </w:tc>
      </w:tr>
      <w:tr w:rsidR="00183A38" w:rsidRPr="00183A38" w:rsidTr="004512FB">
        <w:trPr>
          <w:trHeight w:val="20"/>
        </w:trPr>
        <w:tc>
          <w:tcPr>
            <w:tcW w:w="1501" w:type="pct"/>
            <w:vMerge/>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(0.940)</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(0.714)</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(0.941)</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(0.820)</w:t>
            </w:r>
          </w:p>
        </w:tc>
      </w:tr>
      <w:tr w:rsidR="00183A38" w:rsidRPr="00183A38" w:rsidTr="004512FB">
        <w:trPr>
          <w:trHeight w:val="20"/>
        </w:trPr>
        <w:tc>
          <w:tcPr>
            <w:tcW w:w="1501" w:type="pct"/>
            <w:vMerge w:val="restart"/>
          </w:tcPr>
          <w:p w:rsidR="00183A38" w:rsidRPr="00183A38" w:rsidRDefault="00183A38" w:rsidP="00183A38">
            <w:pPr>
              <w:autoSpaceDE w:val="0"/>
              <w:autoSpaceDN w:val="0"/>
              <w:adjustRightInd w:val="0"/>
              <w:jc w:val="both"/>
              <w:rPr>
                <w:rFonts w:ascii="Times New Roman" w:hAnsi="Times New Roman" w:cs="Times New Roman"/>
                <w:bCs/>
                <w:color w:val="000000" w:themeColor="text1"/>
                <w:sz w:val="21"/>
                <w:szCs w:val="21"/>
              </w:rPr>
            </w:pPr>
            <w:r w:rsidRPr="00183A38">
              <w:rPr>
                <w:rFonts w:ascii="Times New Roman" w:hAnsi="Times New Roman" w:cs="Times New Roman"/>
                <w:bCs/>
                <w:color w:val="000000" w:themeColor="text1"/>
                <w:sz w:val="21"/>
                <w:szCs w:val="21"/>
              </w:rPr>
              <w:t>Natural Resources</w:t>
            </w:r>
          </w:p>
          <w:p w:rsidR="00183A38" w:rsidRPr="00183A38" w:rsidRDefault="00183A38" w:rsidP="00183A38">
            <w:pPr>
              <w:autoSpaceDE w:val="0"/>
              <w:autoSpaceDN w:val="0"/>
              <w:adjustRightInd w:val="0"/>
              <w:ind w:firstLineChars="100" w:firstLine="210"/>
              <w:jc w:val="both"/>
              <w:rPr>
                <w:rFonts w:ascii="Times New Roman" w:eastAsia="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&amp;</w:t>
            </w:r>
            <w:r w:rsidRPr="00183A38">
              <w:rPr>
                <w:rFonts w:ascii="Times New Roman" w:hAnsi="Times New Roman" w:cs="Times New Roman"/>
                <w:bCs/>
                <w:color w:val="000000" w:themeColor="text1"/>
                <w:sz w:val="21"/>
                <w:szCs w:val="21"/>
              </w:rPr>
              <w:t xml:space="preserve"> </w:t>
            </w:r>
            <w:r w:rsidRPr="00183A38">
              <w:rPr>
                <w:rFonts w:ascii="Times New Roman" w:eastAsia="Times New Roman" w:hAnsi="Times New Roman" w:cs="Times New Roman"/>
                <w:bCs/>
                <w:color w:val="000000" w:themeColor="text1"/>
                <w:sz w:val="21"/>
                <w:szCs w:val="21"/>
              </w:rPr>
              <w:t>Land</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0.069</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0.013</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0.037</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-0.005</w:t>
            </w:r>
          </w:p>
        </w:tc>
      </w:tr>
      <w:tr w:rsidR="00183A38" w:rsidRPr="00183A38" w:rsidTr="004512FB">
        <w:trPr>
          <w:trHeight w:val="20"/>
        </w:trPr>
        <w:tc>
          <w:tcPr>
            <w:tcW w:w="1501" w:type="pct"/>
            <w:vMerge/>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(0.784)</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(0.865)</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(0.875)</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(0.957)</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E</w:t>
            </w:r>
            <w:r w:rsidRPr="00183A38">
              <w:rPr>
                <w:rFonts w:ascii="Times New Roman" w:hAnsi="Times New Roman" w:cs="Times New Roman"/>
                <w:bCs/>
                <w:color w:val="000000" w:themeColor="text1"/>
                <w:sz w:val="21"/>
                <w:szCs w:val="21"/>
              </w:rPr>
              <w:t xml:space="preserve">nvironment </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-0.286</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-0.079</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-0.283*</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-0.101</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P</w:t>
            </w:r>
            <w:r w:rsidRPr="00183A38">
              <w:rPr>
                <w:rFonts w:ascii="Times New Roman" w:eastAsia="Times New Roman" w:hAnsi="Times New Roman" w:cs="Times New Roman"/>
                <w:bCs/>
                <w:color w:val="000000" w:themeColor="text1"/>
                <w:sz w:val="21"/>
                <w:szCs w:val="21"/>
              </w:rPr>
              <w:t>rotection</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(0.109)</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(0.150)</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(0.092)</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(0.107)</w:t>
            </w:r>
          </w:p>
        </w:tc>
      </w:tr>
      <w:tr w:rsidR="00183A38" w:rsidRPr="00183A38" w:rsidTr="004512FB">
        <w:trPr>
          <w:trHeight w:val="20"/>
        </w:trPr>
        <w:tc>
          <w:tcPr>
            <w:tcW w:w="1501" w:type="pct"/>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hAnsi="Times New Roman" w:cs="Times New Roman" w:hint="eastAsia"/>
                <w:bCs/>
                <w:color w:val="000000" w:themeColor="text1"/>
                <w:sz w:val="21"/>
                <w:szCs w:val="21"/>
              </w:rPr>
              <w:t>H</w:t>
            </w:r>
            <w:r w:rsidRPr="00183A38">
              <w:rPr>
                <w:rFonts w:ascii="Times New Roman" w:hAnsi="Times New Roman" w:cs="Times New Roman"/>
                <w:bCs/>
                <w:color w:val="000000" w:themeColor="text1"/>
                <w:sz w:val="21"/>
                <w:szCs w:val="21"/>
              </w:rPr>
              <w:t>ealthcare</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0.001</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0.024</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-0.006</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0.025</w:t>
            </w:r>
          </w:p>
        </w:tc>
      </w:tr>
      <w:tr w:rsidR="00183A38" w:rsidRPr="00183A38" w:rsidTr="004512FB">
        <w:trPr>
          <w:trHeight w:val="20"/>
        </w:trPr>
        <w:tc>
          <w:tcPr>
            <w:tcW w:w="1501" w:type="pct"/>
            <w:vAlign w:val="center"/>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(0.994)</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(0.659)</w:t>
            </w: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(0.969)</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(0.688)</w:t>
            </w:r>
          </w:p>
        </w:tc>
      </w:tr>
      <w:tr w:rsidR="00183A38" w:rsidRPr="00183A38" w:rsidTr="004512FB">
        <w:trPr>
          <w:trHeight w:val="20"/>
        </w:trPr>
        <w:tc>
          <w:tcPr>
            <w:tcW w:w="1501" w:type="pct"/>
            <w:vAlign w:val="center"/>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roofErr w:type="spellStart"/>
            <w:r w:rsidRPr="00183A38">
              <w:rPr>
                <w:rFonts w:ascii="Times New Roman" w:eastAsia="Times New Roman" w:hAnsi="Times New Roman" w:cs="Times New Roman"/>
                <w:bCs/>
                <w:color w:val="000000" w:themeColor="text1"/>
                <w:sz w:val="21"/>
                <w:szCs w:val="21"/>
              </w:rPr>
              <w:t>Age_Party_Chief</w:t>
            </w:r>
            <w:proofErr w:type="spellEnd"/>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-0.043*</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-0.054*</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color w:val="000000" w:themeColor="text1"/>
                <w:sz w:val="21"/>
                <w:szCs w:val="21"/>
              </w:rPr>
            </w:pPr>
          </w:p>
        </w:tc>
      </w:tr>
      <w:tr w:rsidR="00183A38" w:rsidRPr="00183A38" w:rsidTr="004512FB">
        <w:trPr>
          <w:trHeight w:val="20"/>
        </w:trPr>
        <w:tc>
          <w:tcPr>
            <w:tcW w:w="1501" w:type="pct"/>
            <w:vAlign w:val="center"/>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(0.069)</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(0.080)</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color w:val="000000" w:themeColor="text1"/>
                <w:sz w:val="21"/>
                <w:szCs w:val="21"/>
              </w:rPr>
            </w:pPr>
          </w:p>
        </w:tc>
      </w:tr>
      <w:tr w:rsidR="00183A38" w:rsidRPr="00183A38" w:rsidTr="004512FB">
        <w:trPr>
          <w:trHeight w:val="20"/>
        </w:trPr>
        <w:tc>
          <w:tcPr>
            <w:tcW w:w="1501" w:type="pct"/>
            <w:vAlign w:val="center"/>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G</w:t>
            </w:r>
            <w:r w:rsidRPr="00183A38">
              <w:rPr>
                <w:rFonts w:ascii="Times New Roman" w:eastAsia="Times New Roman" w:hAnsi="Times New Roman" w:cs="Times New Roman"/>
                <w:bCs/>
                <w:color w:val="000000" w:themeColor="text1"/>
                <w:sz w:val="21"/>
                <w:szCs w:val="21"/>
              </w:rPr>
              <w:t>uideline Level</w:t>
            </w:r>
          </w:p>
        </w:tc>
        <w:tc>
          <w:tcPr>
            <w:tcW w:w="672"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0.049</w:t>
            </w:r>
          </w:p>
        </w:tc>
        <w:tc>
          <w:tcPr>
            <w:tcW w:w="816"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084" w:type="pct"/>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0.069</w:t>
            </w:r>
          </w:p>
        </w:tc>
        <w:tc>
          <w:tcPr>
            <w:tcW w:w="927" w:type="pct"/>
            <w:vAlign w:val="center"/>
          </w:tcPr>
          <w:p w:rsidR="00183A38" w:rsidRPr="00183A38" w:rsidRDefault="00183A38" w:rsidP="004512FB">
            <w:pPr>
              <w:autoSpaceDE w:val="0"/>
              <w:autoSpaceDN w:val="0"/>
              <w:adjustRightInd w:val="0"/>
              <w:jc w:val="right"/>
              <w:rPr>
                <w:rFonts w:ascii="Times New Roman" w:hAnsi="Times New Roman" w:cs="Times New Roman"/>
                <w:color w:val="000000" w:themeColor="text1"/>
                <w:sz w:val="21"/>
                <w:szCs w:val="21"/>
              </w:rPr>
            </w:pPr>
          </w:p>
        </w:tc>
      </w:tr>
      <w:tr w:rsidR="00183A38" w:rsidRPr="00183A38" w:rsidTr="004512FB">
        <w:trPr>
          <w:trHeight w:val="20"/>
        </w:trPr>
        <w:tc>
          <w:tcPr>
            <w:tcW w:w="1501" w:type="pct"/>
            <w:tcBorders>
              <w:bottom w:val="single" w:sz="4" w:space="0" w:color="auto"/>
            </w:tcBorders>
            <w:vAlign w:val="center"/>
          </w:tcPr>
          <w:p w:rsidR="00183A38" w:rsidRPr="00183A38" w:rsidRDefault="00183A38" w:rsidP="00183A38">
            <w:pPr>
              <w:autoSpaceDE w:val="0"/>
              <w:autoSpaceDN w:val="0"/>
              <w:adjustRightInd w:val="0"/>
              <w:jc w:val="both"/>
              <w:rPr>
                <w:rFonts w:ascii="Times New Roman" w:eastAsia="Times New Roman" w:hAnsi="Times New Roman" w:cs="Times New Roman"/>
                <w:bCs/>
                <w:color w:val="000000" w:themeColor="text1"/>
                <w:sz w:val="21"/>
                <w:szCs w:val="21"/>
              </w:rPr>
            </w:pPr>
          </w:p>
        </w:tc>
        <w:tc>
          <w:tcPr>
            <w:tcW w:w="672" w:type="pct"/>
            <w:tcBorders>
              <w:bottom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(0.154)</w:t>
            </w:r>
          </w:p>
        </w:tc>
        <w:tc>
          <w:tcPr>
            <w:tcW w:w="816" w:type="pct"/>
            <w:tcBorders>
              <w:bottom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p>
        </w:tc>
        <w:tc>
          <w:tcPr>
            <w:tcW w:w="1084" w:type="pct"/>
            <w:tcBorders>
              <w:bottom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sz w:val="21"/>
                <w:szCs w:val="21"/>
              </w:rPr>
            </w:pPr>
            <w:r w:rsidRPr="00183A38">
              <w:rPr>
                <w:rFonts w:ascii="Times New Roman" w:hAnsi="Times New Roman" w:cs="Times New Roman"/>
                <w:sz w:val="21"/>
                <w:szCs w:val="21"/>
              </w:rPr>
              <w:t>(0.154)</w:t>
            </w:r>
          </w:p>
        </w:tc>
        <w:tc>
          <w:tcPr>
            <w:tcW w:w="927" w:type="pct"/>
            <w:tcBorders>
              <w:bottom w:val="single" w:sz="4" w:space="0" w:color="auto"/>
            </w:tcBorders>
            <w:vAlign w:val="center"/>
          </w:tcPr>
          <w:p w:rsidR="00183A38" w:rsidRPr="00183A38" w:rsidRDefault="00183A38" w:rsidP="004512FB">
            <w:pPr>
              <w:autoSpaceDE w:val="0"/>
              <w:autoSpaceDN w:val="0"/>
              <w:adjustRightInd w:val="0"/>
              <w:jc w:val="right"/>
              <w:rPr>
                <w:rFonts w:ascii="Times New Roman" w:hAnsi="Times New Roman" w:cs="Times New Roman"/>
                <w:color w:val="000000" w:themeColor="text1"/>
                <w:sz w:val="21"/>
                <w:szCs w:val="21"/>
              </w:rPr>
            </w:pPr>
          </w:p>
        </w:tc>
      </w:tr>
      <w:tr w:rsidR="002174AA" w:rsidRPr="00183A38" w:rsidTr="004512FB">
        <w:trPr>
          <w:trHeight w:val="20"/>
        </w:trPr>
        <w:tc>
          <w:tcPr>
            <w:tcW w:w="1501" w:type="pct"/>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 xml:space="preserve">Total </w:t>
            </w:r>
            <w:r w:rsidRPr="00183A38">
              <w:rPr>
                <w:rFonts w:ascii="Times New Roman" w:eastAsia="Times New Roman" w:hAnsi="Times New Roman" w:cs="Times New Roman" w:hint="eastAsia"/>
                <w:bCs/>
                <w:color w:val="000000" w:themeColor="text1"/>
                <w:sz w:val="21"/>
                <w:szCs w:val="21"/>
              </w:rPr>
              <w:t>O</w:t>
            </w:r>
            <w:r w:rsidRPr="00183A38">
              <w:rPr>
                <w:rFonts w:ascii="Times New Roman" w:eastAsia="Times New Roman" w:hAnsi="Times New Roman" w:cs="Times New Roman"/>
                <w:bCs/>
                <w:color w:val="000000" w:themeColor="text1"/>
                <w:sz w:val="21"/>
                <w:szCs w:val="21"/>
              </w:rPr>
              <w:t>bs.</w:t>
            </w:r>
          </w:p>
        </w:tc>
        <w:tc>
          <w:tcPr>
            <w:tcW w:w="672"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c>
          <w:tcPr>
            <w:tcW w:w="816"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c>
          <w:tcPr>
            <w:tcW w:w="1084"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c>
          <w:tcPr>
            <w:tcW w:w="927"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r>
      <w:tr w:rsidR="002174AA" w:rsidRPr="00183A38" w:rsidTr="004512FB">
        <w:trPr>
          <w:trHeight w:val="20"/>
        </w:trPr>
        <w:tc>
          <w:tcPr>
            <w:tcW w:w="1501" w:type="pct"/>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Uncensored Obs.</w:t>
            </w:r>
          </w:p>
        </w:tc>
        <w:tc>
          <w:tcPr>
            <w:tcW w:w="672"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c>
          <w:tcPr>
            <w:tcW w:w="816"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848</w:t>
            </w:r>
          </w:p>
        </w:tc>
        <w:tc>
          <w:tcPr>
            <w:tcW w:w="1084"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,763</w:t>
            </w:r>
          </w:p>
        </w:tc>
        <w:tc>
          <w:tcPr>
            <w:tcW w:w="927" w:type="pct"/>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848</w:t>
            </w:r>
          </w:p>
        </w:tc>
      </w:tr>
      <w:tr w:rsidR="002174AA" w:rsidRPr="00183A38" w:rsidTr="004512FB">
        <w:trPr>
          <w:trHeight w:val="20"/>
        </w:trPr>
        <w:tc>
          <w:tcPr>
            <w:tcW w:w="1501" w:type="pct"/>
            <w:tcBorders>
              <w:bottom w:val="thickThinLargeGap" w:sz="24" w:space="0" w:color="auto"/>
            </w:tcBorders>
          </w:tcPr>
          <w:p w:rsidR="002174AA" w:rsidRPr="00183A38" w:rsidRDefault="002174AA" w:rsidP="009301DC">
            <w:pPr>
              <w:autoSpaceDE w:val="0"/>
              <w:autoSpaceDN w:val="0"/>
              <w:adjustRightInd w:val="0"/>
              <w:jc w:val="both"/>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lastRenderedPageBreak/>
              <w:t>Chi2(</w:t>
            </w:r>
            <w:r w:rsidRPr="00183A38">
              <w:rPr>
                <w:rFonts w:ascii="Times New Roman" w:eastAsia="Times New Roman" w:hAnsi="Times New Roman" w:cs="Times New Roman" w:hint="eastAsia"/>
                <w:bCs/>
                <w:color w:val="000000" w:themeColor="text1"/>
                <w:sz w:val="21"/>
                <w:szCs w:val="21"/>
              </w:rPr>
              <w:t>W</w:t>
            </w:r>
            <w:r w:rsidRPr="00183A38">
              <w:rPr>
                <w:rFonts w:ascii="Times New Roman" w:eastAsia="Times New Roman" w:hAnsi="Times New Roman" w:cs="Times New Roman"/>
                <w:bCs/>
                <w:color w:val="000000" w:themeColor="text1"/>
                <w:sz w:val="21"/>
                <w:szCs w:val="21"/>
              </w:rPr>
              <w:t xml:space="preserve">ald Test: </w:t>
            </w:r>
            <m:oMath>
              <m:r>
                <w:rPr>
                  <w:rFonts w:ascii="Cambria Math" w:eastAsia="Times New Roman" w:hAnsi="Cambria Math" w:cs="Times New Roman"/>
                  <w:color w:val="000000" w:themeColor="text1"/>
                  <w:sz w:val="21"/>
                  <w:szCs w:val="21"/>
                </w:rPr>
                <m:t>ρ</m:t>
              </m:r>
            </m:oMath>
            <w:r w:rsidRPr="00183A38">
              <w:rPr>
                <w:rFonts w:ascii="Times New Roman" w:eastAsia="Times New Roman" w:hAnsi="Times New Roman" w:cs="Times New Roman"/>
                <w:bCs/>
                <w:color w:val="000000" w:themeColor="text1"/>
                <w:sz w:val="21"/>
                <w:szCs w:val="21"/>
              </w:rPr>
              <w:t>=0)</w:t>
            </w:r>
          </w:p>
        </w:tc>
        <w:tc>
          <w:tcPr>
            <w:tcW w:w="672" w:type="pct"/>
            <w:tcBorders>
              <w:bottom w:val="thickThinLargeGap" w:sz="24" w:space="0" w:color="auto"/>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p>
        </w:tc>
        <w:tc>
          <w:tcPr>
            <w:tcW w:w="816" w:type="pct"/>
            <w:tcBorders>
              <w:bottom w:val="thickThinLargeGap" w:sz="24" w:space="0" w:color="auto"/>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bCs/>
                <w:color w:val="000000" w:themeColor="text1"/>
                <w:sz w:val="21"/>
                <w:szCs w:val="21"/>
              </w:rPr>
              <w:t>121.13***</w:t>
            </w:r>
          </w:p>
        </w:tc>
        <w:tc>
          <w:tcPr>
            <w:tcW w:w="1084" w:type="pct"/>
            <w:tcBorders>
              <w:bottom w:val="thickThinLargeGap" w:sz="24" w:space="0" w:color="auto"/>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p>
        </w:tc>
        <w:tc>
          <w:tcPr>
            <w:tcW w:w="927" w:type="pct"/>
            <w:tcBorders>
              <w:bottom w:val="thickThinLargeGap" w:sz="24" w:space="0" w:color="auto"/>
            </w:tcBorders>
            <w:vAlign w:val="center"/>
          </w:tcPr>
          <w:p w:rsidR="002174AA" w:rsidRPr="00183A38" w:rsidRDefault="002174AA" w:rsidP="004512FB">
            <w:pPr>
              <w:autoSpaceDE w:val="0"/>
              <w:autoSpaceDN w:val="0"/>
              <w:adjustRightInd w:val="0"/>
              <w:jc w:val="right"/>
              <w:rPr>
                <w:rFonts w:ascii="Times New Roman" w:eastAsia="Times New Roman" w:hAnsi="Times New Roman" w:cs="Times New Roman"/>
                <w:bCs/>
                <w:color w:val="000000" w:themeColor="text1"/>
                <w:sz w:val="21"/>
                <w:szCs w:val="21"/>
              </w:rPr>
            </w:pPr>
            <w:r w:rsidRPr="00183A38">
              <w:rPr>
                <w:rFonts w:ascii="Times New Roman" w:eastAsia="Times New Roman" w:hAnsi="Times New Roman" w:cs="Times New Roman" w:hint="eastAsia"/>
                <w:bCs/>
                <w:color w:val="000000" w:themeColor="text1"/>
                <w:sz w:val="21"/>
                <w:szCs w:val="21"/>
              </w:rPr>
              <w:t>2</w:t>
            </w:r>
            <w:r w:rsidRPr="00183A38">
              <w:rPr>
                <w:rFonts w:ascii="Times New Roman" w:eastAsia="Times New Roman" w:hAnsi="Times New Roman" w:cs="Times New Roman"/>
                <w:bCs/>
                <w:color w:val="000000" w:themeColor="text1"/>
                <w:sz w:val="21"/>
                <w:szCs w:val="21"/>
              </w:rPr>
              <w:t>4.10***</w:t>
            </w:r>
          </w:p>
        </w:tc>
      </w:tr>
    </w:tbl>
    <w:p w:rsidR="002174AA" w:rsidRPr="00A32034" w:rsidRDefault="002174AA" w:rsidP="002174AA">
      <w:pPr>
        <w:jc w:val="both"/>
        <w:rPr>
          <w:rFonts w:ascii="Cambria Math" w:hAnsi="Cambria Math" w:cs="Cambria Math" w:hint="eastAsia"/>
          <w:color w:val="000000" w:themeColor="text1"/>
          <w:sz w:val="21"/>
          <w:szCs w:val="21"/>
        </w:rPr>
      </w:pPr>
      <w:r w:rsidRPr="00A32034">
        <w:rPr>
          <w:rFonts w:ascii="Times New Roman" w:hAnsi="Times New Roman" w:cs="Times New Roman"/>
          <w:color w:val="000000" w:themeColor="text1"/>
          <w:sz w:val="21"/>
          <w:szCs w:val="21"/>
        </w:rPr>
        <w:t xml:space="preserve">Note: We did not report the estimates for constant and time dummies in the table due to space limit. Observations are clustered by 42 central guidelines. </w:t>
      </w:r>
      <w:r w:rsidR="00183A38">
        <w:rPr>
          <w:rFonts w:ascii="Times New Roman" w:hAnsi="Times New Roman" w:cs="Times New Roman"/>
          <w:color w:val="000000" w:themeColor="text1"/>
          <w:sz w:val="21"/>
          <w:szCs w:val="21"/>
        </w:rPr>
        <w:t>P-values</w:t>
      </w:r>
      <w:r w:rsidRPr="00A32034">
        <w:rPr>
          <w:rFonts w:ascii="Times New Roman" w:hAnsi="Times New Roman" w:cs="Times New Roman"/>
          <w:color w:val="000000" w:themeColor="text1"/>
          <w:sz w:val="21"/>
          <w:szCs w:val="21"/>
        </w:rPr>
        <w:t xml:space="preserve"> are enclosed in parentheses. Region dummy “East region” and Policy field dummy “Safety inspection” are reference groups and omitted in the table.</w:t>
      </w:r>
      <w:r w:rsidRPr="00A32034">
        <w:rPr>
          <w:rFonts w:ascii="Cambria Math" w:hAnsi="Cambria Math" w:cs="Cambria Math"/>
          <w:color w:val="000000" w:themeColor="text1"/>
          <w:sz w:val="21"/>
          <w:szCs w:val="21"/>
        </w:rPr>
        <w:t xml:space="preserve"> </w:t>
      </w:r>
    </w:p>
    <w:p w:rsidR="002174AA" w:rsidRPr="00A32034" w:rsidRDefault="002174AA" w:rsidP="002174AA">
      <w:pPr>
        <w:jc w:val="both"/>
        <w:rPr>
          <w:rFonts w:ascii="Times New Roman" w:hAnsi="Times New Roman" w:cs="Times New Roman"/>
          <w:color w:val="000000" w:themeColor="text1"/>
          <w:sz w:val="21"/>
          <w:szCs w:val="21"/>
        </w:rPr>
      </w:pP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0.01,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0.05,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0.1. </w:t>
      </w:r>
    </w:p>
    <w:p w:rsidR="002174AA" w:rsidRPr="00A32034" w:rsidRDefault="002174AA" w:rsidP="002174AA">
      <w:pPr>
        <w:rPr>
          <w:rFonts w:ascii="Times New Roman" w:hAnsi="Times New Roman" w:cs="Times New Roman"/>
          <w:b/>
          <w:color w:val="000000" w:themeColor="text1"/>
        </w:rPr>
      </w:pPr>
    </w:p>
    <w:p w:rsidR="002174AA" w:rsidRPr="00A32034" w:rsidRDefault="002174AA" w:rsidP="002174AA">
      <w:pPr>
        <w:rPr>
          <w:rFonts w:ascii="Times New Roman" w:hAnsi="Times New Roman" w:cs="Times New Roman"/>
          <w:b/>
          <w:color w:val="000000" w:themeColor="text1"/>
        </w:rPr>
      </w:pPr>
      <w:r w:rsidRPr="00A32034">
        <w:rPr>
          <w:rFonts w:ascii="Times New Roman" w:hAnsi="Times New Roman" w:cs="Times New Roman"/>
          <w:b/>
          <w:color w:val="000000" w:themeColor="text1"/>
        </w:rPr>
        <w:br w:type="page"/>
      </w:r>
      <w:r w:rsidRPr="00A32034">
        <w:rPr>
          <w:rFonts w:ascii="Times New Roman" w:hAnsi="Times New Roman" w:cs="Times New Roman"/>
          <w:b/>
          <w:color w:val="000000" w:themeColor="text1"/>
        </w:rPr>
        <w:lastRenderedPageBreak/>
        <w:t xml:space="preserve">Table </w:t>
      </w:r>
      <w:r>
        <w:rPr>
          <w:rFonts w:ascii="Times New Roman" w:hAnsi="Times New Roman" w:cs="Times New Roman"/>
          <w:b/>
          <w:color w:val="000000" w:themeColor="text1"/>
        </w:rPr>
        <w:t>B</w:t>
      </w:r>
      <w:r w:rsidR="00463B1E">
        <w:rPr>
          <w:rFonts w:ascii="Times New Roman" w:hAnsi="Times New Roman" w:cs="Times New Roman"/>
          <w:b/>
          <w:color w:val="000000" w:themeColor="text1"/>
        </w:rPr>
        <w:t>3</w:t>
      </w:r>
      <w:r w:rsidRPr="00A32034">
        <w:rPr>
          <w:rFonts w:ascii="Times New Roman" w:hAnsi="Times New Roman" w:cs="Times New Roman"/>
          <w:b/>
          <w:color w:val="000000" w:themeColor="text1"/>
        </w:rPr>
        <w:t>: Steps to Identity and Remove Formulaic Sentences in Central Guidelines</w:t>
      </w:r>
    </w:p>
    <w:p w:rsidR="002174AA" w:rsidRPr="00A32034" w:rsidRDefault="002174AA" w:rsidP="002174AA">
      <w:pPr>
        <w:rPr>
          <w:rFonts w:ascii="Times New Roman" w:hAnsi="Times New Roman" w:cs="Times New Roman"/>
          <w:b/>
          <w:color w:val="000000" w:themeColor="text1"/>
        </w:rPr>
      </w:pPr>
    </w:p>
    <w:tbl>
      <w:tblPr>
        <w:tblStyle w:val="22"/>
        <w:tblW w:w="0" w:type="auto"/>
        <w:tblLook w:val="04A0" w:firstRow="1" w:lastRow="0" w:firstColumn="1" w:lastColumn="0" w:noHBand="0" w:noVBand="1"/>
      </w:tblPr>
      <w:tblGrid>
        <w:gridCol w:w="8516"/>
      </w:tblGrid>
      <w:tr w:rsidR="002174AA" w:rsidRPr="00A32034" w:rsidTr="009301DC">
        <w:trPr>
          <w:cnfStyle w:val="100000000000" w:firstRow="1" w:lastRow="0" w:firstColumn="0" w:lastColumn="0" w:oddVBand="0" w:evenVBand="0" w:oddHBand="0"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9010" w:type="dxa"/>
            <w:tcBorders>
              <w:bottom w:val="nil"/>
            </w:tcBorders>
          </w:tcPr>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For each of the 42 central guidelines, randomly select 50 provincial documents which do NOT belong to the policy domain of, thus being irrelevant to, the specific central guideline. For example, if a central guideline is about environment protection, then randomly choose 50 provincial documents which are NOT about environment protection. </w:t>
            </w:r>
          </w:p>
        </w:tc>
      </w:tr>
      <w:tr w:rsidR="002174AA" w:rsidRPr="00A32034" w:rsidTr="009301DC">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9010" w:type="dxa"/>
            <w:tcBorders>
              <w:top w:val="nil"/>
              <w:bottom w:val="nil"/>
            </w:tcBorders>
          </w:tcPr>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Use automated text segmentation tool (We use a Python module </w:t>
            </w:r>
            <w:proofErr w:type="spellStart"/>
            <w:r w:rsidRPr="00A32034">
              <w:rPr>
                <w:rFonts w:ascii="Times New Roman" w:hAnsi="Times New Roman" w:cs="Times New Roman"/>
                <w:i/>
                <w:iCs/>
                <w:color w:val="000000" w:themeColor="text1"/>
              </w:rPr>
              <w:t>Jieba</w:t>
            </w:r>
            <w:proofErr w:type="spellEnd"/>
            <w:r w:rsidRPr="00A32034">
              <w:rPr>
                <w:rFonts w:ascii="Times New Roman" w:hAnsi="Times New Roman" w:cs="Times New Roman"/>
                <w:b w:val="0"/>
                <w:bCs w:val="0"/>
                <w:color w:val="000000" w:themeColor="text1"/>
              </w:rPr>
              <w:t xml:space="preserve"> in our research) to divide each central guideline and each provincial document into sentences and to continue cutting each sentence into words/phrases.</w:t>
            </w:r>
          </w:p>
        </w:tc>
      </w:tr>
      <w:tr w:rsidR="002174AA" w:rsidRPr="00A32034" w:rsidTr="009301DC">
        <w:trPr>
          <w:trHeight w:val="2095"/>
        </w:trPr>
        <w:tc>
          <w:tcPr>
            <w:cnfStyle w:val="001000000000" w:firstRow="0" w:lastRow="0" w:firstColumn="1" w:lastColumn="0" w:oddVBand="0" w:evenVBand="0" w:oddHBand="0" w:evenHBand="0" w:firstRowFirstColumn="0" w:firstRowLastColumn="0" w:lastRowFirstColumn="0" w:lastRowLastColumn="0"/>
            <w:tcW w:w="9010" w:type="dxa"/>
            <w:tcBorders>
              <w:top w:val="nil"/>
              <w:bottom w:val="nil"/>
            </w:tcBorders>
          </w:tcPr>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Utilize the Longest Common Subsequence (LCS) algorithm to compare each sentence of a central guidelines (i.e. central sentence) with all the sentences of the 50 provincial documents we have randomly selected, and pick in each provincial document the sentence which reiterates maximum content of the central sentence. </w:t>
            </w:r>
          </w:p>
        </w:tc>
      </w:tr>
      <w:tr w:rsidR="002174AA" w:rsidRPr="00A32034" w:rsidTr="009301DC">
        <w:trPr>
          <w:cnfStyle w:val="000000100000" w:firstRow="0" w:lastRow="0" w:firstColumn="0" w:lastColumn="0" w:oddVBand="0" w:evenVBand="0" w:oddHBand="1" w:evenHBand="0" w:firstRowFirstColumn="0" w:firstRowLastColumn="0" w:lastRowFirstColumn="0" w:lastRowLastColumn="0"/>
          <w:trHeight w:val="3298"/>
        </w:trPr>
        <w:tc>
          <w:tcPr>
            <w:cnfStyle w:val="001000000000" w:firstRow="0" w:lastRow="0" w:firstColumn="1" w:lastColumn="0" w:oddVBand="0" w:evenVBand="0" w:oddHBand="0" w:evenHBand="0" w:firstRowFirstColumn="0" w:firstRowLastColumn="0" w:lastRowFirstColumn="0" w:lastRowLastColumn="0"/>
            <w:tcW w:w="9010" w:type="dxa"/>
            <w:tcBorders>
              <w:top w:val="nil"/>
              <w:bottom w:val="nil"/>
            </w:tcBorders>
          </w:tcPr>
          <w:p w:rsidR="002174AA" w:rsidRPr="00A32034" w:rsidRDefault="002174AA" w:rsidP="009301DC">
            <w:pPr>
              <w:pStyle w:val="ListParagraph"/>
              <w:widowControl w:val="0"/>
              <w:numPr>
                <w:ilvl w:val="0"/>
                <w:numId w:val="6"/>
              </w:numPr>
              <w:spacing w:line="240" w:lineRule="atLeast"/>
              <w:ind w:left="357"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For each sentence of a central guideline, calculate the pseudo content coverage by examining how the central sentence is reiterated by the 50 provincial documents which are irrelevant to the central guideline. For the </w:t>
            </w:r>
            <w:proofErr w:type="spellStart"/>
            <w:r w:rsidRPr="00A32034">
              <w:rPr>
                <w:rFonts w:ascii="Times New Roman" w:hAnsi="Times New Roman" w:cs="Times New Roman"/>
                <w:b w:val="0"/>
                <w:bCs w:val="0"/>
                <w:color w:val="000000" w:themeColor="text1"/>
              </w:rPr>
              <w:t>ith</w:t>
            </w:r>
            <w:proofErr w:type="spellEnd"/>
            <w:r w:rsidRPr="00A32034">
              <w:rPr>
                <w:rFonts w:ascii="Times New Roman" w:hAnsi="Times New Roman" w:cs="Times New Roman"/>
                <w:b w:val="0"/>
                <w:bCs w:val="0"/>
                <w:color w:val="000000" w:themeColor="text1"/>
              </w:rPr>
              <w:t xml:space="preserve"> sentence in central guideline C, let </w:t>
            </w:r>
            <m:oMath>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L</m:t>
                  </m:r>
                </m:e>
                <m:sub>
                  <m:r>
                    <m:rPr>
                      <m:sty m:val="b"/>
                    </m:rPr>
                    <w:rPr>
                      <w:rFonts w:ascii="Cambria Math" w:hAnsi="Cambria Math" w:cs="Times New Roman"/>
                      <w:color w:val="000000" w:themeColor="text1"/>
                    </w:rPr>
                    <m:t>ij</m:t>
                  </m:r>
                </m:sub>
              </m:sSub>
            </m:oMath>
            <w:r w:rsidRPr="00A32034">
              <w:rPr>
                <w:rFonts w:ascii="Times New Roman" w:hAnsi="Times New Roman" w:cs="Times New Roman"/>
                <w:b w:val="0"/>
                <w:bCs w:val="0"/>
                <w:color w:val="000000" w:themeColor="text1"/>
              </w:rPr>
              <w:t xml:space="preserve"> denote the number of words/ph</w:t>
            </w:r>
            <w:proofErr w:type="spellStart"/>
            <w:r w:rsidRPr="00A32034">
              <w:rPr>
                <w:rFonts w:ascii="Times New Roman" w:hAnsi="Times New Roman" w:cs="Times New Roman"/>
                <w:b w:val="0"/>
                <w:bCs w:val="0"/>
                <w:color w:val="000000" w:themeColor="text1"/>
              </w:rPr>
              <w:t>rases</w:t>
            </w:r>
            <w:proofErr w:type="spellEnd"/>
            <w:r w:rsidRPr="00A32034">
              <w:rPr>
                <w:rFonts w:ascii="Times New Roman" w:hAnsi="Times New Roman" w:cs="Times New Roman"/>
                <w:b w:val="0"/>
                <w:bCs w:val="0"/>
                <w:color w:val="000000" w:themeColor="text1"/>
              </w:rPr>
              <w:t xml:space="preserve"> in sentence i which are reiterated by provincial document </w:t>
            </w:r>
            <m:oMath>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P</m:t>
                  </m:r>
                </m:e>
                <m:sub>
                  <m:r>
                    <m:rPr>
                      <m:sty m:val="b"/>
                    </m:rPr>
                    <w:rPr>
                      <w:rFonts w:ascii="Cambria Math" w:hAnsi="Cambria Math" w:cs="Times New Roman"/>
                      <w:color w:val="000000" w:themeColor="text1"/>
                    </w:rPr>
                    <m:t>j</m:t>
                  </m:r>
                </m:sub>
              </m:sSub>
              <m:r>
                <m:rPr>
                  <m:sty m:val="b"/>
                </m:rPr>
                <w:rPr>
                  <w:rFonts w:ascii="Cambria Math" w:hAnsi="Cambria Math" w:cs="Times New Roman"/>
                  <w:color w:val="000000" w:themeColor="text1"/>
                </w:rPr>
                <m:t xml:space="preserve"> (1≤j≤50)</m:t>
              </m:r>
            </m:oMath>
            <w:r w:rsidRPr="00A32034">
              <w:rPr>
                <w:rFonts w:ascii="Times New Roman" w:hAnsi="Times New Roman" w:cs="Times New Roman"/>
                <w:b w:val="0"/>
                <w:bCs w:val="0"/>
                <w:color w:val="000000" w:themeColor="text1"/>
              </w:rPr>
              <w:t xml:space="preserve">. Let </w:t>
            </w:r>
            <m:oMath>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M</m:t>
                  </m:r>
                </m:e>
                <m:sub>
                  <m:r>
                    <m:rPr>
                      <m:sty m:val="b"/>
                    </m:rPr>
                    <w:rPr>
                      <w:rFonts w:ascii="Cambria Math" w:hAnsi="Cambria Math" w:cs="Times New Roman"/>
                      <w:color w:val="000000" w:themeColor="text1"/>
                    </w:rPr>
                    <m:t>i</m:t>
                  </m:r>
                </m:sub>
              </m:sSub>
            </m:oMath>
            <w:r w:rsidRPr="00A32034">
              <w:rPr>
                <w:rFonts w:ascii="Times New Roman" w:hAnsi="Times New Roman" w:cs="Times New Roman"/>
                <w:b w:val="0"/>
                <w:bCs w:val="0"/>
                <w:color w:val="000000" w:themeColor="text1"/>
              </w:rPr>
              <w:t xml:space="preserve"> denote the total number of words/phrases in sentence i. Therefore, for sentence i, the pseudo content coverage equals to:</w:t>
            </w:r>
          </w:p>
          <w:p w:rsidR="002174AA" w:rsidRPr="00A32034" w:rsidRDefault="002342FA" w:rsidP="009301DC">
            <w:pPr>
              <w:pStyle w:val="ListParagraph"/>
              <w:spacing w:line="240" w:lineRule="atLeast"/>
              <w:ind w:left="357" w:firstLineChars="0" w:firstLine="0"/>
              <w:rPr>
                <w:rFonts w:ascii="Times New Roman" w:hAnsi="Times New Roman" w:cs="Times New Roman"/>
                <w:b w:val="0"/>
                <w:bCs w:val="0"/>
                <w:color w:val="000000" w:themeColor="text1"/>
              </w:rPr>
            </w:pPr>
            <m:oMathPara>
              <m:oMath>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Pseudo Content Coverage</m:t>
                    </m:r>
                  </m:e>
                  <m:sub>
                    <m:r>
                      <m:rPr>
                        <m:sty m:val="b"/>
                      </m:rPr>
                      <w:rPr>
                        <w:rFonts w:ascii="Cambria Math" w:hAnsi="Cambria Math" w:cs="Times New Roman"/>
                        <w:color w:val="000000" w:themeColor="text1"/>
                      </w:rPr>
                      <m:t>i</m:t>
                    </m:r>
                  </m:sub>
                </m:sSub>
                <m:r>
                  <m:rPr>
                    <m:sty m:val="b"/>
                  </m:rPr>
                  <w:rPr>
                    <w:rFonts w:ascii="Cambria Math" w:hAnsi="Cambria Math" w:cs="Times New Roman"/>
                    <w:color w:val="000000" w:themeColor="text1"/>
                  </w:rPr>
                  <m:t>=</m:t>
                </m:r>
                <m:f>
                  <m:fPr>
                    <m:ctrlPr>
                      <w:rPr>
                        <w:rFonts w:ascii="Cambria Math" w:eastAsiaTheme="minorEastAsia" w:hAnsi="Cambria Math" w:cs="Times New Roman"/>
                        <w:b w:val="0"/>
                        <w:bCs w:val="0"/>
                        <w:color w:val="000000" w:themeColor="text1"/>
                        <w:kern w:val="2"/>
                        <w:sz w:val="21"/>
                      </w:rPr>
                    </m:ctrlPr>
                  </m:fPr>
                  <m:num>
                    <m:nary>
                      <m:naryPr>
                        <m:chr m:val="∑"/>
                        <m:limLoc m:val="undOvr"/>
                        <m:ctrlPr>
                          <w:rPr>
                            <w:rFonts w:ascii="Cambria Math" w:eastAsiaTheme="minorEastAsia" w:hAnsi="Cambria Math" w:cs="Times New Roman"/>
                            <w:b w:val="0"/>
                            <w:bCs w:val="0"/>
                            <w:color w:val="000000" w:themeColor="text1"/>
                            <w:kern w:val="2"/>
                            <w:sz w:val="21"/>
                          </w:rPr>
                        </m:ctrlPr>
                      </m:naryPr>
                      <m:sub>
                        <m:r>
                          <m:rPr>
                            <m:sty m:val="b"/>
                          </m:rPr>
                          <w:rPr>
                            <w:rFonts w:ascii="Cambria Math" w:hAnsi="Cambria Math" w:cs="Times New Roman"/>
                            <w:color w:val="000000" w:themeColor="text1"/>
                          </w:rPr>
                          <m:t>j=1</m:t>
                        </m:r>
                      </m:sub>
                      <m:sup>
                        <m:r>
                          <m:rPr>
                            <m:sty m:val="b"/>
                          </m:rPr>
                          <w:rPr>
                            <w:rFonts w:ascii="Cambria Math" w:hAnsi="Cambria Math" w:cs="Times New Roman"/>
                            <w:color w:val="000000" w:themeColor="text1"/>
                          </w:rPr>
                          <m:t>50</m:t>
                        </m:r>
                      </m:sup>
                      <m:e>
                        <m:f>
                          <m:fPr>
                            <m:ctrlPr>
                              <w:rPr>
                                <w:rFonts w:ascii="Cambria Math" w:eastAsiaTheme="minorEastAsia" w:hAnsi="Cambria Math" w:cs="Times New Roman"/>
                                <w:b w:val="0"/>
                                <w:bCs w:val="0"/>
                                <w:color w:val="000000" w:themeColor="text1"/>
                                <w:kern w:val="2"/>
                                <w:sz w:val="21"/>
                              </w:rPr>
                            </m:ctrlPr>
                          </m:fPr>
                          <m:num>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L</m:t>
                                </m:r>
                              </m:e>
                              <m:sub>
                                <m:r>
                                  <m:rPr>
                                    <m:sty m:val="b"/>
                                  </m:rPr>
                                  <w:rPr>
                                    <w:rFonts w:ascii="Cambria Math" w:hAnsi="Cambria Math" w:cs="Times New Roman"/>
                                    <w:color w:val="000000" w:themeColor="text1"/>
                                  </w:rPr>
                                  <m:t>ij</m:t>
                                </m:r>
                              </m:sub>
                            </m:sSub>
                          </m:num>
                          <m:den>
                            <m:sSub>
                              <m:sSubPr>
                                <m:ctrlPr>
                                  <w:rPr>
                                    <w:rFonts w:ascii="Cambria Math" w:eastAsiaTheme="minorEastAsia" w:hAnsi="Cambria Math" w:cs="Times New Roman"/>
                                    <w:b w:val="0"/>
                                    <w:bCs w:val="0"/>
                                    <w:color w:val="000000" w:themeColor="text1"/>
                                    <w:kern w:val="2"/>
                                    <w:sz w:val="21"/>
                                  </w:rPr>
                                </m:ctrlPr>
                              </m:sSubPr>
                              <m:e>
                                <m:r>
                                  <m:rPr>
                                    <m:sty m:val="b"/>
                                  </m:rPr>
                                  <w:rPr>
                                    <w:rFonts w:ascii="Cambria Math" w:hAnsi="Cambria Math" w:cs="Times New Roman"/>
                                    <w:color w:val="000000" w:themeColor="text1"/>
                                  </w:rPr>
                                  <m:t>M</m:t>
                                </m:r>
                              </m:e>
                              <m:sub>
                                <m:r>
                                  <m:rPr>
                                    <m:sty m:val="b"/>
                                  </m:rPr>
                                  <w:rPr>
                                    <w:rFonts w:ascii="Cambria Math" w:hAnsi="Cambria Math" w:cs="Times New Roman"/>
                                    <w:color w:val="000000" w:themeColor="text1"/>
                                  </w:rPr>
                                  <m:t>i</m:t>
                                </m:r>
                              </m:sub>
                            </m:sSub>
                          </m:den>
                        </m:f>
                      </m:e>
                    </m:nary>
                  </m:num>
                  <m:den>
                    <m:r>
                      <m:rPr>
                        <m:sty m:val="b"/>
                      </m:rPr>
                      <w:rPr>
                        <w:rFonts w:ascii="Cambria Math" w:hAnsi="Cambria Math" w:cs="Times New Roman"/>
                        <w:color w:val="000000" w:themeColor="text1"/>
                      </w:rPr>
                      <m:t>50</m:t>
                    </m:r>
                  </m:den>
                </m:f>
              </m:oMath>
            </m:oMathPara>
          </w:p>
        </w:tc>
      </w:tr>
      <w:tr w:rsidR="002174AA" w:rsidRPr="00A32034" w:rsidTr="009301DC">
        <w:trPr>
          <w:trHeight w:val="2395"/>
        </w:trPr>
        <w:tc>
          <w:tcPr>
            <w:cnfStyle w:val="001000000000" w:firstRow="0" w:lastRow="0" w:firstColumn="1" w:lastColumn="0" w:oddVBand="0" w:evenVBand="0" w:oddHBand="0" w:evenHBand="0" w:firstRowFirstColumn="0" w:firstRowLastColumn="0" w:lastRowFirstColumn="0" w:lastRowLastColumn="0"/>
            <w:tcW w:w="9010" w:type="dxa"/>
            <w:tcBorders>
              <w:top w:val="nil"/>
              <w:bottom w:val="nil"/>
            </w:tcBorders>
          </w:tcPr>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Considering that longer sentences tend to have lower pseudo content coverage, adjusting the original value of pseudo content coverage is possible through the following steps: </w:t>
            </w:r>
          </w:p>
          <w:p w:rsidR="002174AA" w:rsidRPr="00A32034" w:rsidRDefault="002174AA" w:rsidP="009301DC">
            <w:pPr>
              <w:pStyle w:val="ListParagraph"/>
              <w:widowControl w:val="0"/>
              <w:numPr>
                <w:ilvl w:val="1"/>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On the basis of the length of each sentence, categorize central sentences, from the shortest to the longest, into 12 groups.</w:t>
            </w:r>
          </w:p>
          <w:p w:rsidR="002174AA" w:rsidRPr="00A32034" w:rsidRDefault="002174AA" w:rsidP="009301DC">
            <w:pPr>
              <w:pStyle w:val="ListParagraph"/>
              <w:widowControl w:val="0"/>
              <w:numPr>
                <w:ilvl w:val="1"/>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Calculate the average pseudo content coverage in each group.</w:t>
            </w:r>
          </w:p>
          <w:p w:rsidR="002174AA" w:rsidRPr="00A32034" w:rsidRDefault="002174AA" w:rsidP="009301DC">
            <w:pPr>
              <w:pStyle w:val="ListParagraph"/>
              <w:widowControl w:val="0"/>
              <w:numPr>
                <w:ilvl w:val="1"/>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 xml:space="preserve">Divide the original value of pseudo content coverage by the average pseudo content coverage in the group to which the central sentence belongs. </w:t>
            </w:r>
          </w:p>
        </w:tc>
      </w:tr>
      <w:tr w:rsidR="002174AA" w:rsidRPr="00A32034" w:rsidTr="00930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Borders>
              <w:top w:val="nil"/>
            </w:tcBorders>
          </w:tcPr>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Identify the central sentences which have high adjusted pseudo content coverage (select a threshold value, which equals 1.3 in our research). Label such sentences as “formulaic sentences.”</w:t>
            </w:r>
          </w:p>
          <w:p w:rsidR="002174AA" w:rsidRPr="00A32034" w:rsidRDefault="002174AA" w:rsidP="009301DC">
            <w:pPr>
              <w:pStyle w:val="ListParagraph"/>
              <w:widowControl w:val="0"/>
              <w:numPr>
                <w:ilvl w:val="0"/>
                <w:numId w:val="6"/>
              </w:numPr>
              <w:ind w:firstLineChars="0"/>
              <w:jc w:val="both"/>
              <w:rPr>
                <w:rFonts w:ascii="Times New Roman" w:hAnsi="Times New Roman" w:cs="Times New Roman"/>
                <w:b w:val="0"/>
                <w:bCs w:val="0"/>
                <w:color w:val="000000" w:themeColor="text1"/>
              </w:rPr>
            </w:pPr>
            <w:r w:rsidRPr="00A32034">
              <w:rPr>
                <w:rFonts w:ascii="Times New Roman" w:hAnsi="Times New Roman" w:cs="Times New Roman"/>
                <w:b w:val="0"/>
                <w:bCs w:val="0"/>
                <w:color w:val="000000" w:themeColor="text1"/>
              </w:rPr>
              <w:t>Delete sentences labeled as “formulaic sentences” in the central guidelines.</w:t>
            </w:r>
          </w:p>
        </w:tc>
      </w:tr>
    </w:tbl>
    <w:p w:rsidR="002174AA" w:rsidRPr="00A32034" w:rsidRDefault="002174AA" w:rsidP="002174AA">
      <w:pPr>
        <w:rPr>
          <w:rFonts w:ascii="Times New Roman" w:hAnsi="Times New Roman" w:cs="Times New Roman"/>
          <w:b/>
          <w:color w:val="000000" w:themeColor="text1"/>
        </w:rPr>
      </w:pPr>
    </w:p>
    <w:p w:rsidR="002174AA" w:rsidRPr="00A32034" w:rsidRDefault="002174AA" w:rsidP="002174AA">
      <w:pPr>
        <w:rPr>
          <w:rFonts w:ascii="Times New Roman" w:hAnsi="Times New Roman" w:cs="Times New Roman"/>
          <w:b/>
          <w:color w:val="000000" w:themeColor="text1"/>
        </w:rPr>
      </w:pPr>
    </w:p>
    <w:p w:rsidR="002174AA" w:rsidRPr="00A32034" w:rsidRDefault="002174AA" w:rsidP="002174AA">
      <w:pPr>
        <w:rPr>
          <w:rFonts w:ascii="Times New Roman" w:hAnsi="Times New Roman" w:cs="Times New Roman"/>
          <w:b/>
          <w:color w:val="000000" w:themeColor="text1"/>
        </w:rPr>
      </w:pPr>
      <w:r w:rsidRPr="00A32034">
        <w:rPr>
          <w:rFonts w:ascii="Times New Roman" w:hAnsi="Times New Roman" w:cs="Times New Roman"/>
          <w:b/>
          <w:color w:val="000000" w:themeColor="text1"/>
        </w:rPr>
        <w:br w:type="page"/>
      </w:r>
    </w:p>
    <w:p w:rsidR="002174AA" w:rsidRPr="00A32034" w:rsidRDefault="002174AA" w:rsidP="002174AA">
      <w:pPr>
        <w:pStyle w:val="Caption"/>
        <w:keepNext/>
        <w:rPr>
          <w:rFonts w:ascii="Times New Roman" w:hAnsi="Times New Roman" w:cs="Times New Roman"/>
          <w:b/>
          <w:bCs/>
          <w:color w:val="000000" w:themeColor="text1"/>
          <w:sz w:val="24"/>
          <w:szCs w:val="24"/>
        </w:rPr>
      </w:pPr>
      <w:r w:rsidRPr="00A32034">
        <w:rPr>
          <w:rFonts w:ascii="Times New Roman" w:hAnsi="Times New Roman" w:cs="Times New Roman"/>
          <w:b/>
          <w:bCs/>
          <w:color w:val="000000" w:themeColor="text1"/>
          <w:sz w:val="24"/>
          <w:szCs w:val="24"/>
        </w:rPr>
        <w:lastRenderedPageBreak/>
        <w:t xml:space="preserve">Table </w:t>
      </w:r>
      <w:r>
        <w:rPr>
          <w:rFonts w:ascii="Times New Roman" w:hAnsi="Times New Roman" w:cs="Times New Roman"/>
          <w:b/>
          <w:bCs/>
          <w:color w:val="000000" w:themeColor="text1"/>
          <w:sz w:val="24"/>
          <w:szCs w:val="24"/>
        </w:rPr>
        <w:t>B</w:t>
      </w:r>
      <w:r w:rsidR="00463B1E">
        <w:rPr>
          <w:rFonts w:ascii="Times New Roman" w:hAnsi="Times New Roman" w:cs="Times New Roman"/>
          <w:b/>
          <w:bCs/>
          <w:color w:val="000000" w:themeColor="text1"/>
          <w:sz w:val="24"/>
          <w:szCs w:val="24"/>
        </w:rPr>
        <w:t>4</w:t>
      </w:r>
      <w:r w:rsidRPr="00A32034">
        <w:rPr>
          <w:rFonts w:ascii="Times New Roman" w:hAnsi="Times New Roman" w:cs="Times New Roman"/>
          <w:b/>
          <w:bCs/>
          <w:color w:val="000000" w:themeColor="text1"/>
          <w:sz w:val="24"/>
          <w:szCs w:val="24"/>
        </w:rPr>
        <w:t>: Examples of Formulaic Sentences in Central Guidelines</w:t>
      </w:r>
    </w:p>
    <w:p w:rsidR="002174AA" w:rsidRPr="00A32034" w:rsidRDefault="002174AA" w:rsidP="002174AA">
      <w:pPr>
        <w:rPr>
          <w:color w:val="000000" w:themeColor="text1"/>
        </w:rPr>
      </w:pPr>
    </w:p>
    <w:tbl>
      <w:tblPr>
        <w:tblStyle w:val="TableGrid"/>
        <w:tblW w:w="0" w:type="auto"/>
        <w:tblLook w:val="04A0" w:firstRow="1" w:lastRow="0" w:firstColumn="1" w:lastColumn="0" w:noHBand="0" w:noVBand="1"/>
      </w:tblPr>
      <w:tblGrid>
        <w:gridCol w:w="3766"/>
        <w:gridCol w:w="4750"/>
      </w:tblGrid>
      <w:tr w:rsidR="002174AA" w:rsidRPr="00A32034" w:rsidTr="004512FB">
        <w:tc>
          <w:tcPr>
            <w:tcW w:w="3964"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Chinese</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English Translation</w:t>
            </w:r>
          </w:p>
        </w:tc>
      </w:tr>
      <w:tr w:rsidR="002174AA" w:rsidRPr="00A32034" w:rsidTr="004512FB">
        <w:tc>
          <w:tcPr>
            <w:tcW w:w="8926" w:type="dxa"/>
            <w:gridSpan w:val="2"/>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“Formulaic sentences” are sentences in the central guidelines the most part of which</w:t>
            </w:r>
          </w:p>
          <w:p w:rsidR="002174AA" w:rsidRPr="00A32034" w:rsidRDefault="002174AA" w:rsidP="004512FB">
            <w:pPr>
              <w:pStyle w:val="ListParagraph"/>
              <w:numPr>
                <w:ilvl w:val="0"/>
                <w:numId w:val="7"/>
              </w:numPr>
              <w:ind w:firstLineChars="0"/>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are too general to be issue-specific</w:t>
            </w:r>
          </w:p>
          <w:p w:rsidR="002174AA" w:rsidRPr="00A32034" w:rsidRDefault="002174AA" w:rsidP="004512FB">
            <w:pPr>
              <w:pStyle w:val="ListParagraph"/>
              <w:numPr>
                <w:ilvl w:val="0"/>
                <w:numId w:val="7"/>
              </w:numPr>
              <w:ind w:firstLineChars="0"/>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and are repeatedly mentioned by different implementation documents.</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rFonts w:hint="eastAsia"/>
                <w:color w:val="000000" w:themeColor="text1"/>
                <w:szCs w:val="21"/>
              </w:rPr>
              <w:t>地方各级人民政府要</w:t>
            </w:r>
            <w:r w:rsidRPr="00A32034">
              <w:rPr>
                <w:color w:val="000000" w:themeColor="text1"/>
                <w:szCs w:val="21"/>
              </w:rPr>
              <w:t>加强组织领导，把药品安全工作纳入重要议事日程，切实担负起保障本地区药品安全的责任</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Local governments at all levels should strengthen organization and leadership, put drug safety high on the agenda, and take the responsibility to ensure drug safety in their jurisdictions.</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color w:val="000000" w:themeColor="text1"/>
                <w:szCs w:val="21"/>
              </w:rPr>
              <w:t>地方各级人民政府要加强领导，把这项工作纳入重要议事日程，建立领导责任制，切实抓好各项措施的落实</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hint="eastAsia"/>
                <w:color w:val="000000" w:themeColor="text1"/>
                <w:szCs w:val="21"/>
              </w:rPr>
              <w:t>L</w:t>
            </w:r>
            <w:r w:rsidRPr="00A32034">
              <w:rPr>
                <w:rFonts w:ascii="Times New Roman" w:hAnsi="Times New Roman" w:cs="Times New Roman"/>
                <w:color w:val="000000" w:themeColor="text1"/>
                <w:szCs w:val="21"/>
              </w:rPr>
              <w:t>ocal governments at all levels should strengthen leadership, put the task high on the agenda, establish leader responsibility system, and ensure the adoption of various measures.</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color w:val="000000" w:themeColor="text1"/>
                <w:szCs w:val="21"/>
              </w:rPr>
              <w:t>各地</w:t>
            </w:r>
            <w:r w:rsidRPr="00A32034">
              <w:rPr>
                <w:rFonts w:hint="eastAsia"/>
                <w:color w:val="000000" w:themeColor="text1"/>
                <w:szCs w:val="21"/>
              </w:rPr>
              <w:t>要</w:t>
            </w:r>
            <w:r w:rsidRPr="00A32034">
              <w:rPr>
                <w:color w:val="000000" w:themeColor="text1"/>
                <w:szCs w:val="21"/>
              </w:rPr>
              <w:t>高度重视，坚决把思想统一到党中央、国务院决策部署上来…确保规范土地出让收支管理政策的贯彻落实</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 xml:space="preserve">All regions should attach great importance to the issue, bring their thoughts in line with the arrangements of </w:t>
            </w:r>
            <w:r>
              <w:rPr>
                <w:rFonts w:ascii="Times New Roman" w:hAnsi="Times New Roman" w:cs="Times New Roman"/>
                <w:color w:val="000000" w:themeColor="text1"/>
                <w:szCs w:val="21"/>
              </w:rPr>
              <w:t>central government</w:t>
            </w:r>
            <w:r w:rsidRPr="00A32034">
              <w:rPr>
                <w:rFonts w:ascii="Times New Roman" w:hAnsi="Times New Roman" w:cs="Times New Roman"/>
                <w:color w:val="000000" w:themeColor="text1"/>
                <w:szCs w:val="21"/>
              </w:rPr>
              <w:t>, and ensure the enforcement of the policy to regulate the use of land sale revenue.</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color w:val="000000" w:themeColor="text1"/>
                <w:szCs w:val="21"/>
              </w:rPr>
              <w:t>各地区、各部门要充分认识节能减排的重要性和紧迫性，真正把思想和行动统一到中央关于节能减排的决策和部署上来</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hint="eastAsia"/>
                <w:color w:val="000000" w:themeColor="text1"/>
                <w:szCs w:val="21"/>
              </w:rPr>
              <w:t>A</w:t>
            </w:r>
            <w:r w:rsidRPr="00A32034">
              <w:rPr>
                <w:rFonts w:ascii="Times New Roman" w:hAnsi="Times New Roman" w:cs="Times New Roman"/>
                <w:color w:val="000000" w:themeColor="text1"/>
                <w:szCs w:val="21"/>
              </w:rPr>
              <w:t>ll regions and departments should understand the importance and urgency of energy saving and carbon emission reduction</w:t>
            </w:r>
            <w:r w:rsidRPr="00A32034">
              <w:rPr>
                <w:rFonts w:ascii="Times New Roman" w:hAnsi="Times New Roman" w:cs="Times New Roman" w:hint="eastAsia"/>
                <w:color w:val="000000" w:themeColor="text1"/>
                <w:szCs w:val="21"/>
              </w:rPr>
              <w:t>,</w:t>
            </w:r>
            <w:r w:rsidRPr="00A32034">
              <w:rPr>
                <w:rFonts w:ascii="Times New Roman" w:hAnsi="Times New Roman" w:cs="Times New Roman"/>
                <w:color w:val="000000" w:themeColor="text1"/>
                <w:szCs w:val="21"/>
              </w:rPr>
              <w:t xml:space="preserve"> bring their thoughts and actions in line with the arrangements of </w:t>
            </w:r>
            <w:r>
              <w:rPr>
                <w:rFonts w:ascii="Times New Roman" w:hAnsi="Times New Roman" w:cs="Times New Roman"/>
                <w:color w:val="000000" w:themeColor="text1"/>
                <w:szCs w:val="21"/>
              </w:rPr>
              <w:t>central government</w:t>
            </w:r>
            <w:r w:rsidRPr="00A32034">
              <w:rPr>
                <w:rFonts w:ascii="Times New Roman" w:hAnsi="Times New Roman" w:cs="Times New Roman"/>
                <w:color w:val="000000" w:themeColor="text1"/>
                <w:szCs w:val="21"/>
              </w:rPr>
              <w:t xml:space="preserve"> in energy saving and carbon emission reduction.</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color w:val="000000" w:themeColor="text1"/>
                <w:szCs w:val="21"/>
              </w:rPr>
              <w:t>坚持以邓小平理论和“三个代表”重要思想为指导，认真贯彻党的十六大精神，把食品安全工作放在突出位置抓紧抓好</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(Local governments) should adhere to the guidance of Deng Xiaoping Theory and the important thought of “Three Represents,” keep in line with the spirit of the 16th National Congress of the CPC and put food safety as a top priority in daily work.</w:t>
            </w:r>
          </w:p>
        </w:tc>
      </w:tr>
      <w:tr w:rsidR="002174AA" w:rsidRPr="00A32034" w:rsidTr="004512FB">
        <w:tc>
          <w:tcPr>
            <w:tcW w:w="3964" w:type="dxa"/>
            <w:vAlign w:val="center"/>
          </w:tcPr>
          <w:p w:rsidR="002174AA" w:rsidRPr="00A32034" w:rsidRDefault="002174AA" w:rsidP="004512FB">
            <w:pPr>
              <w:jc w:val="both"/>
              <w:rPr>
                <w:color w:val="000000" w:themeColor="text1"/>
                <w:szCs w:val="21"/>
              </w:rPr>
            </w:pPr>
            <w:r w:rsidRPr="00A32034">
              <w:rPr>
                <w:color w:val="000000" w:themeColor="text1"/>
                <w:szCs w:val="21"/>
              </w:rPr>
              <w:t>以邓小平理论和“三个代表”重要思想为指导，深入贯彻党的十六大精神…加强农业标准化工作，促进农业增效、农民增收和农村经济全面发展</w:t>
            </w:r>
            <w:r w:rsidRPr="00A32034">
              <w:rPr>
                <w:rFonts w:hint="eastAsia"/>
                <w:color w:val="000000" w:themeColor="text1"/>
                <w:szCs w:val="21"/>
              </w:rPr>
              <w:t>。</w:t>
            </w:r>
          </w:p>
        </w:tc>
        <w:tc>
          <w:tcPr>
            <w:tcW w:w="4962" w:type="dxa"/>
            <w:vAlign w:val="center"/>
          </w:tcPr>
          <w:p w:rsidR="002174AA" w:rsidRPr="00A32034" w:rsidRDefault="002174AA" w:rsidP="004512FB">
            <w:pPr>
              <w:jc w:val="both"/>
              <w:rPr>
                <w:rFonts w:ascii="Times New Roman" w:hAnsi="Times New Roman" w:cs="Times New Roman"/>
                <w:color w:val="000000" w:themeColor="text1"/>
                <w:szCs w:val="21"/>
              </w:rPr>
            </w:pPr>
            <w:r w:rsidRPr="00A32034">
              <w:rPr>
                <w:rFonts w:ascii="Times New Roman" w:hAnsi="Times New Roman" w:cs="Times New Roman"/>
                <w:color w:val="000000" w:themeColor="text1"/>
                <w:szCs w:val="21"/>
              </w:rPr>
              <w:t>(Local governments) should adhere to the guidance of Deng Xiaoping Theory and the important thought of “Three Represents;” keep in line with the spirit of the 16th National Congress of the CPC; enhance the work in Agricultural Standardization; and boost  agriculture, people’s income and economic conditions in the rural areas.</w:t>
            </w:r>
          </w:p>
        </w:tc>
      </w:tr>
    </w:tbl>
    <w:p w:rsidR="002174AA" w:rsidRPr="00A32034" w:rsidRDefault="002174AA" w:rsidP="002174AA">
      <w:pPr>
        <w:rPr>
          <w:rFonts w:ascii="Times New Roman" w:hAnsi="Times New Roman" w:cs="Times New Roman"/>
          <w:b/>
          <w:color w:val="000000" w:themeColor="text1"/>
        </w:rPr>
      </w:pPr>
    </w:p>
    <w:p w:rsidR="002174AA" w:rsidRPr="00A32034" w:rsidRDefault="002174AA" w:rsidP="002174AA">
      <w:pPr>
        <w:rPr>
          <w:rFonts w:ascii="Times New Roman" w:hAnsi="Times New Roman" w:cs="Times New Roman"/>
          <w:b/>
          <w:color w:val="000000" w:themeColor="text1"/>
        </w:rPr>
      </w:pPr>
      <w:r w:rsidRPr="00A32034">
        <w:rPr>
          <w:rFonts w:ascii="Times New Roman" w:hAnsi="Times New Roman" w:cs="Times New Roman"/>
          <w:b/>
          <w:color w:val="000000" w:themeColor="text1"/>
        </w:rPr>
        <w:br w:type="page"/>
      </w:r>
    </w:p>
    <w:p w:rsidR="002174AA" w:rsidRPr="00A32034" w:rsidRDefault="002174AA" w:rsidP="002174AA">
      <w:pPr>
        <w:spacing w:afterLines="50" w:after="156"/>
        <w:rPr>
          <w:color w:val="000000" w:themeColor="text1"/>
        </w:rPr>
      </w:pPr>
      <w:bookmarkStart w:id="2" w:name="_Toc45914194"/>
      <w:r w:rsidRPr="00A32034">
        <w:rPr>
          <w:rFonts w:ascii="Times New Roman" w:hAnsi="Times New Roman" w:cs="Times New Roman"/>
          <w:b/>
          <w:bCs/>
          <w:color w:val="000000" w:themeColor="text1"/>
        </w:rPr>
        <w:lastRenderedPageBreak/>
        <w:t xml:space="preserve">Table </w:t>
      </w:r>
      <w:r>
        <w:rPr>
          <w:rFonts w:ascii="Times New Roman" w:hAnsi="Times New Roman" w:cs="Times New Roman"/>
          <w:b/>
          <w:bCs/>
          <w:color w:val="000000" w:themeColor="text1"/>
        </w:rPr>
        <w:t>B</w:t>
      </w:r>
      <w:r w:rsidR="00463B1E">
        <w:rPr>
          <w:rFonts w:ascii="Times New Roman" w:hAnsi="Times New Roman" w:cs="Times New Roman"/>
          <w:b/>
          <w:bCs/>
          <w:color w:val="000000" w:themeColor="text1"/>
        </w:rPr>
        <w:t>5</w:t>
      </w:r>
      <w:r w:rsidRPr="00A32034">
        <w:rPr>
          <w:rFonts w:ascii="Times New Roman" w:hAnsi="Times New Roman" w:cs="Times New Roman"/>
          <w:b/>
          <w:bCs/>
          <w:color w:val="000000" w:themeColor="text1"/>
        </w:rPr>
        <w:t xml:space="preserve">: </w:t>
      </w:r>
      <w:r w:rsidR="00AF54B2" w:rsidRPr="00A32034">
        <w:rPr>
          <w:rFonts w:ascii="Times New Roman" w:hAnsi="Times New Roman" w:cs="Times New Roman"/>
          <w:b/>
          <w:bCs/>
          <w:color w:val="000000" w:themeColor="text1"/>
        </w:rPr>
        <w:t>Rerunning</w:t>
      </w:r>
      <w:r w:rsidRPr="00A32034">
        <w:rPr>
          <w:rFonts w:ascii="Times New Roman" w:hAnsi="Times New Roman" w:cs="Times New Roman"/>
          <w:b/>
          <w:bCs/>
          <w:color w:val="000000" w:themeColor="text1"/>
        </w:rPr>
        <w:t xml:space="preserve"> Pooled Event History Analysis on Two Subsamples</w:t>
      </w:r>
    </w:p>
    <w:tbl>
      <w:tblPr>
        <w:tblW w:w="5001" w:type="pct"/>
        <w:jc w:val="center"/>
        <w:tblCellMar>
          <w:left w:w="75" w:type="dxa"/>
          <w:right w:w="75" w:type="dxa"/>
        </w:tblCellMar>
        <w:tblLook w:val="0000" w:firstRow="0" w:lastRow="0" w:firstColumn="0" w:lastColumn="0" w:noHBand="0" w:noVBand="0"/>
      </w:tblPr>
      <w:tblGrid>
        <w:gridCol w:w="2294"/>
        <w:gridCol w:w="2089"/>
        <w:gridCol w:w="2257"/>
        <w:gridCol w:w="1812"/>
      </w:tblGrid>
      <w:tr w:rsidR="002174AA" w:rsidRPr="00540E1E" w:rsidTr="004512FB">
        <w:trPr>
          <w:trHeight w:val="335"/>
          <w:jc w:val="center"/>
        </w:trPr>
        <w:tc>
          <w:tcPr>
            <w:tcW w:w="1357" w:type="pct"/>
            <w:tcBorders>
              <w:top w:val="thinThickLargeGap" w:sz="24" w:space="0" w:color="auto"/>
              <w:left w:val="nil"/>
              <w:right w:val="nil"/>
            </w:tcBorders>
          </w:tcPr>
          <w:p w:rsidR="002174AA" w:rsidRPr="00540E1E" w:rsidRDefault="002174AA" w:rsidP="009301DC">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thinThickLargeGap" w:sz="24" w:space="0" w:color="auto"/>
              <w:left w:val="nil"/>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 xml:space="preserve">Degree of Control&lt; Median </w:t>
            </w:r>
          </w:p>
        </w:tc>
        <w:tc>
          <w:tcPr>
            <w:tcW w:w="1335" w:type="pct"/>
            <w:tcBorders>
              <w:top w:val="thinThickLargeGap" w:sz="24" w:space="0" w:color="auto"/>
              <w:left w:val="nil"/>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Degree of Control</w:t>
            </w:r>
          </w:p>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&gt;= Median</w:t>
            </w:r>
          </w:p>
        </w:tc>
        <w:tc>
          <w:tcPr>
            <w:tcW w:w="1072" w:type="pct"/>
            <w:tcBorders>
              <w:top w:val="thinThickLargeGap" w:sz="24" w:space="0" w:color="auto"/>
              <w:left w:val="nil"/>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Degree of Control</w:t>
            </w:r>
          </w:p>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Whole Sample</w:t>
            </w:r>
          </w:p>
        </w:tc>
      </w:tr>
      <w:tr w:rsidR="002174AA" w:rsidRPr="00540E1E" w:rsidTr="004512FB">
        <w:trPr>
          <w:trHeight w:val="335"/>
          <w:jc w:val="center"/>
        </w:trPr>
        <w:tc>
          <w:tcPr>
            <w:tcW w:w="1357" w:type="pct"/>
            <w:tcBorders>
              <w:left w:val="nil"/>
              <w:bottom w:val="single" w:sz="4" w:space="0" w:color="auto"/>
              <w:right w:val="nil"/>
            </w:tcBorders>
          </w:tcPr>
          <w:p w:rsidR="002174AA" w:rsidRPr="00540E1E" w:rsidRDefault="002174AA" w:rsidP="009301DC">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Model 1</w:t>
            </w:r>
          </w:p>
        </w:tc>
        <w:tc>
          <w:tcPr>
            <w:tcW w:w="1335" w:type="pct"/>
            <w:tcBorders>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Model 2</w:t>
            </w:r>
          </w:p>
        </w:tc>
        <w:tc>
          <w:tcPr>
            <w:tcW w:w="1072" w:type="pct"/>
            <w:tcBorders>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Model 3</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Degree of Control</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-0.302</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-0.375**</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-0.153*</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(0.544)</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(0.025)</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(0.083)</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Provincial Revenue</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0.156</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-0.532***</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-0.181</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(0.226)</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(0.001)</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(0.112)</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Mob</w:t>
            </w:r>
            <w:r w:rsidR="00AF54B2">
              <w:rPr>
                <w:rFonts w:ascii="Times New Roman" w:eastAsia="Times New Roman" w:hAnsi="Times New Roman" w:cs="Times New Roman"/>
                <w:bCs/>
                <w:color w:val="000000" w:themeColor="text1"/>
                <w:sz w:val="21"/>
                <w:szCs w:val="21"/>
              </w:rPr>
              <w:t>i</w:t>
            </w:r>
            <w:r w:rsidRPr="00540E1E">
              <w:rPr>
                <w:rFonts w:ascii="Times New Roman" w:eastAsia="Times New Roman" w:hAnsi="Times New Roman" w:cs="Times New Roman"/>
                <w:bCs/>
                <w:color w:val="000000" w:themeColor="text1"/>
                <w:sz w:val="21"/>
                <w:szCs w:val="21"/>
              </w:rPr>
              <w:t>lization</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0.418</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0.717***</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0.471**</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(0.178)</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(0.004)</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(0.028)</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Monitoring</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0.178</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0.417**</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0.351**</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(0.456)</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(0.033)</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(0.040)</w:t>
            </w:r>
          </w:p>
        </w:tc>
      </w:tr>
      <w:tr w:rsidR="00540E1E" w:rsidRPr="00540E1E" w:rsidTr="004512FB">
        <w:trPr>
          <w:jc w:val="center"/>
        </w:trPr>
        <w:tc>
          <w:tcPr>
            <w:tcW w:w="1357" w:type="pct"/>
            <w:tcBorders>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Guideline Level</w:t>
            </w:r>
          </w:p>
        </w:tc>
        <w:tc>
          <w:tcPr>
            <w:tcW w:w="1236" w:type="pct"/>
            <w:tcBorders>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1.096***</w:t>
            </w:r>
          </w:p>
        </w:tc>
        <w:tc>
          <w:tcPr>
            <w:tcW w:w="1335" w:type="pct"/>
            <w:tcBorders>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0.522</w:t>
            </w:r>
          </w:p>
        </w:tc>
        <w:tc>
          <w:tcPr>
            <w:tcW w:w="1072" w:type="pct"/>
            <w:tcBorders>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0.949***</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(0.000)</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(0.100)</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(0.000)</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Topic Salience</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5.207</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10.840**</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6.934*</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(0.319)</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(0.035)</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(0.058)</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Guideline Length</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0.092</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0.064</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0.002</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(0.361)</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(0.740)</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(0.984)</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roofErr w:type="spellStart"/>
            <w:r w:rsidRPr="00540E1E">
              <w:rPr>
                <w:rFonts w:ascii="Times New Roman" w:eastAsia="Times New Roman" w:hAnsi="Times New Roman" w:cs="Times New Roman"/>
                <w:bCs/>
                <w:color w:val="000000" w:themeColor="text1"/>
                <w:sz w:val="21"/>
                <w:szCs w:val="21"/>
              </w:rPr>
              <w:t>Age_Party_Chief</w:t>
            </w:r>
            <w:proofErr w:type="spellEnd"/>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-0.417***</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-0.488***</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-0.448***</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(0.001)</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(0.000)</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(0.000)</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roofErr w:type="spellStart"/>
            <w:r w:rsidRPr="00540E1E">
              <w:rPr>
                <w:rFonts w:ascii="Times New Roman" w:eastAsia="Times New Roman" w:hAnsi="Times New Roman" w:cs="Times New Roman"/>
                <w:bCs/>
                <w:color w:val="000000" w:themeColor="text1"/>
                <w:sz w:val="21"/>
                <w:szCs w:val="21"/>
              </w:rPr>
              <w:t>Age_Governor</w:t>
            </w:r>
            <w:proofErr w:type="spellEnd"/>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0.184</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0.362**</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0.291***</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(0.215)</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(0.028)</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(0.008)</w:t>
            </w:r>
          </w:p>
        </w:tc>
      </w:tr>
      <w:tr w:rsidR="00540E1E" w:rsidRPr="00540E1E" w:rsidTr="004512FB">
        <w:trPr>
          <w:trHeight w:val="335"/>
          <w:jc w:val="center"/>
        </w:trPr>
        <w:tc>
          <w:tcPr>
            <w:tcW w:w="1357" w:type="pct"/>
            <w:vMerge w:val="restart"/>
            <w:tcBorders>
              <w:top w:val="nil"/>
              <w:left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roofErr w:type="spellStart"/>
            <w:r w:rsidRPr="00540E1E">
              <w:rPr>
                <w:rFonts w:ascii="Times New Roman" w:eastAsia="Times New Roman" w:hAnsi="Times New Roman" w:cs="Times New Roman"/>
                <w:bCs/>
                <w:color w:val="000000" w:themeColor="text1"/>
                <w:sz w:val="21"/>
                <w:szCs w:val="21"/>
              </w:rPr>
              <w:t>Sameplace_Party_Chief</w:t>
            </w:r>
            <w:proofErr w:type="spellEnd"/>
          </w:p>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0.294</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-0.515</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-0.073</w:t>
            </w:r>
          </w:p>
        </w:tc>
      </w:tr>
      <w:tr w:rsidR="00540E1E" w:rsidRPr="00540E1E" w:rsidTr="004512FB">
        <w:trPr>
          <w:jc w:val="center"/>
        </w:trPr>
        <w:tc>
          <w:tcPr>
            <w:tcW w:w="1357" w:type="pct"/>
            <w:vMerge/>
            <w:tcBorders>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(0.259)</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(0.123)</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(0.720)</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roofErr w:type="spellStart"/>
            <w:r w:rsidRPr="00540E1E">
              <w:rPr>
                <w:rFonts w:ascii="Times New Roman" w:eastAsia="Times New Roman" w:hAnsi="Times New Roman" w:cs="Times New Roman"/>
                <w:bCs/>
                <w:color w:val="000000" w:themeColor="text1"/>
                <w:sz w:val="21"/>
                <w:szCs w:val="21"/>
              </w:rPr>
              <w:t>Sameplace_Governor</w:t>
            </w:r>
            <w:proofErr w:type="spellEnd"/>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-0.182</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0.077</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-0.060</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(0.168)</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(0.646)</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(0.556)</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Central Region</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0.252</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-0.513</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-0.126</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(0.196)</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(0.126)</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(0.492)</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hint="eastAsia"/>
                <w:bCs/>
                <w:color w:val="000000" w:themeColor="text1"/>
                <w:sz w:val="21"/>
                <w:szCs w:val="21"/>
              </w:rPr>
              <w:t>W</w:t>
            </w:r>
            <w:r w:rsidRPr="00540E1E">
              <w:rPr>
                <w:rFonts w:ascii="Times New Roman" w:eastAsia="Times New Roman" w:hAnsi="Times New Roman" w:cs="Times New Roman"/>
                <w:bCs/>
                <w:color w:val="000000" w:themeColor="text1"/>
                <w:sz w:val="21"/>
                <w:szCs w:val="21"/>
              </w:rPr>
              <w:t>est Region</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0.164</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-0.498**</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-0.176</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(0.449)</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(0.033)</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(0.294)</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hint="eastAsia"/>
                <w:bCs/>
                <w:color w:val="000000" w:themeColor="text1"/>
                <w:sz w:val="21"/>
                <w:szCs w:val="21"/>
              </w:rPr>
              <w:t>N</w:t>
            </w:r>
            <w:r w:rsidRPr="00540E1E">
              <w:rPr>
                <w:rFonts w:ascii="Times New Roman" w:eastAsia="Times New Roman" w:hAnsi="Times New Roman" w:cs="Times New Roman"/>
                <w:bCs/>
                <w:color w:val="000000" w:themeColor="text1"/>
                <w:sz w:val="21"/>
                <w:szCs w:val="21"/>
              </w:rPr>
              <w:t>ortheast Region</w:t>
            </w: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-0.059</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-0.601*</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-0.322*</w:t>
            </w:r>
          </w:p>
        </w:tc>
      </w:tr>
      <w:tr w:rsidR="00540E1E" w:rsidRPr="00540E1E" w:rsidTr="004512FB">
        <w:trPr>
          <w:jc w:val="center"/>
        </w:trPr>
        <w:tc>
          <w:tcPr>
            <w:tcW w:w="1357" w:type="pct"/>
            <w:tcBorders>
              <w:top w:val="nil"/>
              <w:left w:val="nil"/>
              <w:bottom w:val="nil"/>
              <w:right w:val="nil"/>
            </w:tcBorders>
          </w:tcPr>
          <w:p w:rsidR="00540E1E" w:rsidRPr="00540E1E" w:rsidRDefault="00540E1E" w:rsidP="00540E1E">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p>
        </w:tc>
        <w:tc>
          <w:tcPr>
            <w:tcW w:w="1236"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(0.810)</w:t>
            </w:r>
          </w:p>
        </w:tc>
        <w:tc>
          <w:tcPr>
            <w:tcW w:w="1335"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(0.054)</w:t>
            </w:r>
          </w:p>
        </w:tc>
        <w:tc>
          <w:tcPr>
            <w:tcW w:w="1072" w:type="pct"/>
            <w:tcBorders>
              <w:top w:val="nil"/>
              <w:left w:val="nil"/>
              <w:bottom w:val="nil"/>
              <w:right w:val="nil"/>
            </w:tcBorders>
            <w:vAlign w:val="center"/>
          </w:tcPr>
          <w:p w:rsidR="00540E1E" w:rsidRPr="00540E1E" w:rsidRDefault="00540E1E" w:rsidP="004512FB">
            <w:pPr>
              <w:autoSpaceDE w:val="0"/>
              <w:autoSpaceDN w:val="0"/>
              <w:adjustRightInd w:val="0"/>
              <w:jc w:val="right"/>
              <w:rPr>
                <w:rFonts w:ascii="Times New Roman" w:hAnsi="Times New Roman" w:cs="Times New Roman"/>
                <w:sz w:val="21"/>
                <w:szCs w:val="21"/>
              </w:rPr>
            </w:pPr>
            <w:r w:rsidRPr="00540E1E">
              <w:rPr>
                <w:rFonts w:ascii="Times New Roman" w:hAnsi="Times New Roman" w:cs="Times New Roman"/>
                <w:sz w:val="21"/>
                <w:szCs w:val="21"/>
              </w:rPr>
              <w:t>(0.086)</w:t>
            </w:r>
          </w:p>
        </w:tc>
      </w:tr>
      <w:tr w:rsidR="002174AA" w:rsidRPr="00540E1E" w:rsidTr="004512FB">
        <w:tblPrEx>
          <w:tblBorders>
            <w:bottom w:val="single" w:sz="6" w:space="0" w:color="auto"/>
          </w:tblBorders>
        </w:tblPrEx>
        <w:trPr>
          <w:jc w:val="center"/>
        </w:trPr>
        <w:tc>
          <w:tcPr>
            <w:tcW w:w="1357" w:type="pct"/>
            <w:tcBorders>
              <w:top w:val="single" w:sz="4" w:space="0" w:color="auto"/>
              <w:left w:val="nil"/>
              <w:bottom w:val="single" w:sz="4" w:space="0" w:color="auto"/>
              <w:right w:val="nil"/>
            </w:tcBorders>
          </w:tcPr>
          <w:p w:rsidR="002174AA" w:rsidRPr="00540E1E" w:rsidRDefault="009301DC" w:rsidP="009301DC">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Pr>
                <w:rFonts w:ascii="Times New Roman" w:eastAsia="Times New Roman" w:hAnsi="Times New Roman" w:cs="Times New Roman"/>
                <w:bCs/>
                <w:color w:val="000000" w:themeColor="text1"/>
                <w:sz w:val="21"/>
                <w:szCs w:val="21"/>
              </w:rPr>
              <w:t>P</w:t>
            </w:r>
            <w:r w:rsidR="002174AA" w:rsidRPr="00540E1E">
              <w:rPr>
                <w:rFonts w:ascii="Times New Roman" w:eastAsia="Times New Roman" w:hAnsi="Times New Roman" w:cs="Times New Roman"/>
                <w:bCs/>
                <w:color w:val="000000" w:themeColor="text1"/>
                <w:sz w:val="21"/>
                <w:szCs w:val="21"/>
              </w:rPr>
              <w:t>seudo R2</w:t>
            </w:r>
          </w:p>
        </w:tc>
        <w:tc>
          <w:tcPr>
            <w:tcW w:w="1236" w:type="pct"/>
            <w:tcBorders>
              <w:top w:val="single" w:sz="4" w:space="0" w:color="auto"/>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0.2674</w:t>
            </w:r>
          </w:p>
        </w:tc>
        <w:tc>
          <w:tcPr>
            <w:tcW w:w="1335" w:type="pct"/>
            <w:tcBorders>
              <w:top w:val="single" w:sz="4" w:space="0" w:color="auto"/>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0.3010</w:t>
            </w:r>
          </w:p>
        </w:tc>
        <w:tc>
          <w:tcPr>
            <w:tcW w:w="1072" w:type="pct"/>
            <w:tcBorders>
              <w:top w:val="single" w:sz="4" w:space="0" w:color="auto"/>
              <w:left w:val="nil"/>
              <w:bottom w:val="single" w:sz="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0.2709</w:t>
            </w:r>
          </w:p>
        </w:tc>
      </w:tr>
      <w:tr w:rsidR="002174AA" w:rsidRPr="00540E1E" w:rsidTr="004512FB">
        <w:tblPrEx>
          <w:tblBorders>
            <w:bottom w:val="single" w:sz="6" w:space="0" w:color="auto"/>
          </w:tblBorders>
        </w:tblPrEx>
        <w:trPr>
          <w:jc w:val="center"/>
        </w:trPr>
        <w:tc>
          <w:tcPr>
            <w:tcW w:w="1357" w:type="pct"/>
            <w:tcBorders>
              <w:top w:val="single" w:sz="4" w:space="0" w:color="auto"/>
              <w:left w:val="nil"/>
              <w:bottom w:val="thickThinLargeGap" w:sz="24" w:space="0" w:color="auto"/>
              <w:right w:val="nil"/>
            </w:tcBorders>
          </w:tcPr>
          <w:p w:rsidR="002174AA" w:rsidRPr="00540E1E" w:rsidRDefault="002174AA" w:rsidP="009301DC">
            <w:pPr>
              <w:autoSpaceDE w:val="0"/>
              <w:autoSpaceDN w:val="0"/>
              <w:adjustRightInd w:val="0"/>
              <w:spacing w:line="280" w:lineRule="exact"/>
              <w:jc w:val="both"/>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Observations</w:t>
            </w:r>
          </w:p>
        </w:tc>
        <w:tc>
          <w:tcPr>
            <w:tcW w:w="1236" w:type="pct"/>
            <w:tcBorders>
              <w:top w:val="single" w:sz="4" w:space="0" w:color="auto"/>
              <w:left w:val="nil"/>
              <w:bottom w:val="thickThinLargeGap" w:sz="2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1,349</w:t>
            </w:r>
          </w:p>
        </w:tc>
        <w:tc>
          <w:tcPr>
            <w:tcW w:w="1335" w:type="pct"/>
            <w:tcBorders>
              <w:top w:val="single" w:sz="4" w:space="0" w:color="auto"/>
              <w:left w:val="nil"/>
              <w:bottom w:val="thickThinLargeGap" w:sz="2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1,414</w:t>
            </w:r>
          </w:p>
        </w:tc>
        <w:tc>
          <w:tcPr>
            <w:tcW w:w="1072" w:type="pct"/>
            <w:tcBorders>
              <w:top w:val="single" w:sz="4" w:space="0" w:color="auto"/>
              <w:left w:val="nil"/>
              <w:bottom w:val="thickThinLargeGap" w:sz="24" w:space="0" w:color="auto"/>
              <w:right w:val="nil"/>
            </w:tcBorders>
            <w:vAlign w:val="center"/>
          </w:tcPr>
          <w:p w:rsidR="002174AA" w:rsidRPr="00540E1E" w:rsidRDefault="002174AA" w:rsidP="004512FB">
            <w:pPr>
              <w:autoSpaceDE w:val="0"/>
              <w:autoSpaceDN w:val="0"/>
              <w:adjustRightInd w:val="0"/>
              <w:spacing w:line="280" w:lineRule="exact"/>
              <w:jc w:val="right"/>
              <w:rPr>
                <w:rFonts w:ascii="Times New Roman" w:eastAsia="Times New Roman" w:hAnsi="Times New Roman" w:cs="Times New Roman"/>
                <w:bCs/>
                <w:color w:val="000000" w:themeColor="text1"/>
                <w:sz w:val="21"/>
                <w:szCs w:val="21"/>
              </w:rPr>
            </w:pPr>
            <w:r w:rsidRPr="00540E1E">
              <w:rPr>
                <w:rFonts w:ascii="Times New Roman" w:eastAsia="Times New Roman" w:hAnsi="Times New Roman" w:cs="Times New Roman"/>
                <w:bCs/>
                <w:color w:val="000000" w:themeColor="text1"/>
                <w:sz w:val="21"/>
                <w:szCs w:val="21"/>
              </w:rPr>
              <w:t>2,763</w:t>
            </w:r>
          </w:p>
        </w:tc>
      </w:tr>
    </w:tbl>
    <w:p w:rsidR="002174AA" w:rsidRPr="00A32034" w:rsidRDefault="002174AA" w:rsidP="002174AA">
      <w:pPr>
        <w:rPr>
          <w:rFonts w:ascii="Times New Roman" w:hAnsi="Times New Roman" w:cs="Times New Roman"/>
          <w:color w:val="000000" w:themeColor="text1"/>
          <w:sz w:val="21"/>
          <w:szCs w:val="21"/>
        </w:rPr>
      </w:pPr>
      <w:r w:rsidRPr="00A32034">
        <w:rPr>
          <w:rFonts w:ascii="Times New Roman" w:hAnsi="Times New Roman" w:cs="Times New Roman" w:hint="eastAsia"/>
          <w:color w:val="000000" w:themeColor="text1"/>
          <w:sz w:val="21"/>
          <w:szCs w:val="21"/>
        </w:rPr>
        <w:t>N</w:t>
      </w:r>
      <w:r w:rsidRPr="00A32034">
        <w:rPr>
          <w:rFonts w:ascii="Times New Roman" w:hAnsi="Times New Roman" w:cs="Times New Roman"/>
          <w:color w:val="000000" w:themeColor="text1"/>
          <w:sz w:val="21"/>
          <w:szCs w:val="21"/>
        </w:rPr>
        <w:t xml:space="preserve">ote: We split the 42 central guidelines into two subsamples. One subsample contains all central guidelines whose degree of control exceeds the median, and the other subsample contains all the remaining central guidelines. We rerun the pooled event history analysis respectively on two subsamples. The table shows that bureaucratic control significantly decreases the compliance of provincial governments in the subsample which contains all the central guidelines with control level higher than the median. The results hint that the negative impact of bureaucratic control on the odds of subordinates to release implementation documents might intensify as the degree of bureaucratic control keeps growing. We did not report the estimates for constant and time </w:t>
      </w:r>
      <w:r w:rsidRPr="00A32034">
        <w:rPr>
          <w:rFonts w:ascii="Times New Roman" w:hAnsi="Times New Roman" w:cs="Times New Roman"/>
          <w:color w:val="000000" w:themeColor="text1"/>
          <w:sz w:val="21"/>
          <w:szCs w:val="21"/>
        </w:rPr>
        <w:lastRenderedPageBreak/>
        <w:t xml:space="preserve">dummies in the table due to space limit. Observations are clustered by 42 central guidelines. </w:t>
      </w:r>
      <w:r w:rsidR="00363C11">
        <w:rPr>
          <w:rFonts w:ascii="Times New Roman" w:hAnsi="Times New Roman" w:cs="Times New Roman"/>
          <w:color w:val="000000" w:themeColor="text1"/>
          <w:sz w:val="21"/>
          <w:szCs w:val="21"/>
        </w:rPr>
        <w:t>P-values</w:t>
      </w:r>
      <w:r w:rsidRPr="00A32034">
        <w:rPr>
          <w:rFonts w:ascii="Times New Roman" w:hAnsi="Times New Roman" w:cs="Times New Roman"/>
          <w:color w:val="000000" w:themeColor="text1"/>
          <w:sz w:val="21"/>
          <w:szCs w:val="21"/>
        </w:rPr>
        <w:t xml:space="preserve"> are enclosed in parentheses.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0.01,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0.05, </w:t>
      </w:r>
      <w:r w:rsidRPr="00A32034">
        <w:rPr>
          <w:rFonts w:ascii="Cambria Math" w:hAnsi="Cambria Math" w:cs="Cambria Math"/>
          <w:color w:val="000000" w:themeColor="text1"/>
          <w:sz w:val="21"/>
          <w:szCs w:val="21"/>
        </w:rPr>
        <w:t>∗</w:t>
      </w:r>
      <w:r w:rsidRPr="00A32034">
        <w:rPr>
          <w:rFonts w:ascii="Times New Roman" w:hAnsi="Times New Roman" w:cs="Times New Roman"/>
          <w:color w:val="000000" w:themeColor="text1"/>
          <w:sz w:val="21"/>
          <w:szCs w:val="21"/>
        </w:rPr>
        <w:t xml:space="preserve"> p &lt; 0.1.</w:t>
      </w:r>
    </w:p>
    <w:bookmarkEnd w:id="2"/>
    <w:p w:rsidR="002174AA" w:rsidRDefault="002174AA">
      <w:r>
        <w:br w:type="page"/>
      </w:r>
    </w:p>
    <w:p w:rsidR="00990138" w:rsidRPr="002174AA" w:rsidRDefault="002174AA">
      <w:pPr>
        <w:rPr>
          <w:rFonts w:ascii="Times New Roman" w:hAnsi="Times New Roman" w:cs="Times New Roman"/>
          <w:b/>
          <w:bCs/>
          <w:color w:val="000000" w:themeColor="text1"/>
        </w:rPr>
      </w:pPr>
      <w:r w:rsidRPr="002174AA">
        <w:rPr>
          <w:rFonts w:ascii="Times New Roman" w:hAnsi="Times New Roman" w:cs="Times New Roman" w:hint="eastAsia"/>
          <w:b/>
          <w:bCs/>
          <w:color w:val="000000" w:themeColor="text1"/>
        </w:rPr>
        <w:lastRenderedPageBreak/>
        <w:t>T</w:t>
      </w:r>
      <w:r w:rsidRPr="002174AA">
        <w:rPr>
          <w:rFonts w:ascii="Times New Roman" w:hAnsi="Times New Roman" w:cs="Times New Roman"/>
          <w:b/>
          <w:bCs/>
          <w:color w:val="000000" w:themeColor="text1"/>
        </w:rPr>
        <w:t>able B</w:t>
      </w:r>
      <w:r w:rsidR="00463B1E">
        <w:rPr>
          <w:rFonts w:ascii="Times New Roman" w:hAnsi="Times New Roman" w:cs="Times New Roman"/>
          <w:b/>
          <w:bCs/>
          <w:color w:val="000000" w:themeColor="text1"/>
        </w:rPr>
        <w:t>6</w:t>
      </w:r>
      <w:r w:rsidRPr="002174AA">
        <w:rPr>
          <w:rFonts w:ascii="Times New Roman" w:hAnsi="Times New Roman" w:cs="Times New Roman"/>
          <w:b/>
          <w:bCs/>
          <w:color w:val="000000" w:themeColor="text1"/>
        </w:rPr>
        <w:t xml:space="preserve">: Procedure of Searching for Provincial Implementation Documents Corresponding to </w:t>
      </w:r>
      <w:r w:rsidR="00923196">
        <w:rPr>
          <w:rFonts w:ascii="Times New Roman" w:hAnsi="Times New Roman" w:cs="Times New Roman"/>
          <w:b/>
          <w:bCs/>
          <w:color w:val="000000" w:themeColor="text1"/>
        </w:rPr>
        <w:t>t</w:t>
      </w:r>
      <w:r w:rsidRPr="002174AA">
        <w:rPr>
          <w:rFonts w:ascii="Times New Roman" w:hAnsi="Times New Roman" w:cs="Times New Roman"/>
          <w:b/>
          <w:bCs/>
          <w:color w:val="000000" w:themeColor="text1"/>
        </w:rPr>
        <w:t>he Central Guidelines</w:t>
      </w:r>
    </w:p>
    <w:p w:rsidR="002174AA" w:rsidRDefault="002174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2174AA" w:rsidTr="00F870F3">
        <w:tc>
          <w:tcPr>
            <w:tcW w:w="8290" w:type="dxa"/>
            <w:tcBorders>
              <w:top w:val="single" w:sz="4" w:space="0" w:color="auto"/>
              <w:bottom w:val="single" w:sz="4" w:space="0" w:color="auto"/>
            </w:tcBorders>
          </w:tcPr>
          <w:p w:rsidR="00F870F3" w:rsidRPr="009C1159" w:rsidRDefault="00F870F3" w:rsidP="00F870F3">
            <w:pPr>
              <w:spacing w:afterLines="100" w:after="312"/>
              <w:rPr>
                <w:rFonts w:ascii="Times New Roman" w:hAnsi="Times New Roman" w:cs="Times New Roman"/>
              </w:rPr>
            </w:pPr>
            <w:r w:rsidRPr="009C1159">
              <w:rPr>
                <w:rFonts w:ascii="Times New Roman" w:hAnsi="Times New Roman" w:cs="Times New Roman"/>
              </w:rPr>
              <w:t>In this research, we use the “advance search” function in pkulaw.cn to search for provincial implementation documents corresponding to each central guideline. Here are the steps:</w:t>
            </w:r>
          </w:p>
          <w:p w:rsidR="00F870F3" w:rsidRPr="00F870F3" w:rsidRDefault="00F870F3" w:rsidP="00F870F3">
            <w:pPr>
              <w:pStyle w:val="ListParagraph"/>
              <w:widowControl w:val="0"/>
              <w:numPr>
                <w:ilvl w:val="0"/>
                <w:numId w:val="9"/>
              </w:numPr>
              <w:spacing w:afterLines="50" w:after="156"/>
              <w:ind w:firstLineChars="0"/>
              <w:jc w:val="both"/>
              <w:rPr>
                <w:rFonts w:ascii="Times New Roman" w:hAnsi="Times New Roman" w:cs="Times New Roman"/>
              </w:rPr>
            </w:pPr>
            <w:r w:rsidRPr="00F870F3">
              <w:rPr>
                <w:rFonts w:ascii="Times New Roman" w:hAnsi="Times New Roman" w:cs="Times New Roman"/>
              </w:rPr>
              <w:t>Select two keywords (or more than two keywords if the title is very long) from the title of a central guideline.</w:t>
            </w:r>
            <w:r w:rsidR="00D813E4">
              <w:rPr>
                <w:rFonts w:ascii="Times New Roman" w:hAnsi="Times New Roman" w:cs="Times New Roman"/>
              </w:rPr>
              <w:t xml:space="preserve"> </w:t>
            </w:r>
            <w:r w:rsidRPr="00F870F3">
              <w:rPr>
                <w:rFonts w:ascii="Times New Roman" w:hAnsi="Times New Roman" w:cs="Times New Roman"/>
              </w:rPr>
              <w:t>Use the “advance search” in pkulaw.cn to find all the provincial documents the titles of which contain the above two keywords within five years after the release of the central guideline.</w:t>
            </w:r>
          </w:p>
          <w:p w:rsidR="00F870F3" w:rsidRPr="009C1159" w:rsidRDefault="00F870F3" w:rsidP="00F870F3">
            <w:pPr>
              <w:pStyle w:val="ListParagraph"/>
              <w:widowControl w:val="0"/>
              <w:numPr>
                <w:ilvl w:val="0"/>
                <w:numId w:val="9"/>
              </w:numPr>
              <w:spacing w:afterLines="50" w:after="156"/>
              <w:ind w:firstLineChars="0"/>
              <w:jc w:val="both"/>
              <w:rPr>
                <w:rFonts w:ascii="Times New Roman" w:hAnsi="Times New Roman" w:cs="Times New Roman"/>
              </w:rPr>
            </w:pPr>
            <w:r w:rsidRPr="009C1159">
              <w:rPr>
                <w:rFonts w:ascii="Times New Roman" w:hAnsi="Times New Roman" w:cs="Times New Roman"/>
              </w:rPr>
              <w:t>Among the searching results, if there are provincial documents the titles of which are highly similar to the central guideline, then we label these documents as the implementation documents corresponding to the central guideline.</w:t>
            </w:r>
          </w:p>
          <w:p w:rsidR="00F870F3" w:rsidRPr="009C1159" w:rsidRDefault="00F870F3" w:rsidP="00F870F3">
            <w:pPr>
              <w:pStyle w:val="ListParagraph"/>
              <w:widowControl w:val="0"/>
              <w:numPr>
                <w:ilvl w:val="0"/>
                <w:numId w:val="9"/>
              </w:numPr>
              <w:spacing w:afterLines="50" w:after="156"/>
              <w:ind w:firstLineChars="0"/>
              <w:jc w:val="both"/>
              <w:rPr>
                <w:rFonts w:ascii="Times New Roman" w:hAnsi="Times New Roman" w:cs="Times New Roman"/>
              </w:rPr>
            </w:pPr>
            <w:r w:rsidRPr="009C1159">
              <w:rPr>
                <w:rFonts w:ascii="Times New Roman" w:hAnsi="Times New Roman" w:cs="Times New Roman"/>
              </w:rPr>
              <w:t>For provincial documents the titles of which are not highly similar to the central guideline, we open each document and check the detailed content:</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If a provincial document clarified in the content that it aims to implement the central guideline, then we label this document as an implementation document.</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If a provincial document did not mention the central guideline, but its content is highly similar to that of the central guideline, then we label the document as implementation document.</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Otherwise, the provincial document is not an implementation document.</w:t>
            </w:r>
          </w:p>
          <w:p w:rsidR="00F870F3" w:rsidRPr="009C1159" w:rsidRDefault="00F870F3" w:rsidP="00F870F3">
            <w:pPr>
              <w:pStyle w:val="ListParagraph"/>
              <w:widowControl w:val="0"/>
              <w:numPr>
                <w:ilvl w:val="0"/>
                <w:numId w:val="9"/>
              </w:numPr>
              <w:spacing w:afterLines="50" w:after="156"/>
              <w:ind w:firstLineChars="0"/>
              <w:jc w:val="both"/>
              <w:rPr>
                <w:rFonts w:ascii="Times New Roman" w:hAnsi="Times New Roman" w:cs="Times New Roman"/>
              </w:rPr>
            </w:pPr>
            <w:r w:rsidRPr="009C1159">
              <w:rPr>
                <w:rFonts w:ascii="Times New Roman" w:hAnsi="Times New Roman" w:cs="Times New Roman"/>
              </w:rPr>
              <w:t xml:space="preserve">Sometimes, the title of a provincial implementation document might be very different from the corresponding central guideline. </w:t>
            </w:r>
            <w:r>
              <w:rPr>
                <w:rFonts w:ascii="Times New Roman" w:hAnsi="Times New Roman" w:cs="Times New Roman"/>
              </w:rPr>
              <w:t>Therefore</w:t>
            </w:r>
            <w:r w:rsidRPr="009C1159">
              <w:rPr>
                <w:rFonts w:ascii="Times New Roman" w:hAnsi="Times New Roman" w:cs="Times New Roman"/>
              </w:rPr>
              <w:t xml:space="preserve"> we use </w:t>
            </w:r>
            <w:r>
              <w:rPr>
                <w:rFonts w:ascii="Times New Roman" w:hAnsi="Times New Roman" w:cs="Times New Roman"/>
              </w:rPr>
              <w:t>an additional</w:t>
            </w:r>
            <w:r w:rsidRPr="009C1159">
              <w:rPr>
                <w:rFonts w:ascii="Times New Roman" w:hAnsi="Times New Roman" w:cs="Times New Roman"/>
              </w:rPr>
              <w:t xml:space="preserve"> searching strategy to make sure we do not miss </w:t>
            </w:r>
            <w:r>
              <w:rPr>
                <w:rFonts w:ascii="Times New Roman" w:hAnsi="Times New Roman" w:cs="Times New Roman"/>
              </w:rPr>
              <w:t>any</w:t>
            </w:r>
            <w:r w:rsidRPr="009C1159">
              <w:rPr>
                <w:rFonts w:ascii="Times New Roman" w:hAnsi="Times New Roman" w:cs="Times New Roman"/>
              </w:rPr>
              <w:t xml:space="preserve"> important provincial implementation document</w:t>
            </w:r>
            <w:r>
              <w:rPr>
                <w:rFonts w:ascii="Times New Roman" w:hAnsi="Times New Roman" w:cs="Times New Roman"/>
              </w:rPr>
              <w:t>:</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We use the “advance search” to find all the provincial documents the content of which contains the title of the central guideline.</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Among the search results, if a provincial document clarified in the content that it aims to implement the central guideline, then we label it as an implementation document.</w:t>
            </w:r>
          </w:p>
          <w:p w:rsidR="00F870F3" w:rsidRPr="009C1159"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If a provincial document does not say it aims to implement the central guideline</w:t>
            </w:r>
            <w:r>
              <w:rPr>
                <w:rFonts w:ascii="Times New Roman" w:hAnsi="Times New Roman" w:cs="Times New Roman"/>
              </w:rPr>
              <w:t xml:space="preserve"> (even though it mentions the central guideline)</w:t>
            </w:r>
            <w:r w:rsidRPr="009C1159">
              <w:rPr>
                <w:rFonts w:ascii="Times New Roman" w:hAnsi="Times New Roman" w:cs="Times New Roman"/>
              </w:rPr>
              <w:t xml:space="preserve">, but its content is highly similar to the central guideline, and it does not </w:t>
            </w:r>
            <w:r>
              <w:rPr>
                <w:rFonts w:ascii="Times New Roman" w:hAnsi="Times New Roman" w:cs="Times New Roman"/>
              </w:rPr>
              <w:t>clarify</w:t>
            </w:r>
            <w:r w:rsidRPr="009C1159">
              <w:rPr>
                <w:rFonts w:ascii="Times New Roman" w:hAnsi="Times New Roman" w:cs="Times New Roman"/>
              </w:rPr>
              <w:t xml:space="preserve"> to implement any other central guideline, then we label it as an implementation document.</w:t>
            </w:r>
          </w:p>
          <w:p w:rsidR="002174AA" w:rsidRPr="00F870F3" w:rsidRDefault="00F870F3" w:rsidP="00F870F3">
            <w:pPr>
              <w:pStyle w:val="ListParagraph"/>
              <w:widowControl w:val="0"/>
              <w:numPr>
                <w:ilvl w:val="1"/>
                <w:numId w:val="9"/>
              </w:numPr>
              <w:spacing w:afterLines="50" w:after="156"/>
              <w:ind w:firstLineChars="0"/>
              <w:jc w:val="both"/>
              <w:rPr>
                <w:rFonts w:ascii="Times New Roman" w:hAnsi="Times New Roman" w:cs="Times New Roman"/>
              </w:rPr>
            </w:pPr>
            <w:r w:rsidRPr="009C1159">
              <w:rPr>
                <w:rFonts w:ascii="Times New Roman" w:hAnsi="Times New Roman" w:cs="Times New Roman"/>
              </w:rPr>
              <w:t>Otherwise, the provincial document is not an implementation document.</w:t>
            </w:r>
          </w:p>
        </w:tc>
      </w:tr>
    </w:tbl>
    <w:p w:rsidR="00DF36D6" w:rsidRDefault="00805810">
      <w:pPr>
        <w:rPr>
          <w:rFonts w:ascii="Times New Roman" w:hAnsi="Times New Roman" w:cs="Times New Roman"/>
        </w:rPr>
      </w:pPr>
      <w:r w:rsidRPr="00805810">
        <w:rPr>
          <w:rFonts w:ascii="Times New Roman" w:hAnsi="Times New Roman" w:cs="Times New Roman"/>
        </w:rPr>
        <w:t xml:space="preserve">Note: Searching </w:t>
      </w:r>
      <w:r w:rsidR="000466F2">
        <w:rPr>
          <w:rFonts w:ascii="Times New Roman" w:hAnsi="Times New Roman" w:cs="Times New Roman"/>
        </w:rPr>
        <w:t xml:space="preserve">process was </w:t>
      </w:r>
      <w:r w:rsidRPr="00805810">
        <w:rPr>
          <w:rFonts w:ascii="Times New Roman" w:hAnsi="Times New Roman" w:cs="Times New Roman"/>
        </w:rPr>
        <w:t>conducted in June,</w:t>
      </w:r>
      <w:r>
        <w:rPr>
          <w:rFonts w:ascii="Times New Roman" w:hAnsi="Times New Roman" w:cs="Times New Roman"/>
        </w:rPr>
        <w:t xml:space="preserve"> </w:t>
      </w:r>
      <w:r w:rsidRPr="00805810">
        <w:rPr>
          <w:rFonts w:ascii="Times New Roman" w:hAnsi="Times New Roman" w:cs="Times New Roman"/>
        </w:rPr>
        <w:t xml:space="preserve">2019. </w:t>
      </w:r>
    </w:p>
    <w:p w:rsidR="00AC58BC" w:rsidRDefault="00AC58BC">
      <w:pPr>
        <w:rPr>
          <w:rFonts w:ascii="Times New Roman" w:hAnsi="Times New Roman" w:cs="Times New Roman"/>
        </w:rPr>
      </w:pPr>
      <w:r>
        <w:rPr>
          <w:rFonts w:ascii="Times New Roman" w:hAnsi="Times New Roman" w:cs="Times New Roman"/>
        </w:rPr>
        <w:lastRenderedPageBreak/>
        <w:br w:type="page"/>
      </w:r>
    </w:p>
    <w:p w:rsidR="00AC58BC" w:rsidRDefault="00AC58BC" w:rsidP="00AC58BC">
      <w:pPr>
        <w:rPr>
          <w:rFonts w:ascii="Times New Roman" w:hAnsi="Times New Roman" w:cs="Times New Roman"/>
          <w:b/>
          <w:bCs/>
          <w:color w:val="000000" w:themeColor="text1"/>
        </w:rPr>
      </w:pPr>
      <w:r w:rsidRPr="002174AA">
        <w:rPr>
          <w:rFonts w:ascii="Times New Roman" w:hAnsi="Times New Roman" w:cs="Times New Roman" w:hint="eastAsia"/>
          <w:b/>
          <w:bCs/>
          <w:color w:val="000000" w:themeColor="text1"/>
        </w:rPr>
        <w:lastRenderedPageBreak/>
        <w:t>T</w:t>
      </w:r>
      <w:r w:rsidRPr="002174AA">
        <w:rPr>
          <w:rFonts w:ascii="Times New Roman" w:hAnsi="Times New Roman" w:cs="Times New Roman"/>
          <w:b/>
          <w:bCs/>
          <w:color w:val="000000" w:themeColor="text1"/>
        </w:rPr>
        <w:t>able B</w:t>
      </w:r>
      <w:r>
        <w:rPr>
          <w:rFonts w:ascii="Times New Roman" w:hAnsi="Times New Roman" w:cs="Times New Roman"/>
          <w:b/>
          <w:bCs/>
          <w:color w:val="000000" w:themeColor="text1"/>
        </w:rPr>
        <w:t>7</w:t>
      </w:r>
      <w:r w:rsidRPr="002174AA">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Human Coding Instruction (In Chinese)</w:t>
      </w:r>
    </w:p>
    <w:p w:rsidR="00AC58BC" w:rsidRDefault="00AC58BC" w:rsidP="00AC58BC">
      <w:pPr>
        <w:rPr>
          <w:rFonts w:ascii="Times New Roman" w:hAnsi="Times New Roman" w:cs="Times New Roman"/>
          <w:b/>
          <w:bCs/>
          <w:color w:val="000000" w:themeColor="text1"/>
        </w:rPr>
      </w:pPr>
    </w:p>
    <w:p w:rsidR="00AC58BC" w:rsidRPr="00AC58BC" w:rsidRDefault="00AC58BC" w:rsidP="00AC58BC">
      <w:pPr>
        <w:rPr>
          <w:b/>
          <w:bCs/>
          <w:sz w:val="21"/>
          <w:szCs w:val="21"/>
        </w:rPr>
      </w:pPr>
      <w:r w:rsidRPr="00AC58BC">
        <w:rPr>
          <w:rFonts w:hint="eastAsia"/>
          <w:b/>
          <w:bCs/>
          <w:sz w:val="21"/>
          <w:szCs w:val="21"/>
        </w:rPr>
        <w:t>项目介绍：</w:t>
      </w:r>
    </w:p>
    <w:p w:rsidR="00AC58BC" w:rsidRPr="00AC58BC" w:rsidRDefault="00AC58BC" w:rsidP="00AC58BC">
      <w:pPr>
        <w:pStyle w:val="ListParagraph"/>
        <w:widowControl w:val="0"/>
        <w:numPr>
          <w:ilvl w:val="0"/>
          <w:numId w:val="11"/>
        </w:numPr>
        <w:spacing w:beforeLines="50" w:before="156" w:afterLines="50" w:after="156"/>
        <w:ind w:firstLineChars="0"/>
        <w:jc w:val="both"/>
        <w:rPr>
          <w:sz w:val="21"/>
          <w:szCs w:val="21"/>
        </w:rPr>
      </w:pPr>
      <w:r w:rsidRPr="00AC58BC">
        <w:rPr>
          <w:rFonts w:hint="eastAsia"/>
          <w:sz w:val="21"/>
          <w:szCs w:val="21"/>
        </w:rPr>
        <w:t>本项目试图人工对2</w:t>
      </w:r>
      <w:r w:rsidRPr="00AC58BC">
        <w:rPr>
          <w:sz w:val="21"/>
          <w:szCs w:val="21"/>
        </w:rPr>
        <w:t>003</w:t>
      </w:r>
      <w:r w:rsidRPr="00AC58BC">
        <w:rPr>
          <w:rFonts w:hint="eastAsia"/>
          <w:sz w:val="21"/>
          <w:szCs w:val="21"/>
        </w:rPr>
        <w:t>-</w:t>
      </w:r>
      <w:r w:rsidRPr="00AC58BC">
        <w:rPr>
          <w:sz w:val="21"/>
          <w:szCs w:val="21"/>
        </w:rPr>
        <w:t>2007</w:t>
      </w:r>
      <w:r w:rsidRPr="00AC58BC">
        <w:rPr>
          <w:rFonts w:hint="eastAsia"/>
          <w:sz w:val="21"/>
          <w:szCs w:val="21"/>
        </w:rPr>
        <w:t>年间4</w:t>
      </w:r>
      <w:r w:rsidRPr="00AC58BC">
        <w:rPr>
          <w:sz w:val="21"/>
          <w:szCs w:val="21"/>
        </w:rPr>
        <w:t>2</w:t>
      </w:r>
      <w:r w:rsidRPr="00AC58BC">
        <w:rPr>
          <w:rFonts w:hint="eastAsia"/>
          <w:sz w:val="21"/>
          <w:szCs w:val="21"/>
        </w:rPr>
        <w:t>个社会监管类的中央规范性文件进行编码，由此衡量每一篇中央规范性文件对下级政府部门的“限权”程度</w:t>
      </w:r>
      <w:r w:rsidRPr="00AC58BC">
        <w:rPr>
          <w:sz w:val="21"/>
          <w:szCs w:val="21"/>
        </w:rPr>
        <w:t>(degree of bureaucratic control)</w:t>
      </w:r>
      <w:r w:rsidRPr="00AC58BC">
        <w:rPr>
          <w:rFonts w:hint="eastAsia"/>
          <w:sz w:val="21"/>
          <w:szCs w:val="21"/>
        </w:rPr>
        <w:t>。本文所指的社会监管领域包括“环境保护”，“医疗卫生”，“产品与食药质量”，“生产交通安全”，“国土资源”等。</w:t>
      </w:r>
    </w:p>
    <w:p w:rsidR="00AC58BC" w:rsidRPr="00AC58BC" w:rsidRDefault="00AC58BC" w:rsidP="00AC58BC">
      <w:pPr>
        <w:pStyle w:val="ListParagraph"/>
        <w:widowControl w:val="0"/>
        <w:numPr>
          <w:ilvl w:val="0"/>
          <w:numId w:val="11"/>
        </w:numPr>
        <w:spacing w:beforeLines="50" w:before="156" w:afterLines="50" w:after="156"/>
        <w:ind w:firstLineChars="0"/>
        <w:jc w:val="both"/>
        <w:rPr>
          <w:sz w:val="21"/>
          <w:szCs w:val="21"/>
        </w:rPr>
      </w:pPr>
      <w:r w:rsidRPr="00AC58BC">
        <w:rPr>
          <w:sz w:val="21"/>
          <w:szCs w:val="21"/>
        </w:rPr>
        <w:t>“</w:t>
      </w:r>
      <w:r w:rsidRPr="00AC58BC">
        <w:rPr>
          <w:rFonts w:hint="eastAsia"/>
          <w:sz w:val="21"/>
          <w:szCs w:val="21"/>
        </w:rPr>
        <w:t>限权”是上级政府对下级政府进行管理的一种模式。“限权”指上级政府通过设定各种规则约束下级政府的自主决策权。</w:t>
      </w:r>
    </w:p>
    <w:p w:rsidR="00AC58BC" w:rsidRPr="00AC58BC" w:rsidRDefault="00AC58BC" w:rsidP="00AC58BC">
      <w:pPr>
        <w:pStyle w:val="ListParagraph"/>
        <w:widowControl w:val="0"/>
        <w:numPr>
          <w:ilvl w:val="0"/>
          <w:numId w:val="11"/>
        </w:numPr>
        <w:spacing w:beforeLines="50" w:before="156" w:afterLines="50" w:after="156"/>
        <w:ind w:firstLineChars="0"/>
        <w:jc w:val="both"/>
        <w:rPr>
          <w:sz w:val="21"/>
          <w:szCs w:val="21"/>
        </w:rPr>
      </w:pPr>
      <w:r w:rsidRPr="00AC58BC">
        <w:rPr>
          <w:rFonts w:hint="eastAsia"/>
          <w:sz w:val="21"/>
          <w:szCs w:val="21"/>
        </w:rPr>
        <w:t>中国的社会监管体系是一个多层级组织</w:t>
      </w:r>
      <w:r w:rsidRPr="00AC58BC">
        <w:rPr>
          <w:sz w:val="21"/>
          <w:szCs w:val="21"/>
        </w:rPr>
        <w:t>(multi-level organization)</w:t>
      </w:r>
      <w:r w:rsidRPr="00AC58BC">
        <w:rPr>
          <w:rFonts w:hint="eastAsia"/>
          <w:sz w:val="21"/>
          <w:szCs w:val="21"/>
        </w:rPr>
        <w:t>。上级监管组织（如中央政府）通过发布规范性文件，对下级监管组织（如地方政府）的行为进行管理与规范。在规范性文件中，某些内容属于典型的“限权”政策，旨在对下级政府社会监管方面的自主决策权进行限制。例如，在2</w:t>
      </w:r>
      <w:r w:rsidRPr="00AC58BC">
        <w:rPr>
          <w:sz w:val="21"/>
          <w:szCs w:val="21"/>
        </w:rPr>
        <w:t>004</w:t>
      </w:r>
      <w:r w:rsidRPr="00AC58BC">
        <w:rPr>
          <w:rFonts w:hint="eastAsia"/>
          <w:sz w:val="21"/>
          <w:szCs w:val="21"/>
        </w:rPr>
        <w:t>年国务院发布的《</w:t>
      </w:r>
      <w:r w:rsidRPr="00AC58BC">
        <w:rPr>
          <w:sz w:val="21"/>
          <w:szCs w:val="21"/>
        </w:rPr>
        <w:t>关于深化改革严格土地管理的决定</w:t>
      </w:r>
      <w:r w:rsidRPr="00AC58BC">
        <w:rPr>
          <w:rFonts w:hint="eastAsia"/>
          <w:sz w:val="21"/>
          <w:szCs w:val="21"/>
        </w:rPr>
        <w:t>》中，明确要求下级政府“</w:t>
      </w:r>
      <w:r w:rsidRPr="00AC58BC">
        <w:rPr>
          <w:sz w:val="21"/>
          <w:szCs w:val="21"/>
        </w:rPr>
        <w:t>在土地利用总体规划和城市总体规划确定的建设用地范围外，不得设立各类开发区(园区)和城市新区(小区)。</w:t>
      </w:r>
      <w:r w:rsidRPr="00AC58BC">
        <w:rPr>
          <w:rFonts w:hint="eastAsia"/>
          <w:sz w:val="21"/>
          <w:szCs w:val="21"/>
        </w:rPr>
        <w:t>”</w:t>
      </w:r>
    </w:p>
    <w:p w:rsidR="00AC58BC" w:rsidRPr="00AC58BC" w:rsidRDefault="00AC58BC" w:rsidP="00AC58BC">
      <w:pPr>
        <w:pStyle w:val="ListParagraph"/>
        <w:widowControl w:val="0"/>
        <w:numPr>
          <w:ilvl w:val="0"/>
          <w:numId w:val="11"/>
        </w:numPr>
        <w:spacing w:beforeLines="50" w:before="156" w:afterLines="50" w:after="156"/>
        <w:ind w:firstLineChars="0"/>
        <w:jc w:val="both"/>
        <w:rPr>
          <w:sz w:val="21"/>
          <w:szCs w:val="21"/>
        </w:rPr>
      </w:pPr>
      <w:r w:rsidRPr="00AC58BC">
        <w:rPr>
          <w:rFonts w:hint="eastAsia"/>
          <w:sz w:val="21"/>
          <w:szCs w:val="21"/>
        </w:rPr>
        <w:t>本项目需要对4</w:t>
      </w:r>
      <w:r w:rsidRPr="00AC58BC">
        <w:rPr>
          <w:sz w:val="21"/>
          <w:szCs w:val="21"/>
        </w:rPr>
        <w:t>2</w:t>
      </w:r>
      <w:r w:rsidRPr="00AC58BC">
        <w:rPr>
          <w:rFonts w:hint="eastAsia"/>
          <w:sz w:val="21"/>
          <w:szCs w:val="21"/>
        </w:rPr>
        <w:t>个中央社会监管类政策中的每一个句子进行编码，分别判断一个句子是否属于“限权”类句子，或者是“无关”句子。</w:t>
      </w:r>
    </w:p>
    <w:p w:rsidR="00AC58BC" w:rsidRPr="00AC58BC" w:rsidRDefault="00AC58BC" w:rsidP="00AC58BC">
      <w:pPr>
        <w:pStyle w:val="ListParagraph"/>
        <w:widowControl w:val="0"/>
        <w:numPr>
          <w:ilvl w:val="0"/>
          <w:numId w:val="11"/>
        </w:numPr>
        <w:spacing w:beforeLines="50" w:before="156" w:afterLines="50" w:after="156"/>
        <w:ind w:firstLineChars="0"/>
        <w:jc w:val="both"/>
        <w:rPr>
          <w:sz w:val="21"/>
          <w:szCs w:val="21"/>
        </w:rPr>
      </w:pPr>
      <w:r w:rsidRPr="00AC58BC">
        <w:rPr>
          <w:rFonts w:hint="eastAsia"/>
          <w:sz w:val="21"/>
          <w:szCs w:val="21"/>
        </w:rPr>
        <w:t>本项目同时由两位编码员进行独立编码，并在编码结束后，对两个版本的编码进行比对。</w:t>
      </w:r>
    </w:p>
    <w:p w:rsidR="00AC58BC" w:rsidRPr="00AC58BC" w:rsidRDefault="00AC58BC" w:rsidP="00AC58BC">
      <w:pPr>
        <w:spacing w:beforeLines="50" w:before="156" w:afterLines="50" w:after="156"/>
        <w:rPr>
          <w:sz w:val="21"/>
          <w:szCs w:val="21"/>
        </w:rPr>
      </w:pPr>
    </w:p>
    <w:p w:rsidR="00AC58BC" w:rsidRPr="00AC58BC" w:rsidRDefault="00AC58BC" w:rsidP="00AC58BC">
      <w:pPr>
        <w:spacing w:beforeLines="50" w:before="156" w:afterLines="50" w:after="156"/>
        <w:rPr>
          <w:b/>
          <w:bCs/>
          <w:sz w:val="21"/>
          <w:szCs w:val="21"/>
        </w:rPr>
      </w:pPr>
      <w:r w:rsidRPr="00AC58BC">
        <w:rPr>
          <w:rFonts w:hint="eastAsia"/>
          <w:b/>
          <w:bCs/>
          <w:sz w:val="21"/>
          <w:szCs w:val="21"/>
        </w:rPr>
        <w:t>编码细则：</w:t>
      </w:r>
    </w:p>
    <w:p w:rsidR="00AC58BC" w:rsidRPr="00AC58BC" w:rsidRDefault="00AC58BC" w:rsidP="00AC58BC">
      <w:pPr>
        <w:pStyle w:val="ListParagraph"/>
        <w:widowControl w:val="0"/>
        <w:numPr>
          <w:ilvl w:val="0"/>
          <w:numId w:val="10"/>
        </w:numPr>
        <w:spacing w:beforeLines="50" w:before="156" w:afterLines="50" w:after="156"/>
        <w:ind w:firstLineChars="0"/>
        <w:jc w:val="both"/>
        <w:rPr>
          <w:sz w:val="21"/>
          <w:szCs w:val="21"/>
        </w:rPr>
      </w:pPr>
      <w:r w:rsidRPr="00AC58BC">
        <w:rPr>
          <w:rFonts w:hint="eastAsia"/>
          <w:sz w:val="21"/>
          <w:szCs w:val="21"/>
        </w:rPr>
        <w:t>编码员将获得4</w:t>
      </w:r>
      <w:r w:rsidRPr="00AC58BC">
        <w:rPr>
          <w:sz w:val="21"/>
          <w:szCs w:val="21"/>
        </w:rPr>
        <w:t>2</w:t>
      </w:r>
      <w:r w:rsidRPr="00AC58BC">
        <w:rPr>
          <w:rFonts w:hint="eastAsia"/>
          <w:sz w:val="21"/>
          <w:szCs w:val="21"/>
        </w:rPr>
        <w:t>个</w:t>
      </w:r>
      <w:r w:rsidRPr="00AC58BC">
        <w:rPr>
          <w:sz w:val="21"/>
          <w:szCs w:val="21"/>
        </w:rPr>
        <w:t>excel</w:t>
      </w:r>
      <w:r w:rsidRPr="00AC58BC">
        <w:rPr>
          <w:rFonts w:hint="eastAsia"/>
          <w:sz w:val="21"/>
          <w:szCs w:val="21"/>
        </w:rPr>
        <w:t>文件，分别对应4</w:t>
      </w:r>
      <w:r w:rsidRPr="00AC58BC">
        <w:rPr>
          <w:sz w:val="21"/>
          <w:szCs w:val="21"/>
        </w:rPr>
        <w:t>2</w:t>
      </w:r>
      <w:r w:rsidRPr="00AC58BC">
        <w:rPr>
          <w:rFonts w:hint="eastAsia"/>
          <w:sz w:val="21"/>
          <w:szCs w:val="21"/>
        </w:rPr>
        <w:t>个中央规范性文件。</w:t>
      </w:r>
    </w:p>
    <w:p w:rsidR="00AC58BC" w:rsidRPr="00AC58BC" w:rsidRDefault="00AC58BC" w:rsidP="00AC58BC">
      <w:pPr>
        <w:pStyle w:val="ListParagraph"/>
        <w:widowControl w:val="0"/>
        <w:numPr>
          <w:ilvl w:val="0"/>
          <w:numId w:val="10"/>
        </w:numPr>
        <w:spacing w:beforeLines="50" w:before="156" w:afterLines="50" w:after="156"/>
        <w:ind w:firstLineChars="0"/>
        <w:jc w:val="both"/>
        <w:rPr>
          <w:sz w:val="21"/>
          <w:szCs w:val="21"/>
        </w:rPr>
      </w:pPr>
      <w:r w:rsidRPr="00AC58BC">
        <w:rPr>
          <w:rFonts w:hint="eastAsia"/>
          <w:sz w:val="21"/>
          <w:szCs w:val="21"/>
        </w:rPr>
        <w:t>每个</w:t>
      </w:r>
      <w:r w:rsidRPr="00AC58BC">
        <w:rPr>
          <w:sz w:val="21"/>
          <w:szCs w:val="21"/>
        </w:rPr>
        <w:t>excel</w:t>
      </w:r>
      <w:r w:rsidRPr="00AC58BC">
        <w:rPr>
          <w:rFonts w:hint="eastAsia"/>
          <w:sz w:val="21"/>
          <w:szCs w:val="21"/>
        </w:rPr>
        <w:t>表格中，第一列称作“p</w:t>
      </w:r>
      <w:r w:rsidRPr="00AC58BC">
        <w:rPr>
          <w:sz w:val="21"/>
          <w:szCs w:val="21"/>
        </w:rPr>
        <w:t>olicy”</w:t>
      </w:r>
      <w:r w:rsidRPr="00AC58BC">
        <w:rPr>
          <w:rFonts w:hint="eastAsia"/>
          <w:sz w:val="21"/>
          <w:szCs w:val="21"/>
        </w:rPr>
        <w:t>，显示中央文件中的句子，每一行一个句子。</w:t>
      </w:r>
    </w:p>
    <w:p w:rsidR="00AC58BC" w:rsidRPr="00AC58BC" w:rsidRDefault="00AC58BC" w:rsidP="00AC58BC">
      <w:pPr>
        <w:pStyle w:val="ListParagraph"/>
        <w:widowControl w:val="0"/>
        <w:numPr>
          <w:ilvl w:val="0"/>
          <w:numId w:val="10"/>
        </w:numPr>
        <w:spacing w:beforeLines="50" w:before="156" w:afterLines="50" w:after="156"/>
        <w:ind w:firstLineChars="0"/>
        <w:jc w:val="both"/>
        <w:rPr>
          <w:sz w:val="21"/>
          <w:szCs w:val="21"/>
        </w:rPr>
      </w:pPr>
      <w:r w:rsidRPr="00AC58BC">
        <w:rPr>
          <w:sz w:val="21"/>
          <w:szCs w:val="21"/>
        </w:rPr>
        <w:t>Excel</w:t>
      </w:r>
      <w:r w:rsidRPr="00AC58BC">
        <w:rPr>
          <w:rFonts w:hint="eastAsia"/>
          <w:sz w:val="21"/>
          <w:szCs w:val="21"/>
        </w:rPr>
        <w:t>表格的第二列称作“b</w:t>
      </w:r>
      <w:r w:rsidRPr="00AC58BC">
        <w:rPr>
          <w:sz w:val="21"/>
          <w:szCs w:val="21"/>
        </w:rPr>
        <w:t>ureaucratic control,”</w:t>
      </w:r>
      <w:r w:rsidRPr="00AC58BC">
        <w:rPr>
          <w:rFonts w:hint="eastAsia"/>
          <w:sz w:val="21"/>
          <w:szCs w:val="21"/>
        </w:rPr>
        <w:t>编码员需要判断每一个句子是否为“限权类”句子，即，是否为中央政府对地方政府的自主决策权进行限制的句子。如果是“限权”则在这一列填写“1</w:t>
      </w:r>
      <w:r w:rsidRPr="00AC58BC">
        <w:rPr>
          <w:sz w:val="21"/>
          <w:szCs w:val="21"/>
        </w:rPr>
        <w:t>”</w:t>
      </w:r>
      <w:r w:rsidRPr="00AC58BC">
        <w:rPr>
          <w:rFonts w:hint="eastAsia"/>
          <w:sz w:val="21"/>
          <w:szCs w:val="21"/>
        </w:rPr>
        <w:t>。如果不是则填写“0</w:t>
      </w:r>
      <w:r w:rsidRPr="00AC58BC">
        <w:rPr>
          <w:sz w:val="21"/>
          <w:szCs w:val="21"/>
        </w:rPr>
        <w:t>”</w:t>
      </w:r>
      <w:r w:rsidRPr="00AC58BC">
        <w:rPr>
          <w:rFonts w:hint="eastAsia"/>
          <w:sz w:val="21"/>
          <w:szCs w:val="21"/>
        </w:rPr>
        <w:t>。</w:t>
      </w:r>
    </w:p>
    <w:p w:rsidR="00AC58BC" w:rsidRPr="00AC58BC" w:rsidRDefault="00AC58BC" w:rsidP="00AC58BC">
      <w:pPr>
        <w:pStyle w:val="ListParagraph"/>
        <w:widowControl w:val="0"/>
        <w:numPr>
          <w:ilvl w:val="0"/>
          <w:numId w:val="10"/>
        </w:numPr>
        <w:spacing w:beforeLines="50" w:before="156" w:afterLines="50" w:after="156"/>
        <w:ind w:firstLineChars="0"/>
        <w:jc w:val="both"/>
        <w:rPr>
          <w:sz w:val="21"/>
          <w:szCs w:val="21"/>
        </w:rPr>
      </w:pPr>
      <w:r w:rsidRPr="00AC58BC">
        <w:rPr>
          <w:rFonts w:hint="eastAsia"/>
          <w:sz w:val="21"/>
          <w:szCs w:val="21"/>
        </w:rPr>
        <w:t>需要指出的是，“限权类”句子有两种情况。一种是直接对地方政府的权力进行限制，例如要求地方政府“</w:t>
      </w:r>
      <w:r w:rsidRPr="00AC58BC">
        <w:rPr>
          <w:sz w:val="21"/>
          <w:szCs w:val="21"/>
        </w:rPr>
        <w:t>禁止非法压低地价招商</w:t>
      </w:r>
      <w:r w:rsidRPr="00AC58BC">
        <w:rPr>
          <w:rFonts w:hint="eastAsia"/>
          <w:sz w:val="21"/>
          <w:szCs w:val="21"/>
        </w:rPr>
        <w:t>”。另一种情况是对被监管对象（例如工厂、煤矿、公司等等）进行限制，但是可能间接干预了地方政府的自主决策权。例如，中央要求“</w:t>
      </w:r>
      <w:r w:rsidRPr="00AC58BC">
        <w:rPr>
          <w:sz w:val="21"/>
          <w:szCs w:val="21"/>
        </w:rPr>
        <w:t>新建、改建、扩建矿井，必须坚持安全设施设计、施工、使用的</w:t>
      </w:r>
      <w:r w:rsidRPr="00AC58BC">
        <w:rPr>
          <w:rFonts w:hint="eastAsia"/>
          <w:sz w:val="21"/>
          <w:szCs w:val="21"/>
        </w:rPr>
        <w:t>“</w:t>
      </w:r>
      <w:r w:rsidRPr="00AC58BC">
        <w:rPr>
          <w:sz w:val="21"/>
          <w:szCs w:val="21"/>
        </w:rPr>
        <w:t>三同时</w:t>
      </w:r>
      <w:r w:rsidRPr="00AC58BC">
        <w:rPr>
          <w:rFonts w:hint="eastAsia"/>
          <w:sz w:val="21"/>
          <w:szCs w:val="21"/>
        </w:rPr>
        <w:t>”</w:t>
      </w:r>
      <w:r w:rsidRPr="00AC58BC">
        <w:rPr>
          <w:sz w:val="21"/>
          <w:szCs w:val="21"/>
        </w:rPr>
        <w:t>（与主体工程同时设计、同时施工、同时使用）原则</w:t>
      </w:r>
      <w:r w:rsidRPr="00AC58BC">
        <w:rPr>
          <w:rFonts w:hint="eastAsia"/>
          <w:sz w:val="21"/>
          <w:szCs w:val="21"/>
        </w:rPr>
        <w:t>”</w:t>
      </w:r>
      <w:r w:rsidRPr="00AC58BC">
        <w:rPr>
          <w:sz w:val="21"/>
          <w:szCs w:val="21"/>
        </w:rPr>
        <w:t>。</w:t>
      </w:r>
      <w:r w:rsidRPr="00AC58BC">
        <w:rPr>
          <w:rFonts w:hint="eastAsia"/>
          <w:sz w:val="21"/>
          <w:szCs w:val="21"/>
        </w:rPr>
        <w:t>虽然这句话是对矿井经营者进行限制，但是间接意味着地方政府不得批准不符合“三同时”条件的矿井开工运营。这种情况也算作对地方政府的“限权”政策。</w:t>
      </w:r>
    </w:p>
    <w:p w:rsidR="00AC58BC" w:rsidRPr="00AC58BC" w:rsidRDefault="00AC58BC" w:rsidP="00AC58BC">
      <w:pPr>
        <w:pStyle w:val="ListParagraph"/>
        <w:widowControl w:val="0"/>
        <w:numPr>
          <w:ilvl w:val="0"/>
          <w:numId w:val="10"/>
        </w:numPr>
        <w:spacing w:beforeLines="50" w:before="156" w:afterLines="50" w:after="156"/>
        <w:ind w:firstLineChars="0"/>
        <w:jc w:val="both"/>
        <w:rPr>
          <w:sz w:val="21"/>
          <w:szCs w:val="21"/>
        </w:rPr>
      </w:pPr>
      <w:r w:rsidRPr="00AC58BC">
        <w:rPr>
          <w:rFonts w:hint="eastAsia"/>
          <w:sz w:val="21"/>
          <w:szCs w:val="21"/>
        </w:rPr>
        <w:t>每完成一个政策的编码，请从头到尾浏览检查一遍，避免笔误或者填写错位。</w:t>
      </w:r>
    </w:p>
    <w:p w:rsidR="00AC58BC" w:rsidRPr="00AC58BC" w:rsidRDefault="00AC58BC" w:rsidP="00AC58BC">
      <w:pPr>
        <w:rPr>
          <w:sz w:val="21"/>
          <w:szCs w:val="21"/>
        </w:rPr>
      </w:pPr>
    </w:p>
    <w:p w:rsidR="00AC58BC" w:rsidRPr="00AC58BC" w:rsidRDefault="00AC58BC" w:rsidP="00AC58BC">
      <w:pPr>
        <w:spacing w:beforeLines="50" w:before="156" w:afterLines="50" w:after="156"/>
        <w:rPr>
          <w:b/>
          <w:bCs/>
          <w:sz w:val="21"/>
          <w:szCs w:val="21"/>
        </w:rPr>
      </w:pPr>
      <w:r w:rsidRPr="00AC58BC">
        <w:rPr>
          <w:rFonts w:hint="eastAsia"/>
          <w:b/>
          <w:bCs/>
          <w:sz w:val="21"/>
          <w:szCs w:val="21"/>
        </w:rPr>
        <w:t>时间安排：</w:t>
      </w:r>
    </w:p>
    <w:p w:rsidR="00AC58BC" w:rsidRPr="00AC58BC" w:rsidRDefault="00AC58BC" w:rsidP="00AC58BC">
      <w:pPr>
        <w:pStyle w:val="ListParagraph"/>
        <w:widowControl w:val="0"/>
        <w:numPr>
          <w:ilvl w:val="0"/>
          <w:numId w:val="12"/>
        </w:numPr>
        <w:spacing w:beforeLines="50" w:before="156" w:afterLines="50" w:after="156"/>
        <w:ind w:firstLineChars="0"/>
        <w:jc w:val="both"/>
        <w:rPr>
          <w:sz w:val="21"/>
          <w:szCs w:val="21"/>
        </w:rPr>
      </w:pPr>
      <w:r w:rsidRPr="00AC58BC">
        <w:rPr>
          <w:rFonts w:hint="eastAsia"/>
          <w:sz w:val="21"/>
          <w:szCs w:val="21"/>
        </w:rPr>
        <w:t>计划在7天时间内完成4</w:t>
      </w:r>
      <w:r w:rsidRPr="00AC58BC">
        <w:rPr>
          <w:sz w:val="21"/>
          <w:szCs w:val="21"/>
        </w:rPr>
        <w:t>2</w:t>
      </w:r>
      <w:r w:rsidRPr="00AC58BC">
        <w:rPr>
          <w:rFonts w:hint="eastAsia"/>
          <w:sz w:val="21"/>
          <w:szCs w:val="21"/>
        </w:rPr>
        <w:t>个中央政策的编码工作。</w:t>
      </w:r>
    </w:p>
    <w:p w:rsidR="00AC58BC" w:rsidRPr="00AC58BC" w:rsidRDefault="00AC58BC" w:rsidP="00AC58BC">
      <w:pPr>
        <w:pStyle w:val="ListParagraph"/>
        <w:widowControl w:val="0"/>
        <w:numPr>
          <w:ilvl w:val="0"/>
          <w:numId w:val="12"/>
        </w:numPr>
        <w:spacing w:beforeLines="50" w:before="156" w:afterLines="50" w:after="156"/>
        <w:ind w:firstLineChars="0"/>
        <w:jc w:val="both"/>
        <w:rPr>
          <w:sz w:val="21"/>
          <w:szCs w:val="21"/>
        </w:rPr>
      </w:pPr>
      <w:r w:rsidRPr="00AC58BC">
        <w:rPr>
          <w:rFonts w:hint="eastAsia"/>
          <w:sz w:val="21"/>
          <w:szCs w:val="21"/>
        </w:rPr>
        <w:lastRenderedPageBreak/>
        <w:t xml:space="preserve">每天编码6个政策，晚上提交，并对编码内容进行讨论，尤其是对模糊不易判断的内容进行讨论。 </w:t>
      </w:r>
    </w:p>
    <w:p w:rsidR="00AC58BC" w:rsidRPr="00AC58BC" w:rsidRDefault="00AC58BC" w:rsidP="00AC58BC">
      <w:pPr>
        <w:pStyle w:val="ListParagraph"/>
        <w:widowControl w:val="0"/>
        <w:numPr>
          <w:ilvl w:val="0"/>
          <w:numId w:val="12"/>
        </w:numPr>
        <w:spacing w:beforeLines="50" w:before="156" w:afterLines="50" w:after="156"/>
        <w:ind w:firstLineChars="0"/>
        <w:jc w:val="both"/>
        <w:rPr>
          <w:sz w:val="21"/>
          <w:szCs w:val="21"/>
        </w:rPr>
      </w:pPr>
      <w:r w:rsidRPr="00AC58BC">
        <w:rPr>
          <w:rFonts w:hint="eastAsia"/>
          <w:sz w:val="21"/>
          <w:szCs w:val="21"/>
        </w:rPr>
        <w:t>两位编码员需要独立编码。可以就宽泛的问题进行讨论但是不可以共享或比对具体的编码结果。</w:t>
      </w:r>
    </w:p>
    <w:p w:rsidR="00AC58BC" w:rsidRPr="002174AA" w:rsidRDefault="00AC58BC" w:rsidP="00AC58BC">
      <w:pPr>
        <w:rPr>
          <w:rFonts w:ascii="Times New Roman" w:hAnsi="Times New Roman" w:cs="Times New Roman"/>
          <w:b/>
          <w:bCs/>
          <w:color w:val="000000" w:themeColor="text1"/>
        </w:rPr>
      </w:pPr>
    </w:p>
    <w:p w:rsidR="002174AA" w:rsidRPr="00805810" w:rsidRDefault="002174AA">
      <w:pPr>
        <w:rPr>
          <w:rFonts w:ascii="Times New Roman" w:hAnsi="Times New Roman" w:cs="Times New Roman"/>
        </w:rPr>
      </w:pPr>
    </w:p>
    <w:sectPr w:rsidR="002174AA" w:rsidRPr="00805810" w:rsidSect="00A03B1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DA" w:rsidRDefault="005575DA" w:rsidP="000C5ADF">
      <w:r>
        <w:separator/>
      </w:r>
    </w:p>
  </w:endnote>
  <w:endnote w:type="continuationSeparator" w:id="0">
    <w:p w:rsidR="005575DA" w:rsidRDefault="005575DA" w:rsidP="000C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Times New Roman (标题 CS)">
    <w:altName w:val="SimSun"/>
    <w:charset w:val="86"/>
    <w:family w:val="roman"/>
    <w:pitch w:val="default"/>
  </w:font>
  <w:font w:name="Code">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DA" w:rsidRDefault="005575DA" w:rsidP="000C5ADF">
      <w:r>
        <w:separator/>
      </w:r>
    </w:p>
  </w:footnote>
  <w:footnote w:type="continuationSeparator" w:id="0">
    <w:p w:rsidR="005575DA" w:rsidRDefault="005575DA" w:rsidP="000C5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A61"/>
    <w:multiLevelType w:val="hybridMultilevel"/>
    <w:tmpl w:val="F78ECCFC"/>
    <w:lvl w:ilvl="0" w:tplc="62F848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2000B"/>
    <w:multiLevelType w:val="hybridMultilevel"/>
    <w:tmpl w:val="2030275A"/>
    <w:lvl w:ilvl="0" w:tplc="4FBA2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C1EF3"/>
    <w:multiLevelType w:val="hybridMultilevel"/>
    <w:tmpl w:val="4D647072"/>
    <w:lvl w:ilvl="0" w:tplc="B42A1F26">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7AE21E6"/>
    <w:multiLevelType w:val="hybridMultilevel"/>
    <w:tmpl w:val="D26C2ABE"/>
    <w:lvl w:ilvl="0" w:tplc="965A8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1A16D5"/>
    <w:multiLevelType w:val="hybridMultilevel"/>
    <w:tmpl w:val="D0CEF966"/>
    <w:lvl w:ilvl="0" w:tplc="180AA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0B41BD"/>
    <w:multiLevelType w:val="hybridMultilevel"/>
    <w:tmpl w:val="BD7E0C22"/>
    <w:lvl w:ilvl="0" w:tplc="59625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533B82"/>
    <w:multiLevelType w:val="hybridMultilevel"/>
    <w:tmpl w:val="EB3E3F16"/>
    <w:lvl w:ilvl="0" w:tplc="B4FC9D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C6019D"/>
    <w:multiLevelType w:val="hybridMultilevel"/>
    <w:tmpl w:val="3A96DDA4"/>
    <w:lvl w:ilvl="0" w:tplc="984C1A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9E67D4"/>
    <w:multiLevelType w:val="hybridMultilevel"/>
    <w:tmpl w:val="28E43BFC"/>
    <w:lvl w:ilvl="0" w:tplc="75B4F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F04A50"/>
    <w:multiLevelType w:val="hybridMultilevel"/>
    <w:tmpl w:val="2D44D896"/>
    <w:lvl w:ilvl="0" w:tplc="4A9A59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9171EB"/>
    <w:multiLevelType w:val="hybridMultilevel"/>
    <w:tmpl w:val="5E266A36"/>
    <w:lvl w:ilvl="0" w:tplc="EAEAA3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0D198B"/>
    <w:multiLevelType w:val="hybridMultilevel"/>
    <w:tmpl w:val="1488EB18"/>
    <w:lvl w:ilvl="0" w:tplc="855CAC6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2"/>
  </w:num>
  <w:num w:numId="5">
    <w:abstractNumId w:val="8"/>
  </w:num>
  <w:num w:numId="6">
    <w:abstractNumId w:val="7"/>
  </w:num>
  <w:num w:numId="7">
    <w:abstractNumId w:val="0"/>
  </w:num>
  <w:num w:numId="8">
    <w:abstractNumId w:val="6"/>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AA"/>
    <w:rsid w:val="00037E6D"/>
    <w:rsid w:val="000466F2"/>
    <w:rsid w:val="000C5ADF"/>
    <w:rsid w:val="00165F1A"/>
    <w:rsid w:val="00183A38"/>
    <w:rsid w:val="002174AA"/>
    <w:rsid w:val="002342FA"/>
    <w:rsid w:val="00363C11"/>
    <w:rsid w:val="003D4149"/>
    <w:rsid w:val="004512FB"/>
    <w:rsid w:val="00463B1E"/>
    <w:rsid w:val="00540E1E"/>
    <w:rsid w:val="005575DA"/>
    <w:rsid w:val="00562090"/>
    <w:rsid w:val="00567983"/>
    <w:rsid w:val="0074454E"/>
    <w:rsid w:val="00805810"/>
    <w:rsid w:val="008E3B93"/>
    <w:rsid w:val="00923196"/>
    <w:rsid w:val="009301DC"/>
    <w:rsid w:val="00990138"/>
    <w:rsid w:val="00A03B12"/>
    <w:rsid w:val="00A72750"/>
    <w:rsid w:val="00AC58BC"/>
    <w:rsid w:val="00AF54B2"/>
    <w:rsid w:val="00D813E4"/>
    <w:rsid w:val="00DC0462"/>
    <w:rsid w:val="00DF36D6"/>
    <w:rsid w:val="00F110F1"/>
    <w:rsid w:val="00F870F3"/>
    <w:rsid w:val="00FA508D"/>
    <w:rsid w:val="00FC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AA"/>
    <w:rPr>
      <w:rFonts w:ascii="SimSun" w:eastAsia="SimSun" w:hAnsi="SimSun" w:cs="SimSun"/>
      <w:kern w:val="0"/>
      <w:sz w:val="24"/>
    </w:rPr>
  </w:style>
  <w:style w:type="paragraph" w:styleId="Heading1">
    <w:name w:val="heading 1"/>
    <w:aliases w:val="Title1"/>
    <w:basedOn w:val="Heading2"/>
    <w:next w:val="Normal"/>
    <w:link w:val="Heading1Char"/>
    <w:uiPriority w:val="9"/>
    <w:qFormat/>
    <w:rsid w:val="002174AA"/>
    <w:pPr>
      <w:outlineLvl w:val="0"/>
    </w:pPr>
  </w:style>
  <w:style w:type="paragraph" w:styleId="Heading2">
    <w:name w:val="heading 2"/>
    <w:basedOn w:val="Normal"/>
    <w:next w:val="Normal"/>
    <w:link w:val="Heading2Char"/>
    <w:uiPriority w:val="9"/>
    <w:unhideWhenUsed/>
    <w:qFormat/>
    <w:rsid w:val="002174AA"/>
    <w:pPr>
      <w:keepNext/>
      <w:keepLines/>
      <w:spacing w:before="240" w:after="240" w:line="480" w:lineRule="auto"/>
      <w:jc w:val="both"/>
      <w:outlineLvl w:val="1"/>
    </w:pPr>
    <w:rPr>
      <w:rFonts w:ascii="Times New Roman" w:eastAsiaTheme="majorEastAsia" w:hAnsi="Times New Roman" w:cs="Times New Roman (标题 CS)"/>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1 Char"/>
    <w:basedOn w:val="DefaultParagraphFont"/>
    <w:link w:val="Heading1"/>
    <w:uiPriority w:val="9"/>
    <w:rsid w:val="002174AA"/>
    <w:rPr>
      <w:rFonts w:ascii="Times New Roman" w:eastAsiaTheme="majorEastAsia" w:hAnsi="Times New Roman" w:cs="Times New Roman (标题 CS)"/>
      <w:b/>
      <w:bCs/>
      <w:kern w:val="0"/>
      <w:sz w:val="24"/>
      <w:szCs w:val="32"/>
    </w:rPr>
  </w:style>
  <w:style w:type="character" w:customStyle="1" w:styleId="Heading2Char">
    <w:name w:val="Heading 2 Char"/>
    <w:basedOn w:val="DefaultParagraphFont"/>
    <w:link w:val="Heading2"/>
    <w:uiPriority w:val="9"/>
    <w:rsid w:val="002174AA"/>
    <w:rPr>
      <w:rFonts w:ascii="Times New Roman" w:eastAsiaTheme="majorEastAsia" w:hAnsi="Times New Roman" w:cs="Times New Roman (标题 CS)"/>
      <w:b/>
      <w:bCs/>
      <w:kern w:val="0"/>
      <w:sz w:val="24"/>
      <w:szCs w:val="32"/>
    </w:rPr>
  </w:style>
  <w:style w:type="table" w:styleId="TableGrid">
    <w:name w:val="Table Grid"/>
    <w:basedOn w:val="TableNormal"/>
    <w:uiPriority w:val="39"/>
    <w:rsid w:val="002174A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174AA"/>
    <w:pPr>
      <w:snapToGrid w:val="0"/>
    </w:pPr>
    <w:rPr>
      <w:sz w:val="18"/>
      <w:szCs w:val="18"/>
    </w:rPr>
  </w:style>
  <w:style w:type="character" w:customStyle="1" w:styleId="FootnoteTextChar">
    <w:name w:val="Footnote Text Char"/>
    <w:basedOn w:val="DefaultParagraphFont"/>
    <w:link w:val="FootnoteText"/>
    <w:uiPriority w:val="99"/>
    <w:rsid w:val="002174AA"/>
    <w:rPr>
      <w:rFonts w:ascii="SimSun" w:eastAsia="SimSun" w:hAnsi="SimSun" w:cs="SimSun"/>
      <w:kern w:val="0"/>
      <w:sz w:val="18"/>
      <w:szCs w:val="18"/>
    </w:rPr>
  </w:style>
  <w:style w:type="character" w:styleId="FootnoteReference">
    <w:name w:val="footnote reference"/>
    <w:basedOn w:val="DefaultParagraphFont"/>
    <w:uiPriority w:val="99"/>
    <w:unhideWhenUsed/>
    <w:rsid w:val="002174AA"/>
    <w:rPr>
      <w:vertAlign w:val="superscript"/>
    </w:rPr>
  </w:style>
  <w:style w:type="table" w:customStyle="1" w:styleId="21">
    <w:name w:val="无格式表格 21"/>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2174AA"/>
    <w:rPr>
      <w:rFonts w:asciiTheme="majorHAnsi" w:hAnsiTheme="majorHAnsi" w:cstheme="majorBidi"/>
      <w:sz w:val="20"/>
      <w:szCs w:val="20"/>
    </w:rPr>
  </w:style>
  <w:style w:type="character" w:styleId="PlaceholderText">
    <w:name w:val="Placeholder Text"/>
    <w:basedOn w:val="DefaultParagraphFont"/>
    <w:uiPriority w:val="99"/>
    <w:semiHidden/>
    <w:rsid w:val="002174AA"/>
    <w:rPr>
      <w:color w:val="808080"/>
    </w:rPr>
  </w:style>
  <w:style w:type="table" w:customStyle="1" w:styleId="22">
    <w:name w:val="普通表格 22"/>
    <w:basedOn w:val="TableNormal"/>
    <w:uiPriority w:val="42"/>
    <w:rsid w:val="002174AA"/>
    <w:rPr>
      <w:rFonts w:eastAsia="SimSun" w:cs="Times New Roman"/>
      <w:sz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2174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74AA"/>
    <w:rPr>
      <w:rFonts w:ascii="SimSun" w:eastAsia="SimSun" w:hAnsi="SimSun" w:cs="SimSun"/>
      <w:kern w:val="0"/>
      <w:sz w:val="18"/>
      <w:szCs w:val="18"/>
    </w:rPr>
  </w:style>
  <w:style w:type="paragraph" w:styleId="Footer">
    <w:name w:val="footer"/>
    <w:basedOn w:val="Normal"/>
    <w:link w:val="FooterChar"/>
    <w:uiPriority w:val="99"/>
    <w:unhideWhenUsed/>
    <w:rsid w:val="002174A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74AA"/>
    <w:rPr>
      <w:rFonts w:ascii="SimSun" w:eastAsia="SimSun" w:hAnsi="SimSun" w:cs="SimSun"/>
      <w:kern w:val="0"/>
      <w:sz w:val="18"/>
      <w:szCs w:val="18"/>
    </w:rPr>
  </w:style>
  <w:style w:type="paragraph" w:styleId="BalloonText">
    <w:name w:val="Balloon Text"/>
    <w:basedOn w:val="Normal"/>
    <w:link w:val="BalloonTextChar"/>
    <w:uiPriority w:val="99"/>
    <w:semiHidden/>
    <w:unhideWhenUsed/>
    <w:rsid w:val="002174AA"/>
    <w:rPr>
      <w:sz w:val="18"/>
      <w:szCs w:val="18"/>
    </w:rPr>
  </w:style>
  <w:style w:type="character" w:customStyle="1" w:styleId="BalloonTextChar">
    <w:name w:val="Balloon Text Char"/>
    <w:basedOn w:val="DefaultParagraphFont"/>
    <w:link w:val="BalloonText"/>
    <w:uiPriority w:val="99"/>
    <w:semiHidden/>
    <w:rsid w:val="002174AA"/>
    <w:rPr>
      <w:rFonts w:ascii="SimSun" w:eastAsia="SimSun" w:hAnsi="SimSun" w:cs="SimSun"/>
      <w:kern w:val="0"/>
      <w:sz w:val="18"/>
      <w:szCs w:val="18"/>
    </w:rPr>
  </w:style>
  <w:style w:type="character" w:styleId="CommentReference">
    <w:name w:val="annotation reference"/>
    <w:basedOn w:val="DefaultParagraphFont"/>
    <w:uiPriority w:val="99"/>
    <w:semiHidden/>
    <w:unhideWhenUsed/>
    <w:rsid w:val="002174AA"/>
    <w:rPr>
      <w:sz w:val="21"/>
      <w:szCs w:val="21"/>
    </w:rPr>
  </w:style>
  <w:style w:type="paragraph" w:styleId="CommentText">
    <w:name w:val="annotation text"/>
    <w:basedOn w:val="Normal"/>
    <w:link w:val="CommentTextChar"/>
    <w:uiPriority w:val="99"/>
    <w:unhideWhenUsed/>
    <w:rsid w:val="002174AA"/>
  </w:style>
  <w:style w:type="character" w:customStyle="1" w:styleId="CommentTextChar">
    <w:name w:val="Comment Text Char"/>
    <w:basedOn w:val="DefaultParagraphFont"/>
    <w:link w:val="CommentText"/>
    <w:uiPriority w:val="99"/>
    <w:rsid w:val="002174AA"/>
    <w:rPr>
      <w:rFonts w:ascii="SimSun" w:eastAsia="SimSun" w:hAnsi="SimSun" w:cs="SimSun"/>
      <w:kern w:val="0"/>
      <w:sz w:val="24"/>
    </w:rPr>
  </w:style>
  <w:style w:type="paragraph" w:styleId="CommentSubject">
    <w:name w:val="annotation subject"/>
    <w:basedOn w:val="CommentText"/>
    <w:next w:val="CommentText"/>
    <w:link w:val="CommentSubjectChar"/>
    <w:uiPriority w:val="99"/>
    <w:semiHidden/>
    <w:unhideWhenUsed/>
    <w:rsid w:val="002174AA"/>
    <w:rPr>
      <w:b/>
      <w:bCs/>
    </w:rPr>
  </w:style>
  <w:style w:type="character" w:customStyle="1" w:styleId="CommentSubjectChar">
    <w:name w:val="Comment Subject Char"/>
    <w:basedOn w:val="CommentTextChar"/>
    <w:link w:val="CommentSubject"/>
    <w:uiPriority w:val="99"/>
    <w:semiHidden/>
    <w:rsid w:val="002174AA"/>
    <w:rPr>
      <w:rFonts w:ascii="SimSun" w:eastAsia="SimSun" w:hAnsi="SimSun" w:cs="SimSun"/>
      <w:b/>
      <w:bCs/>
      <w:kern w:val="0"/>
      <w:sz w:val="24"/>
    </w:rPr>
  </w:style>
  <w:style w:type="character" w:styleId="EndnoteReference">
    <w:name w:val="endnote reference"/>
    <w:basedOn w:val="DefaultParagraphFont"/>
    <w:uiPriority w:val="99"/>
    <w:semiHidden/>
    <w:unhideWhenUsed/>
    <w:rsid w:val="002174AA"/>
    <w:rPr>
      <w:vertAlign w:val="superscript"/>
    </w:rPr>
  </w:style>
  <w:style w:type="paragraph" w:styleId="Revision">
    <w:name w:val="Revision"/>
    <w:hidden/>
    <w:uiPriority w:val="99"/>
    <w:semiHidden/>
    <w:rsid w:val="002174AA"/>
    <w:rPr>
      <w:sz w:val="24"/>
    </w:rPr>
  </w:style>
  <w:style w:type="paragraph" w:styleId="ListParagraph">
    <w:name w:val="List Paragraph"/>
    <w:basedOn w:val="Normal"/>
    <w:uiPriority w:val="34"/>
    <w:qFormat/>
    <w:rsid w:val="002174AA"/>
    <w:pPr>
      <w:ind w:firstLineChars="200" w:firstLine="420"/>
    </w:pPr>
  </w:style>
  <w:style w:type="paragraph" w:customStyle="1" w:styleId="Default">
    <w:name w:val="Default"/>
    <w:rsid w:val="002174AA"/>
    <w:pPr>
      <w:widowControl w:val="0"/>
      <w:autoSpaceDE w:val="0"/>
      <w:autoSpaceDN w:val="0"/>
      <w:adjustRightInd w:val="0"/>
    </w:pPr>
    <w:rPr>
      <w:rFonts w:ascii="Code" w:hAnsi="Code" w:cs="Code"/>
      <w:color w:val="000000"/>
      <w:kern w:val="0"/>
      <w:sz w:val="24"/>
    </w:rPr>
  </w:style>
  <w:style w:type="table" w:customStyle="1" w:styleId="220">
    <w:name w:val="无格式表格 22"/>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174AA"/>
    <w:rPr>
      <w:color w:val="0000FF"/>
      <w:u w:val="single"/>
    </w:rPr>
  </w:style>
  <w:style w:type="character" w:customStyle="1" w:styleId="1">
    <w:name w:val="未处理的提及1"/>
    <w:basedOn w:val="DefaultParagraphFont"/>
    <w:uiPriority w:val="99"/>
    <w:semiHidden/>
    <w:unhideWhenUsed/>
    <w:rsid w:val="002174AA"/>
    <w:rPr>
      <w:color w:val="605E5C"/>
      <w:shd w:val="clear" w:color="auto" w:fill="E1DFDD"/>
    </w:rPr>
  </w:style>
  <w:style w:type="character" w:styleId="PageNumber">
    <w:name w:val="page number"/>
    <w:basedOn w:val="DefaultParagraphFont"/>
    <w:uiPriority w:val="99"/>
    <w:semiHidden/>
    <w:unhideWhenUsed/>
    <w:rsid w:val="002174AA"/>
  </w:style>
  <w:style w:type="table" w:customStyle="1" w:styleId="PlainTable2">
    <w:name w:val="Plain Table 2"/>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
    <w:name w:val="未处理的提及2"/>
    <w:basedOn w:val="DefaultParagraphFont"/>
    <w:uiPriority w:val="99"/>
    <w:semiHidden/>
    <w:unhideWhenUsed/>
    <w:rsid w:val="002174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AA"/>
    <w:rPr>
      <w:rFonts w:ascii="SimSun" w:eastAsia="SimSun" w:hAnsi="SimSun" w:cs="SimSun"/>
      <w:kern w:val="0"/>
      <w:sz w:val="24"/>
    </w:rPr>
  </w:style>
  <w:style w:type="paragraph" w:styleId="Heading1">
    <w:name w:val="heading 1"/>
    <w:aliases w:val="Title1"/>
    <w:basedOn w:val="Heading2"/>
    <w:next w:val="Normal"/>
    <w:link w:val="Heading1Char"/>
    <w:uiPriority w:val="9"/>
    <w:qFormat/>
    <w:rsid w:val="002174AA"/>
    <w:pPr>
      <w:outlineLvl w:val="0"/>
    </w:pPr>
  </w:style>
  <w:style w:type="paragraph" w:styleId="Heading2">
    <w:name w:val="heading 2"/>
    <w:basedOn w:val="Normal"/>
    <w:next w:val="Normal"/>
    <w:link w:val="Heading2Char"/>
    <w:uiPriority w:val="9"/>
    <w:unhideWhenUsed/>
    <w:qFormat/>
    <w:rsid w:val="002174AA"/>
    <w:pPr>
      <w:keepNext/>
      <w:keepLines/>
      <w:spacing w:before="240" w:after="240" w:line="480" w:lineRule="auto"/>
      <w:jc w:val="both"/>
      <w:outlineLvl w:val="1"/>
    </w:pPr>
    <w:rPr>
      <w:rFonts w:ascii="Times New Roman" w:eastAsiaTheme="majorEastAsia" w:hAnsi="Times New Roman" w:cs="Times New Roman (标题 CS)"/>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1 Char"/>
    <w:basedOn w:val="DefaultParagraphFont"/>
    <w:link w:val="Heading1"/>
    <w:uiPriority w:val="9"/>
    <w:rsid w:val="002174AA"/>
    <w:rPr>
      <w:rFonts w:ascii="Times New Roman" w:eastAsiaTheme="majorEastAsia" w:hAnsi="Times New Roman" w:cs="Times New Roman (标题 CS)"/>
      <w:b/>
      <w:bCs/>
      <w:kern w:val="0"/>
      <w:sz w:val="24"/>
      <w:szCs w:val="32"/>
    </w:rPr>
  </w:style>
  <w:style w:type="character" w:customStyle="1" w:styleId="Heading2Char">
    <w:name w:val="Heading 2 Char"/>
    <w:basedOn w:val="DefaultParagraphFont"/>
    <w:link w:val="Heading2"/>
    <w:uiPriority w:val="9"/>
    <w:rsid w:val="002174AA"/>
    <w:rPr>
      <w:rFonts w:ascii="Times New Roman" w:eastAsiaTheme="majorEastAsia" w:hAnsi="Times New Roman" w:cs="Times New Roman (标题 CS)"/>
      <w:b/>
      <w:bCs/>
      <w:kern w:val="0"/>
      <w:sz w:val="24"/>
      <w:szCs w:val="32"/>
    </w:rPr>
  </w:style>
  <w:style w:type="table" w:styleId="TableGrid">
    <w:name w:val="Table Grid"/>
    <w:basedOn w:val="TableNormal"/>
    <w:uiPriority w:val="39"/>
    <w:rsid w:val="002174A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174AA"/>
    <w:pPr>
      <w:snapToGrid w:val="0"/>
    </w:pPr>
    <w:rPr>
      <w:sz w:val="18"/>
      <w:szCs w:val="18"/>
    </w:rPr>
  </w:style>
  <w:style w:type="character" w:customStyle="1" w:styleId="FootnoteTextChar">
    <w:name w:val="Footnote Text Char"/>
    <w:basedOn w:val="DefaultParagraphFont"/>
    <w:link w:val="FootnoteText"/>
    <w:uiPriority w:val="99"/>
    <w:rsid w:val="002174AA"/>
    <w:rPr>
      <w:rFonts w:ascii="SimSun" w:eastAsia="SimSun" w:hAnsi="SimSun" w:cs="SimSun"/>
      <w:kern w:val="0"/>
      <w:sz w:val="18"/>
      <w:szCs w:val="18"/>
    </w:rPr>
  </w:style>
  <w:style w:type="character" w:styleId="FootnoteReference">
    <w:name w:val="footnote reference"/>
    <w:basedOn w:val="DefaultParagraphFont"/>
    <w:uiPriority w:val="99"/>
    <w:unhideWhenUsed/>
    <w:rsid w:val="002174AA"/>
    <w:rPr>
      <w:vertAlign w:val="superscript"/>
    </w:rPr>
  </w:style>
  <w:style w:type="table" w:customStyle="1" w:styleId="21">
    <w:name w:val="无格式表格 21"/>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2174AA"/>
    <w:rPr>
      <w:rFonts w:asciiTheme="majorHAnsi" w:hAnsiTheme="majorHAnsi" w:cstheme="majorBidi"/>
      <w:sz w:val="20"/>
      <w:szCs w:val="20"/>
    </w:rPr>
  </w:style>
  <w:style w:type="character" w:styleId="PlaceholderText">
    <w:name w:val="Placeholder Text"/>
    <w:basedOn w:val="DefaultParagraphFont"/>
    <w:uiPriority w:val="99"/>
    <w:semiHidden/>
    <w:rsid w:val="002174AA"/>
    <w:rPr>
      <w:color w:val="808080"/>
    </w:rPr>
  </w:style>
  <w:style w:type="table" w:customStyle="1" w:styleId="22">
    <w:name w:val="普通表格 22"/>
    <w:basedOn w:val="TableNormal"/>
    <w:uiPriority w:val="42"/>
    <w:rsid w:val="002174AA"/>
    <w:rPr>
      <w:rFonts w:eastAsia="SimSun" w:cs="Times New Roman"/>
      <w:sz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2174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74AA"/>
    <w:rPr>
      <w:rFonts w:ascii="SimSun" w:eastAsia="SimSun" w:hAnsi="SimSun" w:cs="SimSun"/>
      <w:kern w:val="0"/>
      <w:sz w:val="18"/>
      <w:szCs w:val="18"/>
    </w:rPr>
  </w:style>
  <w:style w:type="paragraph" w:styleId="Footer">
    <w:name w:val="footer"/>
    <w:basedOn w:val="Normal"/>
    <w:link w:val="FooterChar"/>
    <w:uiPriority w:val="99"/>
    <w:unhideWhenUsed/>
    <w:rsid w:val="002174A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74AA"/>
    <w:rPr>
      <w:rFonts w:ascii="SimSun" w:eastAsia="SimSun" w:hAnsi="SimSun" w:cs="SimSun"/>
      <w:kern w:val="0"/>
      <w:sz w:val="18"/>
      <w:szCs w:val="18"/>
    </w:rPr>
  </w:style>
  <w:style w:type="paragraph" w:styleId="BalloonText">
    <w:name w:val="Balloon Text"/>
    <w:basedOn w:val="Normal"/>
    <w:link w:val="BalloonTextChar"/>
    <w:uiPriority w:val="99"/>
    <w:semiHidden/>
    <w:unhideWhenUsed/>
    <w:rsid w:val="002174AA"/>
    <w:rPr>
      <w:sz w:val="18"/>
      <w:szCs w:val="18"/>
    </w:rPr>
  </w:style>
  <w:style w:type="character" w:customStyle="1" w:styleId="BalloonTextChar">
    <w:name w:val="Balloon Text Char"/>
    <w:basedOn w:val="DefaultParagraphFont"/>
    <w:link w:val="BalloonText"/>
    <w:uiPriority w:val="99"/>
    <w:semiHidden/>
    <w:rsid w:val="002174AA"/>
    <w:rPr>
      <w:rFonts w:ascii="SimSun" w:eastAsia="SimSun" w:hAnsi="SimSun" w:cs="SimSun"/>
      <w:kern w:val="0"/>
      <w:sz w:val="18"/>
      <w:szCs w:val="18"/>
    </w:rPr>
  </w:style>
  <w:style w:type="character" w:styleId="CommentReference">
    <w:name w:val="annotation reference"/>
    <w:basedOn w:val="DefaultParagraphFont"/>
    <w:uiPriority w:val="99"/>
    <w:semiHidden/>
    <w:unhideWhenUsed/>
    <w:rsid w:val="002174AA"/>
    <w:rPr>
      <w:sz w:val="21"/>
      <w:szCs w:val="21"/>
    </w:rPr>
  </w:style>
  <w:style w:type="paragraph" w:styleId="CommentText">
    <w:name w:val="annotation text"/>
    <w:basedOn w:val="Normal"/>
    <w:link w:val="CommentTextChar"/>
    <w:uiPriority w:val="99"/>
    <w:unhideWhenUsed/>
    <w:rsid w:val="002174AA"/>
  </w:style>
  <w:style w:type="character" w:customStyle="1" w:styleId="CommentTextChar">
    <w:name w:val="Comment Text Char"/>
    <w:basedOn w:val="DefaultParagraphFont"/>
    <w:link w:val="CommentText"/>
    <w:uiPriority w:val="99"/>
    <w:rsid w:val="002174AA"/>
    <w:rPr>
      <w:rFonts w:ascii="SimSun" w:eastAsia="SimSun" w:hAnsi="SimSun" w:cs="SimSun"/>
      <w:kern w:val="0"/>
      <w:sz w:val="24"/>
    </w:rPr>
  </w:style>
  <w:style w:type="paragraph" w:styleId="CommentSubject">
    <w:name w:val="annotation subject"/>
    <w:basedOn w:val="CommentText"/>
    <w:next w:val="CommentText"/>
    <w:link w:val="CommentSubjectChar"/>
    <w:uiPriority w:val="99"/>
    <w:semiHidden/>
    <w:unhideWhenUsed/>
    <w:rsid w:val="002174AA"/>
    <w:rPr>
      <w:b/>
      <w:bCs/>
    </w:rPr>
  </w:style>
  <w:style w:type="character" w:customStyle="1" w:styleId="CommentSubjectChar">
    <w:name w:val="Comment Subject Char"/>
    <w:basedOn w:val="CommentTextChar"/>
    <w:link w:val="CommentSubject"/>
    <w:uiPriority w:val="99"/>
    <w:semiHidden/>
    <w:rsid w:val="002174AA"/>
    <w:rPr>
      <w:rFonts w:ascii="SimSun" w:eastAsia="SimSun" w:hAnsi="SimSun" w:cs="SimSun"/>
      <w:b/>
      <w:bCs/>
      <w:kern w:val="0"/>
      <w:sz w:val="24"/>
    </w:rPr>
  </w:style>
  <w:style w:type="character" w:styleId="EndnoteReference">
    <w:name w:val="endnote reference"/>
    <w:basedOn w:val="DefaultParagraphFont"/>
    <w:uiPriority w:val="99"/>
    <w:semiHidden/>
    <w:unhideWhenUsed/>
    <w:rsid w:val="002174AA"/>
    <w:rPr>
      <w:vertAlign w:val="superscript"/>
    </w:rPr>
  </w:style>
  <w:style w:type="paragraph" w:styleId="Revision">
    <w:name w:val="Revision"/>
    <w:hidden/>
    <w:uiPriority w:val="99"/>
    <w:semiHidden/>
    <w:rsid w:val="002174AA"/>
    <w:rPr>
      <w:sz w:val="24"/>
    </w:rPr>
  </w:style>
  <w:style w:type="paragraph" w:styleId="ListParagraph">
    <w:name w:val="List Paragraph"/>
    <w:basedOn w:val="Normal"/>
    <w:uiPriority w:val="34"/>
    <w:qFormat/>
    <w:rsid w:val="002174AA"/>
    <w:pPr>
      <w:ind w:firstLineChars="200" w:firstLine="420"/>
    </w:pPr>
  </w:style>
  <w:style w:type="paragraph" w:customStyle="1" w:styleId="Default">
    <w:name w:val="Default"/>
    <w:rsid w:val="002174AA"/>
    <w:pPr>
      <w:widowControl w:val="0"/>
      <w:autoSpaceDE w:val="0"/>
      <w:autoSpaceDN w:val="0"/>
      <w:adjustRightInd w:val="0"/>
    </w:pPr>
    <w:rPr>
      <w:rFonts w:ascii="Code" w:hAnsi="Code" w:cs="Code"/>
      <w:color w:val="000000"/>
      <w:kern w:val="0"/>
      <w:sz w:val="24"/>
    </w:rPr>
  </w:style>
  <w:style w:type="table" w:customStyle="1" w:styleId="220">
    <w:name w:val="无格式表格 22"/>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174AA"/>
    <w:rPr>
      <w:color w:val="0000FF"/>
      <w:u w:val="single"/>
    </w:rPr>
  </w:style>
  <w:style w:type="character" w:customStyle="1" w:styleId="1">
    <w:name w:val="未处理的提及1"/>
    <w:basedOn w:val="DefaultParagraphFont"/>
    <w:uiPriority w:val="99"/>
    <w:semiHidden/>
    <w:unhideWhenUsed/>
    <w:rsid w:val="002174AA"/>
    <w:rPr>
      <w:color w:val="605E5C"/>
      <w:shd w:val="clear" w:color="auto" w:fill="E1DFDD"/>
    </w:rPr>
  </w:style>
  <w:style w:type="character" w:styleId="PageNumber">
    <w:name w:val="page number"/>
    <w:basedOn w:val="DefaultParagraphFont"/>
    <w:uiPriority w:val="99"/>
    <w:semiHidden/>
    <w:unhideWhenUsed/>
    <w:rsid w:val="002174AA"/>
  </w:style>
  <w:style w:type="table" w:customStyle="1" w:styleId="PlainTable2">
    <w:name w:val="Plain Table 2"/>
    <w:basedOn w:val="TableNormal"/>
    <w:uiPriority w:val="42"/>
    <w:rsid w:val="002174AA"/>
    <w:rPr>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
    <w:name w:val="未处理的提及2"/>
    <w:basedOn w:val="DefaultParagraphFont"/>
    <w:uiPriority w:val="99"/>
    <w:semiHidden/>
    <w:unhideWhenUsed/>
    <w:rsid w:val="002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0BC3-C5BC-4534-8AF6-1F5BAF73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Shiyang0618</dc:creator>
  <cp:keywords/>
  <dc:description/>
  <cp:lastModifiedBy>Nandhakumar</cp:lastModifiedBy>
  <cp:revision>3</cp:revision>
  <cp:lastPrinted>2021-06-29T12:15:00Z</cp:lastPrinted>
  <dcterms:created xsi:type="dcterms:W3CDTF">2021-07-09T23:16:00Z</dcterms:created>
  <dcterms:modified xsi:type="dcterms:W3CDTF">2021-08-02T10:14:00Z</dcterms:modified>
</cp:coreProperties>
</file>