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6801" w:rsidRPr="00FA6801" w:rsidRDefault="00FA6801" w:rsidP="00FA6801">
      <w:pPr>
        <w:jc w:val="left"/>
        <w:rPr>
          <w:rFonts w:ascii="Times New Roman" w:hAnsi="Times New Roman" w:cs="Times New Roman"/>
        </w:rPr>
      </w:pPr>
      <w:r w:rsidRPr="00FA6801">
        <w:rPr>
          <w:rFonts w:ascii="Times New Roman" w:hAnsi="Times New Roman" w:cs="Times New Roman"/>
        </w:rPr>
        <w:t>I</w:t>
      </w:r>
      <w:r w:rsidRPr="00FA6801">
        <w:rPr>
          <w:rFonts w:ascii="Times New Roman" w:hAnsi="Times New Roman" w:cs="Times New Roman"/>
        </w:rPr>
        <w:t xml:space="preserve">nformation about </w:t>
      </w:r>
      <w:r w:rsidRPr="00FA6801">
        <w:rPr>
          <w:rFonts w:ascii="Times New Roman" w:hAnsi="Times New Roman" w:cs="Times New Roman"/>
        </w:rPr>
        <w:t>t</w:t>
      </w:r>
      <w:r w:rsidRPr="00FA6801">
        <w:rPr>
          <w:rFonts w:ascii="Times New Roman" w:hAnsi="Times New Roman" w:cs="Times New Roman"/>
        </w:rPr>
        <w:t xml:space="preserve">he 42 </w:t>
      </w:r>
      <w:r w:rsidRPr="00FA6801">
        <w:rPr>
          <w:rFonts w:ascii="Times New Roman" w:hAnsi="Times New Roman" w:cs="Times New Roman"/>
        </w:rPr>
        <w:t>S</w:t>
      </w:r>
      <w:r w:rsidRPr="00FA6801">
        <w:rPr>
          <w:rFonts w:ascii="Times New Roman" w:hAnsi="Times New Roman" w:cs="Times New Roman"/>
        </w:rPr>
        <w:t xml:space="preserve">ocial </w:t>
      </w:r>
      <w:r w:rsidRPr="00FA6801">
        <w:rPr>
          <w:rFonts w:ascii="Times New Roman" w:hAnsi="Times New Roman" w:cs="Times New Roman"/>
        </w:rPr>
        <w:t>R</w:t>
      </w:r>
      <w:r w:rsidRPr="00FA6801">
        <w:rPr>
          <w:rFonts w:ascii="Times New Roman" w:hAnsi="Times New Roman" w:cs="Times New Roman"/>
        </w:rPr>
        <w:t xml:space="preserve">egulatory </w:t>
      </w:r>
      <w:r w:rsidRPr="00FA6801">
        <w:rPr>
          <w:rFonts w:ascii="Times New Roman" w:hAnsi="Times New Roman" w:cs="Times New Roman"/>
        </w:rPr>
        <w:t>C</w:t>
      </w:r>
      <w:r w:rsidRPr="00FA6801">
        <w:rPr>
          <w:rFonts w:ascii="Times New Roman" w:hAnsi="Times New Roman" w:cs="Times New Roman"/>
        </w:rPr>
        <w:t xml:space="preserve">entral </w:t>
      </w:r>
      <w:r w:rsidRPr="00FA6801">
        <w:rPr>
          <w:rFonts w:ascii="Times New Roman" w:hAnsi="Times New Roman" w:cs="Times New Roman"/>
        </w:rPr>
        <w:t>G</w:t>
      </w:r>
      <w:r w:rsidRPr="00FA6801">
        <w:rPr>
          <w:rFonts w:ascii="Times New Roman" w:hAnsi="Times New Roman" w:cs="Times New Roman"/>
        </w:rPr>
        <w:t>uidelines</w:t>
      </w:r>
    </w:p>
    <w:p w:rsidR="00FA6801" w:rsidRDefault="00FA6801">
      <w:pPr>
        <w:rPr>
          <w:rFonts w:ascii="Times New Roman" w:hAnsi="Times New Roman" w:cs="Times New Roman"/>
          <w:sz w:val="21"/>
          <w:szCs w:val="21"/>
        </w:rPr>
      </w:pPr>
    </w:p>
    <w:p w:rsidR="00990138" w:rsidRDefault="002E0E87">
      <w:pPr>
        <w:rPr>
          <w:rFonts w:ascii="Times New Roman" w:hAnsi="Times New Roman" w:cs="Times New Roman"/>
          <w:sz w:val="21"/>
          <w:szCs w:val="21"/>
        </w:rPr>
      </w:pPr>
      <w:r>
        <w:rPr>
          <w:rFonts w:ascii="Times New Roman" w:hAnsi="Times New Roman" w:cs="Times New Roman"/>
          <w:sz w:val="21"/>
          <w:szCs w:val="21"/>
        </w:rPr>
        <w:t>The table below presents the information about the 42 social regulatory central guidelines released by Chinese state council and its general office between 2003-2007. The full texts of the 42 central guidelines can be downloaded from pkulaw.cn.</w:t>
      </w:r>
    </w:p>
    <w:p w:rsidR="00BE6591" w:rsidRDefault="00BE6591">
      <w:pPr>
        <w:rPr>
          <w:rFonts w:ascii="Times New Roman" w:hAnsi="Times New Roman" w:cs="Times New Roman"/>
          <w:sz w:val="21"/>
          <w:szCs w:val="21"/>
        </w:rPr>
      </w:pPr>
    </w:p>
    <w:p w:rsidR="00BE6591" w:rsidRPr="00BE6591" w:rsidRDefault="00BE6591" w:rsidP="00BE6591">
      <w:pPr>
        <w:pStyle w:val="a6"/>
        <w:numPr>
          <w:ilvl w:val="0"/>
          <w:numId w:val="1"/>
        </w:numPr>
        <w:ind w:firstLineChars="0"/>
        <w:rPr>
          <w:rFonts w:ascii="Times" w:hAnsi="Times"/>
          <w:color w:val="000000" w:themeColor="text1"/>
          <w:sz w:val="21"/>
          <w:szCs w:val="21"/>
        </w:rPr>
      </w:pPr>
      <w:r w:rsidRPr="00BE6591">
        <w:rPr>
          <w:rFonts w:ascii="Times New Roman" w:hAnsi="Times New Roman" w:cs="Times New Roman" w:hint="eastAsia"/>
          <w:b/>
          <w:bCs/>
          <w:sz w:val="21"/>
          <w:szCs w:val="21"/>
        </w:rPr>
        <w:t>M</w:t>
      </w:r>
      <w:r w:rsidRPr="00BE6591">
        <w:rPr>
          <w:rFonts w:ascii="Times New Roman" w:hAnsi="Times New Roman" w:cs="Times New Roman"/>
          <w:b/>
          <w:bCs/>
          <w:sz w:val="21"/>
          <w:szCs w:val="21"/>
        </w:rPr>
        <w:t>obilization</w:t>
      </w:r>
      <w:r w:rsidRPr="00BE6591">
        <w:rPr>
          <w:rFonts w:ascii="Times New Roman" w:hAnsi="Times New Roman" w:cs="Times New Roman"/>
          <w:sz w:val="21"/>
          <w:szCs w:val="21"/>
        </w:rPr>
        <w:t xml:space="preserve">=1 if </w:t>
      </w:r>
      <w:r w:rsidRPr="00BE6591">
        <w:rPr>
          <w:rFonts w:ascii="Times" w:hAnsi="Times"/>
          <w:color w:val="000000" w:themeColor="text1"/>
          <w:sz w:val="21"/>
          <w:szCs w:val="21"/>
        </w:rPr>
        <w:t>an NTTC with the same topic of a central guideline is held in the same year when the central guideline is launched</w:t>
      </w:r>
      <w:r>
        <w:rPr>
          <w:rFonts w:ascii="Times" w:hAnsi="Times"/>
          <w:color w:val="000000" w:themeColor="text1"/>
          <w:sz w:val="21"/>
          <w:szCs w:val="21"/>
        </w:rPr>
        <w:t>, 0 otherwise.</w:t>
      </w:r>
    </w:p>
    <w:p w:rsidR="00BE6591" w:rsidRPr="00BE6591" w:rsidRDefault="00BE6591" w:rsidP="00BE6591">
      <w:pPr>
        <w:pStyle w:val="a6"/>
        <w:numPr>
          <w:ilvl w:val="0"/>
          <w:numId w:val="1"/>
        </w:numPr>
        <w:ind w:firstLineChars="0"/>
        <w:rPr>
          <w:rFonts w:ascii="Times New Roman" w:hAnsi="Times New Roman" w:cs="Times New Roman"/>
          <w:sz w:val="21"/>
          <w:szCs w:val="21"/>
        </w:rPr>
      </w:pPr>
      <w:r w:rsidRPr="00BE6591">
        <w:rPr>
          <w:rFonts w:ascii="Times New Roman" w:hAnsi="Times New Roman" w:cs="Times New Roman" w:hint="eastAsia"/>
          <w:b/>
          <w:bCs/>
          <w:sz w:val="21"/>
          <w:szCs w:val="21"/>
        </w:rPr>
        <w:t>M</w:t>
      </w:r>
      <w:r w:rsidRPr="00BE6591">
        <w:rPr>
          <w:rFonts w:ascii="Times New Roman" w:hAnsi="Times New Roman" w:cs="Times New Roman"/>
          <w:b/>
          <w:bCs/>
          <w:sz w:val="21"/>
          <w:szCs w:val="21"/>
        </w:rPr>
        <w:t>onitoring</w:t>
      </w:r>
      <w:r>
        <w:rPr>
          <w:rFonts w:ascii="Times New Roman" w:hAnsi="Times New Roman" w:cs="Times New Roman"/>
          <w:sz w:val="21"/>
          <w:szCs w:val="21"/>
        </w:rPr>
        <w:t xml:space="preserve">=1 if </w:t>
      </w:r>
      <w:r w:rsidRPr="00A32034">
        <w:rPr>
          <w:rFonts w:ascii="Times" w:hAnsi="Times"/>
          <w:color w:val="000000" w:themeColor="text1"/>
          <w:sz w:val="21"/>
          <w:szCs w:val="21"/>
        </w:rPr>
        <w:t>top–down inspection is mentioned in a central guideline</w:t>
      </w:r>
      <w:r>
        <w:rPr>
          <w:rFonts w:ascii="Times" w:hAnsi="Times"/>
          <w:color w:val="000000" w:themeColor="text1"/>
          <w:sz w:val="21"/>
          <w:szCs w:val="21"/>
        </w:rPr>
        <w:t>, 0 otherwise.</w:t>
      </w:r>
    </w:p>
    <w:p w:rsidR="00BE6591" w:rsidRPr="00BE6591" w:rsidRDefault="00BE6591" w:rsidP="00BE6591">
      <w:pPr>
        <w:pStyle w:val="a6"/>
        <w:numPr>
          <w:ilvl w:val="0"/>
          <w:numId w:val="1"/>
        </w:numPr>
        <w:ind w:firstLineChars="0"/>
        <w:rPr>
          <w:rFonts w:ascii="Times New Roman" w:hAnsi="Times New Roman" w:cs="Times New Roman"/>
          <w:sz w:val="21"/>
          <w:szCs w:val="21"/>
        </w:rPr>
      </w:pPr>
      <w:r w:rsidRPr="00BE6591">
        <w:rPr>
          <w:rFonts w:ascii="Times New Roman" w:hAnsi="Times New Roman" w:cs="Times New Roman" w:hint="eastAsia"/>
          <w:b/>
          <w:bCs/>
          <w:sz w:val="21"/>
          <w:szCs w:val="21"/>
        </w:rPr>
        <w:t>G</w:t>
      </w:r>
      <w:r w:rsidRPr="00BE6591">
        <w:rPr>
          <w:rFonts w:ascii="Times New Roman" w:hAnsi="Times New Roman" w:cs="Times New Roman"/>
          <w:b/>
          <w:bCs/>
          <w:sz w:val="21"/>
          <w:szCs w:val="21"/>
        </w:rPr>
        <w:t>uideline Level</w:t>
      </w:r>
      <w:r>
        <w:rPr>
          <w:rFonts w:ascii="Times New Roman" w:hAnsi="Times New Roman" w:cs="Times New Roman"/>
          <w:sz w:val="21"/>
          <w:szCs w:val="21"/>
        </w:rPr>
        <w:t xml:space="preserve">=1 if </w:t>
      </w:r>
      <w:r w:rsidRPr="00A32034">
        <w:rPr>
          <w:rFonts w:ascii="Times" w:hAnsi="Times"/>
          <w:color w:val="000000" w:themeColor="text1"/>
          <w:sz w:val="21"/>
          <w:szCs w:val="21"/>
        </w:rPr>
        <w:t xml:space="preserve">a central guideline is issued by the </w:t>
      </w:r>
      <w:r>
        <w:rPr>
          <w:rFonts w:ascii="Times" w:hAnsi="Times"/>
          <w:color w:val="000000" w:themeColor="text1"/>
          <w:sz w:val="21"/>
          <w:szCs w:val="21"/>
        </w:rPr>
        <w:t xml:space="preserve">Chinese </w:t>
      </w:r>
      <w:r w:rsidRPr="00A32034">
        <w:rPr>
          <w:rFonts w:ascii="Times" w:hAnsi="Times"/>
          <w:color w:val="000000" w:themeColor="text1"/>
          <w:sz w:val="21"/>
          <w:szCs w:val="21"/>
        </w:rPr>
        <w:t xml:space="preserve">State Council rather than by the General Office of </w:t>
      </w:r>
      <w:r>
        <w:rPr>
          <w:rFonts w:ascii="Times" w:hAnsi="Times"/>
          <w:color w:val="000000" w:themeColor="text1"/>
          <w:sz w:val="21"/>
          <w:szCs w:val="21"/>
        </w:rPr>
        <w:t xml:space="preserve">the </w:t>
      </w:r>
      <w:r w:rsidRPr="00A32034">
        <w:rPr>
          <w:rFonts w:ascii="Times" w:hAnsi="Times"/>
          <w:color w:val="000000" w:themeColor="text1"/>
          <w:sz w:val="21"/>
          <w:szCs w:val="21"/>
        </w:rPr>
        <w:t>State Council</w:t>
      </w:r>
      <w:r>
        <w:rPr>
          <w:rFonts w:ascii="Times" w:hAnsi="Times"/>
          <w:color w:val="000000" w:themeColor="text1"/>
          <w:sz w:val="21"/>
          <w:szCs w:val="21"/>
        </w:rPr>
        <w:t>, 0 otherwise.</w:t>
      </w:r>
    </w:p>
    <w:p w:rsidR="00BE6591" w:rsidRDefault="00BE6591" w:rsidP="00BE6591">
      <w:pPr>
        <w:pStyle w:val="a6"/>
        <w:numPr>
          <w:ilvl w:val="0"/>
          <w:numId w:val="1"/>
        </w:numPr>
        <w:ind w:firstLineChars="0"/>
        <w:rPr>
          <w:rFonts w:ascii="Times New Roman" w:hAnsi="Times New Roman" w:cs="Times New Roman"/>
          <w:sz w:val="21"/>
          <w:szCs w:val="21"/>
        </w:rPr>
      </w:pPr>
      <w:r w:rsidRPr="00BE6591">
        <w:rPr>
          <w:rFonts w:ascii="Times New Roman" w:hAnsi="Times New Roman" w:cs="Times New Roman" w:hint="eastAsia"/>
          <w:b/>
          <w:bCs/>
          <w:sz w:val="21"/>
          <w:szCs w:val="21"/>
        </w:rPr>
        <w:t>P</w:t>
      </w:r>
      <w:r w:rsidRPr="00BE6591">
        <w:rPr>
          <w:rFonts w:ascii="Times New Roman" w:hAnsi="Times New Roman" w:cs="Times New Roman"/>
          <w:b/>
          <w:bCs/>
          <w:sz w:val="21"/>
          <w:szCs w:val="21"/>
        </w:rPr>
        <w:t>olicy Type</w:t>
      </w:r>
      <w:r>
        <w:rPr>
          <w:rFonts w:ascii="Times New Roman" w:hAnsi="Times New Roman" w:cs="Times New Roman"/>
          <w:sz w:val="21"/>
          <w:szCs w:val="21"/>
        </w:rPr>
        <w:t>=1 if the policy belongs to safety inspection, 2 if c</w:t>
      </w:r>
      <w:r w:rsidRPr="00BE6591">
        <w:rPr>
          <w:rFonts w:ascii="Times New Roman" w:hAnsi="Times New Roman" w:cs="Times New Roman"/>
          <w:sz w:val="21"/>
          <w:szCs w:val="21"/>
        </w:rPr>
        <w:t xml:space="preserve">ommerce &amp; </w:t>
      </w:r>
      <w:r>
        <w:rPr>
          <w:rFonts w:ascii="Times New Roman" w:hAnsi="Times New Roman" w:cs="Times New Roman"/>
          <w:sz w:val="21"/>
          <w:szCs w:val="21"/>
        </w:rPr>
        <w:t>p</w:t>
      </w:r>
      <w:r w:rsidRPr="00BE6591">
        <w:rPr>
          <w:rFonts w:ascii="Times New Roman" w:hAnsi="Times New Roman" w:cs="Times New Roman"/>
          <w:sz w:val="21"/>
          <w:szCs w:val="21"/>
        </w:rPr>
        <w:t xml:space="preserve">roduct </w:t>
      </w:r>
      <w:r>
        <w:rPr>
          <w:rFonts w:ascii="Times New Roman" w:hAnsi="Times New Roman" w:cs="Times New Roman"/>
          <w:sz w:val="21"/>
          <w:szCs w:val="21"/>
        </w:rPr>
        <w:t>q</w:t>
      </w:r>
      <w:r w:rsidRPr="00BE6591">
        <w:rPr>
          <w:rFonts w:ascii="Times New Roman" w:hAnsi="Times New Roman" w:cs="Times New Roman"/>
          <w:sz w:val="21"/>
          <w:szCs w:val="21"/>
        </w:rPr>
        <w:t>uality</w:t>
      </w:r>
      <w:r>
        <w:rPr>
          <w:rFonts w:ascii="Times New Roman" w:hAnsi="Times New Roman" w:cs="Times New Roman"/>
          <w:sz w:val="21"/>
          <w:szCs w:val="21"/>
        </w:rPr>
        <w:t>; 3 if l</w:t>
      </w:r>
      <w:r w:rsidRPr="00BE6591">
        <w:rPr>
          <w:rFonts w:ascii="Times New Roman" w:hAnsi="Times New Roman" w:cs="Times New Roman"/>
          <w:sz w:val="21"/>
          <w:szCs w:val="21"/>
        </w:rPr>
        <w:t xml:space="preserve">and </w:t>
      </w:r>
      <w:r>
        <w:rPr>
          <w:rFonts w:ascii="Times New Roman" w:hAnsi="Times New Roman" w:cs="Times New Roman"/>
          <w:sz w:val="21"/>
          <w:szCs w:val="21"/>
        </w:rPr>
        <w:t>&amp;</w:t>
      </w:r>
      <w:r w:rsidRPr="00BE6591">
        <w:rPr>
          <w:rFonts w:ascii="Times New Roman" w:hAnsi="Times New Roman" w:cs="Times New Roman"/>
          <w:sz w:val="21"/>
          <w:szCs w:val="21"/>
        </w:rPr>
        <w:t xml:space="preserve"> </w:t>
      </w:r>
      <w:r>
        <w:rPr>
          <w:rFonts w:ascii="Times New Roman" w:hAnsi="Times New Roman" w:cs="Times New Roman"/>
          <w:sz w:val="21"/>
          <w:szCs w:val="21"/>
        </w:rPr>
        <w:t>n</w:t>
      </w:r>
      <w:r w:rsidRPr="00BE6591">
        <w:rPr>
          <w:rFonts w:ascii="Times New Roman" w:hAnsi="Times New Roman" w:cs="Times New Roman"/>
          <w:sz w:val="21"/>
          <w:szCs w:val="21"/>
        </w:rPr>
        <w:t xml:space="preserve">atural </w:t>
      </w:r>
      <w:r>
        <w:rPr>
          <w:rFonts w:ascii="Times New Roman" w:hAnsi="Times New Roman" w:cs="Times New Roman"/>
          <w:sz w:val="21"/>
          <w:szCs w:val="21"/>
        </w:rPr>
        <w:t>r</w:t>
      </w:r>
      <w:r w:rsidRPr="00BE6591">
        <w:rPr>
          <w:rFonts w:ascii="Times New Roman" w:hAnsi="Times New Roman" w:cs="Times New Roman"/>
          <w:sz w:val="21"/>
          <w:szCs w:val="21"/>
        </w:rPr>
        <w:t>esources</w:t>
      </w:r>
      <w:r>
        <w:rPr>
          <w:rFonts w:ascii="Times New Roman" w:hAnsi="Times New Roman" w:cs="Times New Roman"/>
          <w:sz w:val="21"/>
          <w:szCs w:val="21"/>
        </w:rPr>
        <w:t>; 4 if environment protection; 5 if healthcare.</w:t>
      </w:r>
    </w:p>
    <w:p w:rsidR="0009630B" w:rsidRPr="0009630B" w:rsidRDefault="0009630B" w:rsidP="00BE6591">
      <w:pPr>
        <w:pStyle w:val="a6"/>
        <w:numPr>
          <w:ilvl w:val="0"/>
          <w:numId w:val="1"/>
        </w:numPr>
        <w:ind w:firstLineChars="0"/>
        <w:rPr>
          <w:rFonts w:ascii="Times New Roman" w:hAnsi="Times New Roman" w:cs="Times New Roman"/>
          <w:sz w:val="21"/>
          <w:szCs w:val="21"/>
        </w:rPr>
      </w:pPr>
      <w:r w:rsidRPr="0009630B">
        <w:rPr>
          <w:rFonts w:ascii="Times New Roman" w:hAnsi="Times New Roman" w:cs="Times New Roman"/>
          <w:b/>
          <w:bCs/>
          <w:sz w:val="21"/>
          <w:szCs w:val="21"/>
        </w:rPr>
        <w:t>Guideline Length (</w:t>
      </w:r>
      <w:r>
        <w:rPr>
          <w:rFonts w:ascii="Times New Roman" w:hAnsi="Times New Roman" w:cs="Times New Roman"/>
          <w:b/>
          <w:bCs/>
          <w:sz w:val="21"/>
          <w:szCs w:val="21"/>
        </w:rPr>
        <w:t>W</w:t>
      </w:r>
      <w:r w:rsidRPr="0009630B">
        <w:rPr>
          <w:rFonts w:ascii="Times New Roman" w:hAnsi="Times New Roman" w:cs="Times New Roman"/>
          <w:b/>
          <w:bCs/>
          <w:sz w:val="21"/>
          <w:szCs w:val="21"/>
        </w:rPr>
        <w:t>ords):</w:t>
      </w:r>
      <w:r>
        <w:rPr>
          <w:rFonts w:ascii="Times New Roman" w:hAnsi="Times New Roman" w:cs="Times New Roman"/>
          <w:sz w:val="21"/>
          <w:szCs w:val="21"/>
        </w:rPr>
        <w:t xml:space="preserve"> </w:t>
      </w:r>
      <w:r w:rsidRPr="00A32034">
        <w:rPr>
          <w:rFonts w:ascii="Times" w:hAnsi="Times"/>
          <w:color w:val="000000" w:themeColor="text1"/>
          <w:sz w:val="21"/>
          <w:szCs w:val="21"/>
        </w:rPr>
        <w:t>Number of words in a central guideline</w:t>
      </w:r>
      <w:r>
        <w:rPr>
          <w:rFonts w:ascii="Times" w:hAnsi="Times"/>
          <w:color w:val="000000" w:themeColor="text1"/>
          <w:sz w:val="21"/>
          <w:szCs w:val="21"/>
        </w:rPr>
        <w:t>.</w:t>
      </w:r>
    </w:p>
    <w:p w:rsidR="0009630B" w:rsidRDefault="0009630B" w:rsidP="00BE6591">
      <w:pPr>
        <w:pStyle w:val="a6"/>
        <w:numPr>
          <w:ilvl w:val="0"/>
          <w:numId w:val="1"/>
        </w:numPr>
        <w:ind w:firstLineChars="0"/>
        <w:rPr>
          <w:rFonts w:ascii="Times New Roman" w:hAnsi="Times New Roman" w:cs="Times New Roman"/>
          <w:sz w:val="21"/>
          <w:szCs w:val="21"/>
        </w:rPr>
      </w:pPr>
      <w:r w:rsidRPr="0009630B">
        <w:rPr>
          <w:rFonts w:ascii="Times New Roman" w:hAnsi="Times New Roman" w:cs="Times New Roman"/>
          <w:b/>
          <w:bCs/>
          <w:sz w:val="21"/>
          <w:szCs w:val="21"/>
        </w:rPr>
        <w:t xml:space="preserve">Topic Salience: </w:t>
      </w:r>
      <w:r w:rsidRPr="00A32034">
        <w:rPr>
          <w:rFonts w:ascii="Times" w:hAnsi="Times"/>
          <w:color w:val="000000" w:themeColor="text1"/>
          <w:sz w:val="21"/>
          <w:szCs w:val="21"/>
        </w:rPr>
        <w:t>Frequency of the topic of a central guideline mentioned in</w:t>
      </w:r>
      <w:bookmarkStart w:id="0" w:name="_GoBack"/>
      <w:bookmarkEnd w:id="0"/>
      <w:r w:rsidRPr="00A32034">
        <w:rPr>
          <w:rFonts w:ascii="Times" w:hAnsi="Times"/>
          <w:color w:val="000000" w:themeColor="text1"/>
          <w:sz w:val="21"/>
          <w:szCs w:val="21"/>
        </w:rPr>
        <w:t xml:space="preserve"> other central guidelines in this year</w:t>
      </w:r>
      <w:r>
        <w:rPr>
          <w:rFonts w:ascii="Times" w:hAnsi="Times"/>
          <w:color w:val="000000" w:themeColor="text1"/>
          <w:sz w:val="21"/>
          <w:szCs w:val="21"/>
        </w:rPr>
        <w:t>.</w:t>
      </w:r>
    </w:p>
    <w:p w:rsidR="002423AB" w:rsidRPr="0009630B" w:rsidRDefault="002423AB" w:rsidP="00BE6591">
      <w:pPr>
        <w:pStyle w:val="a6"/>
        <w:numPr>
          <w:ilvl w:val="0"/>
          <w:numId w:val="1"/>
        </w:numPr>
        <w:ind w:firstLineChars="0"/>
        <w:rPr>
          <w:rFonts w:ascii="Times New Roman" w:hAnsi="Times New Roman" w:cs="Times New Roman"/>
          <w:sz w:val="21"/>
          <w:szCs w:val="21"/>
        </w:rPr>
      </w:pPr>
      <w:r>
        <w:rPr>
          <w:rFonts w:ascii="Times New Roman" w:hAnsi="Times New Roman" w:cs="Times New Roman"/>
          <w:b/>
          <w:bCs/>
          <w:sz w:val="21"/>
          <w:szCs w:val="21"/>
        </w:rPr>
        <w:t xml:space="preserve">Degree of Control: </w:t>
      </w:r>
      <w:r w:rsidRPr="00A32034">
        <w:rPr>
          <w:rFonts w:ascii="Times" w:hAnsi="Times"/>
          <w:color w:val="000000" w:themeColor="text1"/>
          <w:sz w:val="21"/>
          <w:szCs w:val="21"/>
        </w:rPr>
        <w:t>Percentage of the words which are from the bureaucratic control category in each central guideline</w:t>
      </w:r>
      <w:r>
        <w:rPr>
          <w:rFonts w:ascii="Times" w:hAnsi="Times"/>
          <w:color w:val="000000" w:themeColor="text1"/>
          <w:sz w:val="21"/>
          <w:szCs w:val="21"/>
        </w:rPr>
        <w:t>.</w:t>
      </w:r>
    </w:p>
    <w:p w:rsidR="0009630B" w:rsidRPr="00BE6591" w:rsidRDefault="0009630B" w:rsidP="00BE6591">
      <w:pPr>
        <w:pStyle w:val="a6"/>
        <w:numPr>
          <w:ilvl w:val="0"/>
          <w:numId w:val="1"/>
        </w:numPr>
        <w:ind w:firstLineChars="0"/>
        <w:rPr>
          <w:rFonts w:ascii="Times New Roman" w:hAnsi="Times New Roman" w:cs="Times New Roman"/>
          <w:sz w:val="21"/>
          <w:szCs w:val="21"/>
        </w:rPr>
      </w:pPr>
      <w:r w:rsidRPr="0009630B">
        <w:rPr>
          <w:rFonts w:ascii="Times New Roman" w:hAnsi="Times New Roman" w:cs="Times New Roman"/>
          <w:b/>
          <w:bCs/>
          <w:sz w:val="21"/>
          <w:szCs w:val="21"/>
        </w:rPr>
        <w:t xml:space="preserve">Degree of Control (Expanded): </w:t>
      </w:r>
      <w:r>
        <w:rPr>
          <w:rFonts w:ascii="Times" w:hAnsi="Times"/>
          <w:color w:val="000000" w:themeColor="text1"/>
          <w:sz w:val="21"/>
          <w:szCs w:val="21"/>
        </w:rPr>
        <w:t xml:space="preserve">Percentage </w:t>
      </w:r>
      <w:r w:rsidRPr="00A32034">
        <w:rPr>
          <w:rFonts w:ascii="Times" w:hAnsi="Times"/>
          <w:color w:val="000000" w:themeColor="text1"/>
          <w:sz w:val="21"/>
          <w:szCs w:val="21"/>
        </w:rPr>
        <w:t xml:space="preserve">of the words which are in the expanded version of </w:t>
      </w:r>
      <w:r>
        <w:rPr>
          <w:rFonts w:ascii="Times" w:hAnsi="Times"/>
          <w:color w:val="000000" w:themeColor="text1"/>
          <w:sz w:val="21"/>
          <w:szCs w:val="21"/>
        </w:rPr>
        <w:t xml:space="preserve">bureaucratic control </w:t>
      </w:r>
      <w:r w:rsidRPr="00A32034">
        <w:rPr>
          <w:rFonts w:ascii="Times" w:hAnsi="Times"/>
          <w:color w:val="000000" w:themeColor="text1"/>
          <w:sz w:val="21"/>
          <w:szCs w:val="21"/>
        </w:rPr>
        <w:t>category</w:t>
      </w:r>
      <w:r>
        <w:rPr>
          <w:rFonts w:ascii="Times" w:hAnsi="Times"/>
          <w:color w:val="000000" w:themeColor="text1"/>
          <w:sz w:val="21"/>
          <w:szCs w:val="21"/>
        </w:rPr>
        <w:t>.</w:t>
      </w:r>
    </w:p>
    <w:p w:rsidR="002E0E87" w:rsidRDefault="002E0E87">
      <w:pPr>
        <w:rPr>
          <w:rFonts w:ascii="Times New Roman" w:hAnsi="Times New Roman" w:cs="Times New Roman"/>
          <w:sz w:val="21"/>
          <w:szCs w:val="21"/>
        </w:rPr>
      </w:pPr>
    </w:p>
    <w:p w:rsidR="002E0E87" w:rsidRDefault="002E0E87">
      <w:pPr>
        <w:rPr>
          <w:rFonts w:ascii="Times New Roman" w:hAnsi="Times New Roman" w:cs="Times New Roman"/>
          <w:sz w:val="21"/>
          <w:szCs w:val="21"/>
        </w:rPr>
      </w:pPr>
      <w:r>
        <w:rPr>
          <w:rFonts w:ascii="Times New Roman" w:hAnsi="Times New Roman" w:cs="Times New Roman" w:hint="eastAsia"/>
          <w:sz w:val="21"/>
          <w:szCs w:val="21"/>
        </w:rPr>
        <w:t>T</w:t>
      </w:r>
      <w:r>
        <w:rPr>
          <w:rFonts w:ascii="Times New Roman" w:hAnsi="Times New Roman" w:cs="Times New Roman"/>
          <w:sz w:val="21"/>
          <w:szCs w:val="21"/>
        </w:rPr>
        <w:t xml:space="preserve">able </w:t>
      </w:r>
      <w:r w:rsidR="002241CD">
        <w:rPr>
          <w:rFonts w:ascii="Times New Roman" w:hAnsi="Times New Roman" w:cs="Times New Roman"/>
          <w:sz w:val="21"/>
          <w:szCs w:val="21"/>
        </w:rPr>
        <w:t>D</w:t>
      </w:r>
      <w:r>
        <w:rPr>
          <w:rFonts w:ascii="Times New Roman" w:hAnsi="Times New Roman" w:cs="Times New Roman"/>
          <w:sz w:val="21"/>
          <w:szCs w:val="21"/>
        </w:rPr>
        <w:t xml:space="preserve">1: </w:t>
      </w:r>
    </w:p>
    <w:tbl>
      <w:tblPr>
        <w:tblStyle w:val="a3"/>
        <w:tblW w:w="5000" w:type="pct"/>
        <w:tblLook w:val="04A0" w:firstRow="1" w:lastRow="0" w:firstColumn="1" w:lastColumn="0" w:noHBand="0" w:noVBand="1"/>
      </w:tblPr>
      <w:tblGrid>
        <w:gridCol w:w="451"/>
        <w:gridCol w:w="3308"/>
        <w:gridCol w:w="1290"/>
        <w:gridCol w:w="1293"/>
        <w:gridCol w:w="1293"/>
        <w:gridCol w:w="1293"/>
        <w:gridCol w:w="1293"/>
        <w:gridCol w:w="1293"/>
        <w:gridCol w:w="1293"/>
        <w:gridCol w:w="1293"/>
        <w:gridCol w:w="1290"/>
      </w:tblGrid>
      <w:tr w:rsidR="009505CA" w:rsidRPr="00BE6591" w:rsidTr="009505CA">
        <w:trPr>
          <w:trHeight w:val="591"/>
        </w:trPr>
        <w:tc>
          <w:tcPr>
            <w:tcW w:w="147" w:type="pct"/>
            <w:shd w:val="clear" w:color="auto" w:fill="E7E6E6" w:themeFill="background2"/>
            <w:vAlign w:val="center"/>
          </w:tcPr>
          <w:p w:rsidR="009505CA" w:rsidRPr="00BE6591" w:rsidRDefault="009505CA" w:rsidP="009505CA">
            <w:pPr>
              <w:widowControl/>
              <w:jc w:val="center"/>
              <w:rPr>
                <w:rFonts w:ascii="Times New Roman" w:hAnsi="Times New Roman" w:cs="Times New Roman"/>
                <w:b/>
                <w:sz w:val="18"/>
                <w:szCs w:val="18"/>
              </w:rPr>
            </w:pPr>
            <w:r w:rsidRPr="00BE6591">
              <w:rPr>
                <w:rFonts w:ascii="Times New Roman" w:hAnsi="Times New Roman" w:cs="Times New Roman"/>
                <w:b/>
                <w:sz w:val="18"/>
                <w:szCs w:val="18"/>
              </w:rPr>
              <w:t>ID</w:t>
            </w:r>
          </w:p>
        </w:tc>
        <w:tc>
          <w:tcPr>
            <w:tcW w:w="1075" w:type="pct"/>
            <w:shd w:val="clear" w:color="auto" w:fill="E7E6E6" w:themeFill="background2"/>
            <w:vAlign w:val="center"/>
          </w:tcPr>
          <w:p w:rsidR="009505CA" w:rsidRPr="00BE6591" w:rsidRDefault="009505CA" w:rsidP="009505CA">
            <w:pPr>
              <w:widowControl/>
              <w:jc w:val="center"/>
              <w:rPr>
                <w:rFonts w:ascii="Times New Roman" w:hAnsi="Times New Roman" w:cs="Times New Roman"/>
                <w:b/>
                <w:color w:val="000000" w:themeColor="text1"/>
                <w:sz w:val="18"/>
                <w:szCs w:val="18"/>
              </w:rPr>
            </w:pPr>
            <w:r w:rsidRPr="00BE6591">
              <w:rPr>
                <w:rFonts w:ascii="Times New Roman" w:hAnsi="Times New Roman" w:cs="Times New Roman"/>
                <w:b/>
                <w:color w:val="000000" w:themeColor="text1"/>
                <w:sz w:val="18"/>
                <w:szCs w:val="18"/>
              </w:rPr>
              <w:t>Guideline Title</w:t>
            </w:r>
          </w:p>
          <w:p w:rsidR="009505CA" w:rsidRPr="00BE6591" w:rsidRDefault="009505CA" w:rsidP="009505CA">
            <w:pPr>
              <w:widowControl/>
              <w:jc w:val="center"/>
              <w:rPr>
                <w:rFonts w:ascii="Times New Roman" w:hAnsi="Times New Roman" w:cs="Times New Roman"/>
                <w:b/>
                <w:color w:val="000000" w:themeColor="text1"/>
                <w:sz w:val="18"/>
                <w:szCs w:val="18"/>
              </w:rPr>
            </w:pPr>
            <w:r w:rsidRPr="00BE6591">
              <w:rPr>
                <w:rFonts w:ascii="Times New Roman" w:hAnsi="Times New Roman" w:cs="Times New Roman"/>
                <w:b/>
                <w:color w:val="000000" w:themeColor="text1"/>
                <w:sz w:val="18"/>
                <w:szCs w:val="18"/>
              </w:rPr>
              <w:t>(in Chinese)</w:t>
            </w:r>
          </w:p>
        </w:tc>
        <w:tc>
          <w:tcPr>
            <w:tcW w:w="419" w:type="pct"/>
            <w:shd w:val="clear" w:color="auto" w:fill="E7E6E6" w:themeFill="background2"/>
            <w:vAlign w:val="center"/>
          </w:tcPr>
          <w:p w:rsidR="009505CA" w:rsidRPr="00BE6591" w:rsidRDefault="009505CA" w:rsidP="009505CA">
            <w:pPr>
              <w:widowControl/>
              <w:jc w:val="center"/>
              <w:rPr>
                <w:rFonts w:ascii="Times New Roman" w:hAnsi="Times New Roman" w:cs="Times New Roman"/>
                <w:b/>
                <w:sz w:val="18"/>
                <w:szCs w:val="18"/>
              </w:rPr>
            </w:pPr>
            <w:r w:rsidRPr="00BE6591">
              <w:rPr>
                <w:rFonts w:ascii="Times New Roman" w:hAnsi="Times New Roman" w:cs="Times New Roman"/>
                <w:b/>
                <w:sz w:val="18"/>
                <w:szCs w:val="18"/>
              </w:rPr>
              <w:t>Release</w:t>
            </w:r>
          </w:p>
          <w:p w:rsidR="009505CA" w:rsidRPr="00BE6591" w:rsidRDefault="009505CA" w:rsidP="009505CA">
            <w:pPr>
              <w:widowControl/>
              <w:jc w:val="center"/>
              <w:rPr>
                <w:rFonts w:ascii="Times New Roman" w:hAnsi="Times New Roman" w:cs="Times New Roman"/>
                <w:b/>
                <w:sz w:val="18"/>
                <w:szCs w:val="18"/>
              </w:rPr>
            </w:pPr>
            <w:r w:rsidRPr="00BE6591">
              <w:rPr>
                <w:rFonts w:ascii="Times New Roman" w:hAnsi="Times New Roman" w:cs="Times New Roman"/>
                <w:b/>
                <w:sz w:val="18"/>
                <w:szCs w:val="18"/>
              </w:rPr>
              <w:t>Date</w:t>
            </w:r>
          </w:p>
        </w:tc>
        <w:tc>
          <w:tcPr>
            <w:tcW w:w="420" w:type="pct"/>
            <w:shd w:val="clear" w:color="auto" w:fill="E7E6E6" w:themeFill="background2"/>
            <w:vAlign w:val="center"/>
          </w:tcPr>
          <w:p w:rsidR="009505CA" w:rsidRPr="00BE6591" w:rsidRDefault="009505CA" w:rsidP="009505CA">
            <w:pPr>
              <w:widowControl/>
              <w:jc w:val="center"/>
              <w:rPr>
                <w:rFonts w:ascii="Times New Roman" w:hAnsi="Times New Roman" w:cs="Times New Roman"/>
                <w:b/>
                <w:sz w:val="18"/>
                <w:szCs w:val="18"/>
              </w:rPr>
            </w:pPr>
            <w:r w:rsidRPr="00BE6591">
              <w:rPr>
                <w:rFonts w:ascii="Times New Roman" w:hAnsi="Times New Roman" w:cs="Times New Roman"/>
                <w:b/>
                <w:sz w:val="18"/>
                <w:szCs w:val="18"/>
              </w:rPr>
              <w:t>Mobilization</w:t>
            </w:r>
          </w:p>
        </w:tc>
        <w:tc>
          <w:tcPr>
            <w:tcW w:w="420" w:type="pct"/>
            <w:shd w:val="clear" w:color="auto" w:fill="E7E6E6" w:themeFill="background2"/>
            <w:vAlign w:val="center"/>
          </w:tcPr>
          <w:p w:rsidR="009505CA" w:rsidRPr="00BE6591" w:rsidRDefault="009505CA" w:rsidP="009505CA">
            <w:pPr>
              <w:widowControl/>
              <w:jc w:val="center"/>
              <w:rPr>
                <w:rFonts w:ascii="Times New Roman" w:hAnsi="Times New Roman" w:cs="Times New Roman"/>
                <w:b/>
                <w:sz w:val="18"/>
                <w:szCs w:val="18"/>
              </w:rPr>
            </w:pPr>
            <w:r w:rsidRPr="00BE6591">
              <w:rPr>
                <w:rFonts w:ascii="Times New Roman" w:hAnsi="Times New Roman" w:cs="Times New Roman"/>
                <w:b/>
                <w:sz w:val="18"/>
                <w:szCs w:val="18"/>
              </w:rPr>
              <w:t>Monitoring</w:t>
            </w:r>
          </w:p>
        </w:tc>
        <w:tc>
          <w:tcPr>
            <w:tcW w:w="420" w:type="pct"/>
            <w:shd w:val="clear" w:color="auto" w:fill="E7E6E6" w:themeFill="background2"/>
            <w:vAlign w:val="center"/>
          </w:tcPr>
          <w:p w:rsidR="009505CA" w:rsidRPr="00BE6591" w:rsidRDefault="009505CA" w:rsidP="009505CA">
            <w:pPr>
              <w:widowControl/>
              <w:jc w:val="center"/>
              <w:rPr>
                <w:rFonts w:ascii="Times New Roman" w:hAnsi="Times New Roman" w:cs="Times New Roman"/>
                <w:b/>
                <w:sz w:val="18"/>
                <w:szCs w:val="18"/>
              </w:rPr>
            </w:pPr>
            <w:r w:rsidRPr="00BE6591">
              <w:rPr>
                <w:rFonts w:ascii="Times New Roman" w:hAnsi="Times New Roman" w:cs="Times New Roman"/>
                <w:b/>
                <w:sz w:val="18"/>
                <w:szCs w:val="18"/>
              </w:rPr>
              <w:t>Guideline Level</w:t>
            </w:r>
          </w:p>
        </w:tc>
        <w:tc>
          <w:tcPr>
            <w:tcW w:w="420" w:type="pct"/>
            <w:shd w:val="clear" w:color="auto" w:fill="E7E6E6" w:themeFill="background2"/>
            <w:vAlign w:val="center"/>
          </w:tcPr>
          <w:p w:rsidR="009505CA" w:rsidRPr="00BE6591" w:rsidRDefault="009505CA" w:rsidP="009505CA">
            <w:pPr>
              <w:widowControl/>
              <w:jc w:val="center"/>
              <w:rPr>
                <w:rFonts w:ascii="Times New Roman" w:hAnsi="Times New Roman" w:cs="Times New Roman"/>
                <w:b/>
                <w:sz w:val="18"/>
                <w:szCs w:val="18"/>
              </w:rPr>
            </w:pPr>
            <w:r w:rsidRPr="00BE6591">
              <w:rPr>
                <w:rFonts w:ascii="Times New Roman" w:hAnsi="Times New Roman" w:cs="Times New Roman"/>
                <w:b/>
                <w:sz w:val="18"/>
                <w:szCs w:val="18"/>
              </w:rPr>
              <w:t>Policy</w:t>
            </w:r>
          </w:p>
          <w:p w:rsidR="009505CA" w:rsidRPr="00BE6591" w:rsidRDefault="009505CA" w:rsidP="009505CA">
            <w:pPr>
              <w:widowControl/>
              <w:jc w:val="center"/>
              <w:rPr>
                <w:rFonts w:ascii="Times New Roman" w:hAnsi="Times New Roman" w:cs="Times New Roman"/>
                <w:b/>
                <w:sz w:val="18"/>
                <w:szCs w:val="18"/>
              </w:rPr>
            </w:pPr>
            <w:r w:rsidRPr="00BE6591">
              <w:rPr>
                <w:rFonts w:ascii="Times New Roman" w:hAnsi="Times New Roman" w:cs="Times New Roman"/>
                <w:b/>
                <w:sz w:val="18"/>
                <w:szCs w:val="18"/>
              </w:rPr>
              <w:t>Type</w:t>
            </w:r>
          </w:p>
        </w:tc>
        <w:tc>
          <w:tcPr>
            <w:tcW w:w="420" w:type="pct"/>
            <w:shd w:val="clear" w:color="auto" w:fill="E7E6E6" w:themeFill="background2"/>
            <w:vAlign w:val="center"/>
          </w:tcPr>
          <w:p w:rsidR="009505CA" w:rsidRPr="009505CA" w:rsidRDefault="009505CA" w:rsidP="009505CA">
            <w:pPr>
              <w:widowControl/>
              <w:jc w:val="center"/>
              <w:rPr>
                <w:rFonts w:ascii="Times New Roman" w:hAnsi="Times New Roman" w:cs="Times New Roman"/>
                <w:b/>
                <w:color w:val="000000" w:themeColor="text1"/>
                <w:sz w:val="18"/>
                <w:szCs w:val="18"/>
              </w:rPr>
            </w:pPr>
            <w:r w:rsidRPr="009505CA">
              <w:rPr>
                <w:rFonts w:ascii="Times New Roman" w:hAnsi="Times New Roman" w:cs="Times New Roman"/>
                <w:b/>
                <w:color w:val="000000" w:themeColor="text1"/>
                <w:sz w:val="18"/>
                <w:szCs w:val="18"/>
              </w:rPr>
              <w:t>Guideline Length (words)</w:t>
            </w:r>
          </w:p>
        </w:tc>
        <w:tc>
          <w:tcPr>
            <w:tcW w:w="420" w:type="pct"/>
            <w:shd w:val="clear" w:color="auto" w:fill="E7E6E6" w:themeFill="background2"/>
            <w:vAlign w:val="center"/>
          </w:tcPr>
          <w:p w:rsidR="009505CA" w:rsidRPr="009505CA" w:rsidRDefault="009505CA" w:rsidP="009505CA">
            <w:pPr>
              <w:widowControl/>
              <w:jc w:val="center"/>
              <w:rPr>
                <w:rFonts w:ascii="Times New Roman" w:hAnsi="Times New Roman" w:cs="Times New Roman"/>
                <w:b/>
                <w:color w:val="000000" w:themeColor="text1"/>
                <w:sz w:val="18"/>
                <w:szCs w:val="18"/>
              </w:rPr>
            </w:pPr>
            <w:r w:rsidRPr="009505CA">
              <w:rPr>
                <w:rFonts w:ascii="Times New Roman" w:hAnsi="Times New Roman" w:cs="Times New Roman"/>
                <w:b/>
                <w:color w:val="000000" w:themeColor="text1"/>
                <w:sz w:val="18"/>
                <w:szCs w:val="18"/>
              </w:rPr>
              <w:t>Topic Salience</w:t>
            </w:r>
          </w:p>
        </w:tc>
        <w:tc>
          <w:tcPr>
            <w:tcW w:w="420" w:type="pct"/>
            <w:shd w:val="clear" w:color="auto" w:fill="E7E6E6" w:themeFill="background2"/>
            <w:vAlign w:val="center"/>
          </w:tcPr>
          <w:p w:rsidR="009505CA" w:rsidRPr="009505CA" w:rsidRDefault="009505CA" w:rsidP="009505CA">
            <w:pPr>
              <w:widowControl/>
              <w:jc w:val="center"/>
              <w:rPr>
                <w:rFonts w:ascii="Times New Roman" w:hAnsi="Times New Roman" w:cs="Times New Roman"/>
                <w:b/>
                <w:color w:val="000000" w:themeColor="text1"/>
                <w:sz w:val="18"/>
                <w:szCs w:val="18"/>
              </w:rPr>
            </w:pPr>
            <w:r w:rsidRPr="009505CA">
              <w:rPr>
                <w:rFonts w:ascii="Times New Roman" w:hAnsi="Times New Roman" w:cs="Times New Roman" w:hint="eastAsia"/>
                <w:b/>
                <w:color w:val="000000" w:themeColor="text1"/>
                <w:sz w:val="18"/>
                <w:szCs w:val="18"/>
              </w:rPr>
              <w:t>D</w:t>
            </w:r>
            <w:r w:rsidRPr="009505CA">
              <w:rPr>
                <w:rFonts w:ascii="Times New Roman" w:hAnsi="Times New Roman" w:cs="Times New Roman"/>
                <w:b/>
                <w:color w:val="000000" w:themeColor="text1"/>
                <w:sz w:val="18"/>
                <w:szCs w:val="18"/>
              </w:rPr>
              <w:t>egree of Control</w:t>
            </w:r>
          </w:p>
        </w:tc>
        <w:tc>
          <w:tcPr>
            <w:tcW w:w="419" w:type="pct"/>
            <w:shd w:val="clear" w:color="auto" w:fill="E7E6E6" w:themeFill="background2"/>
          </w:tcPr>
          <w:p w:rsidR="009505CA" w:rsidRPr="009505CA" w:rsidRDefault="009505CA" w:rsidP="009505CA">
            <w:pPr>
              <w:widowControl/>
              <w:jc w:val="center"/>
              <w:rPr>
                <w:rFonts w:ascii="Times New Roman" w:hAnsi="Times New Roman" w:cs="Times New Roman"/>
                <w:b/>
                <w:color w:val="000000" w:themeColor="text1"/>
                <w:sz w:val="18"/>
                <w:szCs w:val="18"/>
              </w:rPr>
            </w:pPr>
            <w:r>
              <w:rPr>
                <w:rFonts w:ascii="Times New Roman" w:hAnsi="Times New Roman" w:cs="Times New Roman" w:hint="eastAsia"/>
                <w:b/>
                <w:color w:val="000000" w:themeColor="text1"/>
                <w:sz w:val="18"/>
                <w:szCs w:val="18"/>
              </w:rPr>
              <w:t>D</w:t>
            </w:r>
            <w:r>
              <w:rPr>
                <w:rFonts w:ascii="Times New Roman" w:hAnsi="Times New Roman" w:cs="Times New Roman"/>
                <w:b/>
                <w:color w:val="000000" w:themeColor="text1"/>
                <w:sz w:val="18"/>
                <w:szCs w:val="18"/>
              </w:rPr>
              <w:t>egree of Control (Expanded)</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国务院办公厅关于进一步加强煤矿安全生产工作的通知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2003/6/20</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1836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0.05408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0.00926</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0.01636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国务院办公厅关于实施食品药品放心工程的通知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2003/7/16</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2316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0.00306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0.00302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0.00691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国务院办公厅关于清理整顿各类开发区加强建设用地管理的通知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2003/7/30</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1206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0.01144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0.01327</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0.01993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4</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国务院办公厅关于进一步做好农业标准化工作的通知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2003/12/8</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2226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0.01359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0.00225</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0.00494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5</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国务院关于进一步加强安全生产工作的决定</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2004/1/9</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3931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0.16287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0.00280</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0.01094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6</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国务院关于切实加强艾滋病防治工作的通知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2004/3/16</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5</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3128</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0.01734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0.00128</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0.00416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lastRenderedPageBreak/>
              <w:t>7</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国务院办公厅关于加强生物物种资源保护和管理的通知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2004/3/31</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1916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0.01328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0.00365</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0.00678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8</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国务院办公厅关于开展资源节约活动的通知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2004/4/1</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2556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0.08872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0.00117</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0.00430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9</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国务院办公厅关于进一步加强森林防火工作的通知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2004/4/14</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2536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0.02522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0.00434</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0.00670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10</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国务院办公厅关于推进水价改革促进节约用水保护水资源的通知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2004/4/19</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2720</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0.01839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0.00147</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0.00478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11</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国务院关于做好省级以下国土资源管理体制改革有关问题的通知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2004/4/21</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1012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0.04713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0.00889</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0.02273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12</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国务院关于进一步加强血吸虫病防治工作的通知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2004/5/13</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5</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2951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0.01379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0.00102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0.00271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13</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国务院办公厅关于加强湿地保护管理的通知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2004/6/5</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1468</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0.02585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0.00681</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0.01499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14</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国务院办公厅关于加强中央企业安全生产工作的通知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2004/6/24</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2100</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0.01658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0.00238</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0.01381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15</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国务院关于进一步加强食品安全工作的决定</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2004/9/1</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3085</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0.03539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0.00357</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0.00778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16</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国务院关于深化改革严格土地管理的决定</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2004/10/21</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4472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0.06886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0.01565</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0.02460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17</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国务院办公厅关于完善煤矿安全监察体制的意见</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2004/11/4</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956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0.00783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0.00000</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0.00732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18</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国务院关于推进兽医管理体制改革的若干意见</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2005/5/14</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5</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2026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0.02184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0.00099</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0.01086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19</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国务院办公厅关于加强车辆超限超载治理工作的通知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2005/6/1</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1844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0.00340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0.00922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0.01681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20</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国务院办公厅关于进一步推进墙体材料革新和推广节能建筑的通知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2005/6/6</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2353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0.00658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0.00722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0.01317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21</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国务院关于做好建设节约型社会近期重点工作的通知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2005/6/27</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4766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0.09951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0.00357</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0.00546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lastRenderedPageBreak/>
              <w:t>22</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国务院办公厅关于加强饮用水安全保障工作的通知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2005/8/17</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5</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1536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0.03140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0.00781</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0.01107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23</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国务院关于全面整顿和规范矿产资源开发秩序的通知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2005/8/18</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3646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0.07467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0.00960</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0.01947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24</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国务院关于进一步加强防沙治沙工作的决定</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2005/9/8</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4703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0.01453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0.00659</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0.01063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25</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国务院办公厅关于印发《省级政府耕地保护责任目标考核办法》的通知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2005/10/28</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922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0.05108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0.00542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0.01085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26</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国务院关于落实科学发展观加强环境保护的决定</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2005/12/3</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6702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0.01236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0.00507</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0.00881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27</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国务院办公厅关于印发中国遏制与防治艾滋病行动计划（</w:t>
            </w:r>
            <w:r w:rsidRPr="002E0E87">
              <w:rPr>
                <w:rFonts w:ascii="Times New Roman" w:eastAsia="宋体" w:hAnsi="Times New Roman" w:cs="Times New Roman"/>
                <w:bCs/>
                <w:color w:val="000000" w:themeColor="text1"/>
                <w:sz w:val="22"/>
                <w:szCs w:val="22"/>
              </w:rPr>
              <w:t>2006</w:t>
            </w:r>
            <w:r w:rsidRPr="002E0E87">
              <w:rPr>
                <w:rFonts w:ascii="Times New Roman" w:eastAsia="宋体" w:hAnsi="Times New Roman" w:cs="Times New Roman"/>
                <w:bCs/>
                <w:color w:val="000000" w:themeColor="text1"/>
                <w:sz w:val="22"/>
                <w:szCs w:val="22"/>
              </w:rPr>
              <w:t>－</w:t>
            </w:r>
            <w:r w:rsidRPr="002E0E87">
              <w:rPr>
                <w:rFonts w:ascii="Times New Roman" w:eastAsia="宋体" w:hAnsi="Times New Roman" w:cs="Times New Roman"/>
                <w:bCs/>
                <w:color w:val="000000" w:themeColor="text1"/>
                <w:sz w:val="22"/>
                <w:szCs w:val="22"/>
              </w:rPr>
              <w:t>2010</w:t>
            </w:r>
            <w:r w:rsidRPr="002E0E87">
              <w:rPr>
                <w:rFonts w:ascii="Times New Roman" w:eastAsia="宋体" w:hAnsi="Times New Roman" w:cs="Times New Roman"/>
                <w:bCs/>
                <w:color w:val="000000" w:themeColor="text1"/>
                <w:sz w:val="22"/>
                <w:szCs w:val="22"/>
              </w:rPr>
              <w:t>年）的通知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2006/2/27</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5</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6422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0.02034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0.00062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0.00265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28</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国务院关于进一步加强消防工作的意见</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2006/5/10</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3250</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0.02673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0.00708</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0.01662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29</w:t>
            </w:r>
          </w:p>
        </w:tc>
        <w:tc>
          <w:tcPr>
            <w:tcW w:w="1075" w:type="pct"/>
            <w:vAlign w:val="center"/>
          </w:tcPr>
          <w:p w:rsidR="009505CA" w:rsidRPr="002E0E87" w:rsidRDefault="009505CA" w:rsidP="009505CA">
            <w:pPr>
              <w:widowControl/>
              <w:jc w:val="center"/>
              <w:rPr>
                <w:rFonts w:ascii="Times New Roman" w:eastAsia="宋体" w:hAnsi="Times New Roman" w:cs="Times New Roman"/>
                <w:bCs/>
                <w:color w:val="000000" w:themeColor="text1"/>
                <w:sz w:val="22"/>
                <w:szCs w:val="22"/>
              </w:rPr>
            </w:pPr>
            <w:r w:rsidRPr="002E0E87">
              <w:rPr>
                <w:rFonts w:ascii="Times New Roman" w:eastAsia="宋体" w:hAnsi="Times New Roman" w:cs="Times New Roman"/>
                <w:bCs/>
                <w:color w:val="000000" w:themeColor="text1"/>
                <w:sz w:val="22"/>
                <w:szCs w:val="22"/>
              </w:rPr>
              <w:t>国务院办公厅关于推进种子管理体制改革加强市场监管的意见</w:t>
            </w:r>
          </w:p>
        </w:tc>
        <w:tc>
          <w:tcPr>
            <w:tcW w:w="419"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2006/5/19</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2024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0.00357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0.00593</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0.01532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30</w:t>
            </w:r>
          </w:p>
        </w:tc>
        <w:tc>
          <w:tcPr>
            <w:tcW w:w="1075" w:type="pct"/>
            <w:vAlign w:val="center"/>
          </w:tcPr>
          <w:p w:rsidR="009505CA" w:rsidRPr="002E0E87" w:rsidRDefault="009505CA" w:rsidP="009505CA">
            <w:pPr>
              <w:widowControl/>
              <w:jc w:val="center"/>
              <w:rPr>
                <w:rFonts w:ascii="Times New Roman" w:eastAsia="宋体" w:hAnsi="Times New Roman" w:cs="Times New Roman"/>
                <w:bCs/>
                <w:color w:val="000000" w:themeColor="text1"/>
                <w:sz w:val="22"/>
                <w:szCs w:val="22"/>
              </w:rPr>
            </w:pPr>
            <w:r w:rsidRPr="002E0E87">
              <w:rPr>
                <w:rFonts w:ascii="Times New Roman" w:eastAsia="宋体" w:hAnsi="Times New Roman" w:cs="Times New Roman"/>
                <w:bCs/>
                <w:color w:val="000000" w:themeColor="text1"/>
                <w:sz w:val="22"/>
                <w:szCs w:val="22"/>
              </w:rPr>
              <w:t>国务院办公厅关于建立国家土地督察制度有关问题的通知</w:t>
            </w:r>
          </w:p>
        </w:tc>
        <w:tc>
          <w:tcPr>
            <w:tcW w:w="419"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2006/7/13</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1386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0.01637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0.00361</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0.00649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31</w:t>
            </w:r>
          </w:p>
        </w:tc>
        <w:tc>
          <w:tcPr>
            <w:tcW w:w="1075" w:type="pct"/>
            <w:vAlign w:val="center"/>
          </w:tcPr>
          <w:p w:rsidR="009505CA" w:rsidRPr="002E0E87" w:rsidRDefault="009505CA" w:rsidP="009505CA">
            <w:pPr>
              <w:widowControl/>
              <w:jc w:val="center"/>
              <w:rPr>
                <w:rFonts w:ascii="Times New Roman" w:eastAsia="宋体" w:hAnsi="Times New Roman" w:cs="Times New Roman"/>
                <w:bCs/>
                <w:color w:val="000000" w:themeColor="text1"/>
                <w:sz w:val="22"/>
                <w:szCs w:val="22"/>
              </w:rPr>
            </w:pPr>
            <w:r w:rsidRPr="002E0E87">
              <w:rPr>
                <w:rFonts w:ascii="Times New Roman" w:eastAsia="宋体" w:hAnsi="Times New Roman" w:cs="Times New Roman"/>
                <w:bCs/>
                <w:color w:val="000000" w:themeColor="text1"/>
                <w:sz w:val="22"/>
                <w:szCs w:val="22"/>
              </w:rPr>
              <w:t>国务院关于加强节能工作的决定</w:t>
            </w:r>
          </w:p>
        </w:tc>
        <w:tc>
          <w:tcPr>
            <w:tcW w:w="419"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2006/8/6</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4722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0.04184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0.00402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0.00657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32</w:t>
            </w:r>
          </w:p>
        </w:tc>
        <w:tc>
          <w:tcPr>
            <w:tcW w:w="1075" w:type="pct"/>
            <w:vAlign w:val="center"/>
          </w:tcPr>
          <w:p w:rsidR="009505CA" w:rsidRPr="002E0E87" w:rsidRDefault="009505CA" w:rsidP="009505CA">
            <w:pPr>
              <w:widowControl/>
              <w:jc w:val="center"/>
              <w:rPr>
                <w:rFonts w:ascii="Times New Roman" w:eastAsia="宋体" w:hAnsi="Times New Roman" w:cs="Times New Roman"/>
                <w:bCs/>
                <w:color w:val="000000" w:themeColor="text1"/>
                <w:sz w:val="22"/>
                <w:szCs w:val="22"/>
              </w:rPr>
            </w:pPr>
            <w:r w:rsidRPr="002E0E87">
              <w:rPr>
                <w:rFonts w:ascii="Times New Roman" w:eastAsia="宋体" w:hAnsi="Times New Roman" w:cs="Times New Roman"/>
                <w:bCs/>
                <w:color w:val="000000" w:themeColor="text1"/>
                <w:sz w:val="22"/>
                <w:szCs w:val="22"/>
              </w:rPr>
              <w:t>国务院关于加强土地调控有关问题的通知</w:t>
            </w:r>
          </w:p>
        </w:tc>
        <w:tc>
          <w:tcPr>
            <w:tcW w:w="419"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2006/8/31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1899</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0.02637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0.01159</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0.01790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33</w:t>
            </w:r>
          </w:p>
        </w:tc>
        <w:tc>
          <w:tcPr>
            <w:tcW w:w="1075" w:type="pct"/>
            <w:vAlign w:val="center"/>
          </w:tcPr>
          <w:p w:rsidR="009505CA" w:rsidRPr="002E0E87" w:rsidRDefault="009505CA" w:rsidP="009505CA">
            <w:pPr>
              <w:widowControl/>
              <w:jc w:val="center"/>
              <w:rPr>
                <w:rFonts w:ascii="Times New Roman" w:eastAsia="宋体" w:hAnsi="Times New Roman" w:cs="Times New Roman"/>
                <w:bCs/>
                <w:color w:val="000000" w:themeColor="text1"/>
                <w:sz w:val="22"/>
                <w:szCs w:val="22"/>
              </w:rPr>
            </w:pPr>
            <w:r w:rsidRPr="002E0E87">
              <w:rPr>
                <w:rFonts w:ascii="Times New Roman" w:eastAsia="宋体" w:hAnsi="Times New Roman" w:cs="Times New Roman"/>
                <w:bCs/>
                <w:color w:val="000000" w:themeColor="text1"/>
                <w:sz w:val="22"/>
                <w:szCs w:val="22"/>
              </w:rPr>
              <w:t>国务院办公厅关于整顿和规范活禽经营市场秩序加强高致病性禽流感防控工作的意见</w:t>
            </w:r>
          </w:p>
        </w:tc>
        <w:tc>
          <w:tcPr>
            <w:tcW w:w="419"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2006/11/20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1346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0.00000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0.00817</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0.01189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34</w:t>
            </w:r>
          </w:p>
        </w:tc>
        <w:tc>
          <w:tcPr>
            <w:tcW w:w="1075" w:type="pct"/>
            <w:vAlign w:val="center"/>
          </w:tcPr>
          <w:p w:rsidR="009505CA" w:rsidRPr="002E0E87" w:rsidRDefault="009505CA" w:rsidP="009505CA">
            <w:pPr>
              <w:widowControl/>
              <w:jc w:val="center"/>
              <w:rPr>
                <w:rFonts w:ascii="Times New Roman" w:eastAsia="宋体" w:hAnsi="Times New Roman" w:cs="Times New Roman"/>
                <w:bCs/>
                <w:color w:val="000000" w:themeColor="text1"/>
                <w:sz w:val="22"/>
                <w:szCs w:val="22"/>
              </w:rPr>
            </w:pPr>
            <w:r w:rsidRPr="002E0E87">
              <w:rPr>
                <w:rFonts w:ascii="Times New Roman" w:eastAsia="宋体" w:hAnsi="Times New Roman" w:cs="Times New Roman"/>
                <w:bCs/>
                <w:color w:val="000000" w:themeColor="text1"/>
                <w:sz w:val="22"/>
                <w:szCs w:val="22"/>
              </w:rPr>
              <w:t>国务院办公厅关于规范国有土地使用权出让收支管理的通知</w:t>
            </w:r>
          </w:p>
        </w:tc>
        <w:tc>
          <w:tcPr>
            <w:tcW w:w="419"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2006/12/17</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2823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0.00309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0.00602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0.01523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35</w:t>
            </w:r>
          </w:p>
        </w:tc>
        <w:tc>
          <w:tcPr>
            <w:tcW w:w="1075" w:type="pct"/>
            <w:vAlign w:val="center"/>
          </w:tcPr>
          <w:p w:rsidR="009505CA" w:rsidRPr="002E0E87" w:rsidRDefault="009505CA" w:rsidP="009505CA">
            <w:pPr>
              <w:widowControl/>
              <w:jc w:val="center"/>
              <w:rPr>
                <w:rFonts w:ascii="Times New Roman" w:eastAsia="宋体" w:hAnsi="Times New Roman" w:cs="Times New Roman"/>
                <w:bCs/>
                <w:color w:val="000000" w:themeColor="text1"/>
                <w:sz w:val="22"/>
                <w:szCs w:val="22"/>
              </w:rPr>
            </w:pPr>
            <w:r w:rsidRPr="002E0E87">
              <w:rPr>
                <w:rFonts w:ascii="Times New Roman" w:eastAsia="宋体" w:hAnsi="Times New Roman" w:cs="Times New Roman"/>
                <w:bCs/>
                <w:color w:val="000000" w:themeColor="text1"/>
                <w:sz w:val="22"/>
                <w:szCs w:val="22"/>
              </w:rPr>
              <w:t>国务院办公厅关于进一步加强药品安全监管工作的通知</w:t>
            </w:r>
          </w:p>
        </w:tc>
        <w:tc>
          <w:tcPr>
            <w:tcW w:w="419"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2007/3/31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1802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0.09370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0.00333</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0.00777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lastRenderedPageBreak/>
              <w:t>36</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国务院关于印发节能减排综合性工作方案的通知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2007/5/23</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8986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0.11466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0.00323</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0.00545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37</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国务院办公厅关于严格执行公共建筑空调温度控制标准的通知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2007/6/1</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966</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0.00614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0.01242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0.01656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38</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国务院办公厅关于进一步加强气象灾害防御工作的意见</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2007/7/5</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1</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3042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0.03952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0.00000</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0.00329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39</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国务院办公厅关于建立政府强制采购节能产品制度的通知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2007/7/30</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1658</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0.02914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0.01508</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0.01749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40</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国务院关于加强产品质量和食品安全工作的通知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2007/8/5</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1</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1</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2522</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0.02727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0.00476</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0.00872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41</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国务院办公厅关于严格执行有关农村集体建设用地法律和政策的通知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2007/12/30</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3</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2089</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0.04428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0.02872</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0.04069 </w:t>
            </w:r>
          </w:p>
        </w:tc>
      </w:tr>
      <w:tr w:rsidR="009505CA" w:rsidRPr="002E0E87" w:rsidTr="00E739BC">
        <w:tc>
          <w:tcPr>
            <w:tcW w:w="147"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sidRPr="002E0E87">
              <w:rPr>
                <w:rFonts w:ascii="Times New Roman" w:eastAsia="宋体" w:hAnsi="Times New Roman" w:cs="Times New Roman"/>
                <w:color w:val="000000"/>
                <w:sz w:val="22"/>
                <w:szCs w:val="22"/>
              </w:rPr>
              <w:t>42</w:t>
            </w:r>
          </w:p>
        </w:tc>
        <w:tc>
          <w:tcPr>
            <w:tcW w:w="1075" w:type="pct"/>
            <w:vAlign w:val="center"/>
          </w:tcPr>
          <w:p w:rsidR="009505CA" w:rsidRPr="002E0E87" w:rsidRDefault="009505CA" w:rsidP="009505CA">
            <w:pPr>
              <w:widowControl/>
              <w:jc w:val="center"/>
              <w:rPr>
                <w:rFonts w:ascii="Times New Roman" w:hAnsi="Times New Roman" w:cs="Times New Roman"/>
                <w:color w:val="000000" w:themeColor="text1"/>
                <w:sz w:val="21"/>
                <w:szCs w:val="21"/>
              </w:rPr>
            </w:pPr>
            <w:r w:rsidRPr="002E0E87">
              <w:rPr>
                <w:rFonts w:ascii="Times New Roman" w:eastAsia="宋体" w:hAnsi="Times New Roman" w:cs="Times New Roman"/>
                <w:bCs/>
                <w:color w:val="000000" w:themeColor="text1"/>
                <w:sz w:val="22"/>
                <w:szCs w:val="22"/>
              </w:rPr>
              <w:t>国务院办公厅关于限制生产销售使用塑料购物袋的通知</w:t>
            </w:r>
          </w:p>
        </w:tc>
        <w:tc>
          <w:tcPr>
            <w:tcW w:w="419" w:type="pct"/>
            <w:vAlign w:val="center"/>
          </w:tcPr>
          <w:p w:rsidR="009505CA" w:rsidRPr="002E0E87" w:rsidRDefault="009505CA" w:rsidP="009505CA">
            <w:pPr>
              <w:widowControl/>
              <w:jc w:val="center"/>
              <w:rPr>
                <w:rFonts w:ascii="Times New Roman" w:hAnsi="Times New Roman" w:cs="Times New Roman"/>
                <w:b/>
              </w:rPr>
            </w:pPr>
            <w:r w:rsidRPr="002E0E87">
              <w:rPr>
                <w:rFonts w:ascii="Times New Roman" w:eastAsia="宋体" w:hAnsi="Times New Roman" w:cs="Times New Roman"/>
                <w:color w:val="000000"/>
                <w:sz w:val="22"/>
                <w:szCs w:val="22"/>
              </w:rPr>
              <w:t>2007/12/31</w:t>
            </w:r>
          </w:p>
        </w:tc>
        <w:tc>
          <w:tcPr>
            <w:tcW w:w="420" w:type="pct"/>
            <w:vAlign w:val="center"/>
          </w:tcPr>
          <w:p w:rsidR="009505CA" w:rsidRPr="002E0E87" w:rsidRDefault="009505CA" w:rsidP="009505CA">
            <w:pPr>
              <w:widowControl/>
              <w:jc w:val="center"/>
              <w:rPr>
                <w:rFonts w:ascii="Times New Roman" w:hAnsi="Times New Roman" w:cs="Times New Roman"/>
                <w:b/>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E0E87" w:rsidRDefault="009505CA" w:rsidP="009505CA">
            <w:pPr>
              <w:widowControl/>
              <w:jc w:val="center"/>
              <w:rPr>
                <w:rFonts w:ascii="Times New Roman" w:eastAsia="宋体" w:hAnsi="Times New Roman" w:cs="Times New Roman"/>
                <w:color w:val="000000"/>
                <w:sz w:val="22"/>
                <w:szCs w:val="22"/>
              </w:rPr>
            </w:pPr>
            <w:r>
              <w:rPr>
                <w:rFonts w:ascii="Times New Roman" w:eastAsia="宋体" w:hAnsi="Times New Roman" w:cs="Times New Roman" w:hint="eastAsia"/>
                <w:color w:val="000000"/>
                <w:sz w:val="22"/>
                <w:szCs w:val="22"/>
              </w:rPr>
              <w:t>0</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4</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color w:val="000000"/>
                <w:sz w:val="22"/>
                <w:szCs w:val="22"/>
              </w:rPr>
              <w:t>1498</w:t>
            </w:r>
          </w:p>
        </w:tc>
        <w:tc>
          <w:tcPr>
            <w:tcW w:w="420"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0.00183 </w:t>
            </w:r>
          </w:p>
        </w:tc>
        <w:tc>
          <w:tcPr>
            <w:tcW w:w="420" w:type="pct"/>
            <w:vAlign w:val="center"/>
          </w:tcPr>
          <w:p w:rsidR="009505CA" w:rsidRPr="002423AB" w:rsidRDefault="009505CA" w:rsidP="009505CA">
            <w:pPr>
              <w:widowControl/>
              <w:jc w:val="center"/>
              <w:rPr>
                <w:rFonts w:ascii="Times New Roman" w:eastAsia="宋体" w:hAnsi="Times New Roman" w:cs="Times New Roman"/>
                <w:color w:val="000000"/>
                <w:sz w:val="22"/>
                <w:szCs w:val="22"/>
              </w:rPr>
            </w:pPr>
            <w:r w:rsidRPr="002423AB">
              <w:rPr>
                <w:rFonts w:ascii="Times New Roman" w:eastAsia="宋体" w:hAnsi="Times New Roman" w:cs="Times New Roman" w:hint="eastAsia"/>
                <w:color w:val="000000"/>
                <w:sz w:val="22"/>
                <w:szCs w:val="22"/>
              </w:rPr>
              <w:t>0.00734</w:t>
            </w:r>
          </w:p>
        </w:tc>
        <w:tc>
          <w:tcPr>
            <w:tcW w:w="419" w:type="pct"/>
            <w:vAlign w:val="center"/>
          </w:tcPr>
          <w:p w:rsidR="009505CA" w:rsidRPr="009505CA" w:rsidRDefault="009505CA" w:rsidP="009505CA">
            <w:pPr>
              <w:widowControl/>
              <w:jc w:val="center"/>
              <w:rPr>
                <w:rFonts w:ascii="Times New Roman" w:eastAsia="宋体" w:hAnsi="Times New Roman" w:cs="Times New Roman"/>
                <w:color w:val="000000"/>
                <w:sz w:val="22"/>
                <w:szCs w:val="22"/>
              </w:rPr>
            </w:pPr>
            <w:r w:rsidRPr="009505CA">
              <w:rPr>
                <w:rFonts w:ascii="Times New Roman" w:eastAsia="宋体" w:hAnsi="Times New Roman" w:cs="Times New Roman" w:hint="eastAsia"/>
                <w:color w:val="000000"/>
                <w:sz w:val="22"/>
                <w:szCs w:val="22"/>
              </w:rPr>
              <w:t xml:space="preserve">0.01001 </w:t>
            </w:r>
          </w:p>
        </w:tc>
      </w:tr>
    </w:tbl>
    <w:p w:rsidR="002E0E87" w:rsidRPr="002E0E87" w:rsidRDefault="002E0E87">
      <w:pPr>
        <w:rPr>
          <w:rFonts w:ascii="Times New Roman" w:hAnsi="Times New Roman" w:cs="Times New Roman"/>
          <w:sz w:val="21"/>
          <w:szCs w:val="21"/>
        </w:rPr>
      </w:pPr>
    </w:p>
    <w:sectPr w:rsidR="002E0E87" w:rsidRPr="002E0E87" w:rsidSect="009505CA">
      <w:pgSz w:w="16840" w:h="11900" w:orient="landscape"/>
      <w:pgMar w:top="720"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0000000000000000000"/>
    <w:charset w:val="00"/>
    <w:family w:val="auto"/>
    <w:pitch w:val="variable"/>
    <w:sig w:usb0="00000003" w:usb1="00000000" w:usb2="00000000" w:usb3="00000000" w:csb0="00000007"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F688B"/>
    <w:multiLevelType w:val="hybridMultilevel"/>
    <w:tmpl w:val="E41EFEC4"/>
    <w:lvl w:ilvl="0" w:tplc="B0566B96">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87"/>
    <w:rsid w:val="0009630B"/>
    <w:rsid w:val="00165F1A"/>
    <w:rsid w:val="00207749"/>
    <w:rsid w:val="002241CD"/>
    <w:rsid w:val="002423AB"/>
    <w:rsid w:val="002E0E87"/>
    <w:rsid w:val="003D4149"/>
    <w:rsid w:val="00562090"/>
    <w:rsid w:val="005B2E37"/>
    <w:rsid w:val="0074454E"/>
    <w:rsid w:val="009505CA"/>
    <w:rsid w:val="00990138"/>
    <w:rsid w:val="00A03B12"/>
    <w:rsid w:val="00BE6591"/>
    <w:rsid w:val="00CF6132"/>
    <w:rsid w:val="00FA6801"/>
    <w:rsid w:val="00FC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E844B1"/>
  <w15:chartTrackingRefBased/>
  <w15:docId w15:val="{7007F811-450F-2A47-A98A-58D62276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E8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E8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0E87"/>
    <w:rPr>
      <w:rFonts w:ascii="宋体" w:eastAsia="宋体"/>
      <w:sz w:val="18"/>
      <w:szCs w:val="18"/>
    </w:rPr>
  </w:style>
  <w:style w:type="character" w:customStyle="1" w:styleId="a5">
    <w:name w:val="批注框文本 字符"/>
    <w:basedOn w:val="a0"/>
    <w:link w:val="a4"/>
    <w:uiPriority w:val="99"/>
    <w:semiHidden/>
    <w:rsid w:val="002E0E87"/>
    <w:rPr>
      <w:rFonts w:ascii="宋体" w:eastAsia="宋体"/>
      <w:sz w:val="18"/>
      <w:szCs w:val="18"/>
    </w:rPr>
  </w:style>
  <w:style w:type="paragraph" w:styleId="a6">
    <w:name w:val="List Paragraph"/>
    <w:basedOn w:val="a"/>
    <w:uiPriority w:val="34"/>
    <w:qFormat/>
    <w:rsid w:val="00BE65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Shiyang0618</dc:creator>
  <cp:keywords/>
  <dc:description/>
  <cp:lastModifiedBy>Shiyang0703</cp:lastModifiedBy>
  <cp:revision>10</cp:revision>
  <dcterms:created xsi:type="dcterms:W3CDTF">2021-06-27T09:33:00Z</dcterms:created>
  <dcterms:modified xsi:type="dcterms:W3CDTF">2021-07-05T02:27:00Z</dcterms:modified>
</cp:coreProperties>
</file>