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3CDB" w14:textId="77777777" w:rsidR="00D710F5" w:rsidRPr="00CB1AD0" w:rsidRDefault="00D710F5">
      <w:pPr>
        <w:pStyle w:val="TOCHeading"/>
        <w:rPr>
          <w:rFonts w:ascii="Times New Roman" w:eastAsiaTheme="minorEastAsia" w:hAnsi="Times New Roman" w:cs="Times New Roman"/>
          <w:b w:val="0"/>
          <w:bCs w:val="0"/>
          <w:i/>
          <w:color w:val="auto"/>
          <w:kern w:val="2"/>
          <w:sz w:val="24"/>
          <w:szCs w:val="24"/>
          <w:lang w:eastAsia="ja-JP"/>
        </w:rPr>
      </w:pPr>
      <w:r w:rsidRPr="00CB1AD0">
        <w:rPr>
          <w:rFonts w:ascii="Times New Roman" w:eastAsiaTheme="minorEastAsia" w:hAnsi="Times New Roman" w:cs="Times New Roman"/>
          <w:b w:val="0"/>
          <w:bCs w:val="0"/>
          <w:i/>
          <w:color w:val="auto"/>
          <w:kern w:val="2"/>
          <w:sz w:val="24"/>
          <w:szCs w:val="24"/>
          <w:lang w:eastAsia="ja-JP"/>
        </w:rPr>
        <w:t>Supplementary Material for</w:t>
      </w:r>
    </w:p>
    <w:p w14:paraId="7E8C7E70" w14:textId="77777777" w:rsidR="00D710F5" w:rsidRPr="00CB1AD0" w:rsidRDefault="00D710F5" w:rsidP="00D710F5">
      <w:pPr>
        <w:rPr>
          <w:rFonts w:ascii="Times New Roman" w:hAnsi="Times New Roman" w:cs="Times New Roman"/>
        </w:rPr>
      </w:pPr>
    </w:p>
    <w:p w14:paraId="6EDB8991" w14:textId="77777777" w:rsidR="00D710F5" w:rsidRPr="00CB1AD0" w:rsidRDefault="00D710F5" w:rsidP="00D710F5">
      <w:pPr>
        <w:rPr>
          <w:rFonts w:ascii="Times New Roman" w:hAnsi="Times New Roman" w:cs="Times New Roman"/>
          <w:b/>
        </w:rPr>
      </w:pPr>
      <w:r w:rsidRPr="00CB1AD0">
        <w:rPr>
          <w:rFonts w:ascii="Times New Roman" w:hAnsi="Times New Roman" w:cs="Times New Roman"/>
          <w:b/>
        </w:rPr>
        <w:t>The rice paradox: Multiple origins but single domestication in Asian rice</w:t>
      </w:r>
    </w:p>
    <w:p w14:paraId="77397BAE" w14:textId="77777777" w:rsidR="00D710F5" w:rsidRPr="00CB1AD0" w:rsidRDefault="00D710F5" w:rsidP="00D710F5">
      <w:pPr>
        <w:rPr>
          <w:rFonts w:ascii="Times New Roman" w:hAnsi="Times New Roman" w:cs="Times New Roman"/>
        </w:rPr>
      </w:pPr>
    </w:p>
    <w:p w14:paraId="734AB3B9" w14:textId="77777777" w:rsidR="00D710F5" w:rsidRPr="00CB1AD0" w:rsidRDefault="00D710F5" w:rsidP="00D710F5">
      <w:pPr>
        <w:rPr>
          <w:rFonts w:ascii="Times New Roman" w:hAnsi="Times New Roman" w:cs="Times New Roman"/>
          <w:vertAlign w:val="superscript"/>
        </w:rPr>
      </w:pPr>
      <w:r w:rsidRPr="00CB1AD0">
        <w:rPr>
          <w:rFonts w:ascii="Times New Roman" w:hAnsi="Times New Roman" w:cs="Times New Roman"/>
        </w:rPr>
        <w:t>Jae Young Choi</w:t>
      </w:r>
      <w:r w:rsidRPr="00CB1AD0">
        <w:rPr>
          <w:rFonts w:ascii="Times New Roman" w:hAnsi="Times New Roman" w:cs="Times New Roman"/>
          <w:vertAlign w:val="superscript"/>
        </w:rPr>
        <w:t>1</w:t>
      </w:r>
      <w:r w:rsidRPr="00CB1AD0">
        <w:rPr>
          <w:rFonts w:ascii="Times New Roman" w:hAnsi="Times New Roman" w:cs="Times New Roman"/>
        </w:rPr>
        <w:t>, Adrian E. Platts</w:t>
      </w:r>
      <w:r w:rsidRPr="00CB1AD0">
        <w:rPr>
          <w:rFonts w:ascii="Times New Roman" w:hAnsi="Times New Roman" w:cs="Times New Roman"/>
          <w:vertAlign w:val="superscript"/>
        </w:rPr>
        <w:t>1</w:t>
      </w:r>
      <w:r w:rsidRPr="00CB1AD0">
        <w:rPr>
          <w:rFonts w:ascii="Times New Roman" w:hAnsi="Times New Roman" w:cs="Times New Roman"/>
        </w:rPr>
        <w:t>, Dorian Q. Fuller</w:t>
      </w:r>
      <w:r w:rsidRPr="00CB1AD0">
        <w:rPr>
          <w:rFonts w:ascii="Times New Roman" w:hAnsi="Times New Roman" w:cs="Times New Roman"/>
          <w:vertAlign w:val="superscript"/>
        </w:rPr>
        <w:t>2</w:t>
      </w:r>
      <w:r w:rsidRPr="00CB1AD0">
        <w:rPr>
          <w:rFonts w:ascii="Times New Roman" w:hAnsi="Times New Roman" w:cs="Times New Roman"/>
        </w:rPr>
        <w:t xml:space="preserve">, Yue-Ie Hsing </w:t>
      </w:r>
      <w:r w:rsidRPr="00CB1AD0">
        <w:rPr>
          <w:rFonts w:ascii="Times New Roman" w:eastAsia="新細明體" w:hAnsi="Times New Roman" w:cs="Times New Roman"/>
          <w:lang w:eastAsia="zh-TW"/>
        </w:rPr>
        <w:t>(</w:t>
      </w:r>
      <w:r w:rsidRPr="00CB1AD0">
        <w:rPr>
          <w:rFonts w:ascii="Times New Roman" w:eastAsia="新細明體" w:hAnsi="Times New Roman" w:cs="Times New Roman"/>
          <w:lang w:eastAsia="zh-TW"/>
        </w:rPr>
        <w:t>邢禹依</w:t>
      </w:r>
      <w:r w:rsidRPr="00CB1AD0">
        <w:rPr>
          <w:rFonts w:ascii="Times New Roman" w:eastAsia="新細明體" w:hAnsi="Times New Roman" w:cs="Times New Roman"/>
          <w:lang w:eastAsia="zh-TW"/>
        </w:rPr>
        <w:t>)</w:t>
      </w:r>
      <w:r w:rsidRPr="00CB1AD0">
        <w:rPr>
          <w:rFonts w:ascii="Times New Roman" w:hAnsi="Times New Roman" w:cs="Times New Roman"/>
          <w:vertAlign w:val="superscript"/>
        </w:rPr>
        <w:t>3</w:t>
      </w:r>
      <w:r w:rsidRPr="00CB1AD0">
        <w:rPr>
          <w:rFonts w:ascii="Times New Roman" w:hAnsi="Times New Roman" w:cs="Times New Roman"/>
        </w:rPr>
        <w:t>, Rod A. Wing</w:t>
      </w:r>
      <w:r w:rsidRPr="00CB1AD0">
        <w:rPr>
          <w:rFonts w:ascii="Times New Roman" w:hAnsi="Times New Roman" w:cs="Times New Roman"/>
          <w:vertAlign w:val="superscript"/>
        </w:rPr>
        <w:t>4</w:t>
      </w:r>
      <w:r w:rsidRPr="00CB1AD0">
        <w:rPr>
          <w:rFonts w:ascii="Times New Roman" w:hAnsi="Times New Roman" w:cs="Times New Roman"/>
        </w:rPr>
        <w:t xml:space="preserve"> and Michael D. Purugganan</w:t>
      </w:r>
      <w:r w:rsidRPr="00CB1AD0">
        <w:rPr>
          <w:rFonts w:ascii="Times New Roman" w:hAnsi="Times New Roman" w:cs="Times New Roman"/>
          <w:vertAlign w:val="superscript"/>
        </w:rPr>
        <w:t>1,5</w:t>
      </w:r>
    </w:p>
    <w:p w14:paraId="13DDC79B" w14:textId="77777777" w:rsidR="00D710F5" w:rsidRPr="00CB1AD0" w:rsidRDefault="00D710F5" w:rsidP="00D710F5">
      <w:pPr>
        <w:rPr>
          <w:rFonts w:ascii="Times New Roman" w:hAnsi="Times New Roman" w:cs="Times New Roman"/>
        </w:rPr>
      </w:pPr>
    </w:p>
    <w:p w14:paraId="3E3F417A" w14:textId="77777777" w:rsidR="00D710F5" w:rsidRPr="00CB1AD0" w:rsidRDefault="00D710F5" w:rsidP="00D710F5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vertAlign w:val="superscript"/>
        </w:rPr>
        <w:t>1</w:t>
      </w:r>
      <w:r w:rsidRPr="00CB1AD0">
        <w:rPr>
          <w:rFonts w:ascii="Times New Roman" w:hAnsi="Times New Roman" w:cs="Times New Roman"/>
        </w:rPr>
        <w:t>Center for Genomics and Systems Biology, Department of Biology, 12 Waverly Place, New York University, New York, NY 10003 USA</w:t>
      </w:r>
    </w:p>
    <w:p w14:paraId="1BBFB9B1" w14:textId="77777777" w:rsidR="00D710F5" w:rsidRPr="00CB1AD0" w:rsidRDefault="00D710F5" w:rsidP="00D710F5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vertAlign w:val="superscript"/>
        </w:rPr>
        <w:t>2</w:t>
      </w:r>
      <w:r w:rsidRPr="00CB1AD0">
        <w:rPr>
          <w:rFonts w:ascii="Times New Roman" w:hAnsi="Times New Roman" w:cs="Times New Roman"/>
        </w:rPr>
        <w:t>Institute of Archaeology, University College London, 31-34 Gordon Square, London WC1H 0PY, United Kingdom</w:t>
      </w:r>
    </w:p>
    <w:p w14:paraId="25438302" w14:textId="77777777" w:rsidR="00D710F5" w:rsidRPr="00CB1AD0" w:rsidRDefault="00D710F5" w:rsidP="00D710F5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vertAlign w:val="superscript"/>
        </w:rPr>
        <w:t>3</w:t>
      </w:r>
      <w:r w:rsidRPr="00CB1AD0">
        <w:rPr>
          <w:rFonts w:ascii="Times New Roman" w:hAnsi="Times New Roman" w:cs="Times New Roman"/>
        </w:rPr>
        <w:t>Institute of Plant and Microbial Biology, Academica Sinica, 128 Sec. 2, Academia Rd, Nankang, Taipei 11529 Taiwan, Republic of China</w:t>
      </w:r>
    </w:p>
    <w:p w14:paraId="2A05B70C" w14:textId="77777777" w:rsidR="00D710F5" w:rsidRPr="00CB1AD0" w:rsidRDefault="00D710F5" w:rsidP="00D710F5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vertAlign w:val="superscript"/>
        </w:rPr>
        <w:t>4</w:t>
      </w:r>
      <w:r w:rsidRPr="00CB1AD0">
        <w:rPr>
          <w:rFonts w:ascii="Times New Roman" w:hAnsi="Times New Roman" w:cs="Times New Roman"/>
        </w:rPr>
        <w:t>Arizona Genomics Institute, University of Arizona, 1657 E Helen St, Tucson, AZ 85705 USA</w:t>
      </w:r>
    </w:p>
    <w:p w14:paraId="384C209A" w14:textId="77777777" w:rsidR="00D710F5" w:rsidRPr="00CB1AD0" w:rsidRDefault="00D710F5" w:rsidP="00D710F5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vertAlign w:val="superscript"/>
        </w:rPr>
        <w:t>5</w:t>
      </w:r>
      <w:r w:rsidRPr="00CB1AD0">
        <w:rPr>
          <w:rFonts w:ascii="Times New Roman" w:hAnsi="Times New Roman" w:cs="Times New Roman"/>
        </w:rPr>
        <w:t>Center for Genomics and Systems Biology, New York University Abu Dhabi, Saadiyat Island, Abu Dhabi, United Arab Emirates</w:t>
      </w:r>
    </w:p>
    <w:p w14:paraId="5B8B743C" w14:textId="77777777" w:rsidR="00D710F5" w:rsidRPr="00CB1AD0" w:rsidRDefault="00D710F5" w:rsidP="00D710F5">
      <w:pPr>
        <w:rPr>
          <w:rFonts w:ascii="Times New Roman" w:hAnsi="Times New Roman" w:cs="Times New Roman"/>
        </w:rPr>
      </w:pPr>
    </w:p>
    <w:p w14:paraId="0FF6F5CB" w14:textId="77777777" w:rsidR="00D710F5" w:rsidRPr="00CB1AD0" w:rsidRDefault="00D710F5" w:rsidP="00D710F5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b/>
        </w:rPr>
        <w:t>Corresponding Author</w:t>
      </w:r>
      <w:r w:rsidRPr="00CB1AD0">
        <w:rPr>
          <w:rFonts w:ascii="Times New Roman" w:hAnsi="Times New Roman" w:cs="Times New Roman"/>
        </w:rPr>
        <w:t>: Michael Purugganan. Email: mp132@nyu.edu. Tel. (212) 9983801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4"/>
          <w:szCs w:val="24"/>
          <w:lang w:eastAsia="ja-JP"/>
        </w:rPr>
        <w:id w:val="284017964"/>
        <w:docPartObj>
          <w:docPartGallery w:val="Table of Contents"/>
          <w:docPartUnique/>
        </w:docPartObj>
      </w:sdtPr>
      <w:sdtEndPr>
        <w:rPr>
          <w:b/>
          <w:kern w:val="0"/>
          <w:lang w:eastAsia="en-US"/>
        </w:rPr>
      </w:sdtEndPr>
      <w:sdtContent>
        <w:p w14:paraId="65DF4601" w14:textId="371258F2" w:rsidR="00D710F5" w:rsidRPr="00CB1AD0" w:rsidRDefault="00D710F5">
          <w:pPr>
            <w:pStyle w:val="TOCHeading"/>
            <w:rPr>
              <w:rFonts w:ascii="Times New Roman" w:hAnsi="Times New Roman" w:cs="Times New Roman"/>
              <w:sz w:val="32"/>
              <w:szCs w:val="32"/>
            </w:rPr>
          </w:pPr>
          <w:r w:rsidRPr="00CB1AD0">
            <w:rPr>
              <w:rFonts w:ascii="Times New Roman" w:hAnsi="Times New Roman" w:cs="Times New Roman"/>
              <w:sz w:val="32"/>
              <w:szCs w:val="32"/>
            </w:rPr>
            <w:t>Index</w:t>
          </w:r>
        </w:p>
        <w:p w14:paraId="418D8C66" w14:textId="77777777" w:rsidR="00D710F5" w:rsidRPr="00CB1AD0" w:rsidRDefault="00D710F5" w:rsidP="00D710F5">
          <w:pPr>
            <w:pStyle w:val="TOC1"/>
            <w:rPr>
              <w:rFonts w:ascii="Times New Roman" w:hAnsi="Times New Roman" w:cs="Times New Roman"/>
            </w:rPr>
          </w:pPr>
          <w:r w:rsidRPr="00CB1AD0">
            <w:rPr>
              <w:rFonts w:ascii="Times New Roman" w:hAnsi="Times New Roman" w:cs="Times New Roman"/>
            </w:rPr>
            <w:t>Supplementary Text</w:t>
          </w:r>
          <w:r w:rsidRPr="00CB1AD0">
            <w:rPr>
              <w:rFonts w:ascii="Times New Roman" w:hAnsi="Times New Roman" w:cs="Times New Roman"/>
            </w:rPr>
            <w:ptab w:relativeTo="margin" w:alignment="right" w:leader="dot"/>
          </w:r>
          <w:r w:rsidRPr="00CB1AD0">
            <w:rPr>
              <w:rFonts w:ascii="Times New Roman" w:hAnsi="Times New Roman" w:cs="Times New Roman"/>
            </w:rPr>
            <w:t>1</w:t>
          </w:r>
        </w:p>
        <w:p w14:paraId="6E4FFE71" w14:textId="77777777" w:rsidR="00D710F5" w:rsidRPr="00CB1AD0" w:rsidRDefault="00D710F5" w:rsidP="00D710F5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CB1AD0">
            <w:rPr>
              <w:rFonts w:ascii="Times New Roman" w:hAnsi="Times New Roman" w:cs="Times New Roman"/>
              <w:sz w:val="24"/>
              <w:szCs w:val="24"/>
            </w:rPr>
            <w:t>Comparing G-PhoCS estimated divergence time in single- vs. multi-migration model</w:t>
          </w:r>
          <w:r w:rsidRPr="00CB1AD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E34" w:rsidRPr="00CB1AD0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0DE129A5" w14:textId="77777777" w:rsidR="00D710F5" w:rsidRPr="00CB1AD0" w:rsidRDefault="00D710F5" w:rsidP="00D710F5">
          <w:pPr>
            <w:pStyle w:val="TOC1"/>
            <w:rPr>
              <w:rFonts w:ascii="Times New Roman" w:hAnsi="Times New Roman" w:cs="Times New Roman"/>
            </w:rPr>
          </w:pPr>
          <w:r w:rsidRPr="00CB1AD0">
            <w:rPr>
              <w:rFonts w:ascii="Times New Roman" w:hAnsi="Times New Roman" w:cs="Times New Roman"/>
            </w:rPr>
            <w:t>Supplementary Figures</w:t>
          </w:r>
          <w:r w:rsidRPr="00CB1AD0">
            <w:rPr>
              <w:rFonts w:ascii="Times New Roman" w:hAnsi="Times New Roman" w:cs="Times New Roman"/>
            </w:rPr>
            <w:ptab w:relativeTo="margin" w:alignment="right" w:leader="dot"/>
          </w:r>
          <w:r w:rsidRPr="00CB1AD0">
            <w:rPr>
              <w:rFonts w:ascii="Times New Roman" w:hAnsi="Times New Roman" w:cs="Times New Roman"/>
            </w:rPr>
            <w:t>4</w:t>
          </w:r>
        </w:p>
        <w:p w14:paraId="3B77E89F" w14:textId="32013DF8" w:rsidR="00F16B1F" w:rsidRPr="00CB1AD0" w:rsidRDefault="00D710F5" w:rsidP="00D710F5">
          <w:pPr>
            <w:pStyle w:val="TOC1"/>
            <w:rPr>
              <w:rFonts w:ascii="Times New Roman" w:hAnsi="Times New Roman" w:cs="Times New Roman"/>
            </w:rPr>
          </w:pPr>
          <w:r w:rsidRPr="00CB1AD0">
            <w:rPr>
              <w:rFonts w:ascii="Times New Roman" w:hAnsi="Times New Roman" w:cs="Times New Roman"/>
            </w:rPr>
            <w:t>Supplementary Tables</w:t>
          </w:r>
          <w:r w:rsidRPr="00CB1AD0">
            <w:rPr>
              <w:rFonts w:ascii="Times New Roman" w:hAnsi="Times New Roman" w:cs="Times New Roman"/>
            </w:rPr>
            <w:ptab w:relativeTo="margin" w:alignment="right" w:leader="dot"/>
          </w:r>
          <w:r w:rsidRPr="00CB1AD0">
            <w:rPr>
              <w:rFonts w:ascii="Times New Roman" w:hAnsi="Times New Roman" w:cs="Times New Roman"/>
            </w:rPr>
            <w:t>1</w:t>
          </w:r>
          <w:r w:rsidR="00916E51" w:rsidRPr="00CB1AD0">
            <w:rPr>
              <w:rFonts w:ascii="Times New Roman" w:hAnsi="Times New Roman" w:cs="Times New Roman"/>
            </w:rPr>
            <w:t>1</w:t>
          </w:r>
        </w:p>
        <w:p w14:paraId="62703C34" w14:textId="0A101C9C" w:rsidR="00D710F5" w:rsidRPr="00CB1AD0" w:rsidRDefault="00F16B1F" w:rsidP="00F16B1F">
          <w:pPr>
            <w:pStyle w:val="TOC1"/>
            <w:rPr>
              <w:rFonts w:ascii="Times New Roman" w:hAnsi="Times New Roman" w:cs="Times New Roman"/>
            </w:rPr>
          </w:pPr>
          <w:r w:rsidRPr="00CB1AD0">
            <w:rPr>
              <w:rFonts w:ascii="Times New Roman" w:hAnsi="Times New Roman" w:cs="Times New Roman"/>
            </w:rPr>
            <w:t>References</w:t>
          </w:r>
          <w:r w:rsidRPr="00CB1AD0">
            <w:rPr>
              <w:rFonts w:ascii="Times New Roman" w:hAnsi="Times New Roman" w:cs="Times New Roman"/>
            </w:rPr>
            <w:ptab w:relativeTo="margin" w:alignment="right" w:leader="dot"/>
          </w:r>
          <w:r w:rsidRPr="00CB1AD0">
            <w:rPr>
              <w:rFonts w:ascii="Times New Roman" w:hAnsi="Times New Roman" w:cs="Times New Roman"/>
            </w:rPr>
            <w:t>1</w:t>
          </w:r>
          <w:r w:rsidR="00B21609" w:rsidRPr="00CB1AD0">
            <w:rPr>
              <w:rFonts w:ascii="Times New Roman" w:hAnsi="Times New Roman" w:cs="Times New Roman"/>
            </w:rPr>
            <w:t>9</w:t>
          </w:r>
        </w:p>
      </w:sdtContent>
    </w:sdt>
    <w:p w14:paraId="6F47C9C0" w14:textId="29EBD5C8" w:rsidR="00865534" w:rsidRPr="00CB1AD0" w:rsidRDefault="00865534" w:rsidP="00865534">
      <w:pPr>
        <w:pStyle w:val="Heading1"/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bookmarkStart w:id="0" w:name="_Toc187911265"/>
      <w:r w:rsidRPr="00CB1AD0">
        <w:rPr>
          <w:rFonts w:ascii="Times New Roman" w:hAnsi="Times New Roman" w:cs="Times New Roman"/>
        </w:rPr>
        <w:t>Supplementary</w:t>
      </w:r>
      <w:r w:rsidRPr="00CB1AD0">
        <w:rPr>
          <w:rFonts w:ascii="Times New Roman" w:eastAsia="Times New Roman" w:hAnsi="Times New Roman" w:cs="Times New Roman"/>
        </w:rPr>
        <w:t xml:space="preserve"> </w:t>
      </w:r>
      <w:bookmarkEnd w:id="0"/>
      <w:r w:rsidRPr="00CB1AD0">
        <w:rPr>
          <w:rFonts w:ascii="Times New Roman" w:hAnsi="Times New Roman" w:cs="Times New Roman"/>
        </w:rPr>
        <w:t>Text</w:t>
      </w:r>
    </w:p>
    <w:p w14:paraId="0106C69F" w14:textId="77777777" w:rsidR="00865534" w:rsidRPr="00CB1AD0" w:rsidRDefault="00865534" w:rsidP="00865534">
      <w:pPr>
        <w:rPr>
          <w:rFonts w:ascii="Times New Roman" w:hAnsi="Times New Roman" w:cs="Times New Roman"/>
        </w:rPr>
      </w:pPr>
      <w:bookmarkStart w:id="1" w:name="__RefHeading__728_1748804112"/>
      <w:bookmarkStart w:id="2" w:name="_Toc187911266"/>
      <w:bookmarkEnd w:id="1"/>
    </w:p>
    <w:bookmarkEnd w:id="2"/>
    <w:p w14:paraId="6E936EC6" w14:textId="2702A455" w:rsidR="00D710F5" w:rsidRPr="00CB1AD0" w:rsidRDefault="00865534" w:rsidP="00865534">
      <w:pPr>
        <w:rPr>
          <w:rFonts w:ascii="Times New Roman" w:hAnsi="Times New Roman" w:cs="Times New Roman"/>
          <w:b/>
        </w:rPr>
      </w:pPr>
      <w:r w:rsidRPr="00CB1AD0">
        <w:rPr>
          <w:rFonts w:ascii="Times New Roman" w:hAnsi="Times New Roman" w:cs="Times New Roman"/>
          <w:b/>
        </w:rPr>
        <w:t>Comparing G-PhoCS estimated divergence time in single- vs. multi-migration model</w:t>
      </w:r>
    </w:p>
    <w:p w14:paraId="2B6710DF" w14:textId="77777777" w:rsidR="00865534" w:rsidRPr="00CB1AD0" w:rsidRDefault="00865534" w:rsidP="00865534">
      <w:pPr>
        <w:rPr>
          <w:rFonts w:ascii="Times New Roman" w:hAnsi="Times New Roman" w:cs="Times New Roman"/>
          <w:b/>
        </w:rPr>
      </w:pPr>
    </w:p>
    <w:p w14:paraId="59348FEC" w14:textId="6B7F3FB9" w:rsidR="00F16B1F" w:rsidRPr="00CB1AD0" w:rsidRDefault="00F16B1F" w:rsidP="00F16B1F">
      <w:pPr>
        <w:spacing w:line="480" w:lineRule="auto"/>
        <w:ind w:firstLine="720"/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>Since our final migration model did not detect any evidence of bidirectional gene flow, we compared</w:t>
      </w:r>
      <w:r w:rsidR="00B70C0B" w:rsidRPr="00CB1AD0">
        <w:rPr>
          <w:rFonts w:ascii="Times New Roman" w:hAnsi="Times New Roman" w:cs="Times New Roman"/>
        </w:rPr>
        <w:t xml:space="preserve"> divergence time</w:t>
      </w:r>
      <w:r w:rsidRPr="00CB1AD0">
        <w:rPr>
          <w:rFonts w:ascii="Times New Roman" w:hAnsi="Times New Roman" w:cs="Times New Roman"/>
        </w:rPr>
        <w:t xml:space="preserve"> </w:t>
      </w:r>
      <w:r w:rsidR="00B70C0B" w:rsidRPr="00CB1AD0">
        <w:rPr>
          <w:rFonts w:ascii="Times New Roman" w:hAnsi="Times New Roman" w:cs="Times New Roman"/>
        </w:rPr>
        <w:t>(</w:t>
      </w:r>
      <w:r w:rsidRPr="00CB1AD0">
        <w:rPr>
          <w:rFonts w:ascii="Times New Roman" w:hAnsi="Times New Roman" w:cs="Times New Roman"/>
        </w:rPr>
        <w:t>τ</w:t>
      </w:r>
      <w:r w:rsidR="00B70C0B" w:rsidRPr="00CB1AD0">
        <w:rPr>
          <w:rFonts w:ascii="Times New Roman" w:hAnsi="Times New Roman" w:cs="Times New Roman"/>
        </w:rPr>
        <w:t>)</w:t>
      </w:r>
      <w:r w:rsidRPr="00CB1AD0">
        <w:rPr>
          <w:rFonts w:ascii="Times New Roman" w:hAnsi="Times New Roman" w:cs="Times New Roman"/>
        </w:rPr>
        <w:t xml:space="preserve"> estimates in the final combined unidirectional migration model, which included all significant migration events, to those that forced bidirectional gene flow only between two terminal lineages (Supplementary Fig. S5). As </w:t>
      </w:r>
      <w:r w:rsidRPr="00CB1AD0">
        <w:rPr>
          <w:rFonts w:ascii="Times New Roman" w:hAnsi="Times New Roman" w:cs="Times New Roman"/>
        </w:rPr>
        <w:lastRenderedPageBreak/>
        <w:t xml:space="preserve">expected, bidirectional migration models that had no significant evidence of gene flow (for example gene flow between </w:t>
      </w:r>
      <w:r w:rsidRPr="00CB1AD0">
        <w:rPr>
          <w:rFonts w:ascii="Times New Roman" w:hAnsi="Times New Roman" w:cs="Times New Roman"/>
          <w:i/>
        </w:rPr>
        <w:t xml:space="preserve">japonica </w:t>
      </w:r>
      <w:r w:rsidRPr="00CB1AD0">
        <w:rPr>
          <w:rFonts w:ascii="Times New Roman" w:hAnsi="Times New Roman" w:cs="Times New Roman"/>
        </w:rPr>
        <w:t xml:space="preserve">and </w:t>
      </w:r>
      <w:r w:rsidRPr="00CB1AD0">
        <w:rPr>
          <w:rFonts w:ascii="Times New Roman" w:hAnsi="Times New Roman" w:cs="Times New Roman"/>
          <w:i/>
        </w:rPr>
        <w:t>O. rufipogon</w:t>
      </w:r>
      <w:r w:rsidRPr="00CB1AD0">
        <w:rPr>
          <w:rFonts w:ascii="Times New Roman" w:hAnsi="Times New Roman" w:cs="Times New Roman"/>
        </w:rPr>
        <w:t xml:space="preserve">) had τ estimates that were not significantly different from a no migration model. On the other hand, two lineages with significant bidirectional </w:t>
      </w:r>
      <w:r w:rsidR="00D52CAC" w:rsidRPr="00CB1AD0">
        <w:rPr>
          <w:rFonts w:ascii="Times New Roman" w:hAnsi="Times New Roman" w:cs="Times New Roman"/>
        </w:rPr>
        <w:t>gene flow in Supplementary Fig. S1</w:t>
      </w:r>
      <w:r w:rsidRPr="00CB1AD0">
        <w:rPr>
          <w:rFonts w:ascii="Times New Roman" w:hAnsi="Times New Roman" w:cs="Times New Roman"/>
        </w:rPr>
        <w:t xml:space="preserve"> had estimates of τ values that were significantly different from the no migration model. Hence, we focused on examining </w:t>
      </w:r>
      <w:r w:rsidR="00D52CAC" w:rsidRPr="00CB1AD0">
        <w:rPr>
          <w:rFonts w:ascii="Times New Roman" w:hAnsi="Times New Roman" w:cs="Times New Roman"/>
        </w:rPr>
        <w:t xml:space="preserve">models with significant evidence of </w:t>
      </w:r>
      <w:r w:rsidRPr="00CB1AD0">
        <w:rPr>
          <w:rFonts w:ascii="Times New Roman" w:hAnsi="Times New Roman" w:cs="Times New Roman"/>
        </w:rPr>
        <w:t xml:space="preserve">bidirectional gene flow </w:t>
      </w:r>
      <w:r w:rsidR="00D52CAC" w:rsidRPr="00CB1AD0">
        <w:rPr>
          <w:rFonts w:ascii="Times New Roman" w:hAnsi="Times New Roman" w:cs="Times New Roman"/>
        </w:rPr>
        <w:t>(Supplemental Fig. S1)</w:t>
      </w:r>
      <w:r w:rsidRPr="00CB1AD0">
        <w:rPr>
          <w:rFonts w:ascii="Times New Roman" w:hAnsi="Times New Roman" w:cs="Times New Roman"/>
        </w:rPr>
        <w:t xml:space="preserve">. </w:t>
      </w:r>
    </w:p>
    <w:p w14:paraId="50822EEB" w14:textId="1FBA7ACB" w:rsidR="00F16B1F" w:rsidRPr="00CB1AD0" w:rsidRDefault="00F16B1F" w:rsidP="00F16B1F">
      <w:pPr>
        <w:spacing w:line="480" w:lineRule="auto"/>
        <w:ind w:firstLine="720"/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 xml:space="preserve">The models forcing bidirectional gene flow only between </w:t>
      </w:r>
      <w:r w:rsidRPr="00CB1AD0">
        <w:rPr>
          <w:rFonts w:ascii="Times New Roman" w:hAnsi="Times New Roman" w:cs="Times New Roman"/>
          <w:i/>
        </w:rPr>
        <w:t>japonica</w:t>
      </w:r>
      <w:r w:rsidRPr="00CB1AD0">
        <w:rPr>
          <w:rFonts w:ascii="Times New Roman" w:hAnsi="Times New Roman" w:cs="Times New Roman"/>
        </w:rPr>
        <w:t>-</w:t>
      </w:r>
      <w:r w:rsidRPr="00CB1AD0">
        <w:rPr>
          <w:rFonts w:ascii="Times New Roman" w:hAnsi="Times New Roman" w:cs="Times New Roman"/>
          <w:i/>
        </w:rPr>
        <w:t xml:space="preserve">indica </w:t>
      </w:r>
      <w:r w:rsidRPr="00CB1AD0">
        <w:rPr>
          <w:rFonts w:ascii="Times New Roman" w:hAnsi="Times New Roman" w:cs="Times New Roman"/>
        </w:rPr>
        <w:t>(J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 xml:space="preserve">I) or only between </w:t>
      </w:r>
      <w:r w:rsidRPr="00CB1AD0">
        <w:rPr>
          <w:rFonts w:ascii="Times New Roman" w:hAnsi="Times New Roman" w:cs="Times New Roman"/>
          <w:i/>
        </w:rPr>
        <w:t>japonica</w:t>
      </w:r>
      <w:r w:rsidRPr="00CB1AD0">
        <w:rPr>
          <w:rFonts w:ascii="Times New Roman" w:hAnsi="Times New Roman" w:cs="Times New Roman"/>
        </w:rPr>
        <w:t>-</w:t>
      </w:r>
      <w:r w:rsidRPr="00CB1AD0">
        <w:rPr>
          <w:rFonts w:ascii="Times New Roman" w:hAnsi="Times New Roman" w:cs="Times New Roman"/>
          <w:i/>
        </w:rPr>
        <w:t xml:space="preserve">aus </w:t>
      </w:r>
      <w:r w:rsidRPr="00CB1AD0">
        <w:rPr>
          <w:rFonts w:ascii="Times New Roman" w:hAnsi="Times New Roman" w:cs="Times New Roman"/>
        </w:rPr>
        <w:t>(J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A)</w:t>
      </w:r>
      <w:r w:rsidRPr="00CB1AD0">
        <w:rPr>
          <w:rFonts w:ascii="Times New Roman" w:hAnsi="Times New Roman" w:cs="Times New Roman"/>
          <w:i/>
        </w:rPr>
        <w:t xml:space="preserve"> </w:t>
      </w:r>
      <w:r w:rsidRPr="00CB1AD0">
        <w:rPr>
          <w:rFonts w:ascii="Times New Roman" w:hAnsi="Times New Roman" w:cs="Times New Roman"/>
        </w:rPr>
        <w:t>had</w:t>
      </w:r>
      <w:r w:rsidR="00D52CAC" w:rsidRPr="00CB1AD0">
        <w:rPr>
          <w:rFonts w:ascii="Times New Roman" w:hAnsi="Times New Roman" w:cs="Times New Roman"/>
        </w:rPr>
        <w:t xml:space="preserve"> </w:t>
      </w:r>
      <w:r w:rsidR="00D52CAC" w:rsidRPr="00CB1AD0">
        <w:rPr>
          <w:rFonts w:ascii="Times New Roman" w:hAnsi="Times New Roman" w:cs="Times New Roman"/>
          <w:i/>
        </w:rPr>
        <w:t xml:space="preserve">O. rufipogon </w:t>
      </w:r>
      <w:r w:rsidR="00D52CAC" w:rsidRPr="00CB1AD0">
        <w:rPr>
          <w:rFonts w:ascii="Times New Roman" w:hAnsi="Times New Roman" w:cs="Times New Roman"/>
        </w:rPr>
        <w:t xml:space="preserve">– </w:t>
      </w:r>
      <w:r w:rsidR="00D52CAC" w:rsidRPr="00CB1AD0">
        <w:rPr>
          <w:rFonts w:ascii="Times New Roman" w:hAnsi="Times New Roman" w:cs="Times New Roman"/>
          <w:i/>
        </w:rPr>
        <w:t xml:space="preserve">japonica </w:t>
      </w:r>
      <w:r w:rsidR="00D52CAC" w:rsidRPr="00CB1AD0">
        <w:rPr>
          <w:rFonts w:ascii="Times New Roman" w:hAnsi="Times New Roman" w:cs="Times New Roman"/>
        </w:rPr>
        <w:t>divergence time</w:t>
      </w:r>
      <w:r w:rsidRPr="00CB1AD0">
        <w:rPr>
          <w:rFonts w:ascii="Times New Roman" w:hAnsi="Times New Roman" w:cs="Times New Roman"/>
        </w:rPr>
        <w:t xml:space="preserve"> </w:t>
      </w:r>
      <w:r w:rsidR="00D52CAC" w:rsidRPr="00CB1AD0">
        <w:rPr>
          <w:rFonts w:ascii="Times New Roman" w:hAnsi="Times New Roman" w:cs="Times New Roman"/>
        </w:rPr>
        <w:t>(</w:t>
      </w:r>
      <w:r w:rsidRPr="00CB1AD0">
        <w:rPr>
          <w:rFonts w:ascii="Times New Roman" w:hAnsi="Times New Roman" w:cs="Times New Roman"/>
        </w:rPr>
        <w:t>τ</w:t>
      </w:r>
      <w:r w:rsidRPr="00CB1AD0">
        <w:rPr>
          <w:rFonts w:ascii="Times New Roman" w:hAnsi="Times New Roman" w:cs="Times New Roman"/>
          <w:vertAlign w:val="subscript"/>
        </w:rPr>
        <w:t>RJ</w:t>
      </w:r>
      <w:r w:rsidR="00D52CAC" w:rsidRPr="00CB1AD0">
        <w:rPr>
          <w:rFonts w:ascii="Times New Roman" w:hAnsi="Times New Roman" w:cs="Times New Roman"/>
        </w:rPr>
        <w:t>)</w:t>
      </w:r>
      <w:r w:rsidRPr="00CB1AD0">
        <w:rPr>
          <w:rFonts w:ascii="Times New Roman" w:hAnsi="Times New Roman" w:cs="Times New Roman"/>
          <w:vertAlign w:val="subscript"/>
        </w:rPr>
        <w:t xml:space="preserve"> </w:t>
      </w:r>
      <w:r w:rsidRPr="00CB1AD0">
        <w:rPr>
          <w:rFonts w:ascii="Times New Roman" w:hAnsi="Times New Roman" w:cs="Times New Roman"/>
        </w:rPr>
        <w:t xml:space="preserve">estimates that were similar to the final combined unidirectional model. This suggested that the mis-incorporation of the </w:t>
      </w:r>
      <w:r w:rsidRPr="00CB1AD0">
        <w:rPr>
          <w:rFonts w:ascii="Times New Roman" w:hAnsi="Times New Roman" w:cs="Times New Roman"/>
          <w:i/>
        </w:rPr>
        <w:t>aus</w:t>
      </w:r>
      <w:r w:rsidRPr="00CB1AD0">
        <w:rPr>
          <w:rFonts w:ascii="Times New Roman" w:hAnsi="Times New Roman" w:cs="Times New Roman"/>
        </w:rPr>
        <w:t>/</w:t>
      </w:r>
      <w:r w:rsidRPr="00CB1AD0">
        <w:rPr>
          <w:rFonts w:ascii="Times New Roman" w:hAnsi="Times New Roman" w:cs="Times New Roman"/>
          <w:i/>
        </w:rPr>
        <w:t xml:space="preserve">indica </w:t>
      </w:r>
      <w:r w:rsidRPr="00CB1AD0">
        <w:rPr>
          <w:rFonts w:ascii="Times New Roman" w:hAnsi="Times New Roman" w:cs="Times New Roman"/>
        </w:rPr>
        <w:t xml:space="preserve">to </w:t>
      </w:r>
      <w:r w:rsidRPr="00CB1AD0">
        <w:rPr>
          <w:rFonts w:ascii="Times New Roman" w:hAnsi="Times New Roman" w:cs="Times New Roman"/>
          <w:i/>
        </w:rPr>
        <w:t xml:space="preserve">japonica </w:t>
      </w:r>
      <w:r w:rsidRPr="00CB1AD0">
        <w:rPr>
          <w:rFonts w:ascii="Times New Roman" w:hAnsi="Times New Roman" w:cs="Times New Roman"/>
        </w:rPr>
        <w:t>gene flow did not strongly affect estimates of</w:t>
      </w:r>
      <w:r w:rsidR="00B70C0B" w:rsidRPr="00CB1AD0">
        <w:rPr>
          <w:rFonts w:ascii="Times New Roman" w:hAnsi="Times New Roman" w:cs="Times New Roman"/>
        </w:rPr>
        <w:t xml:space="preserve"> </w:t>
      </w:r>
      <w:r w:rsidRPr="00CB1AD0">
        <w:rPr>
          <w:rFonts w:ascii="Times New Roman" w:hAnsi="Times New Roman" w:cs="Times New Roman"/>
        </w:rPr>
        <w:t>τ</w:t>
      </w:r>
      <w:r w:rsidRPr="00CB1AD0">
        <w:rPr>
          <w:rFonts w:ascii="Times New Roman" w:hAnsi="Times New Roman" w:cs="Times New Roman"/>
          <w:vertAlign w:val="subscript"/>
        </w:rPr>
        <w:t>RJ</w:t>
      </w:r>
      <w:r w:rsidRPr="00CB1AD0">
        <w:rPr>
          <w:rFonts w:ascii="Times New Roman" w:hAnsi="Times New Roman" w:cs="Times New Roman"/>
        </w:rPr>
        <w:t>. The</w:t>
      </w:r>
      <w:r w:rsidR="005C7F8D" w:rsidRPr="00CB1AD0">
        <w:rPr>
          <w:rFonts w:ascii="Times New Roman" w:hAnsi="Times New Roman" w:cs="Times New Roman"/>
        </w:rPr>
        <w:t xml:space="preserve"> divergence time for domesticated and wild rice population</w:t>
      </w:r>
      <w:r w:rsidRPr="00CB1AD0">
        <w:rPr>
          <w:rFonts w:ascii="Times New Roman" w:hAnsi="Times New Roman" w:cs="Times New Roman"/>
        </w:rPr>
        <w:t xml:space="preserve"> </w:t>
      </w:r>
      <w:r w:rsidR="005C7F8D" w:rsidRPr="00CB1AD0">
        <w:rPr>
          <w:rFonts w:ascii="Times New Roman" w:hAnsi="Times New Roman" w:cs="Times New Roman"/>
        </w:rPr>
        <w:t>(</w:t>
      </w:r>
      <w:r w:rsidRPr="00CB1AD0">
        <w:rPr>
          <w:rFonts w:ascii="Times New Roman" w:hAnsi="Times New Roman" w:cs="Times New Roman"/>
        </w:rPr>
        <w:t>τ</w:t>
      </w:r>
      <w:r w:rsidRPr="00CB1AD0">
        <w:rPr>
          <w:rFonts w:ascii="Times New Roman" w:hAnsi="Times New Roman" w:cs="Times New Roman"/>
          <w:vertAlign w:val="subscript"/>
        </w:rPr>
        <w:t>root</w:t>
      </w:r>
      <w:r w:rsidR="005C7F8D" w:rsidRPr="00CB1AD0">
        <w:rPr>
          <w:rFonts w:ascii="Times New Roman" w:hAnsi="Times New Roman" w:cs="Times New Roman"/>
        </w:rPr>
        <w:t xml:space="preserve">) </w:t>
      </w:r>
      <w:r w:rsidRPr="00CB1AD0">
        <w:rPr>
          <w:rFonts w:ascii="Times New Roman" w:hAnsi="Times New Roman" w:cs="Times New Roman"/>
        </w:rPr>
        <w:t>estimate for the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I and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A models were significantly greater then the no migration model, but were still significantly lower then the final combined unidirectional model. However, the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I and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 xml:space="preserve">A models each underestimates the total number of migration events and this can lead to an underestimate of τ </w:t>
      </w:r>
      <w:r w:rsidRPr="00CB1AD0">
        <w:rPr>
          <w:rFonts w:ascii="Times New Roman" w:hAnsi="Times New Roman" w:cs="Times New Roman"/>
        </w:rPr>
        <w:fldChar w:fldCharType="begin" w:fldLock="1"/>
      </w:r>
      <w:r w:rsidRPr="00CB1AD0">
        <w:rPr>
          <w:rFonts w:ascii="Times New Roman" w:hAnsi="Times New Roman" w:cs="Times New Roman"/>
        </w:rPr>
        <w:instrText>ADDIN CSL_CITATION { "citationItems" : [ { "id" : "ITEM-1", "itemData" : { "DOI" : "10.1038/ng.937", "ISSN" : "1061-4036", "author" : [ { "dropping-particle" : "", "family" : "Gronau", "given" : "Ilan", "non-dropping-particle" : "", "parse-names" : false, "suffix" : "" }, { "dropping-particle" : "", "family" : "Hubisz", "given" : "Melissa J", "non-dropping-particle" : "", "parse-names" : false, "suffix" : "" }, { "dropping-particle" : "", "family" : "Gulko", "given" : "Brad", "non-dropping-particle" : "", "parse-names" : false, "suffix" : "" }, { "dropping-particle" : "", "family" : "Danko", "given" : "Charles G", "non-dropping-particle" : "", "parse-names" : false, "suffix" : "" }, { "dropping-particle" : "", "family" : "Siepel", "given" : "Adam", "non-dropping-particle" : "", "parse-names" : false, "suffix" : "" } ], "container-title" : "Nature Genetics", "id" : "ITEM-1", "issue" : "10", "issued" : { "date-parts" : [ [ "2011", "9", "18" ] ] }, "page" : "1031-1034", "publisher" : "Nature Research", "title" : "Bayesian inference of ancient human demography from individual genome sequences", "type" : "article-journal", "volume" : "43" }, "uris" : [ "http://www.mendeley.com/documents/?uuid=9525919e-db52-3655-bfa1-4235e7b47099" ] } ], "mendeley" : { "formattedCitation" : "(Gronau et al. 2011)", "plainTextFormattedCitation" : "(Gronau et al. 2011)", "previouslyFormattedCitation" : "(Gronau et al. 2011)" }, "properties" : { "noteIndex" : 0 }, "schema" : "https://github.com/citation-style-language/schema/raw/master/csl-citation.json" }</w:instrText>
      </w:r>
      <w:r w:rsidRPr="00CB1AD0">
        <w:rPr>
          <w:rFonts w:ascii="Times New Roman" w:hAnsi="Times New Roman" w:cs="Times New Roman"/>
        </w:rPr>
        <w:fldChar w:fldCharType="separate"/>
      </w:r>
      <w:r w:rsidRPr="00CB1AD0">
        <w:rPr>
          <w:rFonts w:ascii="Times New Roman" w:hAnsi="Times New Roman" w:cs="Times New Roman"/>
          <w:noProof/>
        </w:rPr>
        <w:t>(Gronau et al. 2011)</w:t>
      </w:r>
      <w:r w:rsidRPr="00CB1AD0">
        <w:rPr>
          <w:rFonts w:ascii="Times New Roman" w:hAnsi="Times New Roman" w:cs="Times New Roman"/>
        </w:rPr>
        <w:fldChar w:fldCharType="end"/>
      </w:r>
      <w:r w:rsidRPr="00CB1AD0">
        <w:rPr>
          <w:rFonts w:ascii="Times New Roman" w:hAnsi="Times New Roman" w:cs="Times New Roman"/>
        </w:rPr>
        <w:t>.</w:t>
      </w:r>
    </w:p>
    <w:p w14:paraId="348D0683" w14:textId="77777777" w:rsidR="000B264E" w:rsidRPr="00CB1AD0" w:rsidRDefault="00F16B1F" w:rsidP="00D52CAC">
      <w:pPr>
        <w:spacing w:line="480" w:lineRule="auto"/>
        <w:ind w:firstLine="720"/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>Meanwhile, compared to the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I and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 xml:space="preserve">A models, the </w:t>
      </w:r>
      <w:r w:rsidRPr="00CB1AD0">
        <w:rPr>
          <w:rFonts w:ascii="Times New Roman" w:hAnsi="Times New Roman" w:cs="Times New Roman"/>
          <w:i/>
        </w:rPr>
        <w:t>aus</w:t>
      </w:r>
      <w:r w:rsidRPr="00CB1AD0">
        <w:rPr>
          <w:rFonts w:ascii="Times New Roman" w:hAnsi="Times New Roman" w:cs="Times New Roman"/>
        </w:rPr>
        <w:t>/</w:t>
      </w:r>
      <w:r w:rsidRPr="00CB1AD0">
        <w:rPr>
          <w:rFonts w:ascii="Times New Roman" w:hAnsi="Times New Roman" w:cs="Times New Roman"/>
          <w:i/>
        </w:rPr>
        <w:t xml:space="preserve">O. nivara </w:t>
      </w:r>
      <w:r w:rsidRPr="00CB1AD0">
        <w:rPr>
          <w:rFonts w:ascii="Times New Roman" w:hAnsi="Times New Roman" w:cs="Times New Roman"/>
        </w:rPr>
        <w:t>split time (τ</w:t>
      </w:r>
      <w:r w:rsidRPr="00CB1AD0">
        <w:rPr>
          <w:rFonts w:ascii="Times New Roman" w:hAnsi="Times New Roman" w:cs="Times New Roman"/>
          <w:vertAlign w:val="subscript"/>
        </w:rPr>
        <w:t>AN</w:t>
      </w:r>
      <w:r w:rsidRPr="00CB1AD0">
        <w:rPr>
          <w:rFonts w:ascii="Times New Roman" w:hAnsi="Times New Roman" w:cs="Times New Roman"/>
        </w:rPr>
        <w:t xml:space="preserve">) and </w:t>
      </w:r>
      <w:r w:rsidRPr="00CB1AD0">
        <w:rPr>
          <w:rFonts w:ascii="Times New Roman" w:hAnsi="Times New Roman" w:cs="Times New Roman"/>
          <w:i/>
        </w:rPr>
        <w:t xml:space="preserve">indica </w:t>
      </w:r>
      <w:r w:rsidRPr="00CB1AD0">
        <w:rPr>
          <w:rFonts w:ascii="Times New Roman" w:hAnsi="Times New Roman" w:cs="Times New Roman"/>
        </w:rPr>
        <w:t>split time (τ</w:t>
      </w:r>
      <w:r w:rsidRPr="00CB1AD0">
        <w:rPr>
          <w:rFonts w:ascii="Times New Roman" w:hAnsi="Times New Roman" w:cs="Times New Roman"/>
          <w:vertAlign w:val="subscript"/>
        </w:rPr>
        <w:t>IAN</w:t>
      </w:r>
      <w:r w:rsidRPr="00CB1AD0">
        <w:rPr>
          <w:rFonts w:ascii="Times New Roman" w:hAnsi="Times New Roman" w:cs="Times New Roman"/>
        </w:rPr>
        <w:t xml:space="preserve">) were overestimated in the final combined unidirectional model. However, it is unclear if the individual bidirectional gene flow models are estimating the correct τ for lineages involving </w:t>
      </w:r>
      <w:r w:rsidRPr="00CB1AD0">
        <w:rPr>
          <w:rFonts w:ascii="Times New Roman" w:hAnsi="Times New Roman" w:cs="Times New Roman"/>
          <w:i/>
        </w:rPr>
        <w:t xml:space="preserve">aus, indica, </w:t>
      </w:r>
      <w:r w:rsidRPr="00CB1AD0">
        <w:rPr>
          <w:rFonts w:ascii="Times New Roman" w:hAnsi="Times New Roman" w:cs="Times New Roman"/>
        </w:rPr>
        <w:t xml:space="preserve">and </w:t>
      </w:r>
      <w:r w:rsidRPr="00CB1AD0">
        <w:rPr>
          <w:rFonts w:ascii="Times New Roman" w:hAnsi="Times New Roman" w:cs="Times New Roman"/>
          <w:i/>
        </w:rPr>
        <w:t>O. nivara</w:t>
      </w:r>
      <w:r w:rsidRPr="00CB1AD0">
        <w:rPr>
          <w:rFonts w:ascii="Times New Roman" w:hAnsi="Times New Roman" w:cs="Times New Roman"/>
        </w:rPr>
        <w:t xml:space="preserve">, as the model forcing a potentially non-existent gene flow between </w:t>
      </w:r>
      <w:r w:rsidRPr="00CB1AD0">
        <w:rPr>
          <w:rFonts w:ascii="Times New Roman" w:hAnsi="Times New Roman" w:cs="Times New Roman"/>
          <w:i/>
        </w:rPr>
        <w:t>japonica</w:t>
      </w:r>
      <w:r w:rsidRPr="00CB1AD0">
        <w:rPr>
          <w:rFonts w:ascii="Times New Roman" w:hAnsi="Times New Roman" w:cs="Times New Roman"/>
        </w:rPr>
        <w:t>-</w:t>
      </w:r>
      <w:r w:rsidRPr="00CB1AD0">
        <w:rPr>
          <w:rFonts w:ascii="Times New Roman" w:hAnsi="Times New Roman" w:cs="Times New Roman"/>
          <w:i/>
        </w:rPr>
        <w:t xml:space="preserve">O. nivara </w:t>
      </w:r>
      <w:r w:rsidRPr="00CB1AD0">
        <w:rPr>
          <w:rFonts w:ascii="Times New Roman" w:hAnsi="Times New Roman" w:cs="Times New Roman"/>
        </w:rPr>
        <w:t>(J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N) resulted in similar τ</w:t>
      </w:r>
      <w:r w:rsidRPr="00CB1AD0">
        <w:rPr>
          <w:rFonts w:ascii="Times New Roman" w:hAnsi="Times New Roman" w:cs="Times New Roman"/>
          <w:vertAlign w:val="subscript"/>
        </w:rPr>
        <w:t xml:space="preserve">AN </w:t>
      </w:r>
      <w:r w:rsidRPr="00CB1AD0">
        <w:rPr>
          <w:rFonts w:ascii="Times New Roman" w:hAnsi="Times New Roman" w:cs="Times New Roman"/>
        </w:rPr>
        <w:t>and τ</w:t>
      </w:r>
      <w:r w:rsidRPr="00CB1AD0">
        <w:rPr>
          <w:rFonts w:ascii="Times New Roman" w:hAnsi="Times New Roman" w:cs="Times New Roman"/>
          <w:vertAlign w:val="subscript"/>
        </w:rPr>
        <w:t>IAN</w:t>
      </w:r>
      <w:r w:rsidRPr="00CB1AD0">
        <w:rPr>
          <w:rFonts w:ascii="Times New Roman" w:hAnsi="Times New Roman" w:cs="Times New Roman"/>
        </w:rPr>
        <w:t xml:space="preserve"> estimates as the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I and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 xml:space="preserve">A models. </w:t>
      </w:r>
    </w:p>
    <w:p w14:paraId="5C398D4C" w14:textId="3456D900" w:rsidR="00826EC0" w:rsidRPr="00CB1AD0" w:rsidRDefault="00F16B1F" w:rsidP="00D52CAC">
      <w:pPr>
        <w:spacing w:line="480" w:lineRule="auto"/>
        <w:ind w:firstLine="720"/>
        <w:rPr>
          <w:rFonts w:ascii="Times New Roman" w:hAnsi="Times New Roman" w:cs="Times New Roman"/>
        </w:rPr>
        <w:sectPr w:rsidR="00826EC0" w:rsidRPr="00CB1AD0" w:rsidSect="0087706F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B1AD0">
        <w:rPr>
          <w:rFonts w:ascii="Times New Roman" w:hAnsi="Times New Roman" w:cs="Times New Roman"/>
        </w:rPr>
        <w:t xml:space="preserve">In comparison, the </w:t>
      </w:r>
      <w:r w:rsidRPr="00CB1AD0">
        <w:rPr>
          <w:rFonts w:ascii="Times New Roman" w:hAnsi="Times New Roman" w:cs="Times New Roman"/>
          <w:i/>
        </w:rPr>
        <w:t>aus</w:t>
      </w:r>
      <w:r w:rsidRPr="00CB1AD0">
        <w:rPr>
          <w:rFonts w:ascii="Times New Roman" w:hAnsi="Times New Roman" w:cs="Times New Roman"/>
        </w:rPr>
        <w:t>-</w:t>
      </w:r>
      <w:r w:rsidRPr="00CB1AD0">
        <w:rPr>
          <w:rFonts w:ascii="Times New Roman" w:hAnsi="Times New Roman" w:cs="Times New Roman"/>
          <w:i/>
        </w:rPr>
        <w:t>indica</w:t>
      </w:r>
      <w:r w:rsidRPr="00CB1AD0">
        <w:rPr>
          <w:rFonts w:ascii="Times New Roman" w:hAnsi="Times New Roman" w:cs="Times New Roman"/>
        </w:rPr>
        <w:t xml:space="preserve"> bidirectional gene flow (A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I) model also estimated similar τ</w:t>
      </w:r>
      <w:r w:rsidRPr="00CB1AD0">
        <w:rPr>
          <w:rFonts w:ascii="Times New Roman" w:hAnsi="Times New Roman" w:cs="Times New Roman"/>
          <w:vertAlign w:val="subscript"/>
        </w:rPr>
        <w:t xml:space="preserve">AN </w:t>
      </w:r>
      <w:r w:rsidRPr="00CB1AD0">
        <w:rPr>
          <w:rFonts w:ascii="Times New Roman" w:hAnsi="Times New Roman" w:cs="Times New Roman"/>
        </w:rPr>
        <w:t>value to the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I and J</w:t>
      </w:r>
      <w:r w:rsidRPr="00CB1AD0">
        <w:rPr>
          <w:rFonts w:ascii="Times New Roman" w:hAnsi="Times New Roman" w:cs="Times New Roman"/>
        </w:rPr>
        <w:sym w:font="Symbol" w:char="F0AB"/>
      </w:r>
      <w:r w:rsidRPr="00CB1AD0">
        <w:rPr>
          <w:rFonts w:ascii="Times New Roman" w:hAnsi="Times New Roman" w:cs="Times New Roman"/>
        </w:rPr>
        <w:t>A models; however, the estimate of τ</w:t>
      </w:r>
      <w:r w:rsidRPr="00CB1AD0">
        <w:rPr>
          <w:rFonts w:ascii="Times New Roman" w:hAnsi="Times New Roman" w:cs="Times New Roman"/>
          <w:vertAlign w:val="subscript"/>
        </w:rPr>
        <w:t>IAN</w:t>
      </w:r>
      <w:r w:rsidRPr="00CB1AD0">
        <w:rPr>
          <w:rFonts w:ascii="Times New Roman" w:hAnsi="Times New Roman" w:cs="Times New Roman"/>
        </w:rPr>
        <w:t xml:space="preserve"> was </w:t>
      </w:r>
      <w:r w:rsidR="00DB70C5" w:rsidRPr="00CB1AD0">
        <w:rPr>
          <w:rFonts w:ascii="Times New Roman" w:hAnsi="Times New Roman" w:cs="Times New Roman"/>
        </w:rPr>
        <w:t>almost as</w:t>
      </w:r>
      <w:r w:rsidRPr="00CB1AD0">
        <w:rPr>
          <w:rFonts w:ascii="Times New Roman" w:hAnsi="Times New Roman" w:cs="Times New Roman"/>
        </w:rPr>
        <w:t xml:space="preserve"> large </w:t>
      </w:r>
      <w:r w:rsidR="00DB70C5" w:rsidRPr="00CB1AD0">
        <w:rPr>
          <w:rFonts w:ascii="Times New Roman" w:hAnsi="Times New Roman" w:cs="Times New Roman"/>
        </w:rPr>
        <w:t>as the</w:t>
      </w:r>
      <w:r w:rsidRPr="00CB1AD0">
        <w:rPr>
          <w:rFonts w:ascii="Times New Roman" w:hAnsi="Times New Roman" w:cs="Times New Roman"/>
        </w:rPr>
        <w:t xml:space="preserve"> τ</w:t>
      </w:r>
      <w:r w:rsidRPr="00CB1AD0">
        <w:rPr>
          <w:rFonts w:ascii="Times New Roman" w:hAnsi="Times New Roman" w:cs="Times New Roman"/>
          <w:vertAlign w:val="subscript"/>
        </w:rPr>
        <w:t>RJ</w:t>
      </w:r>
      <w:r w:rsidRPr="00CB1AD0">
        <w:rPr>
          <w:rFonts w:ascii="Times New Roman" w:hAnsi="Times New Roman" w:cs="Times New Roman"/>
        </w:rPr>
        <w:t xml:space="preserve"> estimates which is not supported by the archaeological data </w:t>
      </w:r>
      <w:r w:rsidRPr="00CB1AD0">
        <w:rPr>
          <w:rFonts w:ascii="Times New Roman" w:hAnsi="Times New Roman" w:cs="Times New Roman"/>
        </w:rPr>
        <w:fldChar w:fldCharType="begin" w:fldLock="1"/>
      </w:r>
      <w:r w:rsidRPr="00CB1AD0">
        <w:rPr>
          <w:rFonts w:ascii="Times New Roman" w:hAnsi="Times New Roman" w:cs="Times New Roman"/>
        </w:rPr>
        <w:instrText>ADDIN CSL_CITATION { "citationItems" : [ { "id" : "ITEM-1", "itemData" : { "DOI" : "10.1007/s12284-011-9078-7", "ISSN" : "1939-8425", "author" : [ { "dropping-particle" : "", "family" : "Fuller", "given" : "Dorian Q.", "non-dropping-particle" : "", "parse-names" : false, "suffix" : "" } ], "container-title" : "Rice", "id" : "ITEM-1", "issue" : "3-4", "issued" : { "date-parts" : [ [ "2011", "12", "4" ] ] }, "page" : "78-92", "publisher" : "Springer US", "title" : "Pathways to Asian Civilizations: Tracing the Origins and Spread of Rice and Rice Cultures", "type" : "article-journal", "volume" : "4" }, "uris" : [ "http://www.mendeley.com/documents/?uuid=e03ebd4f-56a4-3b55-82ad-f0bcc2d5603d" ] } ], "mendeley" : { "formattedCitation" : "(Dorian Q. Fuller 2011)", "manualFormatting" : "(Fuller 2011a)", "plainTextFormattedCitation" : "(Dorian Q. Fuller 2011)", "previouslyFormattedCitation" : "(Dorian Q. Fuller 2011)" }, "properties" : { "noteIndex" : 0 }, "schema" : "https://github.com/citation-style-language/schema/raw/master/csl-citation.json" }</w:instrText>
      </w:r>
      <w:r w:rsidRPr="00CB1AD0">
        <w:rPr>
          <w:rFonts w:ascii="Times New Roman" w:hAnsi="Times New Roman" w:cs="Times New Roman"/>
        </w:rPr>
        <w:fldChar w:fldCharType="separate"/>
      </w:r>
      <w:r w:rsidRPr="00CB1AD0">
        <w:rPr>
          <w:rFonts w:ascii="Times New Roman" w:hAnsi="Times New Roman" w:cs="Times New Roman"/>
          <w:noProof/>
        </w:rPr>
        <w:t>(Fuller 2011)</w:t>
      </w:r>
      <w:r w:rsidRPr="00CB1AD0">
        <w:rPr>
          <w:rFonts w:ascii="Times New Roman" w:hAnsi="Times New Roman" w:cs="Times New Roman"/>
        </w:rPr>
        <w:fldChar w:fldCharType="end"/>
      </w:r>
      <w:r w:rsidRPr="00CB1AD0">
        <w:rPr>
          <w:rFonts w:ascii="Times New Roman" w:hAnsi="Times New Roman" w:cs="Times New Roman"/>
        </w:rPr>
        <w:t>. Thus, compared to the individual bidirectional gene flow models, the higher τ</w:t>
      </w:r>
      <w:r w:rsidRPr="00CB1AD0">
        <w:rPr>
          <w:rFonts w:ascii="Times New Roman" w:hAnsi="Times New Roman" w:cs="Times New Roman"/>
          <w:vertAlign w:val="subscript"/>
        </w:rPr>
        <w:t xml:space="preserve">AN </w:t>
      </w:r>
      <w:r w:rsidRPr="00CB1AD0">
        <w:rPr>
          <w:rFonts w:ascii="Times New Roman" w:hAnsi="Times New Roman" w:cs="Times New Roman"/>
        </w:rPr>
        <w:t>and τ</w:t>
      </w:r>
      <w:r w:rsidRPr="00CB1AD0">
        <w:rPr>
          <w:rFonts w:ascii="Times New Roman" w:hAnsi="Times New Roman" w:cs="Times New Roman"/>
          <w:vertAlign w:val="subscript"/>
        </w:rPr>
        <w:t>IAN</w:t>
      </w:r>
      <w:r w:rsidRPr="00CB1AD0">
        <w:rPr>
          <w:rFonts w:ascii="Times New Roman" w:hAnsi="Times New Roman" w:cs="Times New Roman"/>
        </w:rPr>
        <w:t xml:space="preserve"> in the final combined unidirectional gene flow model may represent an upper bound τ estimates. These results suggested that the τ estimates in the final combined unidirectional gene flow model were not greatly affected by omitting the gene flows detected from the individual bidirectional gene flow model</w:t>
      </w:r>
      <w:r w:rsidR="00DF65A9" w:rsidRPr="00CB1AD0">
        <w:rPr>
          <w:rFonts w:ascii="Times New Roman" w:hAnsi="Times New Roman" w:cs="Times New Roman"/>
        </w:rPr>
        <w:t>s</w:t>
      </w:r>
      <w:r w:rsidRPr="00CB1AD0">
        <w:rPr>
          <w:rFonts w:ascii="Times New Roman" w:hAnsi="Times New Roman" w:cs="Times New Roman"/>
        </w:rPr>
        <w:t>.</w:t>
      </w:r>
      <w:r w:rsidR="000B264E" w:rsidRPr="00CB1AD0">
        <w:rPr>
          <w:rFonts w:ascii="Times New Roman" w:hAnsi="Times New Roman" w:cs="Times New Roman"/>
        </w:rPr>
        <w:t xml:space="preserve"> </w:t>
      </w:r>
      <w:r w:rsidR="00AB783C" w:rsidRPr="00CB1AD0">
        <w:rPr>
          <w:rFonts w:ascii="Times New Roman" w:hAnsi="Times New Roman" w:cs="Times New Roman"/>
        </w:rPr>
        <w:t>Importantly the τ</w:t>
      </w:r>
      <w:r w:rsidR="00AB783C" w:rsidRPr="00CB1AD0">
        <w:rPr>
          <w:rFonts w:ascii="Times New Roman" w:hAnsi="Times New Roman" w:cs="Times New Roman"/>
          <w:vertAlign w:val="subscript"/>
        </w:rPr>
        <w:t>RJ</w:t>
      </w:r>
      <w:r w:rsidR="00AB783C" w:rsidRPr="00CB1AD0">
        <w:rPr>
          <w:rFonts w:ascii="Times New Roman" w:hAnsi="Times New Roman" w:cs="Times New Roman"/>
        </w:rPr>
        <w:t xml:space="preserve"> estimate, which is of interest for this study and rice domestication researchers due to </w:t>
      </w:r>
      <w:r w:rsidR="00AB783C" w:rsidRPr="00CB1AD0">
        <w:rPr>
          <w:rFonts w:ascii="Times New Roman" w:hAnsi="Times New Roman" w:cs="Times New Roman"/>
          <w:i/>
        </w:rPr>
        <w:t xml:space="preserve">japonica </w:t>
      </w:r>
      <w:r w:rsidR="00AB783C" w:rsidRPr="00CB1AD0">
        <w:rPr>
          <w:rFonts w:ascii="Times New Roman" w:hAnsi="Times New Roman" w:cs="Times New Roman"/>
        </w:rPr>
        <w:t xml:space="preserve">being the first cultivar to be domesticated, did not seem to be greatly affected by mis-incorporation of the </w:t>
      </w:r>
      <w:r w:rsidR="00AB783C" w:rsidRPr="00CB1AD0">
        <w:rPr>
          <w:rFonts w:ascii="Times New Roman" w:hAnsi="Times New Roman" w:cs="Times New Roman"/>
          <w:i/>
        </w:rPr>
        <w:t>aus</w:t>
      </w:r>
      <w:r w:rsidR="00AB783C" w:rsidRPr="00CB1AD0">
        <w:rPr>
          <w:rFonts w:ascii="Times New Roman" w:hAnsi="Times New Roman" w:cs="Times New Roman"/>
        </w:rPr>
        <w:t>/</w:t>
      </w:r>
      <w:r w:rsidR="00AB783C" w:rsidRPr="00CB1AD0">
        <w:rPr>
          <w:rFonts w:ascii="Times New Roman" w:hAnsi="Times New Roman" w:cs="Times New Roman"/>
          <w:i/>
        </w:rPr>
        <w:t xml:space="preserve">indica </w:t>
      </w:r>
      <w:r w:rsidR="00AB783C" w:rsidRPr="00CB1AD0">
        <w:rPr>
          <w:rFonts w:ascii="Times New Roman" w:hAnsi="Times New Roman" w:cs="Times New Roman"/>
        </w:rPr>
        <w:t xml:space="preserve">to </w:t>
      </w:r>
      <w:r w:rsidR="00AB783C" w:rsidRPr="00CB1AD0">
        <w:rPr>
          <w:rFonts w:ascii="Times New Roman" w:hAnsi="Times New Roman" w:cs="Times New Roman"/>
          <w:i/>
        </w:rPr>
        <w:t xml:space="preserve">japonica </w:t>
      </w:r>
      <w:r w:rsidR="00AB783C" w:rsidRPr="00CB1AD0">
        <w:rPr>
          <w:rFonts w:ascii="Times New Roman" w:hAnsi="Times New Roman" w:cs="Times New Roman"/>
        </w:rPr>
        <w:t xml:space="preserve">gene flow. </w:t>
      </w:r>
      <w:r w:rsidR="000B264E" w:rsidRPr="00CB1AD0">
        <w:rPr>
          <w:rFonts w:ascii="Times New Roman" w:hAnsi="Times New Roman" w:cs="Times New Roman"/>
        </w:rPr>
        <w:t>At most</w:t>
      </w:r>
      <w:r w:rsidR="00AB783C" w:rsidRPr="00CB1AD0">
        <w:rPr>
          <w:rFonts w:ascii="Times New Roman" w:hAnsi="Times New Roman" w:cs="Times New Roman"/>
        </w:rPr>
        <w:t xml:space="preserve"> the</w:t>
      </w:r>
      <w:r w:rsidR="000B264E" w:rsidRPr="00CB1AD0">
        <w:rPr>
          <w:rFonts w:ascii="Times New Roman" w:hAnsi="Times New Roman" w:cs="Times New Roman"/>
        </w:rPr>
        <w:t xml:space="preserve"> divergence time estimates </w:t>
      </w:r>
      <w:r w:rsidR="0032158B" w:rsidRPr="00CB1AD0">
        <w:rPr>
          <w:rFonts w:ascii="Times New Roman" w:hAnsi="Times New Roman" w:cs="Times New Roman"/>
        </w:rPr>
        <w:t xml:space="preserve">in the final unidirectional gene flow model may </w:t>
      </w:r>
      <w:r w:rsidR="000B264E" w:rsidRPr="00CB1AD0">
        <w:rPr>
          <w:rFonts w:ascii="Times New Roman" w:hAnsi="Times New Roman" w:cs="Times New Roman"/>
        </w:rPr>
        <w:t xml:space="preserve">represent an upper bound </w:t>
      </w:r>
      <w:r w:rsidR="003C78B9" w:rsidRPr="00CB1AD0">
        <w:rPr>
          <w:rFonts w:ascii="Times New Roman" w:hAnsi="Times New Roman" w:cs="Times New Roman"/>
        </w:rPr>
        <w:t xml:space="preserve">estimate </w:t>
      </w:r>
      <w:r w:rsidR="000B264E" w:rsidRPr="00CB1AD0">
        <w:rPr>
          <w:rFonts w:ascii="Times New Roman" w:hAnsi="Times New Roman" w:cs="Times New Roman"/>
        </w:rPr>
        <w:t>specifically for τ</w:t>
      </w:r>
      <w:r w:rsidR="000B264E" w:rsidRPr="00CB1AD0">
        <w:rPr>
          <w:rFonts w:ascii="Times New Roman" w:hAnsi="Times New Roman" w:cs="Times New Roman"/>
          <w:vertAlign w:val="subscript"/>
        </w:rPr>
        <w:t>root</w:t>
      </w:r>
      <w:r w:rsidR="000B264E" w:rsidRPr="00CB1AD0">
        <w:rPr>
          <w:rFonts w:ascii="Times New Roman" w:hAnsi="Times New Roman" w:cs="Times New Roman"/>
        </w:rPr>
        <w:t>, τ</w:t>
      </w:r>
      <w:r w:rsidR="000B264E" w:rsidRPr="00CB1AD0">
        <w:rPr>
          <w:rFonts w:ascii="Times New Roman" w:hAnsi="Times New Roman" w:cs="Times New Roman"/>
          <w:vertAlign w:val="subscript"/>
        </w:rPr>
        <w:t>AN</w:t>
      </w:r>
      <w:r w:rsidR="000B264E" w:rsidRPr="00CB1AD0">
        <w:rPr>
          <w:rFonts w:ascii="Times New Roman" w:hAnsi="Times New Roman" w:cs="Times New Roman"/>
        </w:rPr>
        <w:t>,</w:t>
      </w:r>
      <w:r w:rsidR="000B264E" w:rsidRPr="00CB1AD0">
        <w:rPr>
          <w:rFonts w:ascii="Times New Roman" w:hAnsi="Times New Roman" w:cs="Times New Roman"/>
          <w:vertAlign w:val="subscript"/>
        </w:rPr>
        <w:t xml:space="preserve"> </w:t>
      </w:r>
      <w:r w:rsidR="000B264E" w:rsidRPr="00CB1AD0">
        <w:rPr>
          <w:rFonts w:ascii="Times New Roman" w:hAnsi="Times New Roman" w:cs="Times New Roman"/>
        </w:rPr>
        <w:t>and τ</w:t>
      </w:r>
      <w:r w:rsidR="000B264E" w:rsidRPr="00CB1AD0">
        <w:rPr>
          <w:rFonts w:ascii="Times New Roman" w:hAnsi="Times New Roman" w:cs="Times New Roman"/>
          <w:vertAlign w:val="subscript"/>
        </w:rPr>
        <w:t>IAN</w:t>
      </w:r>
      <w:r w:rsidR="000B264E" w:rsidRPr="00CB1AD0">
        <w:rPr>
          <w:rFonts w:ascii="Times New Roman" w:hAnsi="Times New Roman" w:cs="Times New Roman"/>
        </w:rPr>
        <w:t>.</w:t>
      </w:r>
      <w:r w:rsidR="00AB783C" w:rsidRPr="00CB1AD0">
        <w:rPr>
          <w:rFonts w:ascii="Times New Roman" w:hAnsi="Times New Roman" w:cs="Times New Roman"/>
        </w:rPr>
        <w:t xml:space="preserve"> </w:t>
      </w:r>
    </w:p>
    <w:p w14:paraId="24E38C9E" w14:textId="405401B3" w:rsidR="00826EC0" w:rsidRPr="00CB1AD0" w:rsidRDefault="00826EC0" w:rsidP="00826EC0">
      <w:pPr>
        <w:pStyle w:val="Heading1"/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>Supplementary</w:t>
      </w:r>
      <w:r w:rsidRPr="00CB1AD0">
        <w:rPr>
          <w:rFonts w:ascii="Times New Roman" w:eastAsia="Times New Roman" w:hAnsi="Times New Roman" w:cs="Times New Roman"/>
        </w:rPr>
        <w:t xml:space="preserve"> </w:t>
      </w:r>
      <w:r w:rsidRPr="00CB1AD0">
        <w:rPr>
          <w:rFonts w:ascii="Times New Roman" w:hAnsi="Times New Roman" w:cs="Times New Roman"/>
        </w:rPr>
        <w:t>Figures</w:t>
      </w:r>
    </w:p>
    <w:p w14:paraId="159AA797" w14:textId="77777777" w:rsidR="00F16B1F" w:rsidRPr="00CB1AD0" w:rsidRDefault="00F16B1F" w:rsidP="00F16B1F">
      <w:pPr>
        <w:rPr>
          <w:rFonts w:ascii="Times New Roman" w:hAnsi="Times New Roman" w:cs="Times New Roman"/>
        </w:rPr>
      </w:pPr>
    </w:p>
    <w:p w14:paraId="48965EAB" w14:textId="77777777" w:rsidR="00826EC0" w:rsidRPr="00CB1AD0" w:rsidRDefault="00826EC0" w:rsidP="00826EC0">
      <w:pPr>
        <w:spacing w:line="480" w:lineRule="auto"/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noProof/>
        </w:rPr>
        <w:drawing>
          <wp:inline distT="0" distB="0" distL="0" distR="0" wp14:anchorId="0071F94E" wp14:editId="2F75CD93">
            <wp:extent cx="6629400" cy="442340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36" cy="44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A039" w14:textId="77777777" w:rsidR="00826EC0" w:rsidRPr="00CB1AD0" w:rsidRDefault="00826EC0" w:rsidP="00826EC0">
      <w:pPr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sectPr w:rsidR="00826EC0" w:rsidRPr="00CB1AD0" w:rsidSect="00F16B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B1AD0">
        <w:rPr>
          <w:rFonts w:ascii="Times New Roman" w:hAnsi="Times New Roman" w:cs="Times New Roman"/>
        </w:rPr>
        <w:t xml:space="preserve">Supplemental Fig. S1. G-PhoCS estimated migration rates and its 95% Highest Posterior Density for domesticated and wild Asian rice. Population are abbreviated as J: japonica; R: </w:t>
      </w:r>
      <w:r w:rsidRPr="00CB1AD0">
        <w:rPr>
          <w:rFonts w:ascii="Times New Roman" w:hAnsi="Times New Roman" w:cs="Times New Roman"/>
          <w:i/>
        </w:rPr>
        <w:t>O. ruifipogon</w:t>
      </w:r>
      <w:r w:rsidRPr="00CB1AD0">
        <w:rPr>
          <w:rFonts w:ascii="Times New Roman" w:hAnsi="Times New Roman" w:cs="Times New Roman"/>
        </w:rPr>
        <w:t xml:space="preserve">; I: indica; A: aus; N: </w:t>
      </w:r>
      <w:r w:rsidRPr="00CB1AD0">
        <w:rPr>
          <w:rFonts w:ascii="Times New Roman" w:hAnsi="Times New Roman" w:cs="Times New Roman"/>
          <w:i/>
        </w:rPr>
        <w:t>O. nivara</w:t>
      </w:r>
      <w:r w:rsidRPr="00CB1AD0">
        <w:rPr>
          <w:rFonts w:ascii="Times New Roman" w:hAnsi="Times New Roman" w:cs="Times New Roman"/>
        </w:rPr>
        <w:t>. Arrow indicates the direction of gene flow used for fitting the demography model (source population</w:t>
      </w:r>
      <w:r w:rsidRPr="00CB1AD0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t xml:space="preserve">→target population). G-PhoCS analysis were conducted for 5 independent runs to access convergence in the parameter estimates. </w:t>
      </w:r>
      <w:r w:rsidRPr="00CB1AD0">
        <w:rPr>
          <w:rFonts w:ascii="Times New Roman" w:hAnsi="Times New Roman" w:cs="Times New Roman"/>
        </w:rPr>
        <w:t>Parameter estimates have been scaled down by a factor of 10</w:t>
      </w:r>
      <w:r w:rsidRPr="00CB1AD0">
        <w:rPr>
          <w:rFonts w:ascii="Times New Roman" w:hAnsi="Times New Roman" w:cs="Times New Roman"/>
          <w:vertAlign w:val="superscript"/>
        </w:rPr>
        <w:t xml:space="preserve">-4 </w:t>
      </w:r>
      <w:r w:rsidRPr="00CB1AD0">
        <w:rPr>
          <w:rFonts w:ascii="Times New Roman" w:hAnsi="Times New Roman" w:cs="Times New Roman"/>
        </w:rPr>
        <w:t>for ease of representing.</w:t>
      </w:r>
    </w:p>
    <w:p w14:paraId="51A181A0" w14:textId="77777777" w:rsidR="00826EC0" w:rsidRPr="00CB1AD0" w:rsidRDefault="00826EC0" w:rsidP="00826EC0">
      <w:pPr>
        <w:rPr>
          <w:rFonts w:ascii="Times New Roman" w:eastAsia="Times New Roman" w:hAnsi="Times New Roman" w:cs="Times New Roman"/>
        </w:rPr>
      </w:pPr>
      <w:r w:rsidRPr="00CB1AD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5C48A2" wp14:editId="505B5816">
            <wp:extent cx="5943600" cy="679365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6A593" w14:textId="77777777" w:rsidR="00826EC0" w:rsidRPr="00CB1AD0" w:rsidRDefault="00826EC0" w:rsidP="00826EC0">
      <w:pPr>
        <w:rPr>
          <w:rFonts w:ascii="Times New Roman" w:eastAsia="Times New Roman" w:hAnsi="Times New Roman" w:cs="Times New Roman"/>
        </w:rPr>
        <w:sectPr w:rsidR="00826EC0" w:rsidRPr="00CB1AD0" w:rsidSect="00F16B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1AD0">
        <w:rPr>
          <w:rFonts w:ascii="Times New Roman" w:hAnsi="Times New Roman" w:cs="Times New Roman"/>
        </w:rPr>
        <w:t xml:space="preserve">Supplemental </w:t>
      </w:r>
      <w:r w:rsidRPr="00CB1AD0">
        <w:rPr>
          <w:rFonts w:ascii="Times New Roman" w:eastAsia="Times New Roman" w:hAnsi="Times New Roman" w:cs="Times New Roman"/>
        </w:rPr>
        <w:t xml:space="preserve">Fig. S2. </w:t>
      </w:r>
      <w:r w:rsidRPr="00CB1AD0">
        <w:rPr>
          <w:rFonts w:ascii="Times New Roman" w:hAnsi="Times New Roman" w:cs="Times New Roman"/>
        </w:rPr>
        <w:t xml:space="preserve">G-PhoCS estimated migration rates and its 95% Highest Posterior Density for domesticated and wild Asian rice. Population are abbreviated as J: japonica; R: </w:t>
      </w:r>
      <w:r w:rsidRPr="00CB1AD0">
        <w:rPr>
          <w:rFonts w:ascii="Times New Roman" w:hAnsi="Times New Roman" w:cs="Times New Roman"/>
          <w:i/>
        </w:rPr>
        <w:t>O. ruifipogon</w:t>
      </w:r>
      <w:r w:rsidRPr="00CB1AD0">
        <w:rPr>
          <w:rFonts w:ascii="Times New Roman" w:hAnsi="Times New Roman" w:cs="Times New Roman"/>
        </w:rPr>
        <w:t xml:space="preserve">; I: indica; A: aus; N: </w:t>
      </w:r>
      <w:r w:rsidRPr="00CB1AD0">
        <w:rPr>
          <w:rFonts w:ascii="Times New Roman" w:hAnsi="Times New Roman" w:cs="Times New Roman"/>
          <w:i/>
        </w:rPr>
        <w:t>O. nivara</w:t>
      </w:r>
      <w:r w:rsidRPr="00CB1AD0">
        <w:rPr>
          <w:rFonts w:ascii="Times New Roman" w:hAnsi="Times New Roman" w:cs="Times New Roman"/>
        </w:rPr>
        <w:t>. Arrow indicates the direction of gene flow used for fitting the demography model (source population</w:t>
      </w:r>
      <w:r w:rsidRPr="00CB1AD0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t xml:space="preserve">→target population). G-PhoCS analysis were conducted for 5 independent runs to access convergence in the parameter estimates. Migration model 1 was a G-PhoCS analysis modeling without an </w:t>
      </w:r>
      <w:r w:rsidRPr="00CB1AD0">
        <w:rPr>
          <w:rFonts w:ascii="Times New Roman" w:hAnsi="Times New Roman" w:cs="Times New Roman"/>
        </w:rPr>
        <w:t>indica-aus migration band while migration model 2 was modeling with the indica-aus migration band. Parameter estimates have been scaled down by a factor of 10</w:t>
      </w:r>
      <w:r w:rsidRPr="00CB1AD0">
        <w:rPr>
          <w:rFonts w:ascii="Times New Roman" w:hAnsi="Times New Roman" w:cs="Times New Roman"/>
          <w:vertAlign w:val="superscript"/>
        </w:rPr>
        <w:t xml:space="preserve">-4 </w:t>
      </w:r>
      <w:r w:rsidRPr="00CB1AD0">
        <w:rPr>
          <w:rFonts w:ascii="Times New Roman" w:hAnsi="Times New Roman" w:cs="Times New Roman"/>
        </w:rPr>
        <w:t>for ease of representing.</w:t>
      </w:r>
    </w:p>
    <w:p w14:paraId="003AD910" w14:textId="77777777" w:rsidR="00826EC0" w:rsidRPr="00CB1AD0" w:rsidRDefault="00826EC0" w:rsidP="00826EC0">
      <w:pPr>
        <w:rPr>
          <w:rFonts w:ascii="Times New Roman" w:eastAsia="Times New Roman" w:hAnsi="Times New Roman" w:cs="Times New Roman"/>
        </w:rPr>
      </w:pPr>
      <w:r w:rsidRPr="00CB1AD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4F356F" wp14:editId="08C1BD51">
            <wp:extent cx="4457700" cy="7008233"/>
            <wp:effectExtent l="0" t="0" r="0" b="254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69" cy="70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FA6D" w14:textId="77777777" w:rsidR="00826EC0" w:rsidRPr="00CB1AD0" w:rsidRDefault="00826EC0" w:rsidP="00826EC0">
      <w:pPr>
        <w:rPr>
          <w:rFonts w:ascii="Times New Roman" w:eastAsia="Times New Roman" w:hAnsi="Times New Roman" w:cs="Times New Roman"/>
        </w:rPr>
        <w:sectPr w:rsidR="00826EC0" w:rsidRPr="00CB1AD0" w:rsidSect="00F16B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1AD0">
        <w:rPr>
          <w:rFonts w:ascii="Times New Roman" w:hAnsi="Times New Roman" w:cs="Times New Roman"/>
        </w:rPr>
        <w:t xml:space="preserve">Supplemental </w:t>
      </w:r>
      <w:r w:rsidRPr="00CB1AD0">
        <w:rPr>
          <w:rFonts w:ascii="Times New Roman" w:eastAsia="Times New Roman" w:hAnsi="Times New Roman" w:cs="Times New Roman"/>
        </w:rPr>
        <w:t xml:space="preserve">Fig. S3. </w:t>
      </w:r>
      <w:r w:rsidRPr="00CB1AD0">
        <w:rPr>
          <w:rFonts w:ascii="Times New Roman" w:hAnsi="Times New Roman" w:cs="Times New Roman"/>
        </w:rPr>
        <w:t xml:space="preserve">G-PhoCS estimated population size (θ) and its 95% Highest Posterior Density for current domesticated and wild Asian rice. Population are abbreviated as J: japonica; R: </w:t>
      </w:r>
      <w:r w:rsidRPr="00CB1AD0">
        <w:rPr>
          <w:rFonts w:ascii="Times New Roman" w:hAnsi="Times New Roman" w:cs="Times New Roman"/>
          <w:i/>
        </w:rPr>
        <w:t>O. ruifipogon</w:t>
      </w:r>
      <w:r w:rsidRPr="00CB1AD0">
        <w:rPr>
          <w:rFonts w:ascii="Times New Roman" w:hAnsi="Times New Roman" w:cs="Times New Roman"/>
        </w:rPr>
        <w:t xml:space="preserve">; I: indica; A: aus; N: </w:t>
      </w:r>
      <w:r w:rsidRPr="00CB1AD0">
        <w:rPr>
          <w:rFonts w:ascii="Times New Roman" w:hAnsi="Times New Roman" w:cs="Times New Roman"/>
          <w:i/>
        </w:rPr>
        <w:t>O. nivara</w:t>
      </w:r>
      <w:r w:rsidRPr="00CB1AD0">
        <w:rPr>
          <w:rFonts w:ascii="Times New Roman" w:hAnsi="Times New Roman" w:cs="Times New Roman"/>
        </w:rPr>
        <w:t xml:space="preserve">. </w:t>
      </w:r>
      <w:r w:rsidRPr="00CB1AD0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t xml:space="preserve">G-PhoCS analysis were conducted for 5 independent runs to access convergence in the parameter estimates. </w:t>
      </w:r>
      <w:r w:rsidRPr="00CB1AD0">
        <w:rPr>
          <w:rFonts w:ascii="Times New Roman" w:hAnsi="Times New Roman" w:cs="Times New Roman"/>
        </w:rPr>
        <w:t>θ was estimated under two different scenarios: with and without migration bands. Parameter estimates have been scaled up by a factor of 10</w:t>
      </w:r>
      <w:r w:rsidRPr="00CB1AD0">
        <w:rPr>
          <w:rFonts w:ascii="Times New Roman" w:hAnsi="Times New Roman" w:cs="Times New Roman"/>
          <w:vertAlign w:val="superscript"/>
        </w:rPr>
        <w:t xml:space="preserve">4 </w:t>
      </w:r>
      <w:r w:rsidRPr="00CB1AD0">
        <w:rPr>
          <w:rFonts w:ascii="Times New Roman" w:hAnsi="Times New Roman" w:cs="Times New Roman"/>
        </w:rPr>
        <w:t>for ease of representing.</w:t>
      </w:r>
    </w:p>
    <w:p w14:paraId="3685099B" w14:textId="77777777" w:rsidR="00826EC0" w:rsidRPr="00CB1AD0" w:rsidRDefault="00826EC0" w:rsidP="00826EC0">
      <w:pPr>
        <w:rPr>
          <w:rFonts w:ascii="Times New Roman" w:eastAsia="Times New Roman" w:hAnsi="Times New Roman" w:cs="Times New Roman"/>
        </w:rPr>
      </w:pPr>
      <w:r w:rsidRPr="00CB1AD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8885AD" wp14:editId="0F7CE8A3">
            <wp:extent cx="4362139" cy="6858000"/>
            <wp:effectExtent l="0" t="0" r="698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09" cy="68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57A7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 xml:space="preserve">Supplemental </w:t>
      </w:r>
      <w:r w:rsidRPr="00CB1AD0">
        <w:rPr>
          <w:rFonts w:ascii="Times New Roman" w:eastAsia="Times New Roman" w:hAnsi="Times New Roman" w:cs="Times New Roman"/>
        </w:rPr>
        <w:t>Fig. S4.</w:t>
      </w:r>
      <w:r w:rsidRPr="00CB1AD0">
        <w:rPr>
          <w:rFonts w:ascii="Times New Roman" w:hAnsi="Times New Roman" w:cs="Times New Roman"/>
        </w:rPr>
        <w:t xml:space="preserve"> G-PhoCS estimated divergence time (τ) and its 95% Highest Posterior Density for current domesticated and wild Asian rice. Population are abbreviated as J: japonica; R: </w:t>
      </w:r>
      <w:r w:rsidRPr="00CB1AD0">
        <w:rPr>
          <w:rFonts w:ascii="Times New Roman" w:hAnsi="Times New Roman" w:cs="Times New Roman"/>
          <w:i/>
        </w:rPr>
        <w:t>O. ruifipogon</w:t>
      </w:r>
      <w:r w:rsidRPr="00CB1AD0">
        <w:rPr>
          <w:rFonts w:ascii="Times New Roman" w:hAnsi="Times New Roman" w:cs="Times New Roman"/>
        </w:rPr>
        <w:t xml:space="preserve">; I: indica; A: aus; N: </w:t>
      </w:r>
      <w:r w:rsidRPr="00CB1AD0">
        <w:rPr>
          <w:rFonts w:ascii="Times New Roman" w:hAnsi="Times New Roman" w:cs="Times New Roman"/>
          <w:i/>
        </w:rPr>
        <w:t>O. nivara</w:t>
      </w:r>
      <w:r w:rsidRPr="00CB1AD0">
        <w:rPr>
          <w:rFonts w:ascii="Times New Roman" w:hAnsi="Times New Roman" w:cs="Times New Roman"/>
        </w:rPr>
        <w:t xml:space="preserve">. </w:t>
      </w:r>
      <w:r w:rsidRPr="00CB1AD0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t xml:space="preserve">G-PhoCS analysis were conducted for 5 independent runs to access convergence in the parameter estimates. </w:t>
      </w:r>
      <w:r w:rsidRPr="00CB1AD0">
        <w:rPr>
          <w:rFonts w:ascii="Times New Roman" w:hAnsi="Times New Roman" w:cs="Times New Roman"/>
        </w:rPr>
        <w:t>τ was estimated under two different scenarios: with and without migration bands. Parameter estimates have been scaled up by a factor of 10</w:t>
      </w:r>
      <w:r w:rsidRPr="00CB1AD0">
        <w:rPr>
          <w:rFonts w:ascii="Times New Roman" w:hAnsi="Times New Roman" w:cs="Times New Roman"/>
          <w:vertAlign w:val="superscript"/>
        </w:rPr>
        <w:t xml:space="preserve">4 </w:t>
      </w:r>
      <w:r w:rsidRPr="00CB1AD0">
        <w:rPr>
          <w:rFonts w:ascii="Times New Roman" w:hAnsi="Times New Roman" w:cs="Times New Roman"/>
        </w:rPr>
        <w:t>for ease of representing.</w:t>
      </w:r>
    </w:p>
    <w:p w14:paraId="0F055B11" w14:textId="77777777" w:rsidR="00826EC0" w:rsidRPr="00CB1AD0" w:rsidRDefault="00826EC0" w:rsidP="00826EC0">
      <w:pPr>
        <w:rPr>
          <w:rFonts w:ascii="Times New Roman" w:hAnsi="Times New Roman" w:cs="Times New Roman"/>
        </w:rPr>
        <w:sectPr w:rsidR="00826EC0" w:rsidRPr="00CB1AD0" w:rsidSect="00F16B1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8353E5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noProof/>
        </w:rPr>
        <w:drawing>
          <wp:inline distT="0" distB="0" distL="0" distR="0" wp14:anchorId="45F55DD3" wp14:editId="711D52B9">
            <wp:extent cx="5486400" cy="6355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5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6549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 xml:space="preserve">Supplemental </w:t>
      </w:r>
      <w:r w:rsidRPr="00CB1AD0">
        <w:rPr>
          <w:rFonts w:ascii="Times New Roman" w:eastAsia="Times New Roman" w:hAnsi="Times New Roman" w:cs="Times New Roman"/>
        </w:rPr>
        <w:t>Fig. S5.</w:t>
      </w:r>
      <w:r w:rsidRPr="00CB1AD0">
        <w:rPr>
          <w:rFonts w:ascii="Times New Roman" w:hAnsi="Times New Roman" w:cs="Times New Roman"/>
        </w:rPr>
        <w:t xml:space="preserve"> G-PhoCS estimated divergence time (τ) and its 95% Highest Posterior Density under various gene flow model. Population are abbreviated as J: japonica; R: </w:t>
      </w:r>
      <w:r w:rsidRPr="00CB1AD0">
        <w:rPr>
          <w:rFonts w:ascii="Times New Roman" w:hAnsi="Times New Roman" w:cs="Times New Roman"/>
          <w:i/>
        </w:rPr>
        <w:t>O. ruifipogon</w:t>
      </w:r>
      <w:r w:rsidRPr="00CB1AD0">
        <w:rPr>
          <w:rFonts w:ascii="Times New Roman" w:hAnsi="Times New Roman" w:cs="Times New Roman"/>
        </w:rPr>
        <w:t xml:space="preserve">; I: indica; A: aus; N: </w:t>
      </w:r>
      <w:r w:rsidRPr="00CB1AD0">
        <w:rPr>
          <w:rFonts w:ascii="Times New Roman" w:hAnsi="Times New Roman" w:cs="Times New Roman"/>
          <w:i/>
        </w:rPr>
        <w:t>O. nivara</w:t>
      </w:r>
      <w:r w:rsidRPr="00CB1AD0">
        <w:rPr>
          <w:rFonts w:ascii="Times New Roman" w:hAnsi="Times New Roman" w:cs="Times New Roman"/>
        </w:rPr>
        <w:t xml:space="preserve">. Bidirectional arrow indicates bidirectional gene flow between two lineages. Mig. Model 2 indicate the migration model 2 in Supplementary Fig S2. Final Mig. Model indicates the final unidirectional gene flow model. No Mig. indicates the no migration model. </w:t>
      </w:r>
      <w:r w:rsidRPr="00CB1AD0">
        <w:rPr>
          <w:rFonts w:ascii="Times New Roman" w:eastAsia="Times New Roman" w:hAnsi="Times New Roman" w:cs="Times New Roman"/>
          <w:bCs/>
          <w:color w:val="252525"/>
          <w:shd w:val="clear" w:color="auto" w:fill="FFFFFF"/>
        </w:rPr>
        <w:t>G-PhoCS analyses were conducted for 5 independent runs to access convergence in the parameter estimates</w:t>
      </w:r>
      <w:r w:rsidRPr="00CB1AD0">
        <w:rPr>
          <w:rFonts w:ascii="Times New Roman" w:hAnsi="Times New Roman" w:cs="Times New Roman"/>
        </w:rPr>
        <w:t>. Parameter estimates have been scaled up by a factor of 10</w:t>
      </w:r>
      <w:r w:rsidRPr="00CB1AD0">
        <w:rPr>
          <w:rFonts w:ascii="Times New Roman" w:hAnsi="Times New Roman" w:cs="Times New Roman"/>
          <w:vertAlign w:val="superscript"/>
        </w:rPr>
        <w:t xml:space="preserve">4 </w:t>
      </w:r>
      <w:r w:rsidRPr="00CB1AD0">
        <w:rPr>
          <w:rFonts w:ascii="Times New Roman" w:hAnsi="Times New Roman" w:cs="Times New Roman"/>
        </w:rPr>
        <w:t>for ease of representing.</w:t>
      </w:r>
    </w:p>
    <w:p w14:paraId="39D88D58" w14:textId="77777777" w:rsidR="00826EC0" w:rsidRPr="00CB1AD0" w:rsidRDefault="00826EC0" w:rsidP="00826EC0">
      <w:pPr>
        <w:rPr>
          <w:rFonts w:ascii="Times New Roman" w:hAnsi="Times New Roman" w:cs="Times New Roman"/>
        </w:rPr>
        <w:sectPr w:rsidR="00826EC0" w:rsidRPr="00CB1AD0" w:rsidSect="00F16B1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B32B0E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p w14:paraId="4B8799DE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p w14:paraId="2C26B510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p w14:paraId="63FCF15D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noProof/>
        </w:rPr>
        <w:drawing>
          <wp:inline distT="0" distB="0" distL="0" distR="0" wp14:anchorId="0CFB72B4" wp14:editId="256C21A8">
            <wp:extent cx="5307942" cy="6445358"/>
            <wp:effectExtent l="0" t="0" r="127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59" cy="64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72B8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 xml:space="preserve">Supplemental </w:t>
      </w:r>
      <w:r w:rsidRPr="00CB1AD0">
        <w:rPr>
          <w:rFonts w:ascii="Times New Roman" w:eastAsia="Times New Roman" w:hAnsi="Times New Roman" w:cs="Times New Roman"/>
        </w:rPr>
        <w:t>Fig. S6. D</w:t>
      </w:r>
      <w:r w:rsidRPr="00CB1AD0">
        <w:rPr>
          <w:rFonts w:ascii="Times New Roman" w:eastAsia="Times New Roman" w:hAnsi="Times New Roman" w:cs="Times New Roman"/>
          <w:vertAlign w:val="subscript"/>
        </w:rPr>
        <w:t>FOIL</w:t>
      </w:r>
      <w:r w:rsidRPr="00CB1AD0">
        <w:rPr>
          <w:rFonts w:ascii="Times New Roman" w:eastAsia="Times New Roman" w:hAnsi="Times New Roman" w:cs="Times New Roman"/>
        </w:rPr>
        <w:t xml:space="preserve"> test of evaluating direction of introgression. The five-taxon phylogeny represents the topology that is required for the D</w:t>
      </w:r>
      <w:r w:rsidRPr="00CB1AD0">
        <w:rPr>
          <w:rFonts w:ascii="Times New Roman" w:eastAsia="Times New Roman" w:hAnsi="Times New Roman" w:cs="Times New Roman"/>
          <w:vertAlign w:val="subscript"/>
        </w:rPr>
        <w:t xml:space="preserve">FOIL </w:t>
      </w:r>
      <w:r w:rsidRPr="00CB1AD0">
        <w:rPr>
          <w:rFonts w:ascii="Times New Roman" w:eastAsia="Times New Roman" w:hAnsi="Times New Roman" w:cs="Times New Roman"/>
        </w:rPr>
        <w:t>test. The D</w:t>
      </w:r>
      <w:r w:rsidRPr="00CB1AD0">
        <w:rPr>
          <w:rFonts w:ascii="Times New Roman" w:eastAsia="Times New Roman" w:hAnsi="Times New Roman" w:cs="Times New Roman"/>
          <w:vertAlign w:val="subscript"/>
        </w:rPr>
        <w:t xml:space="preserve">FOIL </w:t>
      </w:r>
      <w:r w:rsidRPr="00CB1AD0">
        <w:rPr>
          <w:rFonts w:ascii="Times New Roman" w:eastAsia="Times New Roman" w:hAnsi="Times New Roman" w:cs="Times New Roman"/>
        </w:rPr>
        <w:t>test is a combination of four ABBA-BABA test like D-statistics (D</w:t>
      </w:r>
      <w:r w:rsidRPr="00CB1AD0">
        <w:rPr>
          <w:rFonts w:ascii="Times New Roman" w:eastAsia="Times New Roman" w:hAnsi="Times New Roman" w:cs="Times New Roman"/>
          <w:vertAlign w:val="subscript"/>
        </w:rPr>
        <w:t>FO</w:t>
      </w:r>
      <w:r w:rsidRPr="00CB1AD0">
        <w:rPr>
          <w:rFonts w:ascii="Times New Roman" w:eastAsia="Times New Roman" w:hAnsi="Times New Roman" w:cs="Times New Roman"/>
        </w:rPr>
        <w:t>, D</w:t>
      </w:r>
      <w:r w:rsidRPr="00CB1AD0">
        <w:rPr>
          <w:rFonts w:ascii="Times New Roman" w:eastAsia="Times New Roman" w:hAnsi="Times New Roman" w:cs="Times New Roman"/>
          <w:vertAlign w:val="subscript"/>
        </w:rPr>
        <w:t>IL</w:t>
      </w:r>
      <w:r w:rsidRPr="00CB1AD0">
        <w:rPr>
          <w:rFonts w:ascii="Times New Roman" w:eastAsia="Times New Roman" w:hAnsi="Times New Roman" w:cs="Times New Roman"/>
        </w:rPr>
        <w:t>, D</w:t>
      </w:r>
      <w:r w:rsidRPr="00CB1AD0">
        <w:rPr>
          <w:rFonts w:ascii="Times New Roman" w:eastAsia="Times New Roman" w:hAnsi="Times New Roman" w:cs="Times New Roman"/>
          <w:vertAlign w:val="subscript"/>
        </w:rPr>
        <w:t>FI</w:t>
      </w:r>
      <w:r w:rsidRPr="00CB1AD0">
        <w:rPr>
          <w:rFonts w:ascii="Times New Roman" w:eastAsia="Times New Roman" w:hAnsi="Times New Roman" w:cs="Times New Roman"/>
        </w:rPr>
        <w:t>, and D</w:t>
      </w:r>
      <w:r w:rsidRPr="00CB1AD0">
        <w:rPr>
          <w:rFonts w:ascii="Times New Roman" w:eastAsia="Times New Roman" w:hAnsi="Times New Roman" w:cs="Times New Roman"/>
          <w:vertAlign w:val="subscript"/>
        </w:rPr>
        <w:t>OL</w:t>
      </w:r>
      <w:r w:rsidRPr="00CB1AD0">
        <w:rPr>
          <w:rFonts w:ascii="Times New Roman" w:eastAsia="Times New Roman" w:hAnsi="Times New Roman" w:cs="Times New Roman"/>
        </w:rPr>
        <w:t>). Each color represents an ABBA-BABA test comparison involving two closely related monophyletic group and a third ingroup lineage. Signs (+ or -) for each D</w:t>
      </w:r>
      <w:r w:rsidRPr="00CB1AD0">
        <w:rPr>
          <w:rFonts w:ascii="Times New Roman" w:eastAsia="Times New Roman" w:hAnsi="Times New Roman" w:cs="Times New Roman"/>
          <w:vertAlign w:val="subscript"/>
        </w:rPr>
        <w:t>FOIL</w:t>
      </w:r>
      <w:r w:rsidRPr="00CB1AD0">
        <w:rPr>
          <w:rFonts w:ascii="Times New Roman" w:eastAsia="Times New Roman" w:hAnsi="Times New Roman" w:cs="Times New Roman"/>
        </w:rPr>
        <w:t xml:space="preserve"> component depend on the extent of allele sharing between the third ingroup and one of the two monophyletic sister lineages.</w:t>
      </w:r>
    </w:p>
    <w:p w14:paraId="4EB5308C" w14:textId="77777777" w:rsidR="00826EC0" w:rsidRPr="00CB1AD0" w:rsidRDefault="00826EC0" w:rsidP="00826EC0">
      <w:pPr>
        <w:rPr>
          <w:rFonts w:ascii="Times New Roman" w:hAnsi="Times New Roman" w:cs="Times New Roman"/>
        </w:rPr>
        <w:sectPr w:rsidR="00826EC0" w:rsidRPr="00CB1AD0" w:rsidSect="0087706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801A5C" w14:textId="71290BC3" w:rsidR="00826EC0" w:rsidRPr="00CB1AD0" w:rsidRDefault="00826EC0" w:rsidP="00826EC0">
      <w:pPr>
        <w:pStyle w:val="Heading1"/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>Supplementary</w:t>
      </w:r>
      <w:r w:rsidRPr="00CB1AD0">
        <w:rPr>
          <w:rFonts w:ascii="Times New Roman" w:eastAsia="Times New Roman" w:hAnsi="Times New Roman" w:cs="Times New Roman"/>
        </w:rPr>
        <w:t xml:space="preserve"> </w:t>
      </w:r>
      <w:r w:rsidRPr="00CB1AD0">
        <w:rPr>
          <w:rFonts w:ascii="Times New Roman" w:hAnsi="Times New Roman" w:cs="Times New Roman"/>
        </w:rPr>
        <w:t>Tables</w:t>
      </w:r>
    </w:p>
    <w:p w14:paraId="6FFC07D1" w14:textId="77777777" w:rsidR="00845AC7" w:rsidRPr="00CB1AD0" w:rsidRDefault="00845AC7" w:rsidP="00845AC7">
      <w:pPr>
        <w:rPr>
          <w:rFonts w:ascii="Times New Roman" w:hAnsi="Times New Roman" w:cs="Times New Roman"/>
        </w:rPr>
      </w:pPr>
    </w:p>
    <w:p w14:paraId="4ECE969D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>Supplemental Table S1. Genome alignment</w:t>
      </w:r>
      <w:bookmarkStart w:id="3" w:name="_GoBack"/>
      <w:bookmarkEnd w:id="3"/>
      <w:r w:rsidRPr="00CB1AD0">
        <w:rPr>
          <w:rFonts w:ascii="Times New Roman" w:hAnsi="Times New Roman" w:cs="Times New Roman"/>
        </w:rPr>
        <w:t xml:space="preserve"> statistic using the japonica genome as reference.</w:t>
      </w:r>
    </w:p>
    <w:p w14:paraId="6674E17F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tbl>
      <w:tblPr>
        <w:tblW w:w="3332" w:type="dxa"/>
        <w:tblInd w:w="93" w:type="dxa"/>
        <w:tblLook w:val="04A0" w:firstRow="1" w:lastRow="0" w:firstColumn="1" w:lastColumn="0" w:noHBand="0" w:noVBand="1"/>
      </w:tblPr>
      <w:tblGrid>
        <w:gridCol w:w="1855"/>
        <w:gridCol w:w="1477"/>
      </w:tblGrid>
      <w:tr w:rsidR="00826EC0" w:rsidRPr="00CB1AD0" w14:paraId="4AA38D12" w14:textId="77777777" w:rsidTr="00F16B1F">
        <w:trPr>
          <w:trHeight w:val="340"/>
        </w:trPr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BA486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Target Genome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364EC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Coverage %</w:t>
            </w:r>
          </w:p>
        </w:tc>
      </w:tr>
      <w:tr w:rsidR="00826EC0" w:rsidRPr="00CB1AD0" w14:paraId="4089119A" w14:textId="77777777" w:rsidTr="00F16B1F">
        <w:trPr>
          <w:trHeight w:val="340"/>
        </w:trPr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D57C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F01B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74.0%</w:t>
            </w:r>
          </w:p>
        </w:tc>
      </w:tr>
      <w:tr w:rsidR="00826EC0" w:rsidRPr="00CB1AD0" w14:paraId="1F7D6CE5" w14:textId="77777777" w:rsidTr="00F16B1F">
        <w:trPr>
          <w:trHeight w:val="34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19F5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C41D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83.2%</w:t>
            </w:r>
          </w:p>
        </w:tc>
      </w:tr>
      <w:tr w:rsidR="00826EC0" w:rsidRPr="00CB1AD0" w14:paraId="6BAA7D1D" w14:textId="77777777" w:rsidTr="00F16B1F">
        <w:trPr>
          <w:trHeight w:val="34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574C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CABC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71.4%</w:t>
            </w:r>
          </w:p>
        </w:tc>
      </w:tr>
      <w:tr w:rsidR="00826EC0" w:rsidRPr="00CB1AD0" w14:paraId="263314CD" w14:textId="77777777" w:rsidTr="00F16B1F">
        <w:trPr>
          <w:trHeight w:val="34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B42E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F8E4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74.2%</w:t>
            </w:r>
          </w:p>
        </w:tc>
      </w:tr>
      <w:tr w:rsidR="00826EC0" w:rsidRPr="00CB1AD0" w14:paraId="4E367DA6" w14:textId="77777777" w:rsidTr="00F16B1F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CB60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 nivara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DF9F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65.1%</w:t>
            </w:r>
          </w:p>
        </w:tc>
      </w:tr>
      <w:tr w:rsidR="00826EC0" w:rsidRPr="00CB1AD0" w14:paraId="1B6FF4BB" w14:textId="77777777" w:rsidTr="00F16B1F">
        <w:trPr>
          <w:trHeight w:val="300"/>
        </w:trPr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2D90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 rufipogon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A222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74.3%</w:t>
            </w:r>
          </w:p>
        </w:tc>
      </w:tr>
      <w:tr w:rsidR="00826EC0" w:rsidRPr="00CB1AD0" w14:paraId="478AFE41" w14:textId="77777777" w:rsidTr="00F16B1F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5F82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 punctata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D332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36.9%</w:t>
            </w:r>
          </w:p>
        </w:tc>
      </w:tr>
    </w:tbl>
    <w:p w14:paraId="3A48DC54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p w14:paraId="18395EC1" w14:textId="77777777" w:rsidR="00826EC0" w:rsidRPr="00CB1AD0" w:rsidRDefault="00826EC0" w:rsidP="00826EC0">
      <w:pPr>
        <w:rPr>
          <w:rFonts w:ascii="Times New Roman" w:hAnsi="Times New Roman" w:cs="Times New Roman"/>
        </w:rPr>
        <w:sectPr w:rsidR="00826EC0" w:rsidRPr="00CB1AD0" w:rsidSect="00854F2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B1AD0">
        <w:rPr>
          <w:rFonts w:ascii="Times New Roman" w:hAnsi="Times New Roman" w:cs="Times New Roman"/>
        </w:rPr>
        <w:t>a. Proportion of the reference japonica genome that had a target genome’s base aligned to it.</w:t>
      </w:r>
    </w:p>
    <w:p w14:paraId="6BF4DC97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 xml:space="preserve">Supplemental Table S2. Total number of genes analyzed for the four-taxon topology test. </w:t>
      </w:r>
      <w:r w:rsidRPr="00CB1AD0">
        <w:rPr>
          <w:rFonts w:ascii="Times New Roman" w:hAnsi="Times New Roman" w:cs="Times New Roman"/>
          <w:i/>
        </w:rPr>
        <w:t xml:space="preserve">O. punctata </w:t>
      </w:r>
      <w:r w:rsidRPr="00CB1AD0">
        <w:rPr>
          <w:rFonts w:ascii="Times New Roman" w:hAnsi="Times New Roman" w:cs="Times New Roman"/>
        </w:rPr>
        <w:t>was always the outgroup species</w:t>
      </w:r>
    </w:p>
    <w:p w14:paraId="2BBF7BD3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tbl>
      <w:tblPr>
        <w:tblW w:w="6424" w:type="dxa"/>
        <w:tblInd w:w="93" w:type="dxa"/>
        <w:tblLook w:val="04A0" w:firstRow="1" w:lastRow="0" w:firstColumn="1" w:lastColumn="0" w:noHBand="0" w:noVBand="1"/>
      </w:tblPr>
      <w:tblGrid>
        <w:gridCol w:w="4576"/>
        <w:gridCol w:w="1848"/>
      </w:tblGrid>
      <w:tr w:rsidR="00826EC0" w:rsidRPr="00CB1AD0" w14:paraId="09A25248" w14:textId="77777777" w:rsidTr="00F16B1F">
        <w:trPr>
          <w:trHeight w:val="340"/>
        </w:trPr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E27F0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Compared Population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F1DAC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Number of</w:t>
            </w:r>
          </w:p>
          <w:p w14:paraId="46321026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Analyzed genes</w:t>
            </w:r>
          </w:p>
        </w:tc>
      </w:tr>
      <w:tr w:rsidR="00826EC0" w:rsidRPr="00CB1AD0" w14:paraId="06ADC47B" w14:textId="77777777" w:rsidTr="00F16B1F">
        <w:trPr>
          <w:trHeight w:val="340"/>
        </w:trPr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4AC8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O.nivara, O.rufipogon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9E18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14346</w:t>
            </w:r>
          </w:p>
        </w:tc>
      </w:tr>
      <w:tr w:rsidR="00826EC0" w:rsidRPr="00CB1AD0" w14:paraId="06BB380E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5A48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O.nivara, O.rufipogon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4D74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17965</w:t>
            </w:r>
          </w:p>
        </w:tc>
      </w:tr>
      <w:tr w:rsidR="00826EC0" w:rsidRPr="00CB1AD0" w14:paraId="2F5334D1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2D8D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O.nivara, O.rufipogon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6A76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19129</w:t>
            </w:r>
          </w:p>
        </w:tc>
      </w:tr>
      <w:tr w:rsidR="00826EC0" w:rsidRPr="00CB1AD0" w14:paraId="1E2754FC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0AD2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EC69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19295</w:t>
            </w:r>
          </w:p>
        </w:tc>
      </w:tr>
      <w:tr w:rsidR="00826EC0" w:rsidRPr="00CB1AD0" w14:paraId="0B9F3DA3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FD0B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835C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18139</w:t>
            </w:r>
          </w:p>
        </w:tc>
      </w:tr>
      <w:tr w:rsidR="00826EC0" w:rsidRPr="00CB1AD0" w14:paraId="3370D02F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4830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O.nivara, O.rufipogon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5F90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18442</w:t>
            </w:r>
          </w:p>
        </w:tc>
      </w:tr>
      <w:tr w:rsidR="00826EC0" w:rsidRPr="00CB1AD0" w14:paraId="7FC39024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6FBF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AF9A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18670</w:t>
            </w:r>
          </w:p>
        </w:tc>
      </w:tr>
      <w:tr w:rsidR="00826EC0" w:rsidRPr="00CB1AD0" w14:paraId="4765E0F7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B62F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 nivara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DB5A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17617</w:t>
            </w:r>
          </w:p>
        </w:tc>
      </w:tr>
      <w:tr w:rsidR="00826EC0" w:rsidRPr="00CB1AD0" w14:paraId="2939A2E9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43255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japonica,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O.nivara, O.rufipogon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BAF1C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19707</w:t>
            </w:r>
          </w:p>
        </w:tc>
      </w:tr>
      <w:tr w:rsidR="00826EC0" w:rsidRPr="00CB1AD0" w14:paraId="0780F935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810A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21F8B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19857</w:t>
            </w:r>
          </w:p>
        </w:tc>
      </w:tr>
      <w:tr w:rsidR="00826EC0" w:rsidRPr="00CB1AD0" w14:paraId="046C07B9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1455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O.rufipogon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9F5EA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21136</w:t>
            </w:r>
          </w:p>
        </w:tc>
      </w:tr>
      <w:tr w:rsidR="00826EC0" w:rsidRPr="00CB1AD0" w14:paraId="1749EA45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10565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CE94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18670</w:t>
            </w:r>
          </w:p>
        </w:tc>
      </w:tr>
      <w:tr w:rsidR="00826EC0" w:rsidRPr="00CB1AD0" w14:paraId="17E199E6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D1F21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O.rufipogon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FE218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19478</w:t>
            </w:r>
          </w:p>
        </w:tc>
      </w:tr>
      <w:tr w:rsidR="00826EC0" w:rsidRPr="00CB1AD0" w14:paraId="5C51767C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9C49A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81CB0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19903</w:t>
            </w:r>
          </w:p>
        </w:tc>
      </w:tr>
      <w:tr w:rsidR="00826EC0" w:rsidRPr="00CB1AD0" w14:paraId="2E53617D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B5847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O.rufipogon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65E7B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21187</w:t>
            </w:r>
          </w:p>
        </w:tc>
      </w:tr>
      <w:tr w:rsidR="00826EC0" w:rsidRPr="00CB1AD0" w14:paraId="0EBA90F0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FB2DB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D491B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21405</w:t>
            </w:r>
          </w:p>
        </w:tc>
      </w:tr>
      <w:tr w:rsidR="00826EC0" w:rsidRPr="00CB1AD0" w14:paraId="63D5EC3C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7120B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BF514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20069</w:t>
            </w:r>
          </w:p>
        </w:tc>
      </w:tr>
      <w:tr w:rsidR="00826EC0" w:rsidRPr="00CB1AD0" w14:paraId="706AD116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4B043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O.nivara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AB47D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19287</w:t>
            </w:r>
          </w:p>
        </w:tc>
      </w:tr>
      <w:tr w:rsidR="00826EC0" w:rsidRPr="00CB1AD0" w14:paraId="22FBECE9" w14:textId="77777777" w:rsidTr="00F16B1F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4233D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B1A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O.rufipogon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8CAE0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20493</w:t>
            </w:r>
          </w:p>
        </w:tc>
      </w:tr>
      <w:tr w:rsidR="00826EC0" w:rsidRPr="00CB1AD0" w14:paraId="68D8BB71" w14:textId="77777777" w:rsidTr="00826EC0">
        <w:trPr>
          <w:trHeight w:val="340"/>
        </w:trPr>
        <w:tc>
          <w:tcPr>
            <w:tcW w:w="4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BC71F3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6C3FD0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20702</w:t>
            </w:r>
          </w:p>
        </w:tc>
      </w:tr>
      <w:tr w:rsidR="00826EC0" w:rsidRPr="00CB1AD0" w14:paraId="7E0343F3" w14:textId="77777777" w:rsidTr="00826EC0">
        <w:trPr>
          <w:trHeight w:val="340"/>
        </w:trPr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BD6AF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japonica, 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 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7E259" w14:textId="77777777" w:rsidR="00826EC0" w:rsidRPr="00CB1AD0" w:rsidRDefault="00826EC0" w:rsidP="00F16B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  <w:color w:val="000000"/>
              </w:rPr>
              <w:t>19478</w:t>
            </w:r>
          </w:p>
        </w:tc>
      </w:tr>
    </w:tbl>
    <w:p w14:paraId="5E52B664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p w14:paraId="262BF093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p w14:paraId="7EB8ED7F" w14:textId="77777777" w:rsidR="00826EC0" w:rsidRPr="00CB1AD0" w:rsidRDefault="00826EC0" w:rsidP="00826EC0">
      <w:pPr>
        <w:rPr>
          <w:rFonts w:ascii="Times New Roman" w:hAnsi="Times New Roman" w:cs="Times New Roman"/>
        </w:rPr>
        <w:sectPr w:rsidR="00826EC0" w:rsidRPr="00CB1AD0" w:rsidSect="00854F2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7C26E3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 xml:space="preserve">Supplemental Table S3. Total number of gene trees significantly supporting a topology after the Approximately Unbiased (AU) test. Numbers in parenthesis represent percentage with 95% bootstrap confidence interval indicated in square brackets. </w:t>
      </w:r>
      <w:r w:rsidRPr="00CB1AD0">
        <w:rPr>
          <w:rFonts w:ascii="Times New Roman" w:hAnsi="Times New Roman" w:cs="Times New Roman"/>
          <w:i/>
        </w:rPr>
        <w:t xml:space="preserve">O. punctata </w:t>
      </w:r>
      <w:r w:rsidRPr="00CB1AD0">
        <w:rPr>
          <w:rFonts w:ascii="Times New Roman" w:hAnsi="Times New Roman" w:cs="Times New Roman"/>
        </w:rPr>
        <w:t>was used as outgroup for all topology tests.</w:t>
      </w:r>
    </w:p>
    <w:p w14:paraId="10EC8EC9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3709"/>
        <w:gridCol w:w="3709"/>
        <w:gridCol w:w="3709"/>
      </w:tblGrid>
      <w:tr w:rsidR="00826EC0" w:rsidRPr="00CB1AD0" w14:paraId="2A40193C" w14:textId="77777777" w:rsidTr="00F16B1F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E70F6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Major Topology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7332" w14:textId="77777777" w:rsidR="00826EC0" w:rsidRPr="00CB1AD0" w:rsidRDefault="00826EC0" w:rsidP="00F16B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Minor Topologies</w:t>
            </w:r>
          </w:p>
        </w:tc>
      </w:tr>
      <w:tr w:rsidR="00826EC0" w:rsidRPr="00CB1AD0" w14:paraId="65663E19" w14:textId="77777777" w:rsidTr="00F16B1F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E4F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((japonica,O.rufipogon),O.nivara)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81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((japonica,O.nivara),O.rufipogon)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7F0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((O.nivara,O.rufipogon),japonica)</w:t>
            </w:r>
          </w:p>
        </w:tc>
      </w:tr>
      <w:tr w:rsidR="00826EC0" w:rsidRPr="00CB1AD0" w14:paraId="2CEEFD9F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452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5409 (85.1% [84.3-86.0%])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37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497 (7.8% [7.2-8.5%])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46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446 (7.0% [6.4-7.7%])</w:t>
            </w:r>
          </w:p>
        </w:tc>
      </w:tr>
      <w:tr w:rsidR="00826EC0" w:rsidRPr="00CB1AD0" w14:paraId="1455098D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F8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,O.nivara),O.rufipogon)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FC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,O.rufipogon),O.nivara)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C1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((O.nivara,O.rufipogon),SAA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29888F58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3B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2214 (65.0% [63.4-66.6%])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E85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975(28.6% [27.1-30.1%])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EC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215 (6.3% [5.5-7.1%])</w:t>
            </w:r>
          </w:p>
        </w:tc>
      </w:tr>
      <w:tr w:rsidR="00826EC0" w:rsidRPr="00CB1AD0" w14:paraId="03C4C11B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EA2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,O.nivara),O.rufipogon)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31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,O.rufipogon),O.nivara)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FB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((O.nivara,O.rufipogon),SAA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05EBB3D0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CB9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2871 (66.1% [64.7-67.5%])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B0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1154 (26.5% [25.3-27.9%])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99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319 (7.3% [6.6-8.1%])</w:t>
            </w:r>
          </w:p>
        </w:tc>
      </w:tr>
      <w:tr w:rsidR="00826EC0" w:rsidRPr="00CB1AD0" w14:paraId="2AC5248B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EA0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,O.nivara),O.rufipogon)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387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,O.rufipogon),O.nivara)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78E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((O.nivara,O.rufipogon),indica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1ADFEF4E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96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2418 (54.9% [53.4-56.3%])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E4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1570 (35.6% [34.2-37.0%])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676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418 (9.5% [8.6-10.3%])</w:t>
            </w:r>
          </w:p>
        </w:tc>
      </w:tr>
      <w:tr w:rsidR="00826EC0" w:rsidRPr="00CB1AD0" w14:paraId="52D3F559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3B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,O.nivara),O.rufipogon)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C08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,O.rufipogon),O.nivara)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0A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((O.nivara,O.rufipogon),indica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3F047AD3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07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2499 (56.9% [55.5-58.4%])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C4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1447 (33.0% [31.6-34.3%])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61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444 (10.1% [9.2-11.0%])</w:t>
            </w:r>
          </w:p>
        </w:tc>
      </w:tr>
      <w:tr w:rsidR="00826EC0" w:rsidRPr="00CB1AD0" w14:paraId="35769654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6E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1BA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50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7A953F6E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FD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2854 (58.8% [57.4-60.3%])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82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1113 (22.9% [21.7-24.1%])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72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883 (18.2 [17.1-19.3%])</w:t>
            </w:r>
          </w:p>
        </w:tc>
      </w:tr>
      <w:tr w:rsidR="00826EC0" w:rsidRPr="00CB1AD0" w14:paraId="4CD6BC39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575F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7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21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67B3C234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B7E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2662 (59.9% [58.5-61.4%])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FD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1008 (22.7% [21.4-23.9%])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101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771 (17.4% [16.2-18.5%])</w:t>
            </w:r>
          </w:p>
        </w:tc>
      </w:tr>
      <w:tr w:rsidR="00826EC0" w:rsidRPr="00CB1AD0" w14:paraId="78650F5A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372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D37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50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1BF10692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E4A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2726 (58.3% [56.9-59.8%])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EFB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1117 (23.9% [22.7-251.%])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AB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831 (17.8% [16.7-18.9%])</w:t>
            </w:r>
          </w:p>
        </w:tc>
      </w:tr>
      <w:tr w:rsidR="00826EC0" w:rsidRPr="00CB1AD0" w14:paraId="3BC342F6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25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85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17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092B6503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BB5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2511 (58.0% [56.5-59.4%])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E7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1061 (24.5% [23.2-25.8%])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7B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759 (17.5% [16.4-18.7%])</w:t>
            </w:r>
          </w:p>
        </w:tc>
      </w:tr>
      <w:tr w:rsidR="00826EC0" w:rsidRPr="00CB1AD0" w14:paraId="60CE425F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0C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,O.nivara),japonica)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377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B4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((japonica,O.nivara),SAA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3175B0D8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1D7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3062 (67.1% [65.8-68.5%])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7B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965 (21.1% [20.0-22.4%])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386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535 (11.7% [10.8-12.7%])</w:t>
            </w:r>
          </w:p>
        </w:tc>
      </w:tr>
      <w:tr w:rsidR="00826EC0" w:rsidRPr="00CB1AD0" w14:paraId="25B1AE95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EC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((japonica,O.rufipogon),SAA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54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),O.rufipogon)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188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,O.rufipogon),japonica)</w:t>
            </w:r>
          </w:p>
        </w:tc>
      </w:tr>
      <w:tr w:rsidR="00826EC0" w:rsidRPr="00CB1AD0" w14:paraId="264DF446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59E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4887 (77.4% [76.4-78.4%])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41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972 (15.4% [14.5-16.3%])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53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451 (7.1% [6.5-7.8%])</w:t>
            </w:r>
          </w:p>
        </w:tc>
      </w:tr>
      <w:tr w:rsidR="00826EC0" w:rsidRPr="00CB1AD0" w14:paraId="7CF50575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8E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,O.nivara),japonica)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5BE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A8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((japonica,O.nivara),SAA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337FE16B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93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2912 (68.2% [66.8-69.7%])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E2F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849 (19.9% [18.7-21.1%])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CE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505 (11.8% [10.9-12.8%])</w:t>
            </w:r>
          </w:p>
        </w:tc>
      </w:tr>
      <w:tr w:rsidR="00826EC0" w:rsidRPr="00CB1AD0" w14:paraId="6359D99A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99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((japonica,O.rufipogon),SAA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56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),O.rufipogon)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65B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((SAA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,O.rufipogon),japonica)</w:t>
            </w:r>
          </w:p>
        </w:tc>
      </w:tr>
      <w:tr w:rsidR="00826EC0" w:rsidRPr="00CB1AD0" w14:paraId="7C24E502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FE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4540 (78.5% [77.4-79.6%])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741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839 (14.5% [13.6-15.4%])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448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405 (7.0% [6.3-7.7%])</w:t>
            </w:r>
          </w:p>
        </w:tc>
      </w:tr>
      <w:tr w:rsidR="00826EC0" w:rsidRPr="00CB1AD0" w14:paraId="27A1385F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D5F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,O.nivara),japonica)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A1D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78A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((japonica,O.nivara),indica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4A16BAD7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539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2562 (59.9% [58.4-61.3%])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28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1025 (23.9% [22.7-25.2%])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F8A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693 (16.2% [15.1-17.3%])</w:t>
            </w:r>
          </w:p>
        </w:tc>
      </w:tr>
      <w:tr w:rsidR="00826EC0" w:rsidRPr="00CB1AD0" w14:paraId="0D3D1E27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F5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((japonica,O.rufipogon),indica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8E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),O.rufipogon)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F4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,O.rufipogon),japonica)</w:t>
            </w:r>
          </w:p>
        </w:tc>
      </w:tr>
      <w:tr w:rsidR="00826EC0" w:rsidRPr="00CB1AD0" w14:paraId="38BBBA50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55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4932 (77.9% [76.9-79.0%])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DD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947 (15.0% [14.1-15.8%])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28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450 (7.1% [6.5-7.8%])</w:t>
            </w:r>
          </w:p>
        </w:tc>
      </w:tr>
      <w:tr w:rsidR="00826EC0" w:rsidRPr="00CB1AD0" w14:paraId="588F295D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4A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,O.nivara),japonica)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A8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),O.nivara)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6C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((japonica,O.nivara),indica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26EC0" w:rsidRPr="00CB1AD0" w14:paraId="4242B01E" w14:textId="77777777" w:rsidTr="00F16B1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EA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2480 (58.5% [57.0-60.0%])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261F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1143 (27.0% [25.6-28.3%])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D1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617 (14.6% [13.5-15.6%])</w:t>
            </w:r>
          </w:p>
        </w:tc>
      </w:tr>
      <w:tr w:rsidR="00826EC0" w:rsidRPr="00CB1AD0" w14:paraId="4AAF0E7B" w14:textId="77777777" w:rsidTr="00826EC0">
        <w:trPr>
          <w:trHeight w:val="300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487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((japonica,O.rufipogon),indica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CCD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((japonica,indica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),O.rufipogon)</w:t>
            </w: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8AB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((indica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,O.rufipogon),japonica)</w:t>
            </w:r>
          </w:p>
        </w:tc>
      </w:tr>
      <w:tr w:rsidR="00826EC0" w:rsidRPr="00CB1AD0" w14:paraId="0470C44C" w14:textId="77777777" w:rsidTr="00826EC0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5E8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4499 (75.6% [74.5-76.7%])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60C5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1034 (17.4% [16.4-18.4%])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B21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417 (7.0% [6.4-7.6%])</w:t>
            </w:r>
          </w:p>
        </w:tc>
      </w:tr>
    </w:tbl>
    <w:p w14:paraId="752743F7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br w:type="page"/>
      </w:r>
    </w:p>
    <w:p w14:paraId="7E6748F2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 xml:space="preserve">Supplemental Table S4. ABBA-BABA test for four populations (P1,P2,P3,O). The </w:t>
      </w:r>
      <w:r w:rsidRPr="00CB1AD0">
        <w:rPr>
          <w:rFonts w:ascii="Times New Roman" w:hAnsi="Times New Roman" w:cs="Times New Roman"/>
          <w:i/>
        </w:rPr>
        <w:t xml:space="preserve">O. punctata </w:t>
      </w:r>
      <w:r w:rsidRPr="00CB1AD0">
        <w:rPr>
          <w:rFonts w:ascii="Times New Roman" w:hAnsi="Times New Roman" w:cs="Times New Roman"/>
        </w:rPr>
        <w:t>genome was used as the outgroup genome (O).</w:t>
      </w:r>
    </w:p>
    <w:p w14:paraId="5B66739C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tbl>
      <w:tblPr>
        <w:tblW w:w="11124" w:type="dxa"/>
        <w:tblInd w:w="93" w:type="dxa"/>
        <w:tblLook w:val="04A0" w:firstRow="1" w:lastRow="0" w:firstColumn="1" w:lastColumn="0" w:noHBand="0" w:noVBand="1"/>
      </w:tblPr>
      <w:tblGrid>
        <w:gridCol w:w="1680"/>
        <w:gridCol w:w="1376"/>
        <w:gridCol w:w="1568"/>
        <w:gridCol w:w="1300"/>
        <w:gridCol w:w="1300"/>
        <w:gridCol w:w="1300"/>
        <w:gridCol w:w="1300"/>
        <w:gridCol w:w="1300"/>
      </w:tblGrid>
      <w:tr w:rsidR="00826EC0" w:rsidRPr="00CB1AD0" w14:paraId="26A204DE" w14:textId="77777777" w:rsidTr="00826EC0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FFB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P1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7D35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P2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4865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3164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ABBA sites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B0EC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BABA sites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3499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B7A3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BEDE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Z-score</w:t>
            </w:r>
          </w:p>
        </w:tc>
      </w:tr>
      <w:tr w:rsidR="00826EC0" w:rsidRPr="00CB1AD0" w14:paraId="094BF7D1" w14:textId="77777777" w:rsidTr="00826EC0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859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D5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B4D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DD2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55873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7E48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31422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6AD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0.2801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BE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95E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5.42829</w:t>
            </w:r>
          </w:p>
        </w:tc>
      </w:tr>
      <w:tr w:rsidR="00826EC0" w:rsidRPr="00CB1AD0" w14:paraId="26CE6E39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B1F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3A0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D3D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E7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36441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59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35905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476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0.00741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47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60B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0.10634</w:t>
            </w:r>
          </w:p>
        </w:tc>
      </w:tr>
      <w:tr w:rsidR="00826EC0" w:rsidRPr="00CB1AD0" w14:paraId="1C7D3EA2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473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FE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90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C0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52744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81C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29107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AC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0.28878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81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0.04528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8B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6.37765</w:t>
            </w:r>
          </w:p>
        </w:tc>
      </w:tr>
      <w:tr w:rsidR="00826EC0" w:rsidRPr="00CB1AD0" w14:paraId="632A7E5B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986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9EA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9B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EE5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32659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ECB9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36331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7B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-0.05323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208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49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-0.88231</w:t>
            </w:r>
          </w:p>
        </w:tc>
      </w:tr>
      <w:tr w:rsidR="00826EC0" w:rsidRPr="00CB1AD0" w14:paraId="60298946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424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44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27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83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58930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F4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53599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552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0.04737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FE1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2C98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0.73602</w:t>
            </w:r>
          </w:p>
        </w:tc>
      </w:tr>
      <w:tr w:rsidR="00826EC0" w:rsidRPr="00CB1AD0" w14:paraId="458EC6BB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3C4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BD8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4F5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788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58414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60A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46286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5C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0.11584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C6D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888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2.09893</w:t>
            </w:r>
          </w:p>
        </w:tc>
      </w:tr>
      <w:tr w:rsidR="00826EC0" w:rsidRPr="00CB1AD0" w14:paraId="28D83E71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D62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E81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F1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72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58892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30A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30055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14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0.3242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8E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0.04235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A4E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7.65525</w:t>
            </w:r>
          </w:p>
        </w:tc>
      </w:tr>
      <w:tr w:rsidR="00826EC0" w:rsidRPr="00CB1AD0" w14:paraId="0C3F8146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31D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04A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45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576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36579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7A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30143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066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0.09646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C0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0.07023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B84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1.37349</w:t>
            </w:r>
          </w:p>
        </w:tc>
      </w:tr>
      <w:tr w:rsidR="00826EC0" w:rsidRPr="00CB1AD0" w14:paraId="5BE974E2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145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3D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2A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29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58370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AF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54617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E8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0.03322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4D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0B1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0.60203</w:t>
            </w:r>
          </w:p>
        </w:tc>
      </w:tr>
      <w:tr w:rsidR="00826EC0" w:rsidRPr="00CB1AD0" w14:paraId="76AFC5B1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D0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0B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92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3D9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55395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857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49034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FA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64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0E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1.15909</w:t>
            </w:r>
          </w:p>
        </w:tc>
      </w:tr>
      <w:tr w:rsidR="00826EC0" w:rsidRPr="00CB1AD0" w14:paraId="704980FA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FE1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D6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53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46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55955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3E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31426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A2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0.28071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AF8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0.04843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CE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5.7962</w:t>
            </w:r>
          </w:p>
        </w:tc>
      </w:tr>
      <w:tr w:rsidR="00826EC0" w:rsidRPr="00CB1AD0" w14:paraId="0DA2F1C6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1B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C0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05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805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34508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96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31455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F3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0.04628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C85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0.07114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18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0.65055</w:t>
            </w:r>
          </w:p>
        </w:tc>
      </w:tr>
      <w:tr w:rsidR="00826EC0" w:rsidRPr="00CB1AD0" w14:paraId="3DE87C41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40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1F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EC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02E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65702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EE4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27461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EBC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0.41047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D4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C24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6.15305</w:t>
            </w:r>
          </w:p>
        </w:tc>
      </w:tr>
      <w:tr w:rsidR="00826EC0" w:rsidRPr="00CB1AD0" w14:paraId="0099F000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E9F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78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8A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BB1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60243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66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24190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87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159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079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8.2768</w:t>
            </w:r>
          </w:p>
        </w:tc>
      </w:tr>
      <w:tr w:rsidR="00826EC0" w:rsidRPr="00CB1AD0" w14:paraId="35B70B45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DAEF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DFB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DA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220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71212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014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36520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0F9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0.32202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900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DC5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5.86344</w:t>
            </w:r>
          </w:p>
        </w:tc>
      </w:tr>
      <w:tr w:rsidR="00826EC0" w:rsidRPr="00CB1AD0" w14:paraId="5523C2CA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192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04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B34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2D7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79451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02E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32779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B3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0.41586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6F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0.04548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AD0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9.1438</w:t>
            </w:r>
          </w:p>
        </w:tc>
      </w:tr>
      <w:tr w:rsidR="00826EC0" w:rsidRPr="00CB1AD0" w14:paraId="1DA2723C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A86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72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E76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AE0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26613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1D2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28951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8C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-0.04208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E2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0.11031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579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-0.38147</w:t>
            </w:r>
          </w:p>
        </w:tc>
      </w:tr>
      <w:tr w:rsidR="00826EC0" w:rsidRPr="00CB1AD0" w14:paraId="1149DF88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20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D27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EF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64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57265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400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53929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6C2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A1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0.07243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6C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0.41419</w:t>
            </w:r>
          </w:p>
        </w:tc>
      </w:tr>
      <w:tr w:rsidR="00826EC0" w:rsidRPr="00CB1AD0" w14:paraId="734BAB22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BB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A42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FB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3D5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54095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40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51503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5D7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0.02455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454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0.07005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3E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0.35046</w:t>
            </w:r>
          </w:p>
        </w:tc>
      </w:tr>
      <w:tr w:rsidR="00826EC0" w:rsidRPr="00CB1AD0" w14:paraId="1342E0B2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A7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F5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2D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D10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52952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3B6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61387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8B8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-0.07377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0F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65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-1.1055</w:t>
            </w:r>
          </w:p>
        </w:tc>
      </w:tr>
      <w:tr w:rsidR="00826EC0" w:rsidRPr="00CB1AD0" w14:paraId="1CF8460D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72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64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5A4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840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47703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3A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55884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37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-0.07898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496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51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-1.2306</w:t>
            </w:r>
          </w:p>
        </w:tc>
      </w:tr>
      <w:tr w:rsidR="00826EC0" w:rsidRPr="00CB1AD0" w14:paraId="1523C016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210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441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B4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B2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26063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975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37876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1D6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-0.18475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30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5759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-2.75623</w:t>
            </w:r>
          </w:p>
        </w:tc>
      </w:tr>
      <w:tr w:rsidR="00826EC0" w:rsidRPr="00CB1AD0" w14:paraId="6E0C72CC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BC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569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japonica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357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5F0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43597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E9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35546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8A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0.10173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36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10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1.85334</w:t>
            </w:r>
          </w:p>
        </w:tc>
      </w:tr>
      <w:tr w:rsidR="00826EC0" w:rsidRPr="00CB1AD0" w14:paraId="3451E801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EF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B1D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F71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2ED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37340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766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32805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D5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AB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0.09308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C09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0.69456</w:t>
            </w:r>
          </w:p>
        </w:tc>
      </w:tr>
      <w:tr w:rsidR="00826EC0" w:rsidRPr="00CB1AD0" w14:paraId="14D2DCAC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53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C9B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61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C8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36420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91D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34373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551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0.02892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986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0FC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0.56199</w:t>
            </w:r>
          </w:p>
        </w:tc>
      </w:tr>
      <w:tr w:rsidR="00826EC0" w:rsidRPr="00CB1AD0" w14:paraId="1009570A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FB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38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8390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EE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54327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140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32606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0F9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0.24986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98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43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4.71345</w:t>
            </w:r>
          </w:p>
        </w:tc>
      </w:tr>
      <w:tr w:rsidR="00826EC0" w:rsidRPr="00CB1AD0" w14:paraId="34729D8B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1BD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7F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C3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758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50974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222F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29685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184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0.26394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B69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50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4.52262</w:t>
            </w:r>
          </w:p>
        </w:tc>
      </w:tr>
      <w:tr w:rsidR="00826EC0" w:rsidRPr="00CB1AD0" w14:paraId="1AB2F1CA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75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2FE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D66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04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60654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95E9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42094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7B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0.18064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F8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B5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3.39996</w:t>
            </w:r>
          </w:p>
        </w:tc>
      </w:tr>
      <w:tr w:rsidR="00826EC0" w:rsidRPr="00CB1AD0" w14:paraId="2CFEA0CD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0E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BE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52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218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65547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F8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39474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AE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0.24826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27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0.04963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5B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5.00222</w:t>
            </w:r>
          </w:p>
        </w:tc>
      </w:tr>
      <w:tr w:rsidR="00826EC0" w:rsidRPr="00CB1AD0" w14:paraId="2E99627D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8B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94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ABAF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D3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25242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2C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26479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50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-0.02392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E4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7E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-0.32678</w:t>
            </w:r>
          </w:p>
        </w:tc>
      </w:tr>
      <w:tr w:rsidR="00826EC0" w:rsidRPr="00CB1AD0" w14:paraId="25484072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2C7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2D12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7A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ACD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53045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1B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49658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2C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0.03298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6ACC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1EF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0.55955</w:t>
            </w:r>
          </w:p>
        </w:tc>
      </w:tr>
      <w:tr w:rsidR="00826EC0" w:rsidRPr="00CB1AD0" w14:paraId="0D02D201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C08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7D9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DA9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72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50856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CE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47327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33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0.03594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EF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10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0.60709</w:t>
            </w:r>
          </w:p>
        </w:tc>
      </w:tr>
      <w:tr w:rsidR="00826EC0" w:rsidRPr="00CB1AD0" w14:paraId="3AE05EDD" w14:textId="77777777" w:rsidTr="00F16B1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F4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68A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05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A6E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50463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C0B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54537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15C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-0.0388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EE5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229B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-0.69212</w:t>
            </w:r>
          </w:p>
        </w:tc>
      </w:tr>
      <w:tr w:rsidR="00826EC0" w:rsidRPr="00CB1AD0" w14:paraId="6D88348B" w14:textId="77777777" w:rsidTr="00826EC0">
        <w:trPr>
          <w:trHeight w:val="300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3DC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B504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28F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E67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45862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54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49371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A73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-0.03685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2436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0.05754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291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-0.64042</w:t>
            </w:r>
          </w:p>
        </w:tc>
      </w:tr>
      <w:tr w:rsidR="00826EC0" w:rsidRPr="00CB1AD0" w14:paraId="476D4645" w14:textId="77777777" w:rsidTr="00826EC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999B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5925E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0FCA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3AAF2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25885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FBC7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33613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D06A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-0.12989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C6B8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0.06066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8E34" w14:textId="77777777" w:rsidR="00826EC0" w:rsidRPr="00CB1AD0" w:rsidRDefault="00826EC0" w:rsidP="00F16B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-2.14128</w:t>
            </w:r>
          </w:p>
        </w:tc>
      </w:tr>
    </w:tbl>
    <w:p w14:paraId="462D95B0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p w14:paraId="5DD46BDC" w14:textId="77777777" w:rsidR="00826EC0" w:rsidRPr="00CB1AD0" w:rsidRDefault="00826EC0" w:rsidP="00826EC0">
      <w:pPr>
        <w:rPr>
          <w:rFonts w:ascii="Times New Roman" w:eastAsia="Times New Roman" w:hAnsi="Times New Roman" w:cs="Times New Roman"/>
          <w:color w:val="000000"/>
        </w:rPr>
        <w:sectPr w:rsidR="00826EC0" w:rsidRPr="00CB1AD0" w:rsidSect="00854F20">
          <w:pgSz w:w="15840" w:h="12240" w:orient="landscape"/>
          <w:pgMar w:top="720" w:right="1800" w:bottom="720" w:left="1800" w:header="720" w:footer="720" w:gutter="0"/>
          <w:cols w:space="720"/>
          <w:docGrid w:linePitch="360"/>
        </w:sectPr>
      </w:pPr>
      <w:r w:rsidRPr="00CB1AD0">
        <w:rPr>
          <w:rFonts w:ascii="Times New Roman" w:eastAsia="Times New Roman" w:hAnsi="Times New Roman" w:cs="Times New Roman"/>
          <w:color w:val="000000"/>
        </w:rPr>
        <w:t>Z-score higher then 3.9 (p &lt; 0.0001) are bolded.</w:t>
      </w:r>
    </w:p>
    <w:p w14:paraId="393AB87B" w14:textId="77777777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>Supplemental Table S5. D</w:t>
      </w:r>
      <w:r w:rsidRPr="00CB1AD0">
        <w:rPr>
          <w:rFonts w:ascii="Times New Roman" w:hAnsi="Times New Roman" w:cs="Times New Roman"/>
          <w:vertAlign w:val="subscript"/>
        </w:rPr>
        <w:t>FOIL</w:t>
      </w:r>
      <w:r w:rsidRPr="00CB1AD0">
        <w:rPr>
          <w:rFonts w:ascii="Times New Roman" w:hAnsi="Times New Roman" w:cs="Times New Roman"/>
        </w:rPr>
        <w:t xml:space="preserve"> test statistic and corresponding chi-squared values. The </w:t>
      </w:r>
      <w:r w:rsidRPr="00CB1AD0">
        <w:rPr>
          <w:rFonts w:ascii="Times New Roman" w:hAnsi="Times New Roman" w:cs="Times New Roman"/>
          <w:i/>
        </w:rPr>
        <w:t xml:space="preserve">O. punctata </w:t>
      </w:r>
      <w:r w:rsidRPr="00CB1AD0">
        <w:rPr>
          <w:rFonts w:ascii="Times New Roman" w:hAnsi="Times New Roman" w:cs="Times New Roman"/>
        </w:rPr>
        <w:t>genome was used as the outgroup genome (O).</w:t>
      </w:r>
    </w:p>
    <w:p w14:paraId="1CC40D32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tbl>
      <w:tblPr>
        <w:tblW w:w="13612" w:type="dxa"/>
        <w:tblInd w:w="108" w:type="dxa"/>
        <w:tblLook w:val="04A0" w:firstRow="1" w:lastRow="0" w:firstColumn="1" w:lastColumn="0" w:noHBand="0" w:noVBand="1"/>
      </w:tblPr>
      <w:tblGrid>
        <w:gridCol w:w="4370"/>
        <w:gridCol w:w="990"/>
        <w:gridCol w:w="1242"/>
        <w:gridCol w:w="990"/>
        <w:gridCol w:w="1242"/>
        <w:gridCol w:w="1149"/>
        <w:gridCol w:w="1242"/>
        <w:gridCol w:w="1149"/>
        <w:gridCol w:w="1242"/>
      </w:tblGrid>
      <w:tr w:rsidR="00854F20" w:rsidRPr="00CB1AD0" w14:paraId="54A84143" w14:textId="77777777" w:rsidTr="00751A8A">
        <w:trPr>
          <w:trHeight w:val="300"/>
        </w:trPr>
        <w:tc>
          <w:tcPr>
            <w:tcW w:w="43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AE7B8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Compared Population (P1,P2,P3,P4)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84C4A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</w:rPr>
              <w:t>D</w:t>
            </w:r>
            <w:r w:rsidRPr="00CB1AD0">
              <w:rPr>
                <w:rFonts w:ascii="Times New Roman" w:hAnsi="Times New Roman" w:cs="Times New Roman"/>
                <w:vertAlign w:val="subscript"/>
              </w:rPr>
              <w:t>FO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3B9E7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</w:rPr>
              <w:t>D</w:t>
            </w:r>
            <w:r w:rsidRPr="00CB1AD0">
              <w:rPr>
                <w:rFonts w:ascii="Times New Roman" w:hAnsi="Times New Roman" w:cs="Times New Roman"/>
                <w:vertAlign w:val="subscript"/>
              </w:rPr>
              <w:t>IL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FB90C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</w:rPr>
              <w:t>D</w:t>
            </w:r>
            <w:r w:rsidRPr="00CB1AD0">
              <w:rPr>
                <w:rFonts w:ascii="Times New Roman" w:hAnsi="Times New Roman" w:cs="Times New Roman"/>
                <w:vertAlign w:val="subscript"/>
              </w:rPr>
              <w:t>FI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ACAF1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hAnsi="Times New Roman" w:cs="Times New Roman"/>
              </w:rPr>
              <w:t>D</w:t>
            </w:r>
            <w:r w:rsidRPr="00CB1AD0">
              <w:rPr>
                <w:rFonts w:ascii="Times New Roman" w:hAnsi="Times New Roman" w:cs="Times New Roman"/>
                <w:vertAlign w:val="subscript"/>
              </w:rPr>
              <w:t>OL</w:t>
            </w:r>
          </w:p>
        </w:tc>
      </w:tr>
      <w:tr w:rsidR="00854F20" w:rsidRPr="00CB1AD0" w14:paraId="26A03D14" w14:textId="77777777" w:rsidTr="00751A8A">
        <w:trPr>
          <w:trHeight w:val="300"/>
        </w:trPr>
        <w:tc>
          <w:tcPr>
            <w:tcW w:w="43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C8CA4" w14:textId="77777777" w:rsidR="00854F20" w:rsidRPr="00CB1AD0" w:rsidRDefault="00854F2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C5F99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Statistic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C3943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Χ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DA085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Statistic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3FEB5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Χ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F5148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Statistic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DDD73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Χ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53149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Statistic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0934F" w14:textId="77777777" w:rsidR="00854F20" w:rsidRPr="00CB1AD0" w:rsidRDefault="00854F2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Χ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826EC0" w:rsidRPr="00CB1AD0" w14:paraId="5BAC7D7F" w14:textId="77777777" w:rsidTr="00854F20">
        <w:trPr>
          <w:trHeight w:val="300"/>
        </w:trPr>
        <w:tc>
          <w:tcPr>
            <w:tcW w:w="4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A03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nivara,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DJ123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,japonica,</w:t>
            </w: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2572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7707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5230.30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480C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0.24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BB9E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17547.66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6C47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-0.28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8509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26451.56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684F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-0.18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87D2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11113.21</w:t>
            </w:r>
          </w:p>
        </w:tc>
      </w:tr>
      <w:tr w:rsidR="00826EC0" w:rsidRPr="00CB1AD0" w14:paraId="3FD5CF80" w14:textId="77777777" w:rsidTr="00854F20">
        <w:trPr>
          <w:trHeight w:val="300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4DF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nivara,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aus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Kasalath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,japonica,</w:t>
            </w: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996C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96BC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5401.44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5D3F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0.24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2782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16448.29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7619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-0.25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8F0D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19959.73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A3C3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-0.16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8F8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7917.26</w:t>
            </w:r>
          </w:p>
        </w:tc>
      </w:tr>
      <w:tr w:rsidR="00826EC0" w:rsidRPr="00CB1AD0" w14:paraId="5D06A23F" w14:textId="77777777" w:rsidTr="00854F20">
        <w:trPr>
          <w:trHeight w:val="300"/>
        </w:trPr>
        <w:tc>
          <w:tcPr>
            <w:tcW w:w="4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3E31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nivara,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IR64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,japonica,</w:t>
            </w: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855D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1706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5250.03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4401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0.24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B9E5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17204.83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76BD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-0.22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DD64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18928.69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3007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-0.14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54A8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7484.21</w:t>
            </w:r>
          </w:p>
        </w:tc>
      </w:tr>
      <w:tr w:rsidR="00826EC0" w:rsidRPr="00CB1AD0" w14:paraId="47EEE9BD" w14:textId="77777777" w:rsidTr="00854F20">
        <w:trPr>
          <w:trHeight w:val="300"/>
        </w:trPr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3655" w14:textId="77777777" w:rsidR="00826EC0" w:rsidRPr="00CB1AD0" w:rsidRDefault="00826EC0" w:rsidP="00F16B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nivara,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indica</w:t>
            </w:r>
            <w:r w:rsidRPr="00CB1AD0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93-11</w:t>
            </w: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,japonica,</w:t>
            </w:r>
            <w:r w:rsidRPr="00CB1AD0">
              <w:rPr>
                <w:rFonts w:ascii="Times New Roman" w:eastAsia="Times New Roman" w:hAnsi="Times New Roman" w:cs="Times New Roman"/>
                <w:i/>
                <w:color w:val="000000"/>
              </w:rPr>
              <w:t>O. rufipogon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46DB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E938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5238.57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E2E1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0.27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D444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21725.35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F85C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-0.22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E273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19728.12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2786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b/>
                <w:color w:val="000000"/>
              </w:rPr>
              <w:t>-0.12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2009" w14:textId="77777777" w:rsidR="00826EC0" w:rsidRPr="00CB1AD0" w:rsidRDefault="00826EC0" w:rsidP="00854F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1AD0">
              <w:rPr>
                <w:rFonts w:ascii="Times New Roman" w:eastAsia="Times New Roman" w:hAnsi="Times New Roman" w:cs="Times New Roman"/>
                <w:color w:val="000000"/>
              </w:rPr>
              <w:t>5945.24</w:t>
            </w:r>
          </w:p>
        </w:tc>
      </w:tr>
    </w:tbl>
    <w:p w14:paraId="3389C3DD" w14:textId="77777777" w:rsidR="00826EC0" w:rsidRPr="00CB1AD0" w:rsidRDefault="00826EC0" w:rsidP="00826EC0">
      <w:pPr>
        <w:rPr>
          <w:rFonts w:ascii="Times New Roman" w:hAnsi="Times New Roman" w:cs="Times New Roman"/>
        </w:rPr>
      </w:pPr>
    </w:p>
    <w:p w14:paraId="472BC4B6" w14:textId="77777777" w:rsidR="00826EC0" w:rsidRPr="00CB1AD0" w:rsidRDefault="00826EC0" w:rsidP="00826EC0">
      <w:pPr>
        <w:rPr>
          <w:rFonts w:ascii="Times New Roman" w:eastAsia="Times New Roman" w:hAnsi="Times New Roman" w:cs="Times New Roman"/>
          <w:color w:val="000000"/>
        </w:rPr>
        <w:sectPr w:rsidR="00826EC0" w:rsidRPr="00CB1AD0" w:rsidSect="00F16B1F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CB1AD0">
        <w:rPr>
          <w:rFonts w:ascii="Times New Roman" w:eastAsia="Times New Roman" w:hAnsi="Times New Roman" w:cs="Times New Roman"/>
          <w:color w:val="000000"/>
        </w:rPr>
        <w:t>D-statistics with chi-squared values higher then 15.14 (p &lt; 0.0001) are bolded.</w:t>
      </w:r>
    </w:p>
    <w:p w14:paraId="5C2A8D9E" w14:textId="6F1B2A19" w:rsidR="00826EC0" w:rsidRPr="00CB1AD0" w:rsidRDefault="00826EC0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>Supplemental Table S6. Combination of signs for the D</w:t>
      </w:r>
      <w:r w:rsidRPr="00CB1AD0">
        <w:rPr>
          <w:rFonts w:ascii="Times New Roman" w:hAnsi="Times New Roman" w:cs="Times New Roman"/>
          <w:vertAlign w:val="subscript"/>
        </w:rPr>
        <w:t xml:space="preserve">FOIL </w:t>
      </w:r>
      <w:r w:rsidRPr="00CB1AD0">
        <w:rPr>
          <w:rFonts w:ascii="Times New Roman" w:hAnsi="Times New Roman" w:cs="Times New Roman"/>
        </w:rPr>
        <w:t xml:space="preserve">test and its interpretation. Species topology and name can be seen in Supplementary Fig. </w:t>
      </w:r>
      <w:r w:rsidR="00854F20" w:rsidRPr="00CB1AD0">
        <w:rPr>
          <w:rFonts w:ascii="Times New Roman" w:hAnsi="Times New Roman" w:cs="Times New Roman"/>
        </w:rPr>
        <w:t>S6</w:t>
      </w:r>
      <w:r w:rsidRPr="00CB1AD0">
        <w:rPr>
          <w:rFonts w:ascii="Times New Roman" w:hAnsi="Times New Roman" w:cs="Times New Roman"/>
        </w:rPr>
        <w:t>.</w:t>
      </w:r>
    </w:p>
    <w:p w14:paraId="002AE471" w14:textId="77777777" w:rsidR="00854F20" w:rsidRPr="00CB1AD0" w:rsidRDefault="00854F20" w:rsidP="00826EC0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2089" w:tblpY="234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71"/>
        <w:gridCol w:w="618"/>
        <w:gridCol w:w="618"/>
        <w:gridCol w:w="671"/>
      </w:tblGrid>
      <w:tr w:rsidR="00854F20" w:rsidRPr="00CB1AD0" w14:paraId="11EC6C50" w14:textId="77777777" w:rsidTr="003578B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7F6E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Introgression Direction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6937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1AD0">
              <w:rPr>
                <w:rFonts w:ascii="Times New Roman" w:hAnsi="Times New Roman" w:cs="Times New Roman"/>
              </w:rPr>
              <w:t>D</w:t>
            </w:r>
            <w:r w:rsidRPr="00CB1AD0">
              <w:rPr>
                <w:rFonts w:ascii="Times New Roman" w:hAnsi="Times New Roman" w:cs="Times New Roman"/>
                <w:vertAlign w:val="subscript"/>
              </w:rPr>
              <w:t>FO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33D0C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1AD0">
              <w:rPr>
                <w:rFonts w:ascii="Times New Roman" w:hAnsi="Times New Roman" w:cs="Times New Roman"/>
              </w:rPr>
              <w:t>D</w:t>
            </w:r>
            <w:r w:rsidRPr="00CB1AD0">
              <w:rPr>
                <w:rFonts w:ascii="Times New Roman" w:hAnsi="Times New Roman" w:cs="Times New Roman"/>
                <w:vertAlign w:val="subscript"/>
              </w:rPr>
              <w:t>IL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9B593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1AD0">
              <w:rPr>
                <w:rFonts w:ascii="Times New Roman" w:hAnsi="Times New Roman" w:cs="Times New Roman"/>
              </w:rPr>
              <w:t>D</w:t>
            </w:r>
            <w:r w:rsidRPr="00CB1AD0">
              <w:rPr>
                <w:rFonts w:ascii="Times New Roman" w:hAnsi="Times New Roman" w:cs="Times New Roman"/>
                <w:vertAlign w:val="subscript"/>
              </w:rPr>
              <w:t>FI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7956F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B1AD0">
              <w:rPr>
                <w:rFonts w:ascii="Times New Roman" w:hAnsi="Times New Roman" w:cs="Times New Roman"/>
              </w:rPr>
              <w:t>D</w:t>
            </w:r>
            <w:r w:rsidRPr="00CB1AD0">
              <w:rPr>
                <w:rFonts w:ascii="Times New Roman" w:hAnsi="Times New Roman" w:cs="Times New Roman"/>
                <w:vertAlign w:val="subscript"/>
              </w:rPr>
              <w:t>OL</w:t>
            </w:r>
          </w:p>
        </w:tc>
      </w:tr>
      <w:tr w:rsidR="00854F20" w:rsidRPr="00CB1AD0" w14:paraId="51991CA4" w14:textId="77777777" w:rsidTr="003578B7"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14:paraId="3603FA40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51A44423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25D6D938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3E57FF67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50EDE5E3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</w:tr>
      <w:tr w:rsidR="00854F20" w:rsidRPr="00CB1AD0" w14:paraId="3374D28F" w14:textId="77777777" w:rsidTr="003578B7">
        <w:tc>
          <w:tcPr>
            <w:tcW w:w="1908" w:type="dxa"/>
            <w:vAlign w:val="center"/>
          </w:tcPr>
          <w:p w14:paraId="79EC9DFC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P1→P3</w:t>
            </w:r>
          </w:p>
        </w:tc>
        <w:tc>
          <w:tcPr>
            <w:tcW w:w="671" w:type="dxa"/>
            <w:vAlign w:val="center"/>
          </w:tcPr>
          <w:p w14:paraId="0575C7A8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12793C4B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500ACEEE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1" w:type="dxa"/>
            <w:vAlign w:val="center"/>
          </w:tcPr>
          <w:p w14:paraId="49B15774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</w:tr>
      <w:tr w:rsidR="00854F20" w:rsidRPr="00CB1AD0" w14:paraId="7786ADA5" w14:textId="77777777" w:rsidTr="003578B7">
        <w:tc>
          <w:tcPr>
            <w:tcW w:w="1908" w:type="dxa"/>
            <w:vAlign w:val="center"/>
          </w:tcPr>
          <w:p w14:paraId="23BE947D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P3→P1</w:t>
            </w:r>
          </w:p>
        </w:tc>
        <w:tc>
          <w:tcPr>
            <w:tcW w:w="671" w:type="dxa"/>
            <w:vAlign w:val="center"/>
          </w:tcPr>
          <w:p w14:paraId="61533F66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51B40A8A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vAlign w:val="center"/>
          </w:tcPr>
          <w:p w14:paraId="03052BD9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1" w:type="dxa"/>
            <w:vAlign w:val="center"/>
          </w:tcPr>
          <w:p w14:paraId="786FE3E5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</w:tr>
      <w:tr w:rsidR="00854F20" w:rsidRPr="00CB1AD0" w14:paraId="7103E963" w14:textId="77777777" w:rsidTr="003578B7">
        <w:tc>
          <w:tcPr>
            <w:tcW w:w="1908" w:type="dxa"/>
            <w:vAlign w:val="center"/>
          </w:tcPr>
          <w:p w14:paraId="04C0819D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P1→P4</w:t>
            </w:r>
          </w:p>
        </w:tc>
        <w:tc>
          <w:tcPr>
            <w:tcW w:w="671" w:type="dxa"/>
            <w:vAlign w:val="center"/>
          </w:tcPr>
          <w:p w14:paraId="68392273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72EB7B61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4EE91DC4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Align w:val="center"/>
          </w:tcPr>
          <w:p w14:paraId="6027C6D6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</w:tr>
      <w:tr w:rsidR="00854F20" w:rsidRPr="00CB1AD0" w14:paraId="15208FC2" w14:textId="77777777" w:rsidTr="003578B7">
        <w:tc>
          <w:tcPr>
            <w:tcW w:w="1908" w:type="dxa"/>
            <w:vAlign w:val="center"/>
          </w:tcPr>
          <w:p w14:paraId="3E1D7F83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P4→P1</w:t>
            </w:r>
          </w:p>
        </w:tc>
        <w:tc>
          <w:tcPr>
            <w:tcW w:w="671" w:type="dxa"/>
            <w:vAlign w:val="center"/>
          </w:tcPr>
          <w:p w14:paraId="0CB1AADF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16F4DE2B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vAlign w:val="center"/>
          </w:tcPr>
          <w:p w14:paraId="4AFBD117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71" w:type="dxa"/>
            <w:vAlign w:val="center"/>
          </w:tcPr>
          <w:p w14:paraId="39914569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</w:tr>
      <w:tr w:rsidR="00854F20" w:rsidRPr="00CB1AD0" w14:paraId="4B333343" w14:textId="77777777" w:rsidTr="003578B7">
        <w:tc>
          <w:tcPr>
            <w:tcW w:w="1908" w:type="dxa"/>
            <w:vAlign w:val="center"/>
          </w:tcPr>
          <w:p w14:paraId="1D37CB50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P2→P3</w:t>
            </w:r>
          </w:p>
        </w:tc>
        <w:tc>
          <w:tcPr>
            <w:tcW w:w="671" w:type="dxa"/>
            <w:vAlign w:val="center"/>
          </w:tcPr>
          <w:p w14:paraId="007F7AA2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35903FAA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79E73A0B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vAlign w:val="center"/>
          </w:tcPr>
          <w:p w14:paraId="36AAA2C5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</w:tr>
      <w:tr w:rsidR="00854F20" w:rsidRPr="00CB1AD0" w14:paraId="68DD769B" w14:textId="77777777" w:rsidTr="003578B7">
        <w:tc>
          <w:tcPr>
            <w:tcW w:w="1908" w:type="dxa"/>
            <w:vAlign w:val="center"/>
          </w:tcPr>
          <w:p w14:paraId="06426710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P3→P2</w:t>
            </w:r>
          </w:p>
        </w:tc>
        <w:tc>
          <w:tcPr>
            <w:tcW w:w="671" w:type="dxa"/>
            <w:vAlign w:val="center"/>
          </w:tcPr>
          <w:p w14:paraId="3C787C7F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vAlign w:val="center"/>
          </w:tcPr>
          <w:p w14:paraId="754CEA00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22BA0859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vAlign w:val="center"/>
          </w:tcPr>
          <w:p w14:paraId="55DF0C08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</w:tr>
      <w:tr w:rsidR="00854F20" w:rsidRPr="00CB1AD0" w14:paraId="5FC74F8C" w14:textId="77777777" w:rsidTr="003578B7">
        <w:tc>
          <w:tcPr>
            <w:tcW w:w="1908" w:type="dxa"/>
            <w:vAlign w:val="center"/>
          </w:tcPr>
          <w:p w14:paraId="131C0123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P2→P4</w:t>
            </w:r>
          </w:p>
        </w:tc>
        <w:tc>
          <w:tcPr>
            <w:tcW w:w="671" w:type="dxa"/>
            <w:vAlign w:val="center"/>
          </w:tcPr>
          <w:p w14:paraId="3464539D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07E874D9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7BD74EE4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Align w:val="center"/>
          </w:tcPr>
          <w:p w14:paraId="0DFA8B86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</w:tr>
      <w:tr w:rsidR="00854F20" w:rsidRPr="00CB1AD0" w14:paraId="2441DCA8" w14:textId="77777777" w:rsidTr="003578B7">
        <w:tc>
          <w:tcPr>
            <w:tcW w:w="1908" w:type="dxa"/>
            <w:vAlign w:val="center"/>
          </w:tcPr>
          <w:p w14:paraId="7C438CB7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P4→P2</w:t>
            </w:r>
          </w:p>
        </w:tc>
        <w:tc>
          <w:tcPr>
            <w:tcW w:w="671" w:type="dxa"/>
            <w:vAlign w:val="center"/>
          </w:tcPr>
          <w:p w14:paraId="467A4709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vAlign w:val="center"/>
          </w:tcPr>
          <w:p w14:paraId="5C03F62A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1F07978E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vAlign w:val="center"/>
          </w:tcPr>
          <w:p w14:paraId="014DE474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</w:tr>
      <w:tr w:rsidR="00854F20" w:rsidRPr="00CB1AD0" w14:paraId="0EB7B60B" w14:textId="77777777" w:rsidTr="003578B7">
        <w:tc>
          <w:tcPr>
            <w:tcW w:w="1908" w:type="dxa"/>
            <w:vAlign w:val="center"/>
          </w:tcPr>
          <w:p w14:paraId="0DBADA73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P12→P3</w:t>
            </w:r>
          </w:p>
        </w:tc>
        <w:tc>
          <w:tcPr>
            <w:tcW w:w="671" w:type="dxa"/>
            <w:vAlign w:val="center"/>
          </w:tcPr>
          <w:p w14:paraId="545B1C58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465B44C2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36698E1C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Align w:val="center"/>
          </w:tcPr>
          <w:p w14:paraId="0A7D9487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</w:tr>
      <w:tr w:rsidR="00854F20" w:rsidRPr="00CB1AD0" w14:paraId="30B7CE7F" w14:textId="77777777" w:rsidTr="003578B7">
        <w:tc>
          <w:tcPr>
            <w:tcW w:w="1908" w:type="dxa"/>
            <w:vAlign w:val="center"/>
          </w:tcPr>
          <w:p w14:paraId="38CF83E9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P3→P12</w:t>
            </w:r>
          </w:p>
        </w:tc>
        <w:tc>
          <w:tcPr>
            <w:tcW w:w="671" w:type="dxa"/>
            <w:vAlign w:val="center"/>
          </w:tcPr>
          <w:p w14:paraId="0C04592A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1DDD59BB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8" w:type="dxa"/>
            <w:vAlign w:val="center"/>
          </w:tcPr>
          <w:p w14:paraId="4FC81A9F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Align w:val="center"/>
          </w:tcPr>
          <w:p w14:paraId="4AB22EBC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</w:tr>
      <w:tr w:rsidR="00854F20" w:rsidRPr="00CB1AD0" w14:paraId="23ABBD82" w14:textId="77777777" w:rsidTr="003578B7">
        <w:tc>
          <w:tcPr>
            <w:tcW w:w="1908" w:type="dxa"/>
            <w:vAlign w:val="center"/>
          </w:tcPr>
          <w:p w14:paraId="16799CB4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P12→P4</w:t>
            </w:r>
          </w:p>
        </w:tc>
        <w:tc>
          <w:tcPr>
            <w:tcW w:w="671" w:type="dxa"/>
            <w:vAlign w:val="center"/>
          </w:tcPr>
          <w:p w14:paraId="527D7291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31A101F6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08D519AE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Align w:val="center"/>
          </w:tcPr>
          <w:p w14:paraId="7246DD7B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</w:tr>
      <w:tr w:rsidR="00854F20" w:rsidRPr="00CB1AD0" w14:paraId="39D03ED0" w14:textId="77777777" w:rsidTr="003578B7">
        <w:tc>
          <w:tcPr>
            <w:tcW w:w="1908" w:type="dxa"/>
            <w:vAlign w:val="center"/>
          </w:tcPr>
          <w:p w14:paraId="0E91E797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P4→P12</w:t>
            </w:r>
          </w:p>
        </w:tc>
        <w:tc>
          <w:tcPr>
            <w:tcW w:w="671" w:type="dxa"/>
            <w:vAlign w:val="center"/>
          </w:tcPr>
          <w:p w14:paraId="0E6E4AA6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38327E06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  <w:vAlign w:val="center"/>
          </w:tcPr>
          <w:p w14:paraId="04197D1B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vAlign w:val="center"/>
          </w:tcPr>
          <w:p w14:paraId="60E12EE0" w14:textId="77777777" w:rsidR="00854F20" w:rsidRPr="00CB1AD0" w:rsidRDefault="00854F20" w:rsidP="00854F20">
            <w:pPr>
              <w:jc w:val="center"/>
              <w:rPr>
                <w:rFonts w:ascii="Times New Roman" w:hAnsi="Times New Roman" w:cs="Times New Roman"/>
              </w:rPr>
            </w:pPr>
            <w:r w:rsidRPr="00CB1AD0">
              <w:rPr>
                <w:rFonts w:ascii="Times New Roman" w:hAnsi="Times New Roman" w:cs="Times New Roman"/>
              </w:rPr>
              <w:t>0</w:t>
            </w:r>
          </w:p>
        </w:tc>
      </w:tr>
    </w:tbl>
    <w:p w14:paraId="3F86A9B6" w14:textId="77777777" w:rsidR="00854F20" w:rsidRPr="00CB1AD0" w:rsidRDefault="00854F20" w:rsidP="00826EC0">
      <w:pPr>
        <w:rPr>
          <w:rFonts w:ascii="Times New Roman" w:hAnsi="Times New Roman" w:cs="Times New Roman"/>
        </w:rPr>
      </w:pPr>
    </w:p>
    <w:p w14:paraId="34D51008" w14:textId="77777777" w:rsidR="003F79A8" w:rsidRPr="00CB1AD0" w:rsidRDefault="003F79A8" w:rsidP="00826EC0">
      <w:pPr>
        <w:rPr>
          <w:rFonts w:ascii="Times New Roman" w:hAnsi="Times New Roman" w:cs="Times New Roman"/>
        </w:rPr>
        <w:sectPr w:rsidR="003F79A8" w:rsidRPr="00CB1AD0" w:rsidSect="0087706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C3A8AB" w14:textId="18DD6D01" w:rsidR="003F79A8" w:rsidRPr="00CB1AD0" w:rsidRDefault="003F79A8" w:rsidP="003F79A8">
      <w:pPr>
        <w:pStyle w:val="Heading1"/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</w:rPr>
        <w:t>References</w:t>
      </w:r>
    </w:p>
    <w:p w14:paraId="01AB8D98" w14:textId="77777777" w:rsidR="003F79A8" w:rsidRPr="00CB1AD0" w:rsidRDefault="003F79A8" w:rsidP="00826EC0">
      <w:pPr>
        <w:rPr>
          <w:rFonts w:ascii="Times New Roman" w:hAnsi="Times New Roman" w:cs="Times New Roman"/>
        </w:rPr>
      </w:pPr>
    </w:p>
    <w:p w14:paraId="482A5B99" w14:textId="2B997415" w:rsidR="003F79A8" w:rsidRPr="00CB1AD0" w:rsidRDefault="003F79A8" w:rsidP="00826EC0">
      <w:pPr>
        <w:rPr>
          <w:rFonts w:ascii="Times New Roman" w:hAnsi="Times New Roman" w:cs="Times New Roman"/>
          <w:noProof/>
        </w:rPr>
      </w:pPr>
      <w:r w:rsidRPr="00CB1AD0">
        <w:rPr>
          <w:rFonts w:ascii="Times New Roman" w:hAnsi="Times New Roman" w:cs="Times New Roman"/>
          <w:noProof/>
        </w:rPr>
        <w:t>Gronau I, Hubisz MJ, Gulko B, Danko CG, Siepel A. 2011. Bayesian inference of ancient human demography from individual genome sequences. Nat. Genet. 43:1031–1034.</w:t>
      </w:r>
    </w:p>
    <w:p w14:paraId="390714A2" w14:textId="77777777" w:rsidR="003F79A8" w:rsidRPr="00CB1AD0" w:rsidRDefault="003F79A8" w:rsidP="00826EC0">
      <w:pPr>
        <w:rPr>
          <w:rFonts w:ascii="Times New Roman" w:hAnsi="Times New Roman" w:cs="Times New Roman"/>
          <w:noProof/>
        </w:rPr>
      </w:pPr>
    </w:p>
    <w:p w14:paraId="5FAF5DDF" w14:textId="21585F8D" w:rsidR="003F79A8" w:rsidRPr="00CB1AD0" w:rsidRDefault="003F79A8" w:rsidP="00826EC0">
      <w:pPr>
        <w:rPr>
          <w:rFonts w:ascii="Times New Roman" w:hAnsi="Times New Roman" w:cs="Times New Roman"/>
        </w:rPr>
      </w:pPr>
      <w:r w:rsidRPr="00CB1AD0">
        <w:rPr>
          <w:rFonts w:ascii="Times New Roman" w:hAnsi="Times New Roman" w:cs="Times New Roman"/>
          <w:noProof/>
        </w:rPr>
        <w:t>Fuller DQ. 2011. Pathways to Asian Civilizations: Tracing the Origins and Spread of Rice and Rice Cultures. Rice 4:78–92.</w:t>
      </w:r>
    </w:p>
    <w:sectPr w:rsidR="003F79A8" w:rsidRPr="00CB1AD0" w:rsidSect="00877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BEB4" w14:textId="77777777" w:rsidR="00916E51" w:rsidRDefault="00916E51" w:rsidP="0099642E">
      <w:r>
        <w:separator/>
      </w:r>
    </w:p>
  </w:endnote>
  <w:endnote w:type="continuationSeparator" w:id="0">
    <w:p w14:paraId="2BEC21DD" w14:textId="77777777" w:rsidR="00916E51" w:rsidRDefault="00916E51" w:rsidP="009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 PL UMing HK">
    <w:panose1 w:val="00000000000000000000"/>
    <w:charset w:val="00"/>
    <w:family w:val="roman"/>
    <w:notTrueType/>
    <w:pitch w:val="default"/>
  </w:font>
  <w:font w:name="font39">
    <w:altName w:val="Times New Roman"/>
    <w:charset w:val="01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2108A" w14:textId="77777777" w:rsidR="00916E51" w:rsidRDefault="00916E51" w:rsidP="00916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27226" w14:textId="77777777" w:rsidR="00916E51" w:rsidRDefault="00916E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1C44" w14:textId="77777777" w:rsidR="00916E51" w:rsidRDefault="00916E51" w:rsidP="00916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A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087AFE" w14:textId="77777777" w:rsidR="00916E51" w:rsidRDefault="00916E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4432" w14:textId="77777777" w:rsidR="00916E51" w:rsidRDefault="00916E51" w:rsidP="0099642E">
      <w:r>
        <w:separator/>
      </w:r>
    </w:p>
  </w:footnote>
  <w:footnote w:type="continuationSeparator" w:id="0">
    <w:p w14:paraId="0A6164E5" w14:textId="77777777" w:rsidR="00916E51" w:rsidRDefault="00916E51" w:rsidP="0099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F5"/>
    <w:rsid w:val="000B264E"/>
    <w:rsid w:val="00312E34"/>
    <w:rsid w:val="0032158B"/>
    <w:rsid w:val="003578B7"/>
    <w:rsid w:val="003C78B9"/>
    <w:rsid w:val="003F79A8"/>
    <w:rsid w:val="00460A2D"/>
    <w:rsid w:val="005C7F8D"/>
    <w:rsid w:val="00751A8A"/>
    <w:rsid w:val="00826EC0"/>
    <w:rsid w:val="00845AC7"/>
    <w:rsid w:val="00854F20"/>
    <w:rsid w:val="00865534"/>
    <w:rsid w:val="0087706F"/>
    <w:rsid w:val="00916E51"/>
    <w:rsid w:val="0099642E"/>
    <w:rsid w:val="00A32C0C"/>
    <w:rsid w:val="00AB783C"/>
    <w:rsid w:val="00B21609"/>
    <w:rsid w:val="00B70C0B"/>
    <w:rsid w:val="00CB1AD0"/>
    <w:rsid w:val="00D52CAC"/>
    <w:rsid w:val="00D710F5"/>
    <w:rsid w:val="00DB70C5"/>
    <w:rsid w:val="00DF65A9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8A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1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65534"/>
    <w:pPr>
      <w:keepNext/>
      <w:keepLines/>
      <w:numPr>
        <w:ilvl w:val="1"/>
        <w:numId w:val="1"/>
      </w:numPr>
      <w:tabs>
        <w:tab w:val="left" w:pos="720"/>
      </w:tabs>
      <w:suppressAutoHyphens/>
      <w:spacing w:before="200"/>
      <w:outlineLvl w:val="1"/>
    </w:pPr>
    <w:rPr>
      <w:rFonts w:ascii="Calibri" w:eastAsia="AR PL UMing HK" w:hAnsi="Calibri" w:cs="font39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5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534"/>
  </w:style>
  <w:style w:type="character" w:customStyle="1" w:styleId="Heading2Char">
    <w:name w:val="Heading 2 Char"/>
    <w:basedOn w:val="DefaultParagraphFont"/>
    <w:link w:val="Heading2"/>
    <w:rsid w:val="00865534"/>
    <w:rPr>
      <w:rFonts w:ascii="Calibri" w:eastAsia="AR PL UMing HK" w:hAnsi="Calibri" w:cs="font39"/>
      <w:b/>
      <w:bCs/>
      <w:color w:val="4F81BD"/>
      <w:kern w:val="1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unhideWhenUsed/>
    <w:rsid w:val="00D710F5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D710F5"/>
    <w:pPr>
      <w:ind w:left="480" w:hanging="24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D710F5"/>
    <w:pPr>
      <w:ind w:left="720" w:hanging="24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D710F5"/>
    <w:pPr>
      <w:ind w:left="960" w:hanging="24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D710F5"/>
    <w:pPr>
      <w:ind w:left="1200" w:hanging="24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D710F5"/>
    <w:pPr>
      <w:ind w:left="1440" w:hanging="24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D710F5"/>
    <w:pPr>
      <w:ind w:left="1680" w:hanging="24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D710F5"/>
    <w:pPr>
      <w:ind w:left="1920" w:hanging="24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D710F5"/>
    <w:pPr>
      <w:ind w:left="216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D710F5"/>
    <w:pPr>
      <w:spacing w:before="120" w:after="120"/>
    </w:pPr>
    <w:rPr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10F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710F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710F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710F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0F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0F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0F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0F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0F5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710F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F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6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2E"/>
  </w:style>
  <w:style w:type="character" w:styleId="PageNumber">
    <w:name w:val="page number"/>
    <w:basedOn w:val="DefaultParagraphFont"/>
    <w:uiPriority w:val="99"/>
    <w:semiHidden/>
    <w:unhideWhenUsed/>
    <w:rsid w:val="009964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1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65534"/>
    <w:pPr>
      <w:keepNext/>
      <w:keepLines/>
      <w:numPr>
        <w:ilvl w:val="1"/>
        <w:numId w:val="1"/>
      </w:numPr>
      <w:tabs>
        <w:tab w:val="left" w:pos="720"/>
      </w:tabs>
      <w:suppressAutoHyphens/>
      <w:spacing w:before="200"/>
      <w:outlineLvl w:val="1"/>
    </w:pPr>
    <w:rPr>
      <w:rFonts w:ascii="Calibri" w:eastAsia="AR PL UMing HK" w:hAnsi="Calibri" w:cs="font39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5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534"/>
  </w:style>
  <w:style w:type="character" w:customStyle="1" w:styleId="Heading2Char">
    <w:name w:val="Heading 2 Char"/>
    <w:basedOn w:val="DefaultParagraphFont"/>
    <w:link w:val="Heading2"/>
    <w:rsid w:val="00865534"/>
    <w:rPr>
      <w:rFonts w:ascii="Calibri" w:eastAsia="AR PL UMing HK" w:hAnsi="Calibri" w:cs="font39"/>
      <w:b/>
      <w:bCs/>
      <w:color w:val="4F81BD"/>
      <w:kern w:val="1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unhideWhenUsed/>
    <w:rsid w:val="00D710F5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D710F5"/>
    <w:pPr>
      <w:ind w:left="480" w:hanging="24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D710F5"/>
    <w:pPr>
      <w:ind w:left="720" w:hanging="24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D710F5"/>
    <w:pPr>
      <w:ind w:left="960" w:hanging="24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D710F5"/>
    <w:pPr>
      <w:ind w:left="1200" w:hanging="24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D710F5"/>
    <w:pPr>
      <w:ind w:left="1440" w:hanging="24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D710F5"/>
    <w:pPr>
      <w:ind w:left="1680" w:hanging="24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D710F5"/>
    <w:pPr>
      <w:ind w:left="1920" w:hanging="24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D710F5"/>
    <w:pPr>
      <w:ind w:left="216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D710F5"/>
    <w:pPr>
      <w:spacing w:before="120" w:after="120"/>
    </w:pPr>
    <w:rPr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10F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710F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710F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710F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0F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0F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0F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0F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0F5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710F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F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6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2E"/>
  </w:style>
  <w:style w:type="character" w:styleId="PageNumber">
    <w:name w:val="page number"/>
    <w:basedOn w:val="DefaultParagraphFont"/>
    <w:uiPriority w:val="99"/>
    <w:semiHidden/>
    <w:unhideWhenUsed/>
    <w:rsid w:val="0099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530FD-F9EA-1044-A846-312CC3B0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2891</Words>
  <Characters>16484</Characters>
  <Application>Microsoft Macintosh Word</Application>
  <DocSecurity>0</DocSecurity>
  <Lines>137</Lines>
  <Paragraphs>38</Paragraphs>
  <ScaleCrop>false</ScaleCrop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Young Choi</dc:creator>
  <cp:keywords/>
  <dc:description/>
  <cp:lastModifiedBy>Jae Young Choi</cp:lastModifiedBy>
  <cp:revision>23</cp:revision>
  <dcterms:created xsi:type="dcterms:W3CDTF">2016-11-29T18:47:00Z</dcterms:created>
  <dcterms:modified xsi:type="dcterms:W3CDTF">2016-11-30T14:22:00Z</dcterms:modified>
</cp:coreProperties>
</file>