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ADCC" w14:textId="77777777" w:rsidR="003A5686" w:rsidRPr="003A5686" w:rsidRDefault="003A5686" w:rsidP="003A5686">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color w:val="2A2A2A"/>
          <w:sz w:val="28"/>
          <w:szCs w:val="30"/>
        </w:rPr>
      </w:pPr>
      <w:r w:rsidRPr="003A5686">
        <w:rPr>
          <w:rFonts w:ascii="Times New Roman" w:eastAsia="Times New Roman" w:hAnsi="Times New Roman" w:cs="Times New Roman"/>
          <w:b/>
          <w:bCs/>
          <w:color w:val="2A2A2A"/>
          <w:sz w:val="28"/>
          <w:szCs w:val="30"/>
        </w:rPr>
        <w:t>Checklist for acceptability of studies based on human semen analysis</w:t>
      </w:r>
    </w:p>
    <w:p w14:paraId="506A6F5B" w14:textId="77777777" w:rsidR="00EA72F1" w:rsidRPr="00EA72F1" w:rsidRDefault="00EA72F1" w:rsidP="003A5686">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color w:val="2A2A2A"/>
          <w:sz w:val="24"/>
          <w:szCs w:val="30"/>
        </w:rPr>
      </w:pPr>
      <w:r w:rsidRPr="00EA72F1">
        <w:rPr>
          <w:rFonts w:ascii="Times New Roman" w:eastAsia="Times New Roman" w:hAnsi="Times New Roman" w:cs="Times New Roman"/>
          <w:b/>
          <w:bCs/>
          <w:color w:val="2A2A2A"/>
          <w:sz w:val="24"/>
          <w:szCs w:val="30"/>
        </w:rPr>
        <w:t>Patients</w:t>
      </w:r>
    </w:p>
    <w:p w14:paraId="1E3EE6D4" w14:textId="3F465D60" w:rsidR="00EA72F1" w:rsidRPr="00EA72F1" w:rsidRDefault="00EA72F1" w:rsidP="003A5686">
      <w:pPr>
        <w:numPr>
          <w:ilvl w:val="0"/>
          <w:numId w:val="1"/>
        </w:numPr>
        <w:shd w:val="clear" w:color="auto" w:fill="FFFFFF"/>
        <w:spacing w:after="0" w:line="408" w:lineRule="atLeast"/>
        <w:ind w:left="0"/>
        <w:jc w:val="both"/>
        <w:textAlignment w:val="baseline"/>
        <w:rPr>
          <w:rFonts w:ascii="Times New Roman" w:eastAsia="Times New Roman" w:hAnsi="Times New Roman" w:cs="Times New Roman"/>
          <w:color w:val="2A2A2A"/>
          <w:szCs w:val="24"/>
        </w:rPr>
      </w:pPr>
      <w:r w:rsidRPr="00EA72F1">
        <w:rPr>
          <w:rFonts w:ascii="Times New Roman" w:eastAsia="Times New Roman" w:hAnsi="Times New Roman" w:cs="Times New Roman"/>
          <w:color w:val="2A2A2A"/>
          <w:szCs w:val="24"/>
        </w:rPr>
        <w:t> </w:t>
      </w:r>
      <w:r w:rsidR="00720CDD">
        <w:rPr>
          <w:color w:val="2A2A2A"/>
        </w:rPr>
        <w:t>×</w:t>
      </w:r>
      <w:r w:rsidRPr="00EA72F1">
        <w:rPr>
          <w:rFonts w:ascii="Times New Roman" w:eastAsia="Times New Roman" w:hAnsi="Times New Roman" w:cs="Times New Roman"/>
          <w:color w:val="2A2A2A"/>
          <w:szCs w:val="24"/>
        </w:rPr>
        <w:t> </w:t>
      </w:r>
      <w:r w:rsidRPr="00EA72F1">
        <w:rPr>
          <w:rFonts w:ascii="Times New Roman" w:eastAsia="Times New Roman" w:hAnsi="Times New Roman" w:cs="Times New Roman"/>
          <w:color w:val="2A2A2A"/>
          <w:szCs w:val="24"/>
        </w:rPr>
        <w:t>For clinical studies: The patient population (e.g. patients, volunteers, students) has been declared in the manuscript, together with the recruitment method and inclusion and exclusion criteria. If the study concerns couples being investigated for infertility then the following must be specified in the manuscript: fertility status of female partner; and primary, secondary or other level of investigation of the man.</w:t>
      </w:r>
    </w:p>
    <w:p w14:paraId="6E2A14A6" w14:textId="04EDF75C" w:rsidR="00EA72F1" w:rsidRPr="00466353" w:rsidRDefault="00EA72F1" w:rsidP="003A5686">
      <w:pPr>
        <w:numPr>
          <w:ilvl w:val="0"/>
          <w:numId w:val="1"/>
        </w:numPr>
        <w:shd w:val="clear" w:color="auto" w:fill="FFFFFF"/>
        <w:spacing w:after="0" w:line="408" w:lineRule="atLeast"/>
        <w:ind w:left="0"/>
        <w:jc w:val="both"/>
        <w:textAlignment w:val="baseline"/>
        <w:rPr>
          <w:rFonts w:ascii="Times New Roman" w:eastAsia="Times New Roman" w:hAnsi="Times New Roman" w:cs="Times New Roman"/>
          <w:color w:val="2A2A2A"/>
          <w:szCs w:val="24"/>
        </w:rPr>
      </w:pPr>
      <w:r w:rsidRPr="00EA72F1">
        <w:rPr>
          <w:rFonts w:ascii="Times New Roman" w:eastAsia="Times New Roman" w:hAnsi="Times New Roman" w:cs="Times New Roman"/>
          <w:color w:val="2A2A2A"/>
          <w:szCs w:val="24"/>
        </w:rPr>
        <w:t> </w:t>
      </w:r>
      <w:r w:rsidR="00720CDD">
        <w:rPr>
          <w:color w:val="2A2A2A"/>
        </w:rPr>
        <w:t>×</w:t>
      </w:r>
      <w:r w:rsidRPr="00EA72F1">
        <w:rPr>
          <w:rFonts w:ascii="Times New Roman" w:eastAsia="Times New Roman" w:hAnsi="Times New Roman" w:cs="Times New Roman"/>
          <w:color w:val="2A2A2A"/>
          <w:szCs w:val="24"/>
        </w:rPr>
        <w:t> </w:t>
      </w:r>
      <w:r w:rsidRPr="00EA72F1">
        <w:rPr>
          <w:rFonts w:ascii="Times New Roman" w:eastAsia="Times New Roman" w:hAnsi="Times New Roman" w:cs="Times New Roman"/>
          <w:color w:val="2A2A2A"/>
          <w:szCs w:val="24"/>
        </w:rPr>
        <w:t>If used in the manuscript, the term ‘male factor’ must be completely defined.</w:t>
      </w:r>
      <w:r w:rsidR="00496194">
        <w:rPr>
          <w:rFonts w:ascii="Times New Roman" w:eastAsia="Times New Roman" w:hAnsi="Times New Roman" w:cs="Times New Roman"/>
          <w:color w:val="2A2A2A"/>
          <w:szCs w:val="24"/>
        </w:rPr>
        <w:t xml:space="preserve"> </w:t>
      </w:r>
      <w:r w:rsidR="0086418F">
        <w:rPr>
          <w:rFonts w:ascii="Times New Roman" w:eastAsia="Times New Roman" w:hAnsi="Times New Roman" w:cs="Times New Roman"/>
          <w:color w:val="2A2A2A"/>
          <w:szCs w:val="24"/>
        </w:rPr>
        <w:t xml:space="preserve"> </w:t>
      </w:r>
    </w:p>
    <w:p w14:paraId="5F672900" w14:textId="77777777" w:rsidR="00EA72F1" w:rsidRPr="003A5686" w:rsidRDefault="00EA72F1" w:rsidP="003A5686">
      <w:pPr>
        <w:pStyle w:val="Heading4"/>
        <w:shd w:val="clear" w:color="auto" w:fill="FFFFFF"/>
        <w:jc w:val="both"/>
        <w:textAlignment w:val="baseline"/>
        <w:rPr>
          <w:color w:val="2A2A2A"/>
          <w:szCs w:val="30"/>
        </w:rPr>
      </w:pPr>
      <w:r w:rsidRPr="003A5686">
        <w:rPr>
          <w:color w:val="2A2A2A"/>
          <w:szCs w:val="30"/>
        </w:rPr>
        <w:t>General aspects</w:t>
      </w:r>
    </w:p>
    <w:p w14:paraId="139CD938" w14:textId="77777777"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655249">
        <w:rPr>
          <w:color w:val="2A2A2A"/>
        </w:rPr>
        <w:t>×</w:t>
      </w:r>
      <w:r w:rsidRPr="00466353">
        <w:rPr>
          <w:color w:val="2A2A2A"/>
          <w:sz w:val="22"/>
        </w:rPr>
        <w:t> </w:t>
      </w:r>
      <w:r w:rsidRPr="00466353">
        <w:rPr>
          <w:color w:val="2A2A2A"/>
          <w:sz w:val="22"/>
        </w:rPr>
        <w:t>Patients were instructed to maintain 2–7 days of sexual abstinence before collecting a sample for investigation.</w:t>
      </w:r>
      <w:r w:rsidR="006D5DE8">
        <w:rPr>
          <w:color w:val="2A2A2A"/>
          <w:sz w:val="22"/>
        </w:rPr>
        <w:t xml:space="preserve"> </w:t>
      </w:r>
      <w:r w:rsidR="00655249">
        <w:rPr>
          <w:color w:val="2A2A2A"/>
          <w:sz w:val="22"/>
        </w:rPr>
        <w:tab/>
      </w:r>
      <w:r w:rsidR="006D5DE8" w:rsidRPr="00655249">
        <w:rPr>
          <w:i/>
          <w:color w:val="4472C4" w:themeColor="accent1"/>
          <w:sz w:val="22"/>
        </w:rPr>
        <w:t>≥</w:t>
      </w:r>
      <w:r w:rsidR="006D5DE8" w:rsidRPr="00793046">
        <w:rPr>
          <w:i/>
          <w:color w:val="4472C4" w:themeColor="accent1"/>
          <w:sz w:val="22"/>
        </w:rPr>
        <w:t xml:space="preserve"> 2 days</w:t>
      </w:r>
    </w:p>
    <w:p w14:paraId="0345E242" w14:textId="77777777"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655249">
        <w:rPr>
          <w:color w:val="2A2A2A"/>
        </w:rPr>
        <w:t>×</w:t>
      </w:r>
      <w:r w:rsidRPr="00466353">
        <w:rPr>
          <w:color w:val="2A2A2A"/>
          <w:sz w:val="22"/>
        </w:rPr>
        <w:t> </w:t>
      </w:r>
      <w:r w:rsidRPr="00963575">
        <w:rPr>
          <w:color w:val="000000" w:themeColor="text1"/>
          <w:sz w:val="22"/>
        </w:rPr>
        <w:t>Patients were informed about the importance of reporting any missed early ejaculate fractions, and men's answers were noted on the laboratory form.</w:t>
      </w:r>
      <w:r w:rsidR="00830CC5">
        <w:rPr>
          <w:color w:val="000000" w:themeColor="text1"/>
          <w:sz w:val="22"/>
        </w:rPr>
        <w:t xml:space="preserve"> </w:t>
      </w:r>
      <w:r w:rsidR="00655249">
        <w:rPr>
          <w:color w:val="000000" w:themeColor="text1"/>
          <w:sz w:val="22"/>
        </w:rPr>
        <w:tab/>
      </w:r>
      <w:r w:rsidR="00655249" w:rsidRPr="00655249">
        <w:rPr>
          <w:i/>
          <w:color w:val="4472C4" w:themeColor="accent1"/>
          <w:sz w:val="22"/>
        </w:rPr>
        <w:t>Verbal confirmation</w:t>
      </w:r>
    </w:p>
    <w:p w14:paraId="2B05B833" w14:textId="77777777"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655249">
        <w:rPr>
          <w:color w:val="2A2A2A"/>
        </w:rPr>
        <w:t>×</w:t>
      </w:r>
      <w:r w:rsidRPr="00466353">
        <w:rPr>
          <w:color w:val="2A2A2A"/>
          <w:sz w:val="22"/>
        </w:rPr>
        <w:t> </w:t>
      </w:r>
      <w:r w:rsidRPr="00466353">
        <w:rPr>
          <w:color w:val="2A2A2A"/>
          <w:sz w:val="22"/>
        </w:rPr>
        <w:t>For specimens not collected at the laboratory, patients were instructed to avoid cooling or heating of the semen sample dur</w:t>
      </w:r>
      <w:r w:rsidR="007A0660">
        <w:rPr>
          <w:color w:val="2A2A2A"/>
          <w:sz w:val="22"/>
        </w:rPr>
        <w:t xml:space="preserve">ing transport to the laboratory. </w:t>
      </w:r>
    </w:p>
    <w:p w14:paraId="1578352E" w14:textId="20D73B6E"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793046">
        <w:rPr>
          <w:color w:val="2A2A2A"/>
        </w:rPr>
        <w:t>×</w:t>
      </w:r>
      <w:r w:rsidRPr="00466353">
        <w:rPr>
          <w:color w:val="2A2A2A"/>
          <w:sz w:val="22"/>
        </w:rPr>
        <w:t> </w:t>
      </w:r>
      <w:r w:rsidRPr="00466353">
        <w:rPr>
          <w:color w:val="2A2A2A"/>
          <w:sz w:val="22"/>
        </w:rPr>
        <w:t>Samples were kept at 37°C before initiation of and during the analysis in case of sperm motility assessment.</w:t>
      </w:r>
      <w:r w:rsidR="008C7EB4">
        <w:rPr>
          <w:color w:val="2A2A2A"/>
          <w:sz w:val="22"/>
        </w:rPr>
        <w:t xml:space="preserve"> </w:t>
      </w:r>
    </w:p>
    <w:p w14:paraId="3F9CD61D" w14:textId="0CDD9C41"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8C7EB4" w:rsidRPr="00466353">
        <w:rPr>
          <w:color w:val="2A2A2A"/>
          <w:sz w:val="22"/>
        </w:rPr>
        <w:t>□</w:t>
      </w:r>
      <w:r w:rsidRPr="00466353">
        <w:rPr>
          <w:color w:val="2A2A2A"/>
          <w:sz w:val="22"/>
        </w:rPr>
        <w:t> </w:t>
      </w:r>
      <w:r w:rsidRPr="00466353">
        <w:rPr>
          <w:color w:val="2A2A2A"/>
          <w:sz w:val="22"/>
        </w:rPr>
        <w:t>For samples collected adjacent to the laboratory, analysis was initiated after completion of liquefaction and w</w:t>
      </w:r>
      <w:r w:rsidR="0021316B">
        <w:rPr>
          <w:color w:val="2A2A2A"/>
          <w:sz w:val="22"/>
        </w:rPr>
        <w:t xml:space="preserve">ithin 30 min after ejaculation. </w:t>
      </w:r>
      <w:r w:rsidR="008C7EB4">
        <w:rPr>
          <w:color w:val="2A2A2A"/>
          <w:sz w:val="22"/>
        </w:rPr>
        <w:t xml:space="preserve"> </w:t>
      </w:r>
      <w:r w:rsidR="00793046" w:rsidRPr="00793046">
        <w:rPr>
          <w:i/>
          <w:color w:val="4472C4" w:themeColor="accent1"/>
          <w:sz w:val="22"/>
        </w:rPr>
        <w:t>Analysis was commenced with</w:t>
      </w:r>
      <w:r w:rsidR="00361DE9">
        <w:rPr>
          <w:i/>
          <w:color w:val="4472C4" w:themeColor="accent1"/>
          <w:sz w:val="22"/>
        </w:rPr>
        <w:t>in</w:t>
      </w:r>
      <w:r w:rsidR="00793046" w:rsidRPr="00793046">
        <w:rPr>
          <w:i/>
          <w:color w:val="4472C4" w:themeColor="accent1"/>
          <w:sz w:val="22"/>
        </w:rPr>
        <w:t xml:space="preserve"> 1 h after ejaculation</w:t>
      </w:r>
    </w:p>
    <w:p w14:paraId="6226FDA5" w14:textId="6E8D7E27" w:rsidR="00361DE9" w:rsidRPr="00466353" w:rsidRDefault="00EA72F1" w:rsidP="00361DE9">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7417F9" w:rsidRPr="00466353">
        <w:rPr>
          <w:color w:val="2A2A2A"/>
          <w:sz w:val="22"/>
        </w:rPr>
        <w:t>□</w:t>
      </w:r>
      <w:r w:rsidRPr="00466353">
        <w:rPr>
          <w:color w:val="2A2A2A"/>
          <w:sz w:val="22"/>
        </w:rPr>
        <w:t> </w:t>
      </w:r>
      <w:r w:rsidRPr="00466353">
        <w:rPr>
          <w:color w:val="2A2A2A"/>
          <w:sz w:val="22"/>
        </w:rPr>
        <w:t>Liquefaction was first checked within 30 min after ejaculation.</w:t>
      </w:r>
      <w:r w:rsidR="00336809">
        <w:rPr>
          <w:color w:val="2A2A2A"/>
          <w:sz w:val="22"/>
        </w:rPr>
        <w:t xml:space="preserve"> </w:t>
      </w:r>
      <w:r w:rsidR="007417F9">
        <w:rPr>
          <w:color w:val="2A2A2A"/>
          <w:sz w:val="22"/>
        </w:rPr>
        <w:t xml:space="preserve"> </w:t>
      </w:r>
      <w:r w:rsidR="00050E31" w:rsidRPr="00050E31">
        <w:rPr>
          <w:i/>
          <w:color w:val="4472C4" w:themeColor="accent1"/>
          <w:sz w:val="22"/>
        </w:rPr>
        <w:t xml:space="preserve">Liquefaction was </w:t>
      </w:r>
      <w:r w:rsidR="00050E31">
        <w:rPr>
          <w:i/>
          <w:color w:val="4472C4" w:themeColor="accent1"/>
          <w:sz w:val="22"/>
        </w:rPr>
        <w:t>c</w:t>
      </w:r>
      <w:r w:rsidR="00361DE9">
        <w:rPr>
          <w:i/>
          <w:color w:val="4472C4" w:themeColor="accent1"/>
          <w:sz w:val="22"/>
        </w:rPr>
        <w:t xml:space="preserve">hecked </w:t>
      </w:r>
      <w:r w:rsidR="00361DE9" w:rsidRPr="00793046">
        <w:rPr>
          <w:i/>
          <w:color w:val="4472C4" w:themeColor="accent1"/>
          <w:sz w:val="22"/>
        </w:rPr>
        <w:t>with</w:t>
      </w:r>
      <w:r w:rsidR="00361DE9">
        <w:rPr>
          <w:i/>
          <w:color w:val="4472C4" w:themeColor="accent1"/>
          <w:sz w:val="22"/>
        </w:rPr>
        <w:t>in</w:t>
      </w:r>
      <w:r w:rsidR="00361DE9" w:rsidRPr="00793046">
        <w:rPr>
          <w:i/>
          <w:color w:val="4472C4" w:themeColor="accent1"/>
          <w:sz w:val="22"/>
        </w:rPr>
        <w:t xml:space="preserve"> 1 h after ejaculation</w:t>
      </w:r>
    </w:p>
    <w:p w14:paraId="65DC8E0B" w14:textId="77777777"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Volume was determined either by weighing or using a wide-bore volumetric pipette.</w:t>
      </w:r>
    </w:p>
    <w:p w14:paraId="59422139" w14:textId="0BBBD1DE" w:rsidR="00EA72F1" w:rsidRPr="0059397E"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i/>
          <w:color w:val="4472C4" w:themeColor="accent1"/>
          <w:sz w:val="22"/>
        </w:rPr>
      </w:pPr>
      <w:r w:rsidRPr="00466353">
        <w:rPr>
          <w:color w:val="2A2A2A"/>
          <w:sz w:val="22"/>
        </w:rPr>
        <w:t> </w:t>
      </w:r>
      <w:r w:rsidR="0010510D">
        <w:rPr>
          <w:color w:val="2A2A2A"/>
        </w:rPr>
        <w:t>×</w:t>
      </w:r>
      <w:r w:rsidRPr="00466353">
        <w:rPr>
          <w:color w:val="2A2A2A"/>
          <w:sz w:val="22"/>
        </w:rPr>
        <w:t> </w:t>
      </w:r>
      <w:r w:rsidRPr="00466353">
        <w:rPr>
          <w:color w:val="2A2A2A"/>
          <w:sz w:val="22"/>
        </w:rPr>
        <w:t>Viscosity was measured using either a wide-bore pipette or a glass rod.</w:t>
      </w:r>
      <w:r w:rsidR="00336809">
        <w:rPr>
          <w:color w:val="2A2A2A"/>
          <w:sz w:val="22"/>
        </w:rPr>
        <w:t xml:space="preserve"> </w:t>
      </w:r>
      <w:r w:rsidR="0059397E">
        <w:rPr>
          <w:i/>
          <w:color w:val="4472C4" w:themeColor="accent1"/>
          <w:sz w:val="22"/>
        </w:rPr>
        <w:t>W</w:t>
      </w:r>
      <w:r w:rsidR="0076747A" w:rsidRPr="0059397E">
        <w:rPr>
          <w:i/>
          <w:color w:val="4472C4" w:themeColor="accent1"/>
          <w:sz w:val="22"/>
        </w:rPr>
        <w:t>ide-bore pipette</w:t>
      </w:r>
    </w:p>
    <w:p w14:paraId="590170C1" w14:textId="77777777"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All staff members who performed the analyses have been trained in basic semen analysis (ESHRE Basic Semen Analysis Course—or equivalent—and further in-house training) and participate regularly in internal quality control.</w:t>
      </w:r>
      <w:r w:rsidR="00336809">
        <w:rPr>
          <w:color w:val="2A2A2A"/>
          <w:sz w:val="22"/>
        </w:rPr>
        <w:t xml:space="preserve"> </w:t>
      </w:r>
    </w:p>
    <w:p w14:paraId="274F8F48" w14:textId="77777777" w:rsidR="00EA72F1" w:rsidRPr="00466353" w:rsidRDefault="00EA72F1" w:rsidP="003A5686">
      <w:pPr>
        <w:pStyle w:val="NormalWeb"/>
        <w:numPr>
          <w:ilvl w:val="0"/>
          <w:numId w:val="2"/>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If more than one method can be recommended for a particular characteristic (e.g. to measure volume), only one should be used in a given study.</w:t>
      </w:r>
      <w:r w:rsidR="00D17213">
        <w:rPr>
          <w:color w:val="2A2A2A"/>
          <w:sz w:val="22"/>
        </w:rPr>
        <w:t xml:space="preserve"> </w:t>
      </w:r>
    </w:p>
    <w:p w14:paraId="71D924C3" w14:textId="3264410E" w:rsidR="00D97AF9" w:rsidRPr="003A5686" w:rsidRDefault="00EA72F1" w:rsidP="003A5686">
      <w:pPr>
        <w:pStyle w:val="Heading4"/>
        <w:shd w:val="clear" w:color="auto" w:fill="FFFFFF"/>
        <w:jc w:val="both"/>
        <w:textAlignment w:val="baseline"/>
        <w:rPr>
          <w:color w:val="2A2A2A"/>
          <w:szCs w:val="30"/>
        </w:rPr>
      </w:pPr>
      <w:r w:rsidRPr="003A5686">
        <w:rPr>
          <w:color w:val="2A2A2A"/>
          <w:szCs w:val="30"/>
        </w:rPr>
        <w:t>Sperm concentration assessment</w:t>
      </w:r>
    </w:p>
    <w:p w14:paraId="3B511C7F" w14:textId="37D68D79" w:rsidR="00EA72F1" w:rsidRPr="00466353" w:rsidRDefault="00EA72F1" w:rsidP="00D97AF9">
      <w:pPr>
        <w:pStyle w:val="NormalWeb"/>
        <w:numPr>
          <w:ilvl w:val="0"/>
          <w:numId w:val="3"/>
        </w:numPr>
        <w:shd w:val="clear" w:color="auto" w:fill="FFFFFF"/>
        <w:spacing w:before="0" w:beforeAutospacing="0" w:after="0" w:afterAutospacing="0" w:line="408" w:lineRule="atLeast"/>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 xml:space="preserve">Semen aliquot to be diluted for sperm concentration assessment was taken with a positive displacement pipette (i.e. a ‘PCR pipette’) using a recommended diluent (state which diluent: </w:t>
      </w:r>
      <w:r w:rsidR="00921EA7" w:rsidRPr="00921EA7">
        <w:rPr>
          <w:i/>
          <w:color w:val="4472C4" w:themeColor="accent1"/>
          <w:sz w:val="22"/>
        </w:rPr>
        <w:t>0.37% paraformaldehyde</w:t>
      </w:r>
      <w:r w:rsidR="004E3EFA">
        <w:rPr>
          <w:i/>
          <w:color w:val="4472C4" w:themeColor="accent1"/>
          <w:sz w:val="22"/>
        </w:rPr>
        <w:t xml:space="preserve">, </w:t>
      </w:r>
      <w:bookmarkStart w:id="0" w:name="OLE_LINK1"/>
      <w:bookmarkStart w:id="1" w:name="OLE_LINK2"/>
      <w:r w:rsidR="004E3EFA">
        <w:rPr>
          <w:i/>
          <w:color w:val="4472C4" w:themeColor="accent1"/>
          <w:sz w:val="22"/>
        </w:rPr>
        <w:t>0.6</w:t>
      </w:r>
      <w:r w:rsidR="00921EA7" w:rsidRPr="00921EA7">
        <w:rPr>
          <w:i/>
          <w:color w:val="4472C4" w:themeColor="accent1"/>
          <w:sz w:val="22"/>
        </w:rPr>
        <w:t>M NaHCO</w:t>
      </w:r>
      <w:r w:rsidR="00921EA7" w:rsidRPr="00921EA7">
        <w:rPr>
          <w:i/>
          <w:color w:val="4472C4" w:themeColor="accent1"/>
          <w:sz w:val="22"/>
          <w:vertAlign w:val="subscript"/>
        </w:rPr>
        <w:t>3</w:t>
      </w:r>
      <w:r w:rsidR="00921EA7" w:rsidRPr="00921EA7">
        <w:rPr>
          <w:i/>
          <w:color w:val="4472C4" w:themeColor="accent1"/>
          <w:sz w:val="22"/>
        </w:rPr>
        <w:t xml:space="preserve"> </w:t>
      </w:r>
      <w:bookmarkEnd w:id="0"/>
      <w:bookmarkEnd w:id="1"/>
      <w:r w:rsidR="00921EA7" w:rsidRPr="00921EA7">
        <w:rPr>
          <w:i/>
          <w:color w:val="4472C4" w:themeColor="accent1"/>
          <w:sz w:val="22"/>
        </w:rPr>
        <w:t>in</w:t>
      </w:r>
      <w:r w:rsidR="00EF7DF9">
        <w:rPr>
          <w:i/>
          <w:color w:val="4472C4" w:themeColor="accent1"/>
          <w:sz w:val="22"/>
        </w:rPr>
        <w:t xml:space="preserve"> Milli-Q</w:t>
      </w:r>
      <w:r w:rsidR="00921EA7" w:rsidRPr="00921EA7">
        <w:rPr>
          <w:i/>
          <w:color w:val="4472C4" w:themeColor="accent1"/>
          <w:sz w:val="22"/>
        </w:rPr>
        <w:t xml:space="preserve"> </w:t>
      </w:r>
      <w:r w:rsidR="00EF7DF9">
        <w:rPr>
          <w:i/>
          <w:color w:val="4472C4" w:themeColor="accent1"/>
          <w:sz w:val="22"/>
        </w:rPr>
        <w:t>d</w:t>
      </w:r>
      <w:r w:rsidR="00921EA7" w:rsidRPr="00921EA7">
        <w:rPr>
          <w:i/>
          <w:color w:val="4472C4" w:themeColor="accent1"/>
          <w:sz w:val="22"/>
        </w:rPr>
        <w:t>H</w:t>
      </w:r>
      <w:r w:rsidR="00921EA7" w:rsidRPr="00921EA7">
        <w:rPr>
          <w:i/>
          <w:color w:val="4472C4" w:themeColor="accent1"/>
          <w:sz w:val="22"/>
          <w:vertAlign w:val="subscript"/>
        </w:rPr>
        <w:t>2</w:t>
      </w:r>
      <w:r w:rsidR="00921EA7" w:rsidRPr="00921EA7">
        <w:rPr>
          <w:i/>
          <w:color w:val="4472C4" w:themeColor="accent1"/>
          <w:sz w:val="22"/>
        </w:rPr>
        <w:t>O</w:t>
      </w:r>
      <w:r w:rsidRPr="00466353">
        <w:rPr>
          <w:color w:val="2A2A2A"/>
          <w:sz w:val="22"/>
        </w:rPr>
        <w:t>).</w:t>
      </w:r>
      <w:r w:rsidR="0014599F">
        <w:rPr>
          <w:color w:val="2A2A2A"/>
          <w:sz w:val="22"/>
        </w:rPr>
        <w:t xml:space="preserve"> </w:t>
      </w:r>
    </w:p>
    <w:p w14:paraId="31BF0DE7" w14:textId="77777777" w:rsidR="00EA72F1" w:rsidRPr="00466353" w:rsidRDefault="00EA72F1" w:rsidP="003A5686">
      <w:pPr>
        <w:pStyle w:val="NormalWeb"/>
        <w:numPr>
          <w:ilvl w:val="0"/>
          <w:numId w:val="3"/>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lastRenderedPageBreak/>
        <w:t> </w:t>
      </w:r>
      <w:r w:rsidR="0010510D">
        <w:rPr>
          <w:color w:val="2A2A2A"/>
        </w:rPr>
        <w:t>×</w:t>
      </w:r>
      <w:r w:rsidRPr="00466353">
        <w:rPr>
          <w:color w:val="2A2A2A"/>
          <w:sz w:val="22"/>
        </w:rPr>
        <w:t> </w:t>
      </w:r>
      <w:r w:rsidRPr="00466353">
        <w:rPr>
          <w:color w:val="2A2A2A"/>
          <w:sz w:val="22"/>
        </w:rPr>
        <w:t>Only standard dilutions were used (1:50, 1:20, or 1:10).</w:t>
      </w:r>
      <w:r w:rsidR="0010510D">
        <w:rPr>
          <w:color w:val="2A2A2A"/>
          <w:sz w:val="22"/>
        </w:rPr>
        <w:t xml:space="preserve"> </w:t>
      </w:r>
      <w:r w:rsidR="0010510D" w:rsidRPr="0010510D">
        <w:rPr>
          <w:i/>
          <w:color w:val="4472C4" w:themeColor="accent1"/>
          <w:sz w:val="22"/>
        </w:rPr>
        <w:t>1:20</w:t>
      </w:r>
    </w:p>
    <w:p w14:paraId="098521A0" w14:textId="77777777" w:rsidR="00EA72F1" w:rsidRPr="00466353" w:rsidRDefault="00EA72F1" w:rsidP="003A5686">
      <w:pPr>
        <w:pStyle w:val="NormalWeb"/>
        <w:numPr>
          <w:ilvl w:val="0"/>
          <w:numId w:val="3"/>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Sperm concentration was assessed using haemocytometers with improved Neubauer ruling.</w:t>
      </w:r>
    </w:p>
    <w:p w14:paraId="5367AE45" w14:textId="77777777" w:rsidR="00EA72F1" w:rsidRPr="00466353" w:rsidRDefault="00EA72F1" w:rsidP="003A5686">
      <w:pPr>
        <w:pStyle w:val="NormalWeb"/>
        <w:numPr>
          <w:ilvl w:val="0"/>
          <w:numId w:val="3"/>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Haemocytometers were allowed to rest for 10–15 min in a humid chamber to allow sedimentation of the suspended spermatozoa onto the counting grid before counting.</w:t>
      </w:r>
      <w:r w:rsidR="00BB0C6E">
        <w:rPr>
          <w:color w:val="2A2A2A"/>
          <w:sz w:val="22"/>
        </w:rPr>
        <w:t xml:space="preserve">  </w:t>
      </w:r>
    </w:p>
    <w:p w14:paraId="4B958148" w14:textId="77777777" w:rsidR="00EA72F1" w:rsidRPr="00466353" w:rsidRDefault="00EA72F1" w:rsidP="003A5686">
      <w:pPr>
        <w:pStyle w:val="NormalWeb"/>
        <w:numPr>
          <w:ilvl w:val="0"/>
          <w:numId w:val="3"/>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Sperm counting was done using phase contrast microscope optics (200–400×).</w:t>
      </w:r>
    </w:p>
    <w:p w14:paraId="418D766E" w14:textId="77777777" w:rsidR="00EA72F1" w:rsidRPr="00466353" w:rsidRDefault="00EA72F1" w:rsidP="003A5686">
      <w:pPr>
        <w:pStyle w:val="NormalWeb"/>
        <w:numPr>
          <w:ilvl w:val="0"/>
          <w:numId w:val="3"/>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Comparisons were made between duplicate counts, and counts re-done when the difference exceeded the acceptance limits.</w:t>
      </w:r>
      <w:r w:rsidR="00F2035B">
        <w:rPr>
          <w:color w:val="2A2A2A"/>
          <w:sz w:val="22"/>
        </w:rPr>
        <w:t xml:space="preserve"> </w:t>
      </w:r>
      <w:r w:rsidR="004F5166">
        <w:rPr>
          <w:color w:val="2A2A2A"/>
          <w:sz w:val="22"/>
        </w:rPr>
        <w:t xml:space="preserve"> </w:t>
      </w:r>
    </w:p>
    <w:p w14:paraId="6B053A8B" w14:textId="77777777" w:rsidR="00EA72F1" w:rsidRPr="00466353" w:rsidRDefault="00EA72F1" w:rsidP="003A5686">
      <w:pPr>
        <w:pStyle w:val="NormalWeb"/>
        <w:numPr>
          <w:ilvl w:val="0"/>
          <w:numId w:val="3"/>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896F4B" w:rsidRPr="00466353">
        <w:rPr>
          <w:color w:val="2A2A2A"/>
          <w:sz w:val="22"/>
        </w:rPr>
        <w:t>□</w:t>
      </w:r>
      <w:r w:rsidRPr="00466353">
        <w:rPr>
          <w:color w:val="2A2A2A"/>
          <w:sz w:val="22"/>
        </w:rPr>
        <w:t> </w:t>
      </w:r>
      <w:r w:rsidRPr="00466353">
        <w:rPr>
          <w:color w:val="2A2A2A"/>
          <w:sz w:val="22"/>
        </w:rPr>
        <w:t>Typically at least 200 spermatozoa were counted in each of the duplicate assessments.</w:t>
      </w:r>
      <w:r w:rsidR="0010510D">
        <w:rPr>
          <w:color w:val="2A2A2A"/>
          <w:sz w:val="22"/>
        </w:rPr>
        <w:t xml:space="preserve"> </w:t>
      </w:r>
      <w:r w:rsidR="00896F4B" w:rsidRPr="0010510D">
        <w:rPr>
          <w:i/>
          <w:color w:val="4472C4" w:themeColor="accent1"/>
          <w:sz w:val="22"/>
        </w:rPr>
        <w:t>≥ 100</w:t>
      </w:r>
    </w:p>
    <w:p w14:paraId="42A3C581" w14:textId="77777777" w:rsidR="00EA72F1" w:rsidRPr="003A5686" w:rsidRDefault="00EA72F1" w:rsidP="003A5686">
      <w:pPr>
        <w:pStyle w:val="Heading4"/>
        <w:shd w:val="clear" w:color="auto" w:fill="FFFFFF"/>
        <w:jc w:val="both"/>
        <w:textAlignment w:val="baseline"/>
        <w:rPr>
          <w:color w:val="2A2A2A"/>
          <w:szCs w:val="30"/>
        </w:rPr>
      </w:pPr>
      <w:r w:rsidRPr="003A5686">
        <w:rPr>
          <w:color w:val="2A2A2A"/>
          <w:szCs w:val="30"/>
        </w:rPr>
        <w:t>Sperm motility assessment</w:t>
      </w:r>
      <w:r w:rsidR="00896F4B">
        <w:rPr>
          <w:color w:val="2A2A2A"/>
          <w:szCs w:val="30"/>
        </w:rPr>
        <w:t xml:space="preserve"> </w:t>
      </w:r>
    </w:p>
    <w:p w14:paraId="1FDCCBFE" w14:textId="77777777" w:rsidR="00EA72F1" w:rsidRPr="00466353" w:rsidRDefault="00EA72F1" w:rsidP="003A5686">
      <w:pPr>
        <w:pStyle w:val="NormalWeb"/>
        <w:numPr>
          <w:ilvl w:val="0"/>
          <w:numId w:val="4"/>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Motility assessments were performed at 37°C ± 0.5°C.</w:t>
      </w:r>
    </w:p>
    <w:p w14:paraId="748A98DA" w14:textId="77777777" w:rsidR="00EA72F1" w:rsidRPr="00466353" w:rsidRDefault="00EA72F1" w:rsidP="003A5686">
      <w:pPr>
        <w:pStyle w:val="NormalWeb"/>
        <w:numPr>
          <w:ilvl w:val="0"/>
          <w:numId w:val="4"/>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Motility assessments were done using phase contrast microscope optics (200–400×).</w:t>
      </w:r>
      <w:r w:rsidR="00BB0C6E">
        <w:rPr>
          <w:color w:val="2A2A2A"/>
          <w:sz w:val="22"/>
        </w:rPr>
        <w:t xml:space="preserve"> </w:t>
      </w:r>
    </w:p>
    <w:p w14:paraId="0416CB46" w14:textId="77777777" w:rsidR="00EA72F1" w:rsidRPr="00466353" w:rsidRDefault="00EA72F1" w:rsidP="003A5686">
      <w:pPr>
        <w:pStyle w:val="NormalWeb"/>
        <w:numPr>
          <w:ilvl w:val="0"/>
          <w:numId w:val="4"/>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Pr="00466353">
        <w:rPr>
          <w:color w:val="2A2A2A"/>
          <w:sz w:val="22"/>
        </w:rPr>
        <w:t>□</w:t>
      </w:r>
      <w:r w:rsidRPr="00466353">
        <w:rPr>
          <w:color w:val="2A2A2A"/>
          <w:sz w:val="22"/>
        </w:rPr>
        <w:t> </w:t>
      </w:r>
      <w:r w:rsidRPr="00466353">
        <w:rPr>
          <w:color w:val="2A2A2A"/>
          <w:sz w:val="22"/>
        </w:rPr>
        <w:t>Sperm motility was classified using a four-category scheme: rapid progressive, slow progressive, non-progressive, and immotile (World Health Organization, 1999;</w:t>
      </w:r>
      <w:r w:rsidRPr="00466353">
        <w:rPr>
          <w:rStyle w:val="apple-converted-space"/>
          <w:color w:val="2A2A2A"/>
          <w:sz w:val="22"/>
        </w:rPr>
        <w:t> </w:t>
      </w:r>
      <w:r w:rsidRPr="00466353">
        <w:rPr>
          <w:color w:val="2A2A2A"/>
          <w:sz w:val="22"/>
        </w:rPr>
        <w:t>Björndahl</w:t>
      </w:r>
      <w:r w:rsidRPr="00466353">
        <w:rPr>
          <w:rStyle w:val="apple-converted-space"/>
          <w:color w:val="2A2A2A"/>
          <w:sz w:val="22"/>
        </w:rPr>
        <w:t> </w:t>
      </w:r>
      <w:r w:rsidRPr="00466353">
        <w:rPr>
          <w:rStyle w:val="Emphasis"/>
          <w:color w:val="2A2A2A"/>
          <w:sz w:val="22"/>
          <w:bdr w:val="none" w:sz="0" w:space="0" w:color="auto" w:frame="1"/>
        </w:rPr>
        <w:t>et al.</w:t>
      </w:r>
      <w:r w:rsidRPr="00466353">
        <w:rPr>
          <w:color w:val="2A2A2A"/>
          <w:sz w:val="22"/>
        </w:rPr>
        <w:t>, 2010;</w:t>
      </w:r>
      <w:r w:rsidRPr="00466353">
        <w:rPr>
          <w:rStyle w:val="apple-converted-space"/>
          <w:color w:val="2A2A2A"/>
          <w:sz w:val="22"/>
        </w:rPr>
        <w:t> </w:t>
      </w:r>
      <w:r w:rsidRPr="00466353">
        <w:rPr>
          <w:color w:val="2A2A2A"/>
          <w:sz w:val="22"/>
        </w:rPr>
        <w:t>Barratt</w:t>
      </w:r>
      <w:r w:rsidRPr="00466353">
        <w:rPr>
          <w:rStyle w:val="apple-converted-space"/>
          <w:color w:val="2A2A2A"/>
          <w:sz w:val="22"/>
        </w:rPr>
        <w:t> </w:t>
      </w:r>
      <w:r w:rsidRPr="00466353">
        <w:rPr>
          <w:rStyle w:val="Emphasis"/>
          <w:color w:val="2A2A2A"/>
          <w:sz w:val="22"/>
          <w:bdr w:val="none" w:sz="0" w:space="0" w:color="auto" w:frame="1"/>
        </w:rPr>
        <w:t>et al.</w:t>
      </w:r>
      <w:r w:rsidRPr="00466353">
        <w:rPr>
          <w:color w:val="2A2A2A"/>
          <w:sz w:val="22"/>
        </w:rPr>
        <w:t>, 2011).</w:t>
      </w:r>
      <w:r w:rsidR="00BB0C6E">
        <w:rPr>
          <w:color w:val="2A2A2A"/>
          <w:sz w:val="22"/>
        </w:rPr>
        <w:t xml:space="preserve"> </w:t>
      </w:r>
    </w:p>
    <w:p w14:paraId="7980FB71" w14:textId="77777777" w:rsidR="00EA72F1" w:rsidRPr="00466353" w:rsidRDefault="00EA72F1" w:rsidP="003A5686">
      <w:pPr>
        <w:pStyle w:val="NormalWeb"/>
        <w:numPr>
          <w:ilvl w:val="0"/>
          <w:numId w:val="4"/>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Motility assessments were done in duplicate and compared; counts were re-done on new preparations when the difference between duplicates exceeded the acceptance limits.</w:t>
      </w:r>
      <w:r w:rsidR="0075610A">
        <w:rPr>
          <w:color w:val="2A2A2A"/>
          <w:sz w:val="22"/>
        </w:rPr>
        <w:t xml:space="preserve"> </w:t>
      </w:r>
    </w:p>
    <w:p w14:paraId="643B1509" w14:textId="77777777" w:rsidR="00EA72F1" w:rsidRPr="00466353" w:rsidRDefault="00EA72F1" w:rsidP="003A5686">
      <w:pPr>
        <w:pStyle w:val="NormalWeb"/>
        <w:numPr>
          <w:ilvl w:val="0"/>
          <w:numId w:val="4"/>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The wet preparation was made</w:t>
      </w:r>
      <w:r w:rsidR="00715839">
        <w:rPr>
          <w:color w:val="2A2A2A"/>
          <w:sz w:val="22"/>
        </w:rPr>
        <w:t xml:space="preserve"> with a drop of _</w:t>
      </w:r>
      <w:r w:rsidR="00715839" w:rsidRPr="0010510D">
        <w:rPr>
          <w:color w:val="4472C4" w:themeColor="accent1"/>
          <w:sz w:val="22"/>
          <w:u w:val="single"/>
        </w:rPr>
        <w:t>10</w:t>
      </w:r>
      <w:r w:rsidR="00715839">
        <w:rPr>
          <w:color w:val="2A2A2A"/>
          <w:sz w:val="22"/>
        </w:rPr>
        <w:t xml:space="preserve">__ µl and a </w:t>
      </w:r>
      <w:r w:rsidRPr="00466353">
        <w:rPr>
          <w:color w:val="2A2A2A"/>
          <w:sz w:val="22"/>
        </w:rPr>
        <w:t>_</w:t>
      </w:r>
      <w:r w:rsidR="00715839" w:rsidRPr="0010510D">
        <w:rPr>
          <w:color w:val="4472C4" w:themeColor="accent1"/>
          <w:sz w:val="22"/>
          <w:u w:val="single"/>
        </w:rPr>
        <w:t>22</w:t>
      </w:r>
      <w:r w:rsidR="00715839" w:rsidRPr="0010510D">
        <w:rPr>
          <w:color w:val="4472C4" w:themeColor="accent1"/>
          <w:sz w:val="22"/>
        </w:rPr>
        <w:t xml:space="preserve">_ </w:t>
      </w:r>
      <w:r w:rsidR="0010510D" w:rsidRPr="0010510D">
        <w:rPr>
          <w:color w:val="4472C4" w:themeColor="accent1"/>
        </w:rPr>
        <w:t>×</w:t>
      </w:r>
      <w:r w:rsidR="00715839" w:rsidRPr="0010510D">
        <w:rPr>
          <w:color w:val="4472C4" w:themeColor="accent1"/>
          <w:sz w:val="22"/>
        </w:rPr>
        <w:t xml:space="preserve"> </w:t>
      </w:r>
      <w:r w:rsidRPr="0010510D">
        <w:rPr>
          <w:color w:val="4472C4" w:themeColor="accent1"/>
          <w:sz w:val="22"/>
        </w:rPr>
        <w:t>_</w:t>
      </w:r>
      <w:r w:rsidR="00715839" w:rsidRPr="0010510D">
        <w:rPr>
          <w:color w:val="4472C4" w:themeColor="accent1"/>
          <w:sz w:val="22"/>
          <w:u w:val="single"/>
        </w:rPr>
        <w:t>22</w:t>
      </w:r>
      <w:r w:rsidRPr="00466353">
        <w:rPr>
          <w:color w:val="2A2A2A"/>
          <w:sz w:val="22"/>
        </w:rPr>
        <w:t>_ mm coverslip to give a depth of __</w:t>
      </w:r>
      <w:r w:rsidR="00FF42E3" w:rsidRPr="0010510D">
        <w:rPr>
          <w:color w:val="4472C4" w:themeColor="accent1"/>
          <w:sz w:val="22"/>
          <w:u w:val="single"/>
        </w:rPr>
        <w:t>~</w:t>
      </w:r>
      <w:r w:rsidR="003D2A26" w:rsidRPr="0010510D">
        <w:rPr>
          <w:color w:val="4472C4" w:themeColor="accent1"/>
          <w:sz w:val="22"/>
          <w:u w:val="single"/>
        </w:rPr>
        <w:t>2</w:t>
      </w:r>
      <w:r w:rsidR="003D2A26" w:rsidRPr="00207F40">
        <w:rPr>
          <w:color w:val="4472C4" w:themeColor="accent1"/>
          <w:sz w:val="22"/>
          <w:u w:val="single"/>
        </w:rPr>
        <w:t>0</w:t>
      </w:r>
      <w:r w:rsidRPr="00466353">
        <w:rPr>
          <w:color w:val="2A2A2A"/>
          <w:sz w:val="22"/>
        </w:rPr>
        <w:t>_ µm (must be at least 10 µm, but not too deep so as to allow spermatozoa to move freely in and out of focus; typically</w:t>
      </w:r>
      <w:r w:rsidRPr="00466353">
        <w:rPr>
          <w:rStyle w:val="apple-converted-space"/>
          <w:color w:val="2A2A2A"/>
          <w:sz w:val="22"/>
        </w:rPr>
        <w:t> </w:t>
      </w:r>
      <w:r w:rsidRPr="00466353">
        <w:rPr>
          <w:rStyle w:val="Emphasis"/>
          <w:color w:val="2A2A2A"/>
          <w:sz w:val="22"/>
          <w:bdr w:val="none" w:sz="0" w:space="0" w:color="auto" w:frame="1"/>
        </w:rPr>
        <w:t>ca.</w:t>
      </w:r>
      <w:r w:rsidRPr="00466353">
        <w:rPr>
          <w:rStyle w:val="apple-converted-space"/>
          <w:color w:val="2A2A2A"/>
          <w:sz w:val="22"/>
        </w:rPr>
        <w:t> </w:t>
      </w:r>
      <w:r w:rsidRPr="00466353">
        <w:rPr>
          <w:color w:val="2A2A2A"/>
          <w:sz w:val="22"/>
        </w:rPr>
        <w:t>20 µm).</w:t>
      </w:r>
      <w:r w:rsidR="003D2A26">
        <w:rPr>
          <w:color w:val="2A2A2A"/>
          <w:sz w:val="22"/>
        </w:rPr>
        <w:t xml:space="preserve"> </w:t>
      </w:r>
    </w:p>
    <w:p w14:paraId="49A2E531" w14:textId="77777777" w:rsidR="00EA72F1" w:rsidRPr="00466353" w:rsidRDefault="00EA72F1" w:rsidP="003A5686">
      <w:pPr>
        <w:pStyle w:val="NormalWeb"/>
        <w:numPr>
          <w:ilvl w:val="0"/>
          <w:numId w:val="4"/>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896F4B" w:rsidRPr="00466353">
        <w:rPr>
          <w:color w:val="2A2A2A"/>
          <w:sz w:val="22"/>
        </w:rPr>
        <w:t>□</w:t>
      </w:r>
      <w:r w:rsidRPr="00466353">
        <w:rPr>
          <w:color w:val="2A2A2A"/>
          <w:sz w:val="22"/>
        </w:rPr>
        <w:t> </w:t>
      </w:r>
      <w:r w:rsidRPr="00466353">
        <w:rPr>
          <w:color w:val="2A2A2A"/>
          <w:sz w:val="22"/>
        </w:rPr>
        <w:t>At least 200 spermatozoa were assessed in each duplicate motility count.</w:t>
      </w:r>
      <w:r w:rsidR="0010510D">
        <w:rPr>
          <w:color w:val="2A2A2A"/>
          <w:sz w:val="22"/>
        </w:rPr>
        <w:t xml:space="preserve"> </w:t>
      </w:r>
      <w:r w:rsidR="00896F4B" w:rsidRPr="0010510D">
        <w:rPr>
          <w:i/>
          <w:color w:val="4472C4" w:themeColor="accent1"/>
          <w:sz w:val="22"/>
        </w:rPr>
        <w:t>≥ 100</w:t>
      </w:r>
    </w:p>
    <w:p w14:paraId="093F6A5C" w14:textId="77777777" w:rsidR="00EA72F1" w:rsidRPr="00466353" w:rsidRDefault="00EA72F1" w:rsidP="003A5686">
      <w:pPr>
        <w:pStyle w:val="NormalWeb"/>
        <w:numPr>
          <w:ilvl w:val="0"/>
          <w:numId w:val="4"/>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At least 5 microscope fields of view were examined in each duplicate count.</w:t>
      </w:r>
      <w:r w:rsidR="00C72D4C">
        <w:rPr>
          <w:color w:val="2A2A2A"/>
          <w:sz w:val="22"/>
        </w:rPr>
        <w:t xml:space="preserve"> </w:t>
      </w:r>
    </w:p>
    <w:p w14:paraId="60E011ED" w14:textId="77777777" w:rsidR="00EA72F1" w:rsidRPr="003A5686" w:rsidRDefault="00EA72F1" w:rsidP="003A5686">
      <w:pPr>
        <w:pStyle w:val="Heading4"/>
        <w:shd w:val="clear" w:color="auto" w:fill="FFFFFF"/>
        <w:jc w:val="both"/>
        <w:textAlignment w:val="baseline"/>
        <w:rPr>
          <w:color w:val="2A2A2A"/>
          <w:szCs w:val="30"/>
        </w:rPr>
      </w:pPr>
      <w:r w:rsidRPr="003A5686">
        <w:rPr>
          <w:color w:val="2A2A2A"/>
          <w:szCs w:val="30"/>
        </w:rPr>
        <w:t>Sperm vitality assessment</w:t>
      </w:r>
    </w:p>
    <w:p w14:paraId="0F1CAE62" w14:textId="77777777" w:rsidR="00EA72F1" w:rsidRPr="00466353" w:rsidRDefault="00EA72F1" w:rsidP="003A5686">
      <w:pPr>
        <w:pStyle w:val="NormalWeb"/>
        <w:numPr>
          <w:ilvl w:val="0"/>
          <w:numId w:val="5"/>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A validated supravital staining, appropriate to the type of microscope optics utilized, was used to assess sperm vitality.</w:t>
      </w:r>
    </w:p>
    <w:p w14:paraId="5A5A8DB0" w14:textId="77777777" w:rsidR="00EA72F1" w:rsidRPr="00466353" w:rsidRDefault="00EA72F1" w:rsidP="003A5686">
      <w:pPr>
        <w:pStyle w:val="NormalWeb"/>
        <w:numPr>
          <w:ilvl w:val="0"/>
          <w:numId w:val="5"/>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896F4B" w:rsidRPr="00466353">
        <w:rPr>
          <w:color w:val="2A2A2A"/>
          <w:sz w:val="22"/>
        </w:rPr>
        <w:t>□</w:t>
      </w:r>
      <w:r w:rsidRPr="00466353">
        <w:rPr>
          <w:color w:val="2A2A2A"/>
          <w:sz w:val="22"/>
        </w:rPr>
        <w:t> </w:t>
      </w:r>
      <w:r w:rsidRPr="00466353">
        <w:rPr>
          <w:color w:val="2A2A2A"/>
          <w:sz w:val="22"/>
        </w:rPr>
        <w:t>At least 200 spermatozoa were evaluated in each sample.</w:t>
      </w:r>
      <w:r w:rsidR="003F1017">
        <w:rPr>
          <w:color w:val="2A2A2A"/>
          <w:sz w:val="22"/>
        </w:rPr>
        <w:t xml:space="preserve"> </w:t>
      </w:r>
      <w:r w:rsidR="00896F4B" w:rsidRPr="0010510D">
        <w:rPr>
          <w:i/>
          <w:color w:val="4472C4" w:themeColor="accent1"/>
          <w:sz w:val="22"/>
        </w:rPr>
        <w:t>≥ 100</w:t>
      </w:r>
    </w:p>
    <w:p w14:paraId="5EFA7998" w14:textId="613631F9" w:rsidR="00EA72F1" w:rsidRPr="0010510D" w:rsidRDefault="00EA72F1" w:rsidP="003A5686">
      <w:pPr>
        <w:pStyle w:val="NormalWeb"/>
        <w:numPr>
          <w:ilvl w:val="0"/>
          <w:numId w:val="5"/>
        </w:numPr>
        <w:shd w:val="clear" w:color="auto" w:fill="FFFFFF"/>
        <w:spacing w:before="0" w:beforeAutospacing="0" w:after="0" w:afterAutospacing="0" w:line="408" w:lineRule="atLeast"/>
        <w:ind w:left="0"/>
        <w:jc w:val="both"/>
        <w:textAlignment w:val="baseline"/>
        <w:rPr>
          <w:color w:val="4472C4" w:themeColor="accent1"/>
          <w:sz w:val="22"/>
        </w:rPr>
      </w:pPr>
      <w:r w:rsidRPr="00466353">
        <w:rPr>
          <w:color w:val="2A2A2A"/>
          <w:sz w:val="22"/>
        </w:rPr>
        <w:t> </w:t>
      </w:r>
      <w:r w:rsidRPr="00466353">
        <w:rPr>
          <w:color w:val="2A2A2A"/>
          <w:sz w:val="22"/>
        </w:rPr>
        <w:t>□</w:t>
      </w:r>
      <w:r w:rsidRPr="00466353">
        <w:rPr>
          <w:color w:val="2A2A2A"/>
          <w:sz w:val="22"/>
        </w:rPr>
        <w:t> </w:t>
      </w:r>
      <w:r w:rsidRPr="00466353">
        <w:rPr>
          <w:color w:val="2A2A2A"/>
          <w:sz w:val="22"/>
        </w:rPr>
        <w:t>Assessments were done under high magnification (×1000–1250) using a 100× high resolution oil immersion objective and bright field microscope optics (Köhler illumination).</w:t>
      </w:r>
      <w:r w:rsidR="009A7B79">
        <w:rPr>
          <w:color w:val="2A2A2A"/>
          <w:sz w:val="22"/>
        </w:rPr>
        <w:t xml:space="preserve"> </w:t>
      </w:r>
      <w:r w:rsidR="00206C62" w:rsidRPr="0010510D">
        <w:rPr>
          <w:i/>
          <w:color w:val="4472C4" w:themeColor="accent1"/>
          <w:sz w:val="22"/>
        </w:rPr>
        <w:t>40</w:t>
      </w:r>
      <w:r w:rsidR="000D5368">
        <w:rPr>
          <w:i/>
          <w:color w:val="4472C4" w:themeColor="accent1"/>
          <w:sz w:val="22"/>
        </w:rPr>
        <w:t xml:space="preserve"> </w:t>
      </w:r>
      <w:r w:rsidR="0010510D" w:rsidRPr="0010510D">
        <w:rPr>
          <w:i/>
          <w:color w:val="4472C4" w:themeColor="accent1"/>
        </w:rPr>
        <w:t>×</w:t>
      </w:r>
      <w:r w:rsidR="000D5368">
        <w:rPr>
          <w:i/>
          <w:color w:val="4472C4" w:themeColor="accent1"/>
        </w:rPr>
        <w:t xml:space="preserve"> objective; </w:t>
      </w:r>
      <w:r w:rsidR="000D5368" w:rsidRPr="0010510D">
        <w:rPr>
          <w:i/>
          <w:color w:val="4472C4" w:themeColor="accent1"/>
        </w:rPr>
        <w:t>×</w:t>
      </w:r>
      <w:r w:rsidR="000D5368">
        <w:rPr>
          <w:i/>
          <w:color w:val="4472C4" w:themeColor="accent1"/>
        </w:rPr>
        <w:t xml:space="preserve"> 400 magnification </w:t>
      </w:r>
    </w:p>
    <w:p w14:paraId="4A17A232" w14:textId="77777777" w:rsidR="00EA72F1" w:rsidRPr="00206C62" w:rsidRDefault="00EA72F1" w:rsidP="003A5686">
      <w:pPr>
        <w:pStyle w:val="Heading4"/>
        <w:shd w:val="clear" w:color="auto" w:fill="FFFFFF"/>
        <w:jc w:val="both"/>
        <w:textAlignment w:val="baseline"/>
        <w:rPr>
          <w:color w:val="000000" w:themeColor="text1"/>
          <w:szCs w:val="30"/>
        </w:rPr>
      </w:pPr>
      <w:r w:rsidRPr="00206C62">
        <w:rPr>
          <w:color w:val="000000" w:themeColor="text1"/>
          <w:szCs w:val="30"/>
        </w:rPr>
        <w:t>Sperm morphology assessment</w:t>
      </w:r>
      <w:r w:rsidR="004C52CD" w:rsidRPr="00206C62">
        <w:rPr>
          <w:color w:val="000000" w:themeColor="text1"/>
          <w:szCs w:val="30"/>
        </w:rPr>
        <w:t xml:space="preserve"> </w:t>
      </w:r>
    </w:p>
    <w:p w14:paraId="07B63A2D" w14:textId="77777777" w:rsidR="00EA72F1" w:rsidRPr="00466353" w:rsidRDefault="00EA72F1" w:rsidP="003A5686">
      <w:pPr>
        <w:pStyle w:val="NormalWeb"/>
        <w:numPr>
          <w:ilvl w:val="0"/>
          <w:numId w:val="6"/>
        </w:numPr>
        <w:shd w:val="clear" w:color="auto" w:fill="FFFFFF"/>
        <w:spacing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FE6737">
        <w:rPr>
          <w:sz w:val="22"/>
        </w:rPr>
        <w:t>Tygerberg Strict Criteria were used for the evaluation of human sperm morphology.</w:t>
      </w:r>
    </w:p>
    <w:p w14:paraId="74E273F0" w14:textId="51C24159" w:rsidR="00EA72F1" w:rsidRPr="0010510D" w:rsidRDefault="00EA72F1" w:rsidP="003A5686">
      <w:pPr>
        <w:pStyle w:val="NormalWeb"/>
        <w:shd w:val="clear" w:color="auto" w:fill="FFFFFF"/>
        <w:spacing w:before="0" w:beforeAutospacing="0" w:after="0" w:afterAutospacing="0" w:line="408" w:lineRule="atLeast"/>
        <w:jc w:val="both"/>
        <w:textAlignment w:val="baseline"/>
        <w:rPr>
          <w:color w:val="2A2A2A"/>
          <w:sz w:val="22"/>
        </w:rPr>
      </w:pPr>
      <w:r w:rsidRPr="00466353">
        <w:rPr>
          <w:color w:val="2A2A2A"/>
          <w:sz w:val="22"/>
        </w:rPr>
        <w:lastRenderedPageBreak/>
        <w:t>Note: Another classification could be used for scientific studies with specific aims if the classification is described or referenced. Depending on the aim of the study, the evaluation of particular abnormal forms might be useful.</w:t>
      </w:r>
      <w:r w:rsidR="00A93768">
        <w:rPr>
          <w:color w:val="2A2A2A"/>
          <w:sz w:val="22"/>
        </w:rPr>
        <w:t xml:space="preserve"> </w:t>
      </w:r>
      <w:r w:rsidR="0010510D" w:rsidRPr="0010510D">
        <w:rPr>
          <w:i/>
          <w:color w:val="4472C4" w:themeColor="accent1"/>
          <w:sz w:val="22"/>
        </w:rPr>
        <w:t>R</w:t>
      </w:r>
      <w:r w:rsidR="00A93768" w:rsidRPr="0010510D">
        <w:rPr>
          <w:i/>
          <w:color w:val="4472C4" w:themeColor="accent1"/>
          <w:sz w:val="22"/>
        </w:rPr>
        <w:t>eference: WHO laboratory manual for human semen analysis</w:t>
      </w:r>
      <w:r w:rsidR="00127854">
        <w:rPr>
          <w:i/>
          <w:color w:val="4472C4" w:themeColor="accent1"/>
          <w:sz w:val="22"/>
        </w:rPr>
        <w:t xml:space="preserve"> with no staining being applied.</w:t>
      </w:r>
      <w:bookmarkStart w:id="2" w:name="_GoBack"/>
      <w:bookmarkEnd w:id="2"/>
    </w:p>
    <w:p w14:paraId="2E86A2BE" w14:textId="77777777" w:rsidR="00EA72F1" w:rsidRPr="004C2C04" w:rsidRDefault="00EA72F1" w:rsidP="003A5686">
      <w:pPr>
        <w:pStyle w:val="NormalWeb"/>
        <w:numPr>
          <w:ilvl w:val="0"/>
          <w:numId w:val="6"/>
        </w:numPr>
        <w:shd w:val="clear" w:color="auto" w:fill="FFFFFF"/>
        <w:spacing w:before="0" w:beforeAutospacing="0" w:after="0" w:afterAutospacing="0" w:line="408" w:lineRule="atLeast"/>
        <w:ind w:left="0"/>
        <w:jc w:val="both"/>
        <w:textAlignment w:val="baseline"/>
        <w:rPr>
          <w:color w:val="000000" w:themeColor="text1"/>
          <w:sz w:val="22"/>
        </w:rPr>
      </w:pPr>
      <w:r w:rsidRPr="004C2C04">
        <w:rPr>
          <w:color w:val="000000" w:themeColor="text1"/>
          <w:sz w:val="22"/>
        </w:rPr>
        <w:t> </w:t>
      </w:r>
      <w:r w:rsidR="005E4F65" w:rsidRPr="004C2C04">
        <w:rPr>
          <w:color w:val="000000" w:themeColor="text1"/>
          <w:sz w:val="22"/>
        </w:rPr>
        <w:t>□</w:t>
      </w:r>
      <w:r w:rsidRPr="004C2C04">
        <w:rPr>
          <w:color w:val="000000" w:themeColor="text1"/>
          <w:sz w:val="22"/>
        </w:rPr>
        <w:t> </w:t>
      </w:r>
      <w:r w:rsidRPr="004C2C04">
        <w:rPr>
          <w:color w:val="000000" w:themeColor="text1"/>
          <w:sz w:val="22"/>
        </w:rPr>
        <w:t>Abnormalities are recorded for all four regions of the spermatozoon (head, neck/midpiece, tail and cytoplasmic residue) and the Teratozoospermia Index or ‘TZI’ was calculated (Björndahl</w:t>
      </w:r>
      <w:r w:rsidRPr="004C2C04">
        <w:rPr>
          <w:rStyle w:val="apple-converted-space"/>
          <w:color w:val="000000" w:themeColor="text1"/>
          <w:sz w:val="22"/>
        </w:rPr>
        <w:t> </w:t>
      </w:r>
      <w:r w:rsidRPr="004C2C04">
        <w:rPr>
          <w:rStyle w:val="Emphasis"/>
          <w:color w:val="000000" w:themeColor="text1"/>
          <w:sz w:val="22"/>
          <w:bdr w:val="none" w:sz="0" w:space="0" w:color="auto" w:frame="1"/>
        </w:rPr>
        <w:t>et al.</w:t>
      </w:r>
      <w:r w:rsidRPr="004C2C04">
        <w:rPr>
          <w:color w:val="000000" w:themeColor="text1"/>
          <w:sz w:val="22"/>
        </w:rPr>
        <w:t>, 2010;</w:t>
      </w:r>
      <w:r w:rsidRPr="004C2C04">
        <w:rPr>
          <w:rStyle w:val="apple-converted-space"/>
          <w:color w:val="000000" w:themeColor="text1"/>
          <w:sz w:val="22"/>
        </w:rPr>
        <w:t> </w:t>
      </w:r>
      <w:r w:rsidRPr="004C2C04">
        <w:rPr>
          <w:color w:val="000000" w:themeColor="text1"/>
          <w:sz w:val="22"/>
        </w:rPr>
        <w:t>Barratt</w:t>
      </w:r>
      <w:r w:rsidRPr="004C2C04">
        <w:rPr>
          <w:rStyle w:val="apple-converted-space"/>
          <w:color w:val="000000" w:themeColor="text1"/>
          <w:sz w:val="22"/>
        </w:rPr>
        <w:t> </w:t>
      </w:r>
      <w:r w:rsidRPr="004C2C04">
        <w:rPr>
          <w:rStyle w:val="Emphasis"/>
          <w:color w:val="000000" w:themeColor="text1"/>
          <w:sz w:val="22"/>
          <w:bdr w:val="none" w:sz="0" w:space="0" w:color="auto" w:frame="1"/>
        </w:rPr>
        <w:t>et al.</w:t>
      </w:r>
      <w:r w:rsidRPr="004C2C04">
        <w:rPr>
          <w:color w:val="000000" w:themeColor="text1"/>
          <w:sz w:val="22"/>
        </w:rPr>
        <w:t>, 2011).</w:t>
      </w:r>
      <w:r w:rsidR="004C2C04">
        <w:rPr>
          <w:color w:val="000000" w:themeColor="text1"/>
          <w:sz w:val="22"/>
        </w:rPr>
        <w:t xml:space="preserve"> </w:t>
      </w:r>
    </w:p>
    <w:p w14:paraId="7E1E23DE" w14:textId="77777777" w:rsidR="00EA72F1" w:rsidRPr="00466353" w:rsidRDefault="00EA72F1" w:rsidP="003A5686">
      <w:pPr>
        <w:pStyle w:val="NormalWeb"/>
        <w:numPr>
          <w:ilvl w:val="0"/>
          <w:numId w:val="6"/>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Pr="00466353">
        <w:rPr>
          <w:color w:val="2A2A2A"/>
          <w:sz w:val="22"/>
        </w:rPr>
        <w:t>□</w:t>
      </w:r>
      <w:r w:rsidRPr="00466353">
        <w:rPr>
          <w:color w:val="2A2A2A"/>
          <w:sz w:val="22"/>
        </w:rPr>
        <w:t> </w:t>
      </w:r>
      <w:r w:rsidRPr="00466353">
        <w:rPr>
          <w:color w:val="2A2A2A"/>
          <w:sz w:val="22"/>
        </w:rPr>
        <w:t>If the laboratory claims to use Tygerberg Strict Criteria for the evaluation of human sperm morphology, then the laboratory must participate in an external quality assurance scheme to verify that its assessments comply with these criteria.</w:t>
      </w:r>
    </w:p>
    <w:p w14:paraId="6552FB79" w14:textId="77777777" w:rsidR="00EA72F1" w:rsidRPr="00466353" w:rsidRDefault="00EA72F1" w:rsidP="003A5686">
      <w:pPr>
        <w:pStyle w:val="NormalWeb"/>
        <w:numPr>
          <w:ilvl w:val="0"/>
          <w:numId w:val="6"/>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Pr="00466353">
        <w:rPr>
          <w:color w:val="2A2A2A"/>
          <w:sz w:val="22"/>
        </w:rPr>
        <w:t>□</w:t>
      </w:r>
      <w:r w:rsidRPr="00466353">
        <w:rPr>
          <w:color w:val="2A2A2A"/>
          <w:sz w:val="22"/>
        </w:rPr>
        <w:t> </w:t>
      </w:r>
      <w:r w:rsidRPr="00466353">
        <w:rPr>
          <w:color w:val="2A2A2A"/>
          <w:sz w:val="22"/>
        </w:rPr>
        <w:t>The Papanicolaou staining method adapted for the assessment of human sperm morphology was used. For specific aims other staining methods could be used, but must then be declared and explained.</w:t>
      </w:r>
    </w:p>
    <w:p w14:paraId="3B864CAA" w14:textId="77777777" w:rsidR="00EA72F1" w:rsidRPr="00466353" w:rsidRDefault="00EA72F1" w:rsidP="003A5686">
      <w:pPr>
        <w:pStyle w:val="NormalWeb"/>
        <w:numPr>
          <w:ilvl w:val="0"/>
          <w:numId w:val="6"/>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F85774" w:rsidRPr="00466353">
        <w:rPr>
          <w:color w:val="2A2A2A"/>
          <w:sz w:val="22"/>
        </w:rPr>
        <w:t>□</w:t>
      </w:r>
      <w:r w:rsidRPr="00466353">
        <w:rPr>
          <w:color w:val="2A2A2A"/>
          <w:sz w:val="22"/>
        </w:rPr>
        <w:t> </w:t>
      </w:r>
      <w:r w:rsidRPr="00466353">
        <w:rPr>
          <w:color w:val="2A2A2A"/>
          <w:sz w:val="22"/>
        </w:rPr>
        <w:t>At least 200 spermatozoa were assessed in each ejaculate.</w:t>
      </w:r>
      <w:r w:rsidR="00F85774">
        <w:rPr>
          <w:color w:val="2A2A2A"/>
          <w:sz w:val="22"/>
        </w:rPr>
        <w:t xml:space="preserve"> </w:t>
      </w:r>
      <w:r w:rsidR="00206C62" w:rsidRPr="0010510D">
        <w:rPr>
          <w:i/>
          <w:color w:val="4472C4" w:themeColor="accent1"/>
          <w:sz w:val="22"/>
        </w:rPr>
        <w:t>≥ 100</w:t>
      </w:r>
    </w:p>
    <w:p w14:paraId="2A37EB54" w14:textId="39781573" w:rsidR="00EA72F1" w:rsidRPr="000D5368" w:rsidRDefault="00EA72F1" w:rsidP="000D5368">
      <w:pPr>
        <w:pStyle w:val="NormalWeb"/>
        <w:numPr>
          <w:ilvl w:val="0"/>
          <w:numId w:val="5"/>
        </w:numPr>
        <w:shd w:val="clear" w:color="auto" w:fill="FFFFFF"/>
        <w:spacing w:before="0" w:beforeAutospacing="0" w:after="0" w:afterAutospacing="0" w:line="408" w:lineRule="atLeast"/>
        <w:ind w:left="0"/>
        <w:jc w:val="both"/>
        <w:textAlignment w:val="baseline"/>
        <w:rPr>
          <w:color w:val="4472C4" w:themeColor="accent1"/>
          <w:sz w:val="22"/>
        </w:rPr>
      </w:pPr>
      <w:r w:rsidRPr="00466353">
        <w:rPr>
          <w:color w:val="2A2A2A"/>
          <w:sz w:val="22"/>
        </w:rPr>
        <w:t> </w:t>
      </w:r>
      <w:r w:rsidRPr="00466353">
        <w:rPr>
          <w:color w:val="2A2A2A"/>
          <w:sz w:val="22"/>
        </w:rPr>
        <w:t>□</w:t>
      </w:r>
      <w:r w:rsidRPr="00466353">
        <w:rPr>
          <w:color w:val="2A2A2A"/>
          <w:sz w:val="22"/>
        </w:rPr>
        <w:t> </w:t>
      </w:r>
      <w:r w:rsidRPr="00466353">
        <w:rPr>
          <w:color w:val="2A2A2A"/>
          <w:sz w:val="22"/>
        </w:rPr>
        <w:t>Assessments were done under high magnification (×1000–1250) using a 100× high resolution oil immersion objective and bright field microscope optics (Köhler illumination).</w:t>
      </w:r>
      <w:r w:rsidR="0010510D">
        <w:rPr>
          <w:color w:val="2A2A2A"/>
          <w:sz w:val="22"/>
        </w:rPr>
        <w:t xml:space="preserve"> </w:t>
      </w:r>
      <w:r w:rsidR="000D5368" w:rsidRPr="0010510D">
        <w:rPr>
          <w:i/>
          <w:color w:val="4472C4" w:themeColor="accent1"/>
          <w:sz w:val="22"/>
        </w:rPr>
        <w:t>40</w:t>
      </w:r>
      <w:r w:rsidR="000D5368">
        <w:rPr>
          <w:i/>
          <w:color w:val="4472C4" w:themeColor="accent1"/>
          <w:sz w:val="22"/>
        </w:rPr>
        <w:t xml:space="preserve"> </w:t>
      </w:r>
      <w:r w:rsidR="000D5368" w:rsidRPr="0010510D">
        <w:rPr>
          <w:i/>
          <w:color w:val="4472C4" w:themeColor="accent1"/>
        </w:rPr>
        <w:t>×</w:t>
      </w:r>
      <w:r w:rsidR="000D5368">
        <w:rPr>
          <w:i/>
          <w:color w:val="4472C4" w:themeColor="accent1"/>
        </w:rPr>
        <w:t xml:space="preserve"> objective; </w:t>
      </w:r>
      <w:r w:rsidR="000D5368" w:rsidRPr="0010510D">
        <w:rPr>
          <w:i/>
          <w:color w:val="4472C4" w:themeColor="accent1"/>
        </w:rPr>
        <w:t>×</w:t>
      </w:r>
      <w:r w:rsidR="000D5368">
        <w:rPr>
          <w:i/>
          <w:color w:val="4472C4" w:themeColor="accent1"/>
        </w:rPr>
        <w:t xml:space="preserve"> 400 magnification </w:t>
      </w:r>
    </w:p>
    <w:p w14:paraId="3E4BB9A0" w14:textId="77777777" w:rsidR="00EA72F1" w:rsidRPr="003A5686" w:rsidRDefault="00EA72F1" w:rsidP="003A5686">
      <w:pPr>
        <w:pStyle w:val="Heading4"/>
        <w:shd w:val="clear" w:color="auto" w:fill="FFFFFF"/>
        <w:jc w:val="both"/>
        <w:textAlignment w:val="baseline"/>
        <w:rPr>
          <w:color w:val="2A2A2A"/>
          <w:szCs w:val="30"/>
        </w:rPr>
      </w:pPr>
      <w:r w:rsidRPr="003A5686">
        <w:rPr>
          <w:color w:val="2A2A2A"/>
          <w:szCs w:val="30"/>
        </w:rPr>
        <w:t>Other findings</w:t>
      </w:r>
    </w:p>
    <w:p w14:paraId="7A1D0D3B" w14:textId="77777777" w:rsidR="00EA72F1" w:rsidRPr="00466353" w:rsidRDefault="00EA72F1" w:rsidP="003A5686">
      <w:pPr>
        <w:pStyle w:val="NormalWeb"/>
        <w:numPr>
          <w:ilvl w:val="0"/>
          <w:numId w:val="7"/>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The presence of abnormal clumping (aggregates and agglutinates) was recorded.</w:t>
      </w:r>
    </w:p>
    <w:p w14:paraId="47919608" w14:textId="77777777" w:rsidR="00EA72F1" w:rsidRPr="00466353" w:rsidRDefault="00EA72F1" w:rsidP="003A5686">
      <w:pPr>
        <w:pStyle w:val="NormalWeb"/>
        <w:numPr>
          <w:ilvl w:val="0"/>
          <w:numId w:val="7"/>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Abnormal viscosity was recorded.</w:t>
      </w:r>
      <w:r w:rsidR="002222EB">
        <w:rPr>
          <w:color w:val="2A2A2A"/>
          <w:sz w:val="22"/>
        </w:rPr>
        <w:t xml:space="preserve"> </w:t>
      </w:r>
      <w:r w:rsidR="00963575">
        <w:rPr>
          <w:color w:val="2A2A2A"/>
          <w:sz w:val="22"/>
        </w:rPr>
        <w:t xml:space="preserve"> </w:t>
      </w:r>
    </w:p>
    <w:p w14:paraId="373585A7" w14:textId="77777777" w:rsidR="00EA72F1" w:rsidRPr="007B146D" w:rsidRDefault="00EA72F1" w:rsidP="003A5686">
      <w:pPr>
        <w:pStyle w:val="NormalWeb"/>
        <w:numPr>
          <w:ilvl w:val="0"/>
          <w:numId w:val="7"/>
        </w:numPr>
        <w:shd w:val="clear" w:color="auto" w:fill="FFFFFF"/>
        <w:spacing w:before="0" w:beforeAutospacing="0" w:after="0" w:afterAutospacing="0" w:line="408" w:lineRule="atLeast"/>
        <w:ind w:left="0"/>
        <w:jc w:val="both"/>
        <w:textAlignment w:val="baseline"/>
        <w:rPr>
          <w:sz w:val="22"/>
        </w:rPr>
      </w:pPr>
      <w:r w:rsidRPr="007B146D">
        <w:rPr>
          <w:sz w:val="22"/>
        </w:rPr>
        <w:t> </w:t>
      </w:r>
      <w:r w:rsidR="0010510D">
        <w:rPr>
          <w:color w:val="2A2A2A"/>
        </w:rPr>
        <w:t>×</w:t>
      </w:r>
      <w:r w:rsidRPr="007B146D">
        <w:rPr>
          <w:sz w:val="22"/>
        </w:rPr>
        <w:t> </w:t>
      </w:r>
      <w:r w:rsidRPr="007B146D">
        <w:rPr>
          <w:sz w:val="22"/>
        </w:rPr>
        <w:t>The presence of inflammatory cells was recorded and reported if more than 1 million/ml.</w:t>
      </w:r>
    </w:p>
    <w:p w14:paraId="1B551BDB" w14:textId="77777777" w:rsidR="00EA72F1" w:rsidRPr="00466353" w:rsidRDefault="00EA72F1" w:rsidP="003A5686">
      <w:pPr>
        <w:pStyle w:val="NormalWeb"/>
        <w:numPr>
          <w:ilvl w:val="0"/>
          <w:numId w:val="7"/>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Pr="00466353">
        <w:rPr>
          <w:color w:val="2A2A2A"/>
          <w:sz w:val="22"/>
        </w:rPr>
        <w:t>□</w:t>
      </w:r>
      <w:r w:rsidRPr="00466353">
        <w:rPr>
          <w:color w:val="2A2A2A"/>
          <w:sz w:val="22"/>
        </w:rPr>
        <w:t> </w:t>
      </w:r>
      <w:r w:rsidRPr="00466353">
        <w:rPr>
          <w:color w:val="2A2A2A"/>
          <w:sz w:val="22"/>
        </w:rPr>
        <w:t>For the purpose of classifying infertility status (World Health Organization, 2010), antisperm antibodies were examined with a validated screening test (state which method was used: ________________).</w:t>
      </w:r>
      <w:r w:rsidR="007B146D">
        <w:rPr>
          <w:color w:val="2A2A2A"/>
          <w:sz w:val="22"/>
        </w:rPr>
        <w:t xml:space="preserve"> </w:t>
      </w:r>
    </w:p>
    <w:p w14:paraId="2B1A5F46" w14:textId="77777777" w:rsidR="00EA72F1" w:rsidRPr="003A5686" w:rsidRDefault="00EA72F1" w:rsidP="003A5686">
      <w:pPr>
        <w:pStyle w:val="Heading4"/>
        <w:shd w:val="clear" w:color="auto" w:fill="FFFFFF"/>
        <w:jc w:val="both"/>
        <w:textAlignment w:val="baseline"/>
        <w:rPr>
          <w:color w:val="2A2A2A"/>
          <w:szCs w:val="30"/>
        </w:rPr>
      </w:pPr>
      <w:r w:rsidRPr="003A5686">
        <w:rPr>
          <w:color w:val="2A2A2A"/>
          <w:szCs w:val="30"/>
        </w:rPr>
        <w:t>Analysing data</w:t>
      </w:r>
    </w:p>
    <w:p w14:paraId="2DC5DB8B" w14:textId="77BA5A0C" w:rsidR="00EA72F1" w:rsidRPr="00466353" w:rsidRDefault="00EA72F1" w:rsidP="003A5686">
      <w:pPr>
        <w:pStyle w:val="NormalWeb"/>
        <w:numPr>
          <w:ilvl w:val="0"/>
          <w:numId w:val="8"/>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The actual duration of sexual abstinence (in ‘hours’ or ‘days’) was recorded for each sample and included in the data reported in the manuscript.</w:t>
      </w:r>
      <w:r w:rsidR="00AA34C2">
        <w:rPr>
          <w:color w:val="2A2A2A"/>
          <w:sz w:val="22"/>
        </w:rPr>
        <w:t xml:space="preserve"> </w:t>
      </w:r>
      <w:r w:rsidR="00AA34C2" w:rsidRPr="00AA34C2">
        <w:rPr>
          <w:i/>
          <w:color w:val="4472C4" w:themeColor="accent1"/>
        </w:rPr>
        <w:t>≥ 2 days</w:t>
      </w:r>
    </w:p>
    <w:p w14:paraId="1A84388B" w14:textId="77777777" w:rsidR="00EA72F1" w:rsidRPr="00466353" w:rsidRDefault="00EA72F1" w:rsidP="003A5686">
      <w:pPr>
        <w:pStyle w:val="NormalWeb"/>
        <w:numPr>
          <w:ilvl w:val="0"/>
          <w:numId w:val="8"/>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As a minimum in clinical studies, semen volume, sperm concentration, total number of spermatozoa/ejaculate, and abstinence time are given to reflect sperm production and output; only samples identified as having been collected completely can be included in the study.</w:t>
      </w:r>
      <w:r w:rsidR="00420C1F">
        <w:rPr>
          <w:color w:val="2A2A2A"/>
          <w:sz w:val="22"/>
        </w:rPr>
        <w:t xml:space="preserve"> </w:t>
      </w:r>
    </w:p>
    <w:p w14:paraId="5D79E630" w14:textId="77777777" w:rsidR="00EA72F1" w:rsidRPr="00466353" w:rsidRDefault="00EA72F1" w:rsidP="003A5686">
      <w:pPr>
        <w:pStyle w:val="NormalWeb"/>
        <w:numPr>
          <w:ilvl w:val="0"/>
          <w:numId w:val="8"/>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0010510D">
        <w:rPr>
          <w:color w:val="2A2A2A"/>
        </w:rPr>
        <w:t>×</w:t>
      </w:r>
      <w:r w:rsidRPr="00466353">
        <w:rPr>
          <w:color w:val="2A2A2A"/>
          <w:sz w:val="22"/>
        </w:rPr>
        <w:t> </w:t>
      </w:r>
      <w:r w:rsidRPr="00466353">
        <w:rPr>
          <w:color w:val="2A2A2A"/>
          <w:sz w:val="22"/>
        </w:rPr>
        <w:t>Confounding factors have been considered for statistical analysis: e.g. abstinence time and age, to evidence secular or geographical variations in sperm concentration or sperm count.</w:t>
      </w:r>
      <w:r w:rsidR="00420C1F">
        <w:rPr>
          <w:color w:val="2A2A2A"/>
          <w:sz w:val="22"/>
        </w:rPr>
        <w:t xml:space="preserve"> </w:t>
      </w:r>
    </w:p>
    <w:p w14:paraId="2880BA66" w14:textId="77777777" w:rsidR="00EA72F1" w:rsidRPr="00466353" w:rsidRDefault="00EA72F1" w:rsidP="003A5686">
      <w:pPr>
        <w:pStyle w:val="NormalWeb"/>
        <w:numPr>
          <w:ilvl w:val="0"/>
          <w:numId w:val="8"/>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lastRenderedPageBreak/>
        <w:t> </w:t>
      </w:r>
      <w:r w:rsidRPr="00466353">
        <w:rPr>
          <w:color w:val="2A2A2A"/>
          <w:sz w:val="22"/>
        </w:rPr>
        <w:t>□</w:t>
      </w:r>
      <w:r w:rsidRPr="00466353">
        <w:rPr>
          <w:color w:val="2A2A2A"/>
          <w:sz w:val="22"/>
        </w:rPr>
        <w:t> </w:t>
      </w:r>
      <w:r w:rsidRPr="00466353">
        <w:rPr>
          <w:color w:val="2A2A2A"/>
          <w:sz w:val="22"/>
        </w:rPr>
        <w:t>If appropriate, optional biochemical markers for prostatic, seminal vesicular and epididymal secretions were analysed and reported both as concentration and total amount.</w:t>
      </w:r>
      <w:r w:rsidR="00420C1F">
        <w:rPr>
          <w:color w:val="2A2A2A"/>
          <w:sz w:val="22"/>
        </w:rPr>
        <w:t xml:space="preserve"> </w:t>
      </w:r>
    </w:p>
    <w:p w14:paraId="6D7B914D" w14:textId="77777777" w:rsidR="00EA72F1" w:rsidRPr="00466353" w:rsidRDefault="00EA72F1" w:rsidP="003A5686">
      <w:pPr>
        <w:pStyle w:val="NormalWeb"/>
        <w:numPr>
          <w:ilvl w:val="0"/>
          <w:numId w:val="8"/>
        </w:numPr>
        <w:shd w:val="clear" w:color="auto" w:fill="FFFFFF"/>
        <w:spacing w:before="0" w:beforeAutospacing="0" w:after="0" w:afterAutospacing="0" w:line="408" w:lineRule="atLeast"/>
        <w:ind w:left="0"/>
        <w:jc w:val="both"/>
        <w:textAlignment w:val="baseline"/>
        <w:rPr>
          <w:color w:val="2A2A2A"/>
          <w:sz w:val="22"/>
        </w:rPr>
      </w:pPr>
      <w:r w:rsidRPr="00466353">
        <w:rPr>
          <w:color w:val="2A2A2A"/>
          <w:sz w:val="22"/>
        </w:rPr>
        <w:t> </w:t>
      </w:r>
      <w:r w:rsidRPr="00466353">
        <w:rPr>
          <w:color w:val="2A2A2A"/>
          <w:sz w:val="22"/>
        </w:rPr>
        <w:t>□</w:t>
      </w:r>
      <w:r w:rsidRPr="00466353">
        <w:rPr>
          <w:color w:val="2A2A2A"/>
          <w:sz w:val="22"/>
        </w:rPr>
        <w:t> </w:t>
      </w:r>
      <w:r w:rsidRPr="00466353">
        <w:rPr>
          <w:color w:val="2A2A2A"/>
          <w:sz w:val="22"/>
        </w:rPr>
        <w:t>Signs of active infection/inflammation were noted and considered in the analysis of data in the study (e.g. inflammatory cells, impaired sperm motility, possibly also antisperm antibodies and reduction of secretory contributions).</w:t>
      </w:r>
    </w:p>
    <w:p w14:paraId="3882244B" w14:textId="77777777" w:rsidR="00697D50" w:rsidRPr="003A5686" w:rsidRDefault="00697D50" w:rsidP="003A5686">
      <w:pPr>
        <w:jc w:val="both"/>
        <w:rPr>
          <w:rFonts w:ascii="Times New Roman" w:hAnsi="Times New Roman" w:cs="Times New Roman"/>
        </w:rPr>
      </w:pPr>
    </w:p>
    <w:sectPr w:rsidR="00697D50" w:rsidRPr="003A5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135"/>
    <w:multiLevelType w:val="multilevel"/>
    <w:tmpl w:val="89F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F77F1"/>
    <w:multiLevelType w:val="multilevel"/>
    <w:tmpl w:val="339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E7111"/>
    <w:multiLevelType w:val="multilevel"/>
    <w:tmpl w:val="BC4E84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1E7782"/>
    <w:multiLevelType w:val="multilevel"/>
    <w:tmpl w:val="1F1C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1736C"/>
    <w:multiLevelType w:val="multilevel"/>
    <w:tmpl w:val="A85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17B5B"/>
    <w:multiLevelType w:val="multilevel"/>
    <w:tmpl w:val="963E735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008AC"/>
    <w:multiLevelType w:val="multilevel"/>
    <w:tmpl w:val="A81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052BE"/>
    <w:multiLevelType w:val="multilevel"/>
    <w:tmpl w:val="4D701B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jGwNDUztbQ0NTZT0lEKTi0uzszPAykwqwUAIn9XLSwAAAA="/>
  </w:docVars>
  <w:rsids>
    <w:rsidRoot w:val="00D81495"/>
    <w:rsid w:val="00050E31"/>
    <w:rsid w:val="000562E6"/>
    <w:rsid w:val="000D5368"/>
    <w:rsid w:val="0010510D"/>
    <w:rsid w:val="00127854"/>
    <w:rsid w:val="0014599F"/>
    <w:rsid w:val="00206C62"/>
    <w:rsid w:val="00207F40"/>
    <w:rsid w:val="0021316B"/>
    <w:rsid w:val="002222EB"/>
    <w:rsid w:val="00223195"/>
    <w:rsid w:val="00241967"/>
    <w:rsid w:val="00303B4A"/>
    <w:rsid w:val="003271AA"/>
    <w:rsid w:val="00336809"/>
    <w:rsid w:val="00361DE9"/>
    <w:rsid w:val="003A5686"/>
    <w:rsid w:val="003D2A26"/>
    <w:rsid w:val="003F1017"/>
    <w:rsid w:val="00420C1F"/>
    <w:rsid w:val="00466353"/>
    <w:rsid w:val="00496194"/>
    <w:rsid w:val="00496C53"/>
    <w:rsid w:val="004A3624"/>
    <w:rsid w:val="004C2C04"/>
    <w:rsid w:val="004C52CD"/>
    <w:rsid w:val="004E3EFA"/>
    <w:rsid w:val="004F5166"/>
    <w:rsid w:val="00552EA1"/>
    <w:rsid w:val="00590742"/>
    <w:rsid w:val="0059397E"/>
    <w:rsid w:val="005E4F65"/>
    <w:rsid w:val="006070E7"/>
    <w:rsid w:val="006079F9"/>
    <w:rsid w:val="00640742"/>
    <w:rsid w:val="00655249"/>
    <w:rsid w:val="00670DB6"/>
    <w:rsid w:val="00697D50"/>
    <w:rsid w:val="006D5DE8"/>
    <w:rsid w:val="00715839"/>
    <w:rsid w:val="00720CDD"/>
    <w:rsid w:val="007417F9"/>
    <w:rsid w:val="0075610A"/>
    <w:rsid w:val="0076747A"/>
    <w:rsid w:val="00780B74"/>
    <w:rsid w:val="00793046"/>
    <w:rsid w:val="007A0660"/>
    <w:rsid w:val="007B146D"/>
    <w:rsid w:val="00812A59"/>
    <w:rsid w:val="00830CC5"/>
    <w:rsid w:val="0086418F"/>
    <w:rsid w:val="00896F4B"/>
    <w:rsid w:val="008B4161"/>
    <w:rsid w:val="008C7EB4"/>
    <w:rsid w:val="00921EA7"/>
    <w:rsid w:val="00933AF1"/>
    <w:rsid w:val="00945C45"/>
    <w:rsid w:val="00963575"/>
    <w:rsid w:val="009A7B79"/>
    <w:rsid w:val="00A866E3"/>
    <w:rsid w:val="00A93768"/>
    <w:rsid w:val="00AA34C2"/>
    <w:rsid w:val="00AD2F19"/>
    <w:rsid w:val="00B4430C"/>
    <w:rsid w:val="00BA700C"/>
    <w:rsid w:val="00BB0C6E"/>
    <w:rsid w:val="00C62833"/>
    <w:rsid w:val="00C72D4C"/>
    <w:rsid w:val="00D17213"/>
    <w:rsid w:val="00D44716"/>
    <w:rsid w:val="00D81495"/>
    <w:rsid w:val="00D97AF9"/>
    <w:rsid w:val="00DE119E"/>
    <w:rsid w:val="00E312B0"/>
    <w:rsid w:val="00E45772"/>
    <w:rsid w:val="00E53DEB"/>
    <w:rsid w:val="00EA72F1"/>
    <w:rsid w:val="00EF7DF9"/>
    <w:rsid w:val="00F2035B"/>
    <w:rsid w:val="00F72930"/>
    <w:rsid w:val="00F85774"/>
    <w:rsid w:val="00F9436A"/>
    <w:rsid w:val="00FC3C5C"/>
    <w:rsid w:val="00FD4F09"/>
    <w:rsid w:val="00FE6737"/>
    <w:rsid w:val="00FF1075"/>
    <w:rsid w:val="00FF42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B1E1"/>
  <w15:chartTrackingRefBased/>
  <w15:docId w15:val="{090151A2-0AE5-4800-BC2D-65E9CBB9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21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A72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72F1"/>
    <w:rPr>
      <w:rFonts w:ascii="Times New Roman" w:eastAsia="Times New Roman" w:hAnsi="Times New Roman" w:cs="Times New Roman"/>
      <w:b/>
      <w:bCs/>
      <w:sz w:val="24"/>
      <w:szCs w:val="24"/>
    </w:rPr>
  </w:style>
  <w:style w:type="paragraph" w:styleId="NormalWeb">
    <w:name w:val="Normal (Web)"/>
    <w:basedOn w:val="Normal"/>
    <w:uiPriority w:val="99"/>
    <w:unhideWhenUsed/>
    <w:rsid w:val="00EA7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2F1"/>
  </w:style>
  <w:style w:type="character" w:styleId="Emphasis">
    <w:name w:val="Emphasis"/>
    <w:basedOn w:val="DefaultParagraphFont"/>
    <w:uiPriority w:val="20"/>
    <w:qFormat/>
    <w:rsid w:val="00EA72F1"/>
    <w:rPr>
      <w:i/>
      <w:iCs/>
    </w:rPr>
  </w:style>
  <w:style w:type="character" w:customStyle="1" w:styleId="Heading1Char">
    <w:name w:val="Heading 1 Char"/>
    <w:basedOn w:val="DefaultParagraphFont"/>
    <w:link w:val="Heading1"/>
    <w:uiPriority w:val="9"/>
    <w:rsid w:val="003A568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4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72"/>
    <w:rPr>
      <w:rFonts w:ascii="Segoe UI" w:hAnsi="Segoe UI" w:cs="Segoe UI"/>
      <w:sz w:val="18"/>
      <w:szCs w:val="18"/>
    </w:rPr>
  </w:style>
  <w:style w:type="character" w:styleId="PlaceholderText">
    <w:name w:val="Placeholder Text"/>
    <w:basedOn w:val="DefaultParagraphFont"/>
    <w:uiPriority w:val="99"/>
    <w:semiHidden/>
    <w:rsid w:val="006D5DE8"/>
    <w:rPr>
      <w:color w:val="808080"/>
    </w:rPr>
  </w:style>
  <w:style w:type="character" w:styleId="CommentReference">
    <w:name w:val="annotation reference"/>
    <w:basedOn w:val="DefaultParagraphFont"/>
    <w:uiPriority w:val="99"/>
    <w:semiHidden/>
    <w:unhideWhenUsed/>
    <w:rsid w:val="0010510D"/>
    <w:rPr>
      <w:sz w:val="16"/>
      <w:szCs w:val="16"/>
    </w:rPr>
  </w:style>
  <w:style w:type="paragraph" w:styleId="CommentText">
    <w:name w:val="annotation text"/>
    <w:basedOn w:val="Normal"/>
    <w:link w:val="CommentTextChar"/>
    <w:uiPriority w:val="99"/>
    <w:semiHidden/>
    <w:unhideWhenUsed/>
    <w:rsid w:val="0010510D"/>
    <w:pPr>
      <w:spacing w:line="240" w:lineRule="auto"/>
    </w:pPr>
    <w:rPr>
      <w:sz w:val="20"/>
      <w:szCs w:val="20"/>
    </w:rPr>
  </w:style>
  <w:style w:type="character" w:customStyle="1" w:styleId="CommentTextChar">
    <w:name w:val="Comment Text Char"/>
    <w:basedOn w:val="DefaultParagraphFont"/>
    <w:link w:val="CommentText"/>
    <w:uiPriority w:val="99"/>
    <w:semiHidden/>
    <w:rsid w:val="0010510D"/>
    <w:rPr>
      <w:sz w:val="20"/>
      <w:szCs w:val="20"/>
    </w:rPr>
  </w:style>
  <w:style w:type="paragraph" w:styleId="CommentSubject">
    <w:name w:val="annotation subject"/>
    <w:basedOn w:val="CommentText"/>
    <w:next w:val="CommentText"/>
    <w:link w:val="CommentSubjectChar"/>
    <w:uiPriority w:val="99"/>
    <w:semiHidden/>
    <w:unhideWhenUsed/>
    <w:rsid w:val="0010510D"/>
    <w:rPr>
      <w:b/>
      <w:bCs/>
    </w:rPr>
  </w:style>
  <w:style w:type="character" w:customStyle="1" w:styleId="CommentSubjectChar">
    <w:name w:val="Comment Subject Char"/>
    <w:basedOn w:val="CommentTextChar"/>
    <w:link w:val="CommentSubject"/>
    <w:uiPriority w:val="99"/>
    <w:semiHidden/>
    <w:rsid w:val="0010510D"/>
    <w:rPr>
      <w:b/>
      <w:bCs/>
      <w:sz w:val="20"/>
      <w:szCs w:val="20"/>
    </w:rPr>
  </w:style>
  <w:style w:type="character" w:customStyle="1" w:styleId="Heading3Char">
    <w:name w:val="Heading 3 Char"/>
    <w:basedOn w:val="DefaultParagraphFont"/>
    <w:link w:val="Heading3"/>
    <w:uiPriority w:val="9"/>
    <w:semiHidden/>
    <w:rsid w:val="00921EA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278">
      <w:bodyDiv w:val="1"/>
      <w:marLeft w:val="0"/>
      <w:marRight w:val="0"/>
      <w:marTop w:val="0"/>
      <w:marBottom w:val="0"/>
      <w:divBdr>
        <w:top w:val="none" w:sz="0" w:space="0" w:color="auto"/>
        <w:left w:val="none" w:sz="0" w:space="0" w:color="auto"/>
        <w:bottom w:val="none" w:sz="0" w:space="0" w:color="auto"/>
        <w:right w:val="none" w:sz="0" w:space="0" w:color="auto"/>
      </w:divBdr>
    </w:div>
    <w:div w:id="98381494">
      <w:bodyDiv w:val="1"/>
      <w:marLeft w:val="0"/>
      <w:marRight w:val="0"/>
      <w:marTop w:val="0"/>
      <w:marBottom w:val="0"/>
      <w:divBdr>
        <w:top w:val="none" w:sz="0" w:space="0" w:color="auto"/>
        <w:left w:val="none" w:sz="0" w:space="0" w:color="auto"/>
        <w:bottom w:val="none" w:sz="0" w:space="0" w:color="auto"/>
        <w:right w:val="none" w:sz="0" w:space="0" w:color="auto"/>
      </w:divBdr>
    </w:div>
    <w:div w:id="174273771">
      <w:bodyDiv w:val="1"/>
      <w:marLeft w:val="0"/>
      <w:marRight w:val="0"/>
      <w:marTop w:val="0"/>
      <w:marBottom w:val="0"/>
      <w:divBdr>
        <w:top w:val="none" w:sz="0" w:space="0" w:color="auto"/>
        <w:left w:val="none" w:sz="0" w:space="0" w:color="auto"/>
        <w:bottom w:val="none" w:sz="0" w:space="0" w:color="auto"/>
        <w:right w:val="none" w:sz="0" w:space="0" w:color="auto"/>
      </w:divBdr>
    </w:div>
    <w:div w:id="285358697">
      <w:bodyDiv w:val="1"/>
      <w:marLeft w:val="0"/>
      <w:marRight w:val="0"/>
      <w:marTop w:val="0"/>
      <w:marBottom w:val="0"/>
      <w:divBdr>
        <w:top w:val="none" w:sz="0" w:space="0" w:color="auto"/>
        <w:left w:val="none" w:sz="0" w:space="0" w:color="auto"/>
        <w:bottom w:val="none" w:sz="0" w:space="0" w:color="auto"/>
        <w:right w:val="none" w:sz="0" w:space="0" w:color="auto"/>
      </w:divBdr>
    </w:div>
    <w:div w:id="340742736">
      <w:bodyDiv w:val="1"/>
      <w:marLeft w:val="0"/>
      <w:marRight w:val="0"/>
      <w:marTop w:val="0"/>
      <w:marBottom w:val="0"/>
      <w:divBdr>
        <w:top w:val="none" w:sz="0" w:space="0" w:color="auto"/>
        <w:left w:val="none" w:sz="0" w:space="0" w:color="auto"/>
        <w:bottom w:val="none" w:sz="0" w:space="0" w:color="auto"/>
        <w:right w:val="none" w:sz="0" w:space="0" w:color="auto"/>
      </w:divBdr>
    </w:div>
    <w:div w:id="515848554">
      <w:bodyDiv w:val="1"/>
      <w:marLeft w:val="0"/>
      <w:marRight w:val="0"/>
      <w:marTop w:val="0"/>
      <w:marBottom w:val="0"/>
      <w:divBdr>
        <w:top w:val="none" w:sz="0" w:space="0" w:color="auto"/>
        <w:left w:val="none" w:sz="0" w:space="0" w:color="auto"/>
        <w:bottom w:val="none" w:sz="0" w:space="0" w:color="auto"/>
        <w:right w:val="none" w:sz="0" w:space="0" w:color="auto"/>
      </w:divBdr>
    </w:div>
    <w:div w:id="835389647">
      <w:bodyDiv w:val="1"/>
      <w:marLeft w:val="0"/>
      <w:marRight w:val="0"/>
      <w:marTop w:val="0"/>
      <w:marBottom w:val="0"/>
      <w:divBdr>
        <w:top w:val="none" w:sz="0" w:space="0" w:color="auto"/>
        <w:left w:val="none" w:sz="0" w:space="0" w:color="auto"/>
        <w:bottom w:val="none" w:sz="0" w:space="0" w:color="auto"/>
        <w:right w:val="none" w:sz="0" w:space="0" w:color="auto"/>
      </w:divBdr>
    </w:div>
    <w:div w:id="1033116717">
      <w:bodyDiv w:val="1"/>
      <w:marLeft w:val="0"/>
      <w:marRight w:val="0"/>
      <w:marTop w:val="0"/>
      <w:marBottom w:val="0"/>
      <w:divBdr>
        <w:top w:val="none" w:sz="0" w:space="0" w:color="auto"/>
        <w:left w:val="none" w:sz="0" w:space="0" w:color="auto"/>
        <w:bottom w:val="none" w:sz="0" w:space="0" w:color="auto"/>
        <w:right w:val="none" w:sz="0" w:space="0" w:color="auto"/>
      </w:divBdr>
    </w:div>
    <w:div w:id="1600677090">
      <w:bodyDiv w:val="1"/>
      <w:marLeft w:val="0"/>
      <w:marRight w:val="0"/>
      <w:marTop w:val="0"/>
      <w:marBottom w:val="0"/>
      <w:divBdr>
        <w:top w:val="none" w:sz="0" w:space="0" w:color="auto"/>
        <w:left w:val="none" w:sz="0" w:space="0" w:color="auto"/>
        <w:bottom w:val="none" w:sz="0" w:space="0" w:color="auto"/>
        <w:right w:val="none" w:sz="0" w:space="0" w:color="auto"/>
      </w:divBdr>
    </w:div>
    <w:div w:id="20465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Zhou</dc:creator>
  <cp:keywords/>
  <dc:description/>
  <cp:lastModifiedBy>Wei Zhou</cp:lastModifiedBy>
  <cp:revision>83</cp:revision>
  <cp:lastPrinted>2017-06-12T11:56:00Z</cp:lastPrinted>
  <dcterms:created xsi:type="dcterms:W3CDTF">2017-06-12T09:41:00Z</dcterms:created>
  <dcterms:modified xsi:type="dcterms:W3CDTF">2017-06-23T01:49:00Z</dcterms:modified>
</cp:coreProperties>
</file>