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65" w:rsidRPr="00506C40" w:rsidRDefault="007C2E65" w:rsidP="007C2E65">
      <w:pPr>
        <w:jc w:val="center"/>
        <w:rPr>
          <w:rFonts w:ascii="Times New Roman" w:hAnsi="Times New Roman"/>
          <w:b/>
          <w:sz w:val="24"/>
          <w:szCs w:val="24"/>
        </w:rPr>
      </w:pPr>
      <w:r w:rsidRPr="00AA2F8A">
        <w:rPr>
          <w:rFonts w:ascii="Times New Roman" w:hAnsi="Times New Roman"/>
          <w:b/>
          <w:sz w:val="24"/>
          <w:szCs w:val="24"/>
        </w:rPr>
        <w:t>Renal Replacement Therapy Intensity for Acute Kidney Injury and Recovery to Dialysis Independence: a systematic review and individual patient data meta-analysis</w:t>
      </w:r>
    </w:p>
    <w:p w:rsidR="007C2E65" w:rsidRPr="00AA2F8A" w:rsidRDefault="007C2E65" w:rsidP="007C2E65">
      <w:pPr>
        <w:rPr>
          <w:b/>
          <w:sz w:val="24"/>
          <w:szCs w:val="24"/>
        </w:rPr>
      </w:pPr>
      <w:r w:rsidRPr="00AA2F8A">
        <w:rPr>
          <w:b/>
          <w:sz w:val="24"/>
          <w:szCs w:val="24"/>
        </w:rPr>
        <w:t>Supplementary Figure 1 All-cause mortality at 28, 60, 90 days and within ICU admission by randomized treatment group</w:t>
      </w:r>
    </w:p>
    <w:p w:rsidR="007C2E65" w:rsidRDefault="007C2E65" w:rsidP="007C2E65">
      <w:r>
        <w:rPr>
          <w:noProof/>
        </w:rPr>
        <w:drawing>
          <wp:inline distT="0" distB="0" distL="0" distR="0" wp14:anchorId="275B6BC0" wp14:editId="794178F7">
            <wp:extent cx="5066376" cy="732080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_death_8Dec201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67713" cy="7322741"/>
                    </a:xfrm>
                    <a:prstGeom prst="rect">
                      <a:avLst/>
                    </a:prstGeom>
                  </pic:spPr>
                </pic:pic>
              </a:graphicData>
            </a:graphic>
          </wp:inline>
        </w:drawing>
      </w:r>
    </w:p>
    <w:p w:rsidR="007C2E65" w:rsidRDefault="007C2E65" w:rsidP="007C2E65"/>
    <w:p w:rsidR="007C2E65" w:rsidRDefault="007C2E65" w:rsidP="007C2E65">
      <w:pPr>
        <w:rPr>
          <w:b/>
          <w:bCs/>
        </w:rPr>
      </w:pPr>
      <w:r>
        <w:rPr>
          <w:b/>
          <w:sz w:val="24"/>
          <w:szCs w:val="24"/>
        </w:rPr>
        <w:lastRenderedPageBreak/>
        <w:t>Supplementary Figure 2: Subgroup analysis of mortality at different time points for different subgroups</w:t>
      </w:r>
      <w:r>
        <w:rPr>
          <w:b/>
          <w:bCs/>
          <w:noProof/>
        </w:rPr>
        <w:drawing>
          <wp:inline distT="0" distB="0" distL="0" distR="0" wp14:anchorId="5FCAA23A" wp14:editId="7BBE66B4">
            <wp:extent cx="4476750" cy="8245091"/>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P_death_by_subgroup_8Dec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5343" cy="8260916"/>
                    </a:xfrm>
                    <a:prstGeom prst="rect">
                      <a:avLst/>
                    </a:prstGeom>
                  </pic:spPr>
                </pic:pic>
              </a:graphicData>
            </a:graphic>
          </wp:inline>
        </w:drawing>
      </w:r>
    </w:p>
    <w:p w:rsidR="007C2E65" w:rsidRPr="004E7129" w:rsidRDefault="007C2E65" w:rsidP="007C2E65">
      <w:pPr>
        <w:rPr>
          <w:b/>
          <w:bCs/>
        </w:rPr>
      </w:pPr>
      <w:r>
        <w:rPr>
          <w:b/>
          <w:bCs/>
        </w:rPr>
        <w:t xml:space="preserve">Supplementary Figure 3: Subgroup analysis of Death at 28, 60, 90 days and in ICU </w:t>
      </w:r>
      <w:r w:rsidRPr="004E7129">
        <w:rPr>
          <w:b/>
          <w:bCs/>
        </w:rPr>
        <w:t>adjusted</w:t>
      </w:r>
      <w:r>
        <w:rPr>
          <w:b/>
          <w:bCs/>
        </w:rPr>
        <w:t xml:space="preserve"> by continuous baseline characteristics (weight and APACHEIII scores)</w:t>
      </w:r>
    </w:p>
    <w:p w:rsidR="007C2E65" w:rsidRDefault="007C2E65" w:rsidP="007C2E65">
      <w:pPr>
        <w:autoSpaceDE w:val="0"/>
        <w:autoSpaceDN w:val="0"/>
        <w:adjustRightInd w:val="0"/>
        <w:spacing w:after="0" w:line="240" w:lineRule="auto"/>
        <w:rPr>
          <w:rFonts w:cs="Avenir-Book"/>
          <w:b/>
          <w:sz w:val="24"/>
          <w:szCs w:val="24"/>
          <w:highlight w:val="yellow"/>
        </w:rPr>
      </w:pPr>
      <w:r>
        <w:rPr>
          <w:rFonts w:cs="Avenir-Book"/>
          <w:b/>
          <w:noProof/>
          <w:sz w:val="24"/>
          <w:szCs w:val="24"/>
        </w:rPr>
        <w:drawing>
          <wp:inline distT="0" distB="0" distL="0" distR="0" wp14:anchorId="52770D36" wp14:editId="3C42BA57">
            <wp:extent cx="5793769" cy="3965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_death_by_weight_apache 18Jan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3769" cy="3965120"/>
                    </a:xfrm>
                    <a:prstGeom prst="rect">
                      <a:avLst/>
                    </a:prstGeom>
                  </pic:spPr>
                </pic:pic>
              </a:graphicData>
            </a:graphic>
          </wp:inline>
        </w:drawing>
      </w:r>
    </w:p>
    <w:p w:rsidR="007C2E65" w:rsidRDefault="007C2E65" w:rsidP="007C2E65">
      <w:pPr>
        <w:autoSpaceDE w:val="0"/>
        <w:autoSpaceDN w:val="0"/>
        <w:adjustRightInd w:val="0"/>
        <w:spacing w:after="0" w:line="240" w:lineRule="auto"/>
        <w:rPr>
          <w:rFonts w:cs="Avenir-Book"/>
          <w:b/>
          <w:sz w:val="24"/>
          <w:szCs w:val="24"/>
          <w:highlight w:val="yellow"/>
        </w:rPr>
      </w:pPr>
    </w:p>
    <w:p w:rsidR="007C2E65" w:rsidRDefault="007C2E65" w:rsidP="007C2E65">
      <w:pPr>
        <w:rPr>
          <w:b/>
          <w:sz w:val="28"/>
          <w:szCs w:val="28"/>
        </w:rPr>
      </w:pPr>
    </w:p>
    <w:p w:rsidR="007C2E65" w:rsidRDefault="007C2E65" w:rsidP="007C2E65">
      <w:r>
        <w:br w:type="page"/>
      </w:r>
    </w:p>
    <w:tbl>
      <w:tblPr>
        <w:tblW w:w="11633" w:type="dxa"/>
        <w:tblInd w:w="-1701" w:type="dxa"/>
        <w:tblLayout w:type="fixed"/>
        <w:tblLook w:val="04A0" w:firstRow="1" w:lastRow="0" w:firstColumn="1" w:lastColumn="0" w:noHBand="0" w:noVBand="1"/>
      </w:tblPr>
      <w:tblGrid>
        <w:gridCol w:w="1134"/>
        <w:gridCol w:w="202"/>
        <w:gridCol w:w="2350"/>
        <w:gridCol w:w="1276"/>
        <w:gridCol w:w="1418"/>
        <w:gridCol w:w="5253"/>
      </w:tblGrid>
      <w:tr w:rsidR="003E0AE8" w:rsidTr="00B472BA">
        <w:trPr>
          <w:trHeight w:val="297"/>
        </w:trPr>
        <w:tc>
          <w:tcPr>
            <w:tcW w:w="1336" w:type="dxa"/>
            <w:gridSpan w:val="2"/>
            <w:tcBorders>
              <w:top w:val="nil"/>
              <w:left w:val="nil"/>
              <w:bottom w:val="single" w:sz="4" w:space="0" w:color="auto"/>
              <w:right w:val="nil"/>
            </w:tcBorders>
          </w:tcPr>
          <w:p w:rsidR="003E0AE8" w:rsidRDefault="003E0AE8" w:rsidP="00B472BA">
            <w:pPr>
              <w:spacing w:after="0" w:line="240" w:lineRule="auto"/>
              <w:ind w:left="-30"/>
              <w:rPr>
                <w:b/>
                <w:bCs/>
                <w:sz w:val="24"/>
                <w:szCs w:val="24"/>
              </w:rPr>
            </w:pPr>
            <w:r>
              <w:br w:type="page"/>
            </w:r>
          </w:p>
        </w:tc>
        <w:tc>
          <w:tcPr>
            <w:tcW w:w="10297" w:type="dxa"/>
            <w:gridSpan w:val="4"/>
            <w:tcBorders>
              <w:top w:val="nil"/>
              <w:left w:val="nil"/>
              <w:bottom w:val="single" w:sz="4" w:space="0" w:color="auto"/>
              <w:right w:val="nil"/>
            </w:tcBorders>
            <w:vAlign w:val="center"/>
          </w:tcPr>
          <w:p w:rsidR="003E0AE8" w:rsidRDefault="003E0AE8" w:rsidP="00B472BA">
            <w:pPr>
              <w:spacing w:after="0" w:line="240" w:lineRule="auto"/>
              <w:rPr>
                <w:b/>
                <w:bCs/>
                <w:sz w:val="24"/>
                <w:szCs w:val="24"/>
              </w:rPr>
            </w:pPr>
            <w:r>
              <w:rPr>
                <w:b/>
                <w:bCs/>
                <w:sz w:val="24"/>
                <w:szCs w:val="24"/>
              </w:rPr>
              <w:t>Supplementary Table 1: Characteristics of design and interventions in included trials</w:t>
            </w:r>
          </w:p>
          <w:p w:rsidR="003E0AE8" w:rsidRDefault="003E0AE8" w:rsidP="00B472BA">
            <w:pPr>
              <w:spacing w:after="0" w:line="240" w:lineRule="auto"/>
              <w:rPr>
                <w:rFonts w:eastAsia="Times New Roman"/>
                <w:color w:val="000000"/>
                <w:sz w:val="20"/>
                <w:szCs w:val="20"/>
                <w:lang w:eastAsia="ja-JP"/>
              </w:rPr>
            </w:pPr>
          </w:p>
        </w:tc>
      </w:tr>
      <w:tr w:rsidR="003E0AE8" w:rsidTr="00B472BA">
        <w:trPr>
          <w:trHeight w:val="547"/>
        </w:trPr>
        <w:tc>
          <w:tcPr>
            <w:tcW w:w="1134" w:type="dxa"/>
            <w:tcBorders>
              <w:top w:val="single" w:sz="4" w:space="0" w:color="auto"/>
              <w:left w:val="nil"/>
              <w:bottom w:val="single" w:sz="4" w:space="0" w:color="auto"/>
              <w:right w:val="nil"/>
            </w:tcBorders>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Studies</w:t>
            </w:r>
          </w:p>
        </w:tc>
        <w:tc>
          <w:tcPr>
            <w:tcW w:w="2552" w:type="dxa"/>
            <w:gridSpan w:val="2"/>
            <w:tcBorders>
              <w:top w:val="single" w:sz="4" w:space="0" w:color="auto"/>
              <w:left w:val="nil"/>
              <w:bottom w:val="single" w:sz="4" w:space="0" w:color="auto"/>
              <w:right w:val="nil"/>
            </w:tcBorders>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Summary of trials</w:t>
            </w:r>
          </w:p>
        </w:tc>
        <w:tc>
          <w:tcPr>
            <w:tcW w:w="1276" w:type="dxa"/>
            <w:tcBorders>
              <w:top w:val="single" w:sz="4" w:space="0" w:color="auto"/>
              <w:left w:val="nil"/>
              <w:bottom w:val="single" w:sz="4" w:space="0" w:color="auto"/>
              <w:right w:val="nil"/>
            </w:tcBorders>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Number of participants</w:t>
            </w:r>
          </w:p>
        </w:tc>
        <w:tc>
          <w:tcPr>
            <w:tcW w:w="1418" w:type="dxa"/>
            <w:tcBorders>
              <w:top w:val="single" w:sz="4" w:space="0" w:color="auto"/>
              <w:left w:val="nil"/>
              <w:bottom w:val="single" w:sz="4" w:space="0" w:color="auto"/>
              <w:right w:val="nil"/>
            </w:tcBorders>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Primary cause of AKI</w:t>
            </w:r>
          </w:p>
        </w:tc>
        <w:tc>
          <w:tcPr>
            <w:tcW w:w="5248" w:type="dxa"/>
            <w:tcBorders>
              <w:top w:val="single" w:sz="4" w:space="0" w:color="auto"/>
              <w:left w:val="nil"/>
              <w:bottom w:val="single" w:sz="4" w:space="0" w:color="auto"/>
              <w:right w:val="nil"/>
            </w:tcBorders>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 xml:space="preserve">Outcome measures </w:t>
            </w:r>
          </w:p>
        </w:tc>
      </w:tr>
      <w:tr w:rsidR="003E0AE8" w:rsidTr="00B472BA">
        <w:trPr>
          <w:trHeight w:val="297"/>
        </w:trPr>
        <w:tc>
          <w:tcPr>
            <w:tcW w:w="1134"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 xml:space="preserve">Ronco </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 xml:space="preserve">et al </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2000</w:t>
            </w:r>
            <w:r w:rsidRPr="00E35DB4">
              <w:rPr>
                <w:rFonts w:eastAsia="Times New Roman"/>
                <w:color w:val="000000"/>
                <w:sz w:val="20"/>
                <w:szCs w:val="20"/>
                <w:lang w:eastAsia="ja-JP"/>
              </w:rPr>
              <w:fldChar w:fldCharType="begin"/>
            </w:r>
            <w:r>
              <w:rPr>
                <w:rFonts w:eastAsia="Times New Roman"/>
                <w:color w:val="000000"/>
                <w:sz w:val="20"/>
                <w:szCs w:val="20"/>
                <w:lang w:eastAsia="ja-JP"/>
              </w:rPr>
              <w:instrText xml:space="preserve"> ADDIN EN.CITE &lt;EndNote&gt;&lt;Cite&gt;&lt;Author&gt;Ronco&lt;/Author&gt;&lt;Year&gt;2000&lt;/Year&gt;&lt;RecNum&gt;10&lt;/RecNum&gt;&lt;DisplayText&gt;(1)&lt;/DisplayText&gt;&lt;record&gt;&lt;rec-number&gt;10&lt;/rec-number&gt;&lt;foreign-keys&gt;&lt;key app="EN" db-id="exdffxs0l2pz08evttxvfed1xwdvetrap2st"&gt;10&lt;/key&gt;&lt;/foreign-keys&gt;&lt;ref-type name="Journal Article"&gt;17&lt;/ref-type&gt;&lt;contributors&gt;&lt;authors&gt;&lt;author&gt;Ronco, C.&lt;/author&gt;&lt;author&gt;Bellomo, R.&lt;/author&gt;&lt;author&gt;Homel, P.&lt;/author&gt;&lt;author&gt;Brendolan, A.&lt;/author&gt;&lt;author&gt;Dan, M.&lt;/author&gt;&lt;author&gt;Piccinni, P.&lt;/author&gt;&lt;author&gt;La Greca, G.&lt;/author&gt;&lt;/authors&gt;&lt;/contributors&gt;&lt;auth-address&gt;Department of Nephrology, St Bortolo Hospital, Vicenza, Italy. cronco@rriny.com&lt;/auth-address&gt;&lt;titles&gt;&lt;title&gt;Effects of different doses in continuous veno-venous haemofiltration on outcomes of acute renal failure: a prospective randomised trial&lt;/title&gt;&lt;secondary-title&gt;Lancet&lt;/secondary-title&gt;&lt;alt-title&gt;Lancet&lt;/alt-title&gt;&lt;/titles&gt;&lt;pages&gt;26-30&lt;/pages&gt;&lt;volume&gt;356&lt;/volume&gt;&lt;number&gt;9223&lt;/number&gt;&lt;keywords&gt;&lt;keyword&gt;Apache&lt;/keyword&gt;&lt;keyword&gt;Acute Kidney Injury/*mortality/*therapy&lt;/keyword&gt;&lt;keyword&gt;Age Factors&lt;/keyword&gt;&lt;keyword&gt;Analysis of Variance&lt;/keyword&gt;&lt;keyword&gt;Body Weight&lt;/keyword&gt;&lt;keyword&gt;Hemofiltration/*methods&lt;/keyword&gt;&lt;keyword&gt;Humans&lt;/keyword&gt;&lt;keyword&gt;Italy&lt;/keyword&gt;&lt;keyword&gt;Middle Aged&lt;/keyword&gt;&lt;keyword&gt;Proportional Hazards Models&lt;/keyword&gt;&lt;keyword&gt;Prospective Studies&lt;/keyword&gt;&lt;keyword&gt;Severity of Illness Index&lt;/keyword&gt;&lt;keyword&gt;Survival Rate&lt;/keyword&gt;&lt;keyword&gt;Treatment Outcome&lt;/keyword&gt;&lt;/keywords&gt;&lt;dates&gt;&lt;year&gt;2000&lt;/year&gt;&lt;pub-dates&gt;&lt;date&gt;Jul 1&lt;/date&gt;&lt;/pub-dates&gt;&lt;/dates&gt;&lt;isbn&gt;0140-6736 (Print)&amp;#xD;0140-6736 (Linking)&lt;/isbn&gt;&lt;accession-num&gt;10892761&lt;/accession-num&gt;&lt;urls&gt;&lt;related-urls&gt;&lt;url&gt;http://www.ncbi.nlm.nih.gov/pubmed/10892761&lt;/url&gt;&lt;/related-urls&gt;&lt;/urls&gt;&lt;electronic-resource-num&gt;10.1016/S0140-6736(00)02430-2&lt;/electronic-resource-num&gt;&lt;/record&gt;&lt;/Cite&gt;&lt;/EndNote&gt;</w:instrText>
            </w:r>
            <w:r w:rsidRPr="00E35DB4">
              <w:rPr>
                <w:rFonts w:eastAsia="Times New Roman"/>
                <w:color w:val="000000"/>
                <w:sz w:val="20"/>
                <w:szCs w:val="20"/>
                <w:lang w:eastAsia="ja-JP"/>
              </w:rPr>
              <w:fldChar w:fldCharType="separate"/>
            </w:r>
            <w:r>
              <w:rPr>
                <w:rFonts w:eastAsia="Times New Roman"/>
                <w:noProof/>
                <w:color w:val="000000"/>
                <w:sz w:val="20"/>
                <w:szCs w:val="20"/>
                <w:lang w:eastAsia="ja-JP"/>
              </w:rPr>
              <w:t>(</w:t>
            </w:r>
            <w:hyperlink w:anchor="_ENREF_1" w:tooltip="Ronco, 2000 #10" w:history="1">
              <w:r>
                <w:rPr>
                  <w:rFonts w:eastAsia="Times New Roman"/>
                  <w:noProof/>
                  <w:color w:val="000000"/>
                  <w:sz w:val="20"/>
                  <w:szCs w:val="20"/>
                  <w:lang w:eastAsia="ja-JP"/>
                </w:rPr>
                <w:t>1</w:t>
              </w:r>
            </w:hyperlink>
            <w:r>
              <w:rPr>
                <w:rFonts w:eastAsia="Times New Roman"/>
                <w:noProof/>
                <w:color w:val="000000"/>
                <w:sz w:val="20"/>
                <w:szCs w:val="20"/>
                <w:lang w:eastAsia="ja-JP"/>
              </w:rPr>
              <w:t>)</w:t>
            </w:r>
            <w:r w:rsidRPr="00E35DB4">
              <w:rPr>
                <w:rFonts w:eastAsia="Times New Roman"/>
                <w:color w:val="000000"/>
                <w:sz w:val="20"/>
                <w:szCs w:val="20"/>
                <w:lang w:eastAsia="ja-JP"/>
              </w:rPr>
              <w:fldChar w:fldCharType="end"/>
            </w:r>
          </w:p>
        </w:tc>
        <w:tc>
          <w:tcPr>
            <w:tcW w:w="2552" w:type="dxa"/>
            <w:gridSpan w:val="2"/>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Randomised single center study comparing CVVH at 45, 35 and 20ml/kg.hr</w:t>
            </w:r>
          </w:p>
        </w:tc>
        <w:tc>
          <w:tcPr>
            <w:tcW w:w="1276"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425</w:t>
            </w:r>
          </w:p>
        </w:tc>
        <w:tc>
          <w:tcPr>
            <w:tcW w:w="141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Surgery (89%)</w:t>
            </w:r>
          </w:p>
        </w:tc>
        <w:tc>
          <w:tcPr>
            <w:tcW w:w="524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Primary outcome: survival at 15 days after discontinuation of treatment. Secondary outcome: the recovery of renal function 15 days after continuous renal replacement therapy had been stopped.</w:t>
            </w:r>
          </w:p>
        </w:tc>
      </w:tr>
      <w:tr w:rsidR="003E0AE8" w:rsidTr="00B472BA">
        <w:trPr>
          <w:trHeight w:val="297"/>
        </w:trPr>
        <w:tc>
          <w:tcPr>
            <w:tcW w:w="1134"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 xml:space="preserve">Bouman et al </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2002</w:t>
            </w:r>
            <w:r w:rsidRPr="00E35DB4">
              <w:rPr>
                <w:rFonts w:eastAsia="Times New Roman"/>
                <w:color w:val="000000"/>
                <w:sz w:val="20"/>
                <w:szCs w:val="20"/>
                <w:lang w:eastAsia="ja-JP"/>
              </w:rPr>
              <w:fldChar w:fldCharType="begin"/>
            </w:r>
            <w:r>
              <w:rPr>
                <w:rFonts w:eastAsia="Times New Roman"/>
                <w:color w:val="000000"/>
                <w:sz w:val="20"/>
                <w:szCs w:val="20"/>
                <w:lang w:eastAsia="ja-JP"/>
              </w:rPr>
              <w:instrText xml:space="preserve"> ADDIN EN.CITE &lt;EndNote&gt;&lt;Cite&gt;&lt;Author&gt;Bouman&lt;/Author&gt;&lt;Year&gt;2002&lt;/Year&gt;&lt;RecNum&gt;11&lt;/RecNum&gt;&lt;DisplayText&gt;(2)&lt;/DisplayText&gt;&lt;record&gt;&lt;rec-number&gt;11&lt;/rec-number&gt;&lt;foreign-keys&gt;&lt;key app="EN" db-id="exdffxs0l2pz08evttxvfed1xwdvetrap2st"&gt;11&lt;/key&gt;&lt;/foreign-keys&gt;&lt;ref-type name="Journal Article"&gt;17&lt;/ref-type&gt;&lt;contributors&gt;&lt;authors&gt;&lt;author&gt;Bouman, C. S.&lt;/author&gt;&lt;author&gt;Oudemans-Van Straaten, H. M.&lt;/author&gt;&lt;author&gt;Tijssen, J. G.&lt;/author&gt;&lt;author&gt;Zandstra, D. F.&lt;/author&gt;&lt;author&gt;Kesecioglu, J.&lt;/author&gt;&lt;/authors&gt;&lt;/contributors&gt;&lt;auth-address&gt;Department of Intensive Care, Academic Medical Center, Amsterdam, The Netherlands.&lt;/auth-address&gt;&lt;titles&gt;&lt;title&gt;Effects of early high-volume continuous venovenous hemofiltration on survival and recovery of renal function in intensive care patients with acute renal failure: a prospective, randomized trial&lt;/title&gt;&lt;secondary-title&gt;Crit Care Med&lt;/secondary-title&gt;&lt;alt-title&gt;Critical care medicine&lt;/alt-title&gt;&lt;/titles&gt;&lt;pages&gt;2205-11&lt;/pages&gt;&lt;volume&gt;30&lt;/volume&gt;&lt;number&gt;10&lt;/number&gt;&lt;keywords&gt;&lt;keyword&gt;Acute Kidney Injury/mortality/physiopathology/*therapy&lt;/keyword&gt;&lt;keyword&gt;Aged&lt;/keyword&gt;&lt;keyword&gt;Female&lt;/keyword&gt;&lt;keyword&gt;*Hemofiltration/adverse effects/methods&lt;/keyword&gt;&lt;keyword&gt;Humans&lt;/keyword&gt;&lt;keyword&gt;Intensive Care Units&lt;/keyword&gt;&lt;keyword&gt;Kidney/physiopathology&lt;/keyword&gt;&lt;keyword&gt;Male&lt;/keyword&gt;&lt;keyword&gt;Prospective Studies&lt;/keyword&gt;&lt;keyword&gt;Survival Rate&lt;/keyword&gt;&lt;keyword&gt;Time Factors&lt;/keyword&gt;&lt;/keywords&gt;&lt;dates&gt;&lt;year&gt;2002&lt;/year&gt;&lt;pub-dates&gt;&lt;date&gt;Oct&lt;/date&gt;&lt;/pub-dates&gt;&lt;/dates&gt;&lt;isbn&gt;0090-3493 (Print)&amp;#xD;0090-3493 (Linking)&lt;/isbn&gt;&lt;accession-num&gt;12394945&lt;/accession-num&gt;&lt;urls&gt;&lt;related-urls&gt;&lt;url&gt;http://www.ncbi.nlm.nih.gov/pubmed/12394945&lt;/url&gt;&lt;/related-urls&gt;&lt;/urls&gt;&lt;electronic-resource-num&gt;10.1097/01.CCM.0000030444.21921.EF&lt;/electronic-resource-num&gt;&lt;/record&gt;&lt;/Cite&gt;&lt;/EndNote&gt;</w:instrText>
            </w:r>
            <w:r w:rsidRPr="00E35DB4">
              <w:rPr>
                <w:rFonts w:eastAsia="Times New Roman"/>
                <w:color w:val="000000"/>
                <w:sz w:val="20"/>
                <w:szCs w:val="20"/>
                <w:lang w:eastAsia="ja-JP"/>
              </w:rPr>
              <w:fldChar w:fldCharType="separate"/>
            </w:r>
            <w:r>
              <w:rPr>
                <w:rFonts w:eastAsia="Times New Roman"/>
                <w:noProof/>
                <w:color w:val="000000"/>
                <w:sz w:val="20"/>
                <w:szCs w:val="20"/>
                <w:lang w:eastAsia="ja-JP"/>
              </w:rPr>
              <w:t>(</w:t>
            </w:r>
            <w:hyperlink w:anchor="_ENREF_2" w:tooltip="Bouman, 2002 #11" w:history="1">
              <w:r>
                <w:rPr>
                  <w:rFonts w:eastAsia="Times New Roman"/>
                  <w:noProof/>
                  <w:color w:val="000000"/>
                  <w:sz w:val="20"/>
                  <w:szCs w:val="20"/>
                  <w:lang w:eastAsia="ja-JP"/>
                </w:rPr>
                <w:t>2</w:t>
              </w:r>
            </w:hyperlink>
            <w:r>
              <w:rPr>
                <w:rFonts w:eastAsia="Times New Roman"/>
                <w:noProof/>
                <w:color w:val="000000"/>
                <w:sz w:val="20"/>
                <w:szCs w:val="20"/>
                <w:lang w:eastAsia="ja-JP"/>
              </w:rPr>
              <w:t>)</w:t>
            </w:r>
            <w:r w:rsidRPr="00E35DB4">
              <w:rPr>
                <w:rFonts w:eastAsia="Times New Roman"/>
                <w:color w:val="000000"/>
                <w:sz w:val="20"/>
                <w:szCs w:val="20"/>
                <w:lang w:eastAsia="ja-JP"/>
              </w:rPr>
              <w:fldChar w:fldCharType="end"/>
            </w:r>
          </w:p>
        </w:tc>
        <w:tc>
          <w:tcPr>
            <w:tcW w:w="2552" w:type="dxa"/>
            <w:gridSpan w:val="2"/>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Randomised 2 centre study comparing CVVH at 48 and 25ml/kg.hr</w:t>
            </w:r>
          </w:p>
        </w:tc>
        <w:tc>
          <w:tcPr>
            <w:tcW w:w="1276"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106</w:t>
            </w:r>
          </w:p>
        </w:tc>
        <w:tc>
          <w:tcPr>
            <w:tcW w:w="141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Cardio-surgery (58%)</w:t>
            </w:r>
          </w:p>
        </w:tc>
        <w:tc>
          <w:tcPr>
            <w:tcW w:w="524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Primary outcome: survival at day 28 after inclusion and recovery of renal function. Secondary outcome: ICU survival, hospital survival, duration of mechanical ventilation, length of ICU stay, and length of hospitalization.</w:t>
            </w:r>
          </w:p>
        </w:tc>
      </w:tr>
      <w:tr w:rsidR="003E0AE8" w:rsidTr="00B472BA">
        <w:trPr>
          <w:trHeight w:val="297"/>
        </w:trPr>
        <w:tc>
          <w:tcPr>
            <w:tcW w:w="1134"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 xml:space="preserve">Saudan </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 xml:space="preserve">et al </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2006</w:t>
            </w:r>
            <w:r w:rsidRPr="00E35DB4">
              <w:rPr>
                <w:rFonts w:eastAsia="Times New Roman"/>
                <w:color w:val="000000"/>
                <w:sz w:val="20"/>
                <w:szCs w:val="20"/>
                <w:lang w:eastAsia="ja-JP"/>
              </w:rPr>
              <w:fldChar w:fldCharType="begin">
                <w:fldData xml:space="preserve">PEVuZE5vdGU+PENpdGU+PEF1dGhvcj5TYXVkYW48L0F1dGhvcj48WWVhcj4yMDA2PC9ZZWFyPjxS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</w:fldData>
              </w:fldChar>
            </w:r>
            <w:r>
              <w:rPr>
                <w:rFonts w:eastAsia="Times New Roman"/>
                <w:color w:val="000000"/>
                <w:sz w:val="20"/>
                <w:szCs w:val="20"/>
                <w:lang w:eastAsia="ja-JP"/>
              </w:rPr>
              <w:instrText xml:space="preserve"> ADDIN EN.CITE </w:instrText>
            </w:r>
            <w:r>
              <w:rPr>
                <w:rFonts w:eastAsia="Times New Roman"/>
                <w:color w:val="000000"/>
                <w:sz w:val="20"/>
                <w:szCs w:val="20"/>
                <w:lang w:eastAsia="ja-JP"/>
              </w:rPr>
              <w:fldChar w:fldCharType="begin">
                <w:fldData xml:space="preserve">PEVuZE5vdGU+PENpdGU+PEF1dGhvcj5TYXVkYW48L0F1dGhvcj48WWVhcj4yMDA2PC9ZZWFyPjxS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</w:fldData>
              </w:fldChar>
            </w:r>
            <w:r>
              <w:rPr>
                <w:rFonts w:eastAsia="Times New Roman"/>
                <w:color w:val="000000"/>
                <w:sz w:val="20"/>
                <w:szCs w:val="20"/>
                <w:lang w:eastAsia="ja-JP"/>
              </w:rPr>
              <w:instrText xml:space="preserve"> ADDIN EN.CITE.DATA </w:instrText>
            </w:r>
            <w:r>
              <w:rPr>
                <w:rFonts w:eastAsia="Times New Roman"/>
                <w:color w:val="000000"/>
                <w:sz w:val="20"/>
                <w:szCs w:val="20"/>
                <w:lang w:eastAsia="ja-JP"/>
              </w:rPr>
            </w:r>
            <w:r>
              <w:rPr>
                <w:rFonts w:eastAsia="Times New Roman"/>
                <w:color w:val="000000"/>
                <w:sz w:val="20"/>
                <w:szCs w:val="20"/>
                <w:lang w:eastAsia="ja-JP"/>
              </w:rPr>
              <w:fldChar w:fldCharType="end"/>
            </w:r>
            <w:r w:rsidRPr="00E35DB4">
              <w:rPr>
                <w:rFonts w:eastAsia="Times New Roman"/>
                <w:color w:val="000000"/>
                <w:sz w:val="20"/>
                <w:szCs w:val="20"/>
                <w:lang w:eastAsia="ja-JP"/>
              </w:rPr>
            </w:r>
            <w:r w:rsidRPr="00E35DB4">
              <w:rPr>
                <w:rFonts w:eastAsia="Times New Roman"/>
                <w:color w:val="000000"/>
                <w:sz w:val="20"/>
                <w:szCs w:val="20"/>
                <w:lang w:eastAsia="ja-JP"/>
              </w:rPr>
              <w:fldChar w:fldCharType="separate"/>
            </w:r>
            <w:r>
              <w:rPr>
                <w:rFonts w:eastAsia="Times New Roman"/>
                <w:noProof/>
                <w:color w:val="000000"/>
                <w:sz w:val="20"/>
                <w:szCs w:val="20"/>
                <w:lang w:eastAsia="ja-JP"/>
              </w:rPr>
              <w:t>(</w:t>
            </w:r>
            <w:hyperlink w:anchor="_ENREF_3" w:tooltip="Saudan, 2006 #13" w:history="1">
              <w:r>
                <w:rPr>
                  <w:rFonts w:eastAsia="Times New Roman"/>
                  <w:noProof/>
                  <w:color w:val="000000"/>
                  <w:sz w:val="20"/>
                  <w:szCs w:val="20"/>
                  <w:lang w:eastAsia="ja-JP"/>
                </w:rPr>
                <w:t>3</w:t>
              </w:r>
            </w:hyperlink>
            <w:r>
              <w:rPr>
                <w:rFonts w:eastAsia="Times New Roman"/>
                <w:noProof/>
                <w:color w:val="000000"/>
                <w:sz w:val="20"/>
                <w:szCs w:val="20"/>
                <w:lang w:eastAsia="ja-JP"/>
              </w:rPr>
              <w:t>)</w:t>
            </w:r>
            <w:r w:rsidRPr="00E35DB4">
              <w:rPr>
                <w:rFonts w:eastAsia="Times New Roman"/>
                <w:color w:val="000000"/>
                <w:sz w:val="20"/>
                <w:szCs w:val="20"/>
                <w:lang w:eastAsia="ja-JP"/>
              </w:rPr>
              <w:fldChar w:fldCharType="end"/>
            </w:r>
          </w:p>
        </w:tc>
        <w:tc>
          <w:tcPr>
            <w:tcW w:w="2552" w:type="dxa"/>
            <w:gridSpan w:val="2"/>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Randomised single centre study comparing CVVH at 42 and 25ml/kg.hr</w:t>
            </w:r>
          </w:p>
        </w:tc>
        <w:tc>
          <w:tcPr>
            <w:tcW w:w="1276"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206</w:t>
            </w:r>
          </w:p>
        </w:tc>
        <w:tc>
          <w:tcPr>
            <w:tcW w:w="141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Sepsis (60%)</w:t>
            </w:r>
          </w:p>
        </w:tc>
        <w:tc>
          <w:tcPr>
            <w:tcW w:w="524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Primary outcome: survival at 28 and 90 days. Secondary outcome: renal recovery (mean duration of ARF) and length of ICU stay.</w:t>
            </w:r>
          </w:p>
        </w:tc>
      </w:tr>
      <w:tr w:rsidR="003E0AE8" w:rsidTr="00B472BA">
        <w:trPr>
          <w:trHeight w:val="297"/>
        </w:trPr>
        <w:tc>
          <w:tcPr>
            <w:tcW w:w="1134" w:type="dxa"/>
          </w:tcPr>
          <w:p w:rsidR="003E0AE8" w:rsidRPr="00E35DB4" w:rsidRDefault="003E0AE8" w:rsidP="00B472BA">
            <w:pPr>
              <w:spacing w:after="0" w:line="240" w:lineRule="auto"/>
              <w:rPr>
                <w:rFonts w:eastAsia="Times New Roman"/>
                <w:color w:val="000000"/>
                <w:sz w:val="20"/>
                <w:szCs w:val="20"/>
                <w:lang w:eastAsia="ja-JP"/>
              </w:rPr>
            </w:pPr>
          </w:p>
        </w:tc>
        <w:tc>
          <w:tcPr>
            <w:tcW w:w="2552" w:type="dxa"/>
            <w:gridSpan w:val="2"/>
          </w:tcPr>
          <w:p w:rsidR="003E0AE8" w:rsidRPr="00E35DB4" w:rsidRDefault="003E0AE8" w:rsidP="00B472BA">
            <w:pPr>
              <w:spacing w:after="0" w:line="240" w:lineRule="auto"/>
              <w:rPr>
                <w:rFonts w:eastAsia="Times New Roman"/>
                <w:color w:val="000000"/>
                <w:sz w:val="20"/>
                <w:szCs w:val="20"/>
                <w:lang w:eastAsia="ja-JP"/>
              </w:rPr>
            </w:pPr>
          </w:p>
        </w:tc>
        <w:tc>
          <w:tcPr>
            <w:tcW w:w="1276" w:type="dxa"/>
          </w:tcPr>
          <w:p w:rsidR="003E0AE8" w:rsidRPr="00E35DB4" w:rsidRDefault="003E0AE8" w:rsidP="00B472BA">
            <w:pPr>
              <w:spacing w:after="0" w:line="240" w:lineRule="auto"/>
              <w:rPr>
                <w:rFonts w:eastAsia="Times New Roman"/>
                <w:color w:val="000000"/>
                <w:sz w:val="20"/>
                <w:szCs w:val="20"/>
                <w:lang w:eastAsia="ja-JP"/>
              </w:rPr>
            </w:pPr>
          </w:p>
        </w:tc>
        <w:tc>
          <w:tcPr>
            <w:tcW w:w="1418" w:type="dxa"/>
          </w:tcPr>
          <w:p w:rsidR="003E0AE8" w:rsidRPr="00E35DB4" w:rsidRDefault="003E0AE8" w:rsidP="00B472BA">
            <w:pPr>
              <w:spacing w:after="0" w:line="240" w:lineRule="auto"/>
              <w:rPr>
                <w:rFonts w:eastAsia="Times New Roman"/>
                <w:color w:val="000000"/>
                <w:sz w:val="20"/>
                <w:szCs w:val="20"/>
                <w:lang w:eastAsia="ja-JP"/>
              </w:rPr>
            </w:pPr>
          </w:p>
        </w:tc>
        <w:tc>
          <w:tcPr>
            <w:tcW w:w="5248" w:type="dxa"/>
          </w:tcPr>
          <w:p w:rsidR="003E0AE8" w:rsidRPr="00E35DB4" w:rsidRDefault="003E0AE8" w:rsidP="00B472BA">
            <w:pPr>
              <w:spacing w:after="0" w:line="240" w:lineRule="auto"/>
              <w:rPr>
                <w:rFonts w:eastAsia="Times New Roman"/>
                <w:color w:val="000000"/>
                <w:sz w:val="20"/>
                <w:szCs w:val="20"/>
                <w:lang w:eastAsia="ja-JP"/>
              </w:rPr>
            </w:pPr>
          </w:p>
        </w:tc>
      </w:tr>
      <w:tr w:rsidR="003E0AE8" w:rsidTr="00B472BA">
        <w:trPr>
          <w:trHeight w:val="297"/>
        </w:trPr>
        <w:tc>
          <w:tcPr>
            <w:tcW w:w="1134"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ATN study</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2008</w:t>
            </w:r>
            <w:r w:rsidRPr="00E35DB4">
              <w:rPr>
                <w:rFonts w:eastAsia="Times New Roman"/>
                <w:color w:val="000000"/>
                <w:sz w:val="20"/>
                <w:szCs w:val="20"/>
                <w:lang w:eastAsia="ja-JP"/>
              </w:rPr>
              <w:fldChar w:fldCharType="begin">
                <w:fldData xml:space="preserve">PEVuZE5vdGU+PENpdGU+PEF1dGhvcj5OZXR3b3JrPC9BdXRob3I+PFllYXI+MjAwODwvWWVhcj48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</w:fldData>
              </w:fldChar>
            </w:r>
            <w:r>
              <w:rPr>
                <w:rFonts w:eastAsia="Times New Roman"/>
                <w:color w:val="000000"/>
                <w:sz w:val="20"/>
                <w:szCs w:val="20"/>
                <w:lang w:eastAsia="ja-JP"/>
              </w:rPr>
              <w:instrText xml:space="preserve"> ADDIN EN.CITE </w:instrText>
            </w:r>
            <w:r>
              <w:rPr>
                <w:rFonts w:eastAsia="Times New Roman"/>
                <w:color w:val="000000"/>
                <w:sz w:val="20"/>
                <w:szCs w:val="20"/>
                <w:lang w:eastAsia="ja-JP"/>
              </w:rPr>
              <w:fldChar w:fldCharType="begin">
                <w:fldData xml:space="preserve">PEVuZE5vdGU+PENpdGU+PEF1dGhvcj5OZXR3b3JrPC9BdXRob3I+PFllYXI+MjAwODwvWWVhcj48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</w:fldData>
              </w:fldChar>
            </w:r>
            <w:r>
              <w:rPr>
                <w:rFonts w:eastAsia="Times New Roman"/>
                <w:color w:val="000000"/>
                <w:sz w:val="20"/>
                <w:szCs w:val="20"/>
                <w:lang w:eastAsia="ja-JP"/>
              </w:rPr>
              <w:instrText xml:space="preserve"> ADDIN EN.CITE.DATA </w:instrText>
            </w:r>
            <w:r>
              <w:rPr>
                <w:rFonts w:eastAsia="Times New Roman"/>
                <w:color w:val="000000"/>
                <w:sz w:val="20"/>
                <w:szCs w:val="20"/>
                <w:lang w:eastAsia="ja-JP"/>
              </w:rPr>
            </w:r>
            <w:r>
              <w:rPr>
                <w:rFonts w:eastAsia="Times New Roman"/>
                <w:color w:val="000000"/>
                <w:sz w:val="20"/>
                <w:szCs w:val="20"/>
                <w:lang w:eastAsia="ja-JP"/>
              </w:rPr>
              <w:fldChar w:fldCharType="end"/>
            </w:r>
            <w:r w:rsidRPr="00E35DB4">
              <w:rPr>
                <w:rFonts w:eastAsia="Times New Roman"/>
                <w:color w:val="000000"/>
                <w:sz w:val="20"/>
                <w:szCs w:val="20"/>
                <w:lang w:eastAsia="ja-JP"/>
              </w:rPr>
            </w:r>
            <w:r w:rsidRPr="00E35DB4">
              <w:rPr>
                <w:rFonts w:eastAsia="Times New Roman"/>
                <w:color w:val="000000"/>
                <w:sz w:val="20"/>
                <w:szCs w:val="20"/>
                <w:lang w:eastAsia="ja-JP"/>
              </w:rPr>
              <w:fldChar w:fldCharType="separate"/>
            </w:r>
            <w:r>
              <w:rPr>
                <w:rFonts w:eastAsia="Times New Roman"/>
                <w:noProof/>
                <w:color w:val="000000"/>
                <w:sz w:val="20"/>
                <w:szCs w:val="20"/>
                <w:lang w:eastAsia="ja-JP"/>
              </w:rPr>
              <w:t>(</w:t>
            </w:r>
            <w:hyperlink w:anchor="_ENREF_4" w:tooltip="Network, 2008 #14" w:history="1">
              <w:r>
                <w:rPr>
                  <w:rFonts w:eastAsia="Times New Roman"/>
                  <w:noProof/>
                  <w:color w:val="000000"/>
                  <w:sz w:val="20"/>
                  <w:szCs w:val="20"/>
                  <w:lang w:eastAsia="ja-JP"/>
                </w:rPr>
                <w:t>4</w:t>
              </w:r>
            </w:hyperlink>
            <w:r>
              <w:rPr>
                <w:rFonts w:eastAsia="Times New Roman"/>
                <w:noProof/>
                <w:color w:val="000000"/>
                <w:sz w:val="20"/>
                <w:szCs w:val="20"/>
                <w:lang w:eastAsia="ja-JP"/>
              </w:rPr>
              <w:t>)</w:t>
            </w:r>
            <w:r w:rsidRPr="00E35DB4">
              <w:rPr>
                <w:rFonts w:eastAsia="Times New Roman"/>
                <w:color w:val="000000"/>
                <w:sz w:val="20"/>
                <w:szCs w:val="20"/>
                <w:lang w:eastAsia="ja-JP"/>
              </w:rPr>
              <w:fldChar w:fldCharType="end"/>
            </w:r>
          </w:p>
        </w:tc>
        <w:tc>
          <w:tcPr>
            <w:tcW w:w="2552" w:type="dxa"/>
            <w:gridSpan w:val="2"/>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Randomised multi- centre study comparing CVVHDF/IHD/SLED at 36.2 and 21.5ml/kg.hr</w:t>
            </w:r>
          </w:p>
        </w:tc>
        <w:tc>
          <w:tcPr>
            <w:tcW w:w="1276"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1124</w:t>
            </w:r>
          </w:p>
        </w:tc>
        <w:tc>
          <w:tcPr>
            <w:tcW w:w="141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Ischemia (81%)</w:t>
            </w:r>
          </w:p>
        </w:tc>
        <w:tc>
          <w:tcPr>
            <w:tcW w:w="524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 xml:space="preserve">Primary outcome: </w:t>
            </w:r>
            <w:r w:rsidRPr="00E35DB4">
              <w:rPr>
                <w:rFonts w:ascii="Arial" w:hAnsi="Arial" w:cs="Arial"/>
                <w:color w:val="222222"/>
                <w:sz w:val="20"/>
                <w:szCs w:val="20"/>
              </w:rPr>
              <w:t>death from any cause by day 60</w:t>
            </w:r>
            <w:r w:rsidRPr="00E35DB4">
              <w:rPr>
                <w:rFonts w:eastAsia="Times New Roman"/>
                <w:color w:val="000000"/>
                <w:sz w:val="20"/>
                <w:szCs w:val="20"/>
                <w:lang w:eastAsia="ja-JP"/>
              </w:rPr>
              <w:t>. Secondary outcome: in-hospital death and recovery of kidney function (defined as lack of need for continuing dialysis support, with a minimum creatinine clearance of 20 ml per minute).</w:t>
            </w:r>
          </w:p>
        </w:tc>
      </w:tr>
      <w:tr w:rsidR="003E0AE8" w:rsidTr="00B472BA">
        <w:trPr>
          <w:trHeight w:val="297"/>
        </w:trPr>
        <w:tc>
          <w:tcPr>
            <w:tcW w:w="1134" w:type="dxa"/>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Tolwani et al 2008</w:t>
            </w:r>
            <w:r w:rsidRPr="00E35DB4">
              <w:rPr>
                <w:rFonts w:eastAsia="Times New Roman"/>
                <w:color w:val="000000"/>
                <w:sz w:val="20"/>
                <w:szCs w:val="20"/>
                <w:lang w:eastAsia="ja-JP"/>
              </w:rPr>
              <w:fldChar w:fldCharType="begin"/>
            </w:r>
            <w:r>
              <w:rPr>
                <w:rFonts w:eastAsia="Times New Roman"/>
                <w:color w:val="000000"/>
                <w:sz w:val="20"/>
                <w:szCs w:val="20"/>
                <w:lang w:eastAsia="ja-JP"/>
              </w:rPr>
              <w:instrText xml:space="preserve"> ADDIN EN.CITE &lt;EndNote&gt;&lt;Cite&gt;&lt;Author&gt;Tolwani&lt;/Author&gt;&lt;Year&gt;2008&lt;/Year&gt;&lt;RecNum&gt;15&lt;/RecNum&gt;&lt;DisplayText&gt;(5)&lt;/DisplayText&gt;&lt;record&gt;&lt;rec-number&gt;15&lt;/rec-number&gt;&lt;foreign-keys&gt;&lt;key app="EN" db-id="exdffxs0l2pz08evttxvfed1xwdvetrap2st"&gt;15&lt;/key&gt;&lt;/foreign-keys&gt;&lt;ref-type name="Journal Article"&gt;17&lt;/ref-type&gt;&lt;contributors&gt;&lt;authors&gt;&lt;author&gt;Tolwani, A. J.&lt;/author&gt;&lt;author&gt;Campbell, R. C.&lt;/author&gt;&lt;author&gt;Stofan, B. S.&lt;/author&gt;&lt;author&gt;Lai, K. R.&lt;/author&gt;&lt;author&gt;Oster, R. A.&lt;/author&gt;&lt;author&gt;Wille, K. M.&lt;/author&gt;&lt;/authors&gt;&lt;/contributors&gt;&lt;auth-address&gt;Department of Medicine, University of Alabama at Birmingham, Birmingham, Alabama, USA. atolwani@uab.edu&lt;/auth-address&gt;&lt;titles&gt;&lt;title&gt;Standard versus high-dose CVVHDF for ICU-related acute renal failure&lt;/title&gt;&lt;secondary-title&gt;J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JASN&lt;/abbr-1&gt;&lt;/alt-periodical&gt;&lt;pages&gt;1233-8&lt;/pages&gt;&lt;volume&gt;19&lt;/volume&gt;&lt;number&gt;6&lt;/number&gt;&lt;keywords&gt;&lt;keyword&gt;Acute Kidney Injury/*mortality/*therapy&lt;/keyword&gt;&lt;keyword&gt;Female&lt;/keyword&gt;&lt;keyword&gt;Hemodiafiltration/*methods&lt;/keyword&gt;&lt;keyword&gt;Humans&lt;/keyword&gt;&lt;keyword&gt;Intensive Care Units&lt;/keyword&gt;&lt;keyword&gt;Male&lt;/keyword&gt;&lt;keyword&gt;Middle Aged&lt;/keyword&gt;&lt;keyword&gt;Survival Rate&lt;/keyword&gt;&lt;/keywords&gt;&lt;dates&gt;&lt;year&gt;2008&lt;/year&gt;&lt;pub-dates&gt;&lt;date&gt;Jun&lt;/date&gt;&lt;/pub-dates&gt;&lt;/dates&gt;&lt;isbn&gt;1533-3450 (Electronic)&amp;#xD;1046-6673 (Linking)&lt;/isbn&gt;&lt;accession-num&gt;18337480&lt;/accession-num&gt;&lt;urls&gt;&lt;related-urls&gt;&lt;url&gt;http://www.ncbi.nlm.nih.gov/pubmed/18337480&lt;/url&gt;&lt;/related-urls&gt;&lt;/urls&gt;&lt;custom2&gt;2396940&lt;/custom2&gt;&lt;electronic-resource-num&gt;10.1681/ASN.2007111173&lt;/electronic-resource-num&gt;&lt;/record&gt;&lt;/Cite&gt;&lt;/EndNote&gt;</w:instrText>
            </w:r>
            <w:r w:rsidRPr="00E35DB4">
              <w:rPr>
                <w:rFonts w:eastAsia="Times New Roman"/>
                <w:color w:val="000000"/>
                <w:sz w:val="20"/>
                <w:szCs w:val="20"/>
                <w:lang w:eastAsia="ja-JP"/>
              </w:rPr>
              <w:fldChar w:fldCharType="separate"/>
            </w:r>
            <w:r>
              <w:rPr>
                <w:rFonts w:eastAsia="Times New Roman"/>
                <w:noProof/>
                <w:color w:val="000000"/>
                <w:sz w:val="20"/>
                <w:szCs w:val="20"/>
                <w:lang w:eastAsia="ja-JP"/>
              </w:rPr>
              <w:t>(</w:t>
            </w:r>
            <w:hyperlink w:anchor="_ENREF_5" w:tooltip="Tolwani, 2008 #15" w:history="1">
              <w:r>
                <w:rPr>
                  <w:rFonts w:eastAsia="Times New Roman"/>
                  <w:noProof/>
                  <w:color w:val="000000"/>
                  <w:sz w:val="20"/>
                  <w:szCs w:val="20"/>
                  <w:lang w:eastAsia="ja-JP"/>
                </w:rPr>
                <w:t>5</w:t>
              </w:r>
            </w:hyperlink>
            <w:r>
              <w:rPr>
                <w:rFonts w:eastAsia="Times New Roman"/>
                <w:noProof/>
                <w:color w:val="000000"/>
                <w:sz w:val="20"/>
                <w:szCs w:val="20"/>
                <w:lang w:eastAsia="ja-JP"/>
              </w:rPr>
              <w:t>)</w:t>
            </w:r>
            <w:r w:rsidRPr="00E35DB4">
              <w:rPr>
                <w:rFonts w:eastAsia="Times New Roman"/>
                <w:color w:val="000000"/>
                <w:sz w:val="20"/>
                <w:szCs w:val="20"/>
                <w:lang w:eastAsia="ja-JP"/>
              </w:rPr>
              <w:fldChar w:fldCharType="end"/>
            </w:r>
          </w:p>
        </w:tc>
        <w:tc>
          <w:tcPr>
            <w:tcW w:w="2552" w:type="dxa"/>
            <w:gridSpan w:val="2"/>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Randomised single centre study comparing CVVHDF at 35 and 20 ml/kg.hr</w:t>
            </w:r>
          </w:p>
        </w:tc>
        <w:tc>
          <w:tcPr>
            <w:tcW w:w="1276" w:type="dxa"/>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200</w:t>
            </w:r>
          </w:p>
        </w:tc>
        <w:tc>
          <w:tcPr>
            <w:tcW w:w="1418" w:type="dxa"/>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Sepsis (54%)</w:t>
            </w:r>
          </w:p>
        </w:tc>
        <w:tc>
          <w:tcPr>
            <w:tcW w:w="5248" w:type="dxa"/>
          </w:tcPr>
          <w:p w:rsidR="003E0AE8" w:rsidRPr="00E35DB4" w:rsidRDefault="003E0AE8" w:rsidP="00B472BA">
            <w:pPr>
              <w:autoSpaceDE w:val="0"/>
              <w:autoSpaceDN w:val="0"/>
              <w:adjustRightInd w:val="0"/>
              <w:spacing w:after="0" w:line="240" w:lineRule="auto"/>
              <w:rPr>
                <w:rFonts w:eastAsia="Times New Roman"/>
                <w:color w:val="000000"/>
                <w:sz w:val="20"/>
                <w:szCs w:val="20"/>
                <w:lang w:eastAsia="ja-JP"/>
              </w:rPr>
            </w:pPr>
            <w:r w:rsidRPr="00E35DB4">
              <w:rPr>
                <w:rFonts w:eastAsia="Times New Roman"/>
                <w:color w:val="000000"/>
                <w:sz w:val="20"/>
                <w:szCs w:val="20"/>
                <w:lang w:eastAsia="ja-JP"/>
              </w:rPr>
              <w:t>Primary outcome: survival to the earlier of either intensive care unit discharge or 30 day. Secondary outcome: renal recovery at ICU discharge, renal recovery at hospital discharge, ICU survival, hospital survival, ICU length of stay, and hospital length of stay.</w:t>
            </w:r>
          </w:p>
        </w:tc>
      </w:tr>
      <w:tr w:rsidR="003E0AE8" w:rsidTr="00B472BA">
        <w:trPr>
          <w:trHeight w:val="297"/>
        </w:trPr>
        <w:tc>
          <w:tcPr>
            <w:tcW w:w="1134"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Faulhaber-Walter</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et al</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2009</w:t>
            </w:r>
            <w:r w:rsidRPr="00E35DB4">
              <w:rPr>
                <w:rFonts w:eastAsia="Times New Roman"/>
                <w:color w:val="000000"/>
                <w:sz w:val="20"/>
                <w:szCs w:val="20"/>
                <w:lang w:eastAsia="ja-JP"/>
              </w:rPr>
              <w:fldChar w:fldCharType="begin"/>
            </w:r>
            <w:r>
              <w:rPr>
                <w:rFonts w:eastAsia="Times New Roman"/>
                <w:color w:val="000000"/>
                <w:sz w:val="20"/>
                <w:szCs w:val="20"/>
                <w:lang w:eastAsia="ja-JP"/>
              </w:rPr>
              <w:instrText xml:space="preserve"> ADDIN EN.CITE &lt;EndNote&gt;&lt;Cite&gt;&lt;Author&gt;Faulhaber-Walter&lt;/Author&gt;&lt;Year&gt;2009&lt;/Year&gt;&lt;RecNum&gt;18&lt;/RecNum&gt;&lt;DisplayText&gt;(6)&lt;/DisplayText&gt;&lt;record&gt;&lt;rec-number&gt;18&lt;/rec-number&gt;&lt;foreign-keys&gt;&lt;key app="EN" db-id="exdffxs0l2pz08evttxvfed1xwdvetrap2st"&gt;18&lt;/key&gt;&lt;/foreign-keys&gt;&lt;ref-type name="Journal Article"&gt;17&lt;/ref-type&gt;&lt;contributors&gt;&lt;authors&gt;&lt;author&gt;Faulhaber-Walter, R.&lt;/author&gt;&lt;author&gt;Hafer, C.&lt;/author&gt;&lt;author&gt;Jahr, N.&lt;/author&gt;&lt;author&gt;Vahlbruch, J.&lt;/author&gt;&lt;author&gt;Hoy, L.&lt;/author&gt;&lt;author&gt;Haller, H.&lt;/author&gt;&lt;author&gt;Fliser, D.&lt;/author&gt;&lt;author&gt;Kielstein, J. T.&lt;/author&gt;&lt;/authors&gt;&lt;/contributors&gt;&lt;auth-address&gt;Department of Internal Medicine, Hannover Medical School, Hannover, Germany.&lt;/auth-address&gt;&lt;titles&gt;&lt;title&gt;The Hannover Dialysis Outcome study: comparison of standard versus intensified extended dialysis for treatment of patients with acute kidney injury in the intensive care unit&lt;/title&gt;&lt;secondary-title&gt;Nephrol Dial Transplant&lt;/secondary-title&gt;&lt;alt-title&gt;Nephrology, dialysis, transplantation : official publication of the European Dialysis and Transplant Association - European Renal Association&lt;/alt-title&gt;&lt;/titles&gt;&lt;pages&gt;2179-86&lt;/pages&gt;&lt;volume&gt;24&lt;/volume&gt;&lt;number&gt;7&lt;/number&gt;&lt;keywords&gt;&lt;keyword&gt;Acute Kidney Injury/*therapy&lt;/keyword&gt;&lt;keyword&gt;Female&lt;/keyword&gt;&lt;keyword&gt;Humans&lt;/keyword&gt;&lt;keyword&gt;*Intensive Care Units&lt;/keyword&gt;&lt;keyword&gt;Male&lt;/keyword&gt;&lt;keyword&gt;Middle Aged&lt;/keyword&gt;&lt;keyword&gt;Prospective Studies&lt;/keyword&gt;&lt;keyword&gt;Renal Dialysis/*methods&lt;/keyword&gt;&lt;keyword&gt;Treatment Outcome&lt;/keyword&gt;&lt;/keywords&gt;&lt;dates&gt;&lt;year&gt;2009&lt;/year&gt;&lt;pub-dates&gt;&lt;date&gt;Jul&lt;/date&gt;&lt;/pub-dates&gt;&lt;/dates&gt;&lt;isbn&gt;1460-2385 (Electronic)&amp;#xD;0931-0509 (Linking)&lt;/isbn&gt;&lt;accession-num&gt;19218540&lt;/accession-num&gt;&lt;urls&gt;&lt;related-urls&gt;&lt;url&gt;http://www.ncbi.nlm.nih.gov/pubmed/19218540&lt;/url&gt;&lt;/related-urls&gt;&lt;/urls&gt;&lt;electronic-resource-num&gt;10.1093/ndt/gfp035&lt;/electronic-resource-num&gt;&lt;/record&gt;&lt;/Cite&gt;&lt;/EndNote&gt;</w:instrText>
            </w:r>
            <w:r w:rsidRPr="00E35DB4">
              <w:rPr>
                <w:rFonts w:eastAsia="Times New Roman"/>
                <w:color w:val="000000"/>
                <w:sz w:val="20"/>
                <w:szCs w:val="20"/>
                <w:lang w:eastAsia="ja-JP"/>
              </w:rPr>
              <w:fldChar w:fldCharType="separate"/>
            </w:r>
            <w:r>
              <w:rPr>
                <w:rFonts w:eastAsia="Times New Roman"/>
                <w:noProof/>
                <w:color w:val="000000"/>
                <w:sz w:val="20"/>
                <w:szCs w:val="20"/>
                <w:lang w:eastAsia="ja-JP"/>
              </w:rPr>
              <w:t>(</w:t>
            </w:r>
            <w:hyperlink w:anchor="_ENREF_6" w:tooltip="Faulhaber-Walter, 2009 #18" w:history="1">
              <w:r>
                <w:rPr>
                  <w:rFonts w:eastAsia="Times New Roman"/>
                  <w:noProof/>
                  <w:color w:val="000000"/>
                  <w:sz w:val="20"/>
                  <w:szCs w:val="20"/>
                  <w:lang w:eastAsia="ja-JP"/>
                </w:rPr>
                <w:t>6</w:t>
              </w:r>
            </w:hyperlink>
            <w:r>
              <w:rPr>
                <w:rFonts w:eastAsia="Times New Roman"/>
                <w:noProof/>
                <w:color w:val="000000"/>
                <w:sz w:val="20"/>
                <w:szCs w:val="20"/>
                <w:lang w:eastAsia="ja-JP"/>
              </w:rPr>
              <w:t>)</w:t>
            </w:r>
            <w:r w:rsidRPr="00E35DB4">
              <w:rPr>
                <w:rFonts w:eastAsia="Times New Roman"/>
                <w:color w:val="000000"/>
                <w:sz w:val="20"/>
                <w:szCs w:val="20"/>
                <w:lang w:eastAsia="ja-JP"/>
              </w:rPr>
              <w:fldChar w:fldCharType="end"/>
            </w:r>
          </w:p>
        </w:tc>
        <w:tc>
          <w:tcPr>
            <w:tcW w:w="2552" w:type="dxa"/>
            <w:gridSpan w:val="2"/>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Randomised single centre study comparing IHD at dose to maintain urea levels of 120-150mg/dl and &lt;90mg/dl</w:t>
            </w:r>
          </w:p>
        </w:tc>
        <w:tc>
          <w:tcPr>
            <w:tcW w:w="1276"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156</w:t>
            </w:r>
          </w:p>
        </w:tc>
        <w:tc>
          <w:tcPr>
            <w:tcW w:w="141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SIRS/sepsis (72%)</w:t>
            </w:r>
          </w:p>
        </w:tc>
        <w:tc>
          <w:tcPr>
            <w:tcW w:w="524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Primary outcome: survival at day 14 after initiation of renal replacement therapy.</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Secondary outcome: survival and renal recovery at day 28 after initiation of renal replacement therapy.</w:t>
            </w:r>
          </w:p>
        </w:tc>
      </w:tr>
      <w:tr w:rsidR="003E0AE8" w:rsidTr="00B472BA">
        <w:trPr>
          <w:trHeight w:val="297"/>
        </w:trPr>
        <w:tc>
          <w:tcPr>
            <w:tcW w:w="1134"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RENAL study</w:t>
            </w:r>
          </w:p>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2009</w:t>
            </w:r>
            <w:r w:rsidRPr="00E35DB4">
              <w:rPr>
                <w:rFonts w:eastAsia="Times New Roman"/>
                <w:color w:val="000000"/>
                <w:sz w:val="20"/>
                <w:szCs w:val="20"/>
                <w:lang w:eastAsia="ja-JP"/>
              </w:rPr>
              <w:fldChar w:fldCharType="begin"/>
            </w:r>
            <w:r>
              <w:rPr>
                <w:rFonts w:eastAsia="Times New Roman"/>
                <w:color w:val="000000"/>
                <w:sz w:val="20"/>
                <w:szCs w:val="20"/>
                <w:lang w:eastAsia="ja-JP"/>
              </w:rPr>
              <w:instrText xml:space="preserve"> ADDIN EN.CITE &lt;EndNote&gt;&lt;Cite&gt;&lt;Author&gt;Investigators&lt;/Author&gt;&lt;Year&gt;2009&lt;/Year&gt;&lt;RecNum&gt;16&lt;/RecNum&gt;&lt;DisplayText&gt;(7)&lt;/DisplayText&gt;&lt;record&gt;&lt;rec-number&gt;16&lt;/rec-number&gt;&lt;foreign-keys&gt;&lt;key app="EN" db-id="exdffxs0l2pz08evttxvfed1xwdvetrap2st"&gt;16&lt;/key&gt;&lt;/foreign-keys&gt;&lt;ref-type name="Journal Article"&gt;17&lt;/ref-type&gt;&lt;contributors&gt;&lt;authors&gt;&lt;author&gt;Renal Replacement Therapy Study Investigators&lt;/author&gt;&lt;author&gt;Bellomo, R.&lt;/author&gt;&lt;author&gt;Cass, A.&lt;/author&gt;&lt;author&gt;Cole, L.&lt;/author&gt;&lt;author&gt;Finfer, S.&lt;/author&gt;&lt;author&gt;Gallagher, M.&lt;/author&gt;&lt;author&gt;Lo, S.&lt;/author&gt;&lt;author&gt;McArthur, C.&lt;/author&gt;&lt;author&gt;McGuinness, S.&lt;/author&gt;&lt;author&gt;Myburgh, J.&lt;/author&gt;&lt;author&gt;Norton, R.&lt;/author&gt;&lt;author&gt;Scheinkestel, C.&lt;/author&gt;&lt;author&gt;Su, S.&lt;/author&gt;&lt;/authors&gt;&lt;/contributors&gt;&lt;titles&gt;&lt;title&gt;Intensity of continuous renal-replacement therapy in critically ill patients&lt;/title&gt;&lt;secondary-title&gt;N Engl J Med&lt;/secondary-title&gt;&lt;alt-title&gt;The New England journal of medicine&lt;/alt-title&gt;&lt;/titles&gt;&lt;pages&gt;1627-38&lt;/pages&gt;&lt;volume&gt;361&lt;/volume&gt;&lt;number&gt;17&lt;/number&gt;&lt;keywords&gt;&lt;keyword&gt;Acute Kidney Injury/mortality/*therapy&lt;/keyword&gt;&lt;keyword&gt;Aged&lt;/keyword&gt;&lt;keyword&gt;Critical Illness/mortality/*therapy&lt;/keyword&gt;&lt;keyword&gt;Female&lt;/keyword&gt;&lt;keyword&gt;Hemodiafiltration/adverse effects/*methods&lt;/keyword&gt;&lt;keyword&gt;Humans&lt;/keyword&gt;&lt;keyword&gt;Kaplan-Meier Estimate&lt;/keyword&gt;&lt;keyword&gt;Male&lt;/keyword&gt;&lt;keyword&gt;Middle Aged&lt;/keyword&gt;&lt;keyword&gt;Prospective Studies&lt;/keyword&gt;&lt;keyword&gt;Treatment Outcome&lt;/keyword&gt;&lt;/keywords&gt;&lt;dates&gt;&lt;year&gt;2009&lt;/year&gt;&lt;pub-dates&gt;&lt;date&gt;Oct 22&lt;/date&gt;&lt;/pub-dates&gt;&lt;/dates&gt;&lt;isbn&gt;1533-4406 (Electronic)&amp;#xD;0028-4793 (Linking)&lt;/isbn&gt;&lt;accession-num&gt;19846848&lt;/accession-num&gt;&lt;urls&gt;&lt;related-urls&gt;&lt;url&gt;http://www.ncbi.nlm.nih.gov/pubmed/19846848&lt;/url&gt;&lt;/related-urls&gt;&lt;/urls&gt;&lt;electronic-resource-num&gt;10.1056/NEJMoa0902413&lt;/electronic-resource-num&gt;&lt;/record&gt;&lt;/Cite&gt;&lt;/EndNote&gt;</w:instrText>
            </w:r>
            <w:r w:rsidRPr="00E35DB4">
              <w:rPr>
                <w:rFonts w:eastAsia="Times New Roman"/>
                <w:color w:val="000000"/>
                <w:sz w:val="20"/>
                <w:szCs w:val="20"/>
                <w:lang w:eastAsia="ja-JP"/>
              </w:rPr>
              <w:fldChar w:fldCharType="separate"/>
            </w:r>
            <w:r>
              <w:rPr>
                <w:rFonts w:eastAsia="Times New Roman"/>
                <w:noProof/>
                <w:color w:val="000000"/>
                <w:sz w:val="20"/>
                <w:szCs w:val="20"/>
                <w:lang w:eastAsia="ja-JP"/>
              </w:rPr>
              <w:t>(</w:t>
            </w:r>
            <w:hyperlink w:anchor="_ENREF_7" w:tooltip="Investigators, 2009 #16" w:history="1">
              <w:r>
                <w:rPr>
                  <w:rFonts w:eastAsia="Times New Roman"/>
                  <w:noProof/>
                  <w:color w:val="000000"/>
                  <w:sz w:val="20"/>
                  <w:szCs w:val="20"/>
                  <w:lang w:eastAsia="ja-JP"/>
                </w:rPr>
                <w:t>7</w:t>
              </w:r>
            </w:hyperlink>
            <w:r>
              <w:rPr>
                <w:rFonts w:eastAsia="Times New Roman"/>
                <w:noProof/>
                <w:color w:val="000000"/>
                <w:sz w:val="20"/>
                <w:szCs w:val="20"/>
                <w:lang w:eastAsia="ja-JP"/>
              </w:rPr>
              <w:t>)</w:t>
            </w:r>
            <w:r w:rsidRPr="00E35DB4">
              <w:rPr>
                <w:rFonts w:eastAsia="Times New Roman"/>
                <w:color w:val="000000"/>
                <w:sz w:val="20"/>
                <w:szCs w:val="20"/>
                <w:lang w:eastAsia="ja-JP"/>
              </w:rPr>
              <w:fldChar w:fldCharType="end"/>
            </w:r>
          </w:p>
        </w:tc>
        <w:tc>
          <w:tcPr>
            <w:tcW w:w="2552" w:type="dxa"/>
            <w:gridSpan w:val="2"/>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Randomised multi-centre study comparing CVVHDF at 40 and 25ml/kg.hr</w:t>
            </w:r>
          </w:p>
        </w:tc>
        <w:tc>
          <w:tcPr>
            <w:tcW w:w="1276"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1464</w:t>
            </w:r>
          </w:p>
        </w:tc>
        <w:tc>
          <w:tcPr>
            <w:tcW w:w="141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Sepsis (48%)</w:t>
            </w:r>
          </w:p>
        </w:tc>
        <w:tc>
          <w:tcPr>
            <w:tcW w:w="5248" w:type="dxa"/>
            <w:hideMark/>
          </w:tcPr>
          <w:p w:rsidR="003E0AE8" w:rsidRPr="00E35DB4" w:rsidRDefault="003E0AE8" w:rsidP="00B472BA">
            <w:pPr>
              <w:spacing w:after="0" w:line="240" w:lineRule="auto"/>
              <w:rPr>
                <w:rFonts w:eastAsia="Times New Roman"/>
                <w:color w:val="000000"/>
                <w:sz w:val="20"/>
                <w:szCs w:val="20"/>
                <w:lang w:eastAsia="ja-JP"/>
              </w:rPr>
            </w:pPr>
            <w:r w:rsidRPr="00E35DB4">
              <w:rPr>
                <w:rFonts w:eastAsia="Times New Roman"/>
                <w:color w:val="000000"/>
                <w:sz w:val="20"/>
                <w:szCs w:val="20"/>
                <w:lang w:eastAsia="ja-JP"/>
              </w:rPr>
              <w:t>Primary outcome: death within 90 days after randomization. Secondary outcome: death within 28 days after randomization, death in the ICU, in-hospital death, cessation of renal replacement therapy, duration of ICU and hospital stays, duration of mechanical ventilation and renal replacement therapy, dialysis status at day 90, and any new organ failures.</w:t>
            </w:r>
          </w:p>
        </w:tc>
      </w:tr>
      <w:tr w:rsidR="003E0AE8" w:rsidTr="00B472BA">
        <w:trPr>
          <w:trHeight w:val="297"/>
        </w:trPr>
        <w:tc>
          <w:tcPr>
            <w:tcW w:w="1134" w:type="dxa"/>
            <w:vAlign w:val="center"/>
          </w:tcPr>
          <w:p w:rsidR="003E0AE8" w:rsidRDefault="003E0AE8" w:rsidP="00B472BA">
            <w:pPr>
              <w:spacing w:after="0" w:line="240" w:lineRule="auto"/>
              <w:rPr>
                <w:rFonts w:eastAsia="Times New Roman"/>
                <w:color w:val="000000"/>
                <w:sz w:val="24"/>
                <w:szCs w:val="24"/>
                <w:lang w:eastAsia="ja-JP"/>
              </w:rPr>
            </w:pPr>
          </w:p>
        </w:tc>
        <w:tc>
          <w:tcPr>
            <w:tcW w:w="2552" w:type="dxa"/>
            <w:gridSpan w:val="2"/>
          </w:tcPr>
          <w:p w:rsidR="003E0AE8" w:rsidRDefault="003E0AE8" w:rsidP="00B472BA">
            <w:pPr>
              <w:spacing w:after="0" w:line="240" w:lineRule="auto"/>
              <w:rPr>
                <w:rFonts w:eastAsia="Times New Roman"/>
                <w:color w:val="000000"/>
                <w:sz w:val="24"/>
                <w:szCs w:val="24"/>
                <w:lang w:eastAsia="ja-JP"/>
              </w:rPr>
            </w:pPr>
          </w:p>
        </w:tc>
        <w:tc>
          <w:tcPr>
            <w:tcW w:w="1276" w:type="dxa"/>
            <w:noWrap/>
            <w:vAlign w:val="center"/>
          </w:tcPr>
          <w:p w:rsidR="003E0AE8" w:rsidRDefault="003E0AE8" w:rsidP="00B472BA">
            <w:pPr>
              <w:spacing w:after="0" w:line="240" w:lineRule="auto"/>
              <w:rPr>
                <w:rFonts w:eastAsia="Times New Roman"/>
                <w:color w:val="000000"/>
                <w:sz w:val="24"/>
                <w:szCs w:val="24"/>
                <w:lang w:eastAsia="ja-JP"/>
              </w:rPr>
            </w:pPr>
          </w:p>
        </w:tc>
        <w:tc>
          <w:tcPr>
            <w:tcW w:w="1418" w:type="dxa"/>
            <w:noWrap/>
            <w:vAlign w:val="center"/>
          </w:tcPr>
          <w:p w:rsidR="003E0AE8" w:rsidRDefault="003E0AE8" w:rsidP="00B472BA">
            <w:pPr>
              <w:spacing w:after="0" w:line="240" w:lineRule="auto"/>
              <w:rPr>
                <w:rFonts w:eastAsia="Times New Roman"/>
                <w:color w:val="000000"/>
                <w:sz w:val="24"/>
                <w:szCs w:val="24"/>
                <w:lang w:eastAsia="ja-JP"/>
              </w:rPr>
            </w:pPr>
          </w:p>
        </w:tc>
        <w:tc>
          <w:tcPr>
            <w:tcW w:w="5248" w:type="dxa"/>
            <w:vAlign w:val="center"/>
          </w:tcPr>
          <w:p w:rsidR="003E0AE8" w:rsidRDefault="003E0AE8" w:rsidP="00B472BA">
            <w:pPr>
              <w:spacing w:after="0" w:line="240" w:lineRule="auto"/>
              <w:rPr>
                <w:rFonts w:eastAsia="Times New Roman"/>
                <w:color w:val="000000"/>
                <w:sz w:val="24"/>
                <w:szCs w:val="24"/>
                <w:lang w:eastAsia="ja-JP"/>
              </w:rPr>
            </w:pPr>
          </w:p>
        </w:tc>
      </w:tr>
      <w:tr w:rsidR="003E0AE8" w:rsidTr="00B472BA">
        <w:trPr>
          <w:trHeight w:val="297"/>
        </w:trPr>
        <w:tc>
          <w:tcPr>
            <w:tcW w:w="1336" w:type="dxa"/>
            <w:gridSpan w:val="2"/>
            <w:tcBorders>
              <w:top w:val="single" w:sz="4" w:space="0" w:color="auto"/>
              <w:left w:val="nil"/>
              <w:bottom w:val="nil"/>
              <w:right w:val="nil"/>
            </w:tcBorders>
          </w:tcPr>
          <w:p w:rsidR="003E0AE8" w:rsidRDefault="003E0AE8" w:rsidP="00B472BA">
            <w:pPr>
              <w:spacing w:after="0" w:line="240" w:lineRule="auto"/>
              <w:rPr>
                <w:rFonts w:eastAsia="Times New Roman"/>
                <w:color w:val="000000"/>
                <w:sz w:val="24"/>
                <w:szCs w:val="24"/>
                <w:lang w:eastAsia="ja-JP"/>
              </w:rPr>
            </w:pPr>
          </w:p>
        </w:tc>
        <w:tc>
          <w:tcPr>
            <w:tcW w:w="10297" w:type="dxa"/>
            <w:gridSpan w:val="4"/>
            <w:tcBorders>
              <w:top w:val="single" w:sz="4" w:space="0" w:color="auto"/>
              <w:left w:val="nil"/>
              <w:bottom w:val="nil"/>
              <w:right w:val="nil"/>
            </w:tcBorders>
            <w:noWrap/>
            <w:vAlign w:val="bottom"/>
            <w:hideMark/>
          </w:tcPr>
          <w:p w:rsidR="003E0AE8" w:rsidRDefault="003E0AE8" w:rsidP="00B472BA">
            <w:pPr>
              <w:spacing w:after="0"/>
              <w:rPr>
                <w:rFonts w:eastAsia="宋体"/>
              </w:rPr>
            </w:pPr>
          </w:p>
        </w:tc>
      </w:tr>
    </w:tbl>
    <w:p w:rsidR="003E0AE8" w:rsidRDefault="003E0AE8" w:rsidP="003E0AE8">
      <w:r>
        <w:br w:type="page"/>
      </w:r>
    </w:p>
    <w:p w:rsidR="003E0AE8" w:rsidRDefault="003E0AE8" w:rsidP="003E0AE8">
      <w:pPr>
        <w:autoSpaceDE w:val="0"/>
        <w:autoSpaceDN w:val="0"/>
        <w:adjustRightInd w:val="0"/>
        <w:spacing w:after="0" w:line="240" w:lineRule="auto"/>
        <w:rPr>
          <w:rFonts w:eastAsia="Times New Roman"/>
          <w:color w:val="000000"/>
          <w:sz w:val="24"/>
          <w:szCs w:val="24"/>
          <w:lang w:eastAsia="ja-JP"/>
        </w:rPr>
      </w:pPr>
      <w:r>
        <w:rPr>
          <w:rFonts w:cs="Avenir-Book"/>
          <w:b/>
          <w:sz w:val="24"/>
          <w:szCs w:val="24"/>
        </w:rPr>
        <w:t>Supplementary Table 2: Hazard of RRT independence at different time points comparing higher intensity to standard intensity RRT groups, stratified by treatment group (a trial level analysis)</w:t>
      </w:r>
    </w:p>
    <w:p w:rsidR="003E0AE8" w:rsidRDefault="003E0AE8" w:rsidP="003E0AE8">
      <w:pPr>
        <w:autoSpaceDE w:val="0"/>
        <w:autoSpaceDN w:val="0"/>
        <w:adjustRightInd w:val="0"/>
        <w:spacing w:after="0" w:line="240" w:lineRule="auto"/>
        <w:rPr>
          <w:rFonts w:cs="Avenir-Book"/>
          <w:b/>
          <w:color w:val="FF0000"/>
          <w:sz w:val="24"/>
          <w:szCs w:val="24"/>
        </w:rPr>
      </w:pPr>
    </w:p>
    <w:tbl>
      <w:tblPr>
        <w:tblpPr w:leftFromText="180" w:rightFromText="180" w:bottomFromText="200" w:vertAnchor="text" w:tblpY="188"/>
        <w:tblW w:w="9325" w:type="dxa"/>
        <w:tblLook w:val="04A0" w:firstRow="1" w:lastRow="0" w:firstColumn="1" w:lastColumn="0" w:noHBand="0" w:noVBand="1"/>
      </w:tblPr>
      <w:tblGrid>
        <w:gridCol w:w="4111"/>
        <w:gridCol w:w="1701"/>
        <w:gridCol w:w="2069"/>
        <w:gridCol w:w="447"/>
        <w:gridCol w:w="997"/>
      </w:tblGrid>
      <w:tr w:rsidR="003E0AE8" w:rsidTr="00B472BA">
        <w:trPr>
          <w:gridAfter w:val="1"/>
          <w:wAfter w:w="997" w:type="dxa"/>
          <w:trHeight w:val="395"/>
        </w:trPr>
        <w:tc>
          <w:tcPr>
            <w:tcW w:w="4111" w:type="dxa"/>
            <w:vMerge w:val="restart"/>
            <w:tcBorders>
              <w:top w:val="single" w:sz="4" w:space="0" w:color="auto"/>
              <w:left w:val="nil"/>
              <w:bottom w:val="single" w:sz="4" w:space="0" w:color="000000"/>
              <w:right w:val="nil"/>
            </w:tcBorders>
            <w:hideMark/>
          </w:tcPr>
          <w:p w:rsidR="003E0AE8" w:rsidRDefault="003E0AE8" w:rsidP="00B472BA">
            <w:pPr>
              <w:spacing w:after="0" w:line="240" w:lineRule="auto"/>
              <w:ind w:right="1682"/>
              <w:jc w:val="center"/>
              <w:rPr>
                <w:rFonts w:eastAsia="Times New Roman"/>
                <w:color w:val="000000"/>
                <w:lang w:eastAsia="ja-JP"/>
              </w:rPr>
            </w:pPr>
            <w:r>
              <w:rPr>
                <w:rFonts w:eastAsia="Times New Roman"/>
                <w:color w:val="000000"/>
                <w:lang w:eastAsia="ja-JP"/>
              </w:rPr>
              <w:t>Outcomes</w:t>
            </w:r>
          </w:p>
        </w:tc>
        <w:tc>
          <w:tcPr>
            <w:tcW w:w="1701" w:type="dxa"/>
            <w:vMerge w:val="restart"/>
            <w:tcBorders>
              <w:top w:val="single" w:sz="4" w:space="0" w:color="auto"/>
              <w:left w:val="nil"/>
              <w:bottom w:val="single" w:sz="4" w:space="0" w:color="000000"/>
              <w:right w:val="nil"/>
            </w:tcBorders>
            <w:noWrap/>
            <w:hideMark/>
          </w:tcPr>
          <w:p w:rsidR="003E0AE8" w:rsidRDefault="003E0AE8" w:rsidP="00B472BA">
            <w:pPr>
              <w:spacing w:after="0" w:line="240" w:lineRule="auto"/>
              <w:rPr>
                <w:rFonts w:eastAsia="Times New Roman"/>
                <w:color w:val="000000"/>
                <w:lang w:eastAsia="ja-JP"/>
              </w:rPr>
            </w:pPr>
            <w:r>
              <w:rPr>
                <w:rFonts w:eastAsia="Times New Roman"/>
                <w:color w:val="000000"/>
                <w:lang w:eastAsia="ja-JP"/>
              </w:rPr>
              <w:t>Trial numbers</w:t>
            </w:r>
          </w:p>
        </w:tc>
        <w:tc>
          <w:tcPr>
            <w:tcW w:w="2516" w:type="dxa"/>
            <w:gridSpan w:val="2"/>
            <w:tcBorders>
              <w:top w:val="single" w:sz="4" w:space="0" w:color="auto"/>
              <w:left w:val="nil"/>
              <w:bottom w:val="single" w:sz="4" w:space="0" w:color="auto"/>
              <w:right w:val="nil"/>
            </w:tcBorders>
            <w:noWrap/>
            <w:vAlign w:val="center"/>
            <w:hideMark/>
          </w:tcPr>
          <w:p w:rsidR="003E0AE8" w:rsidRDefault="003E0AE8" w:rsidP="00B472BA">
            <w:pPr>
              <w:spacing w:after="0" w:line="240" w:lineRule="auto"/>
              <w:rPr>
                <w:rFonts w:eastAsia="Times New Roman"/>
                <w:color w:val="000000"/>
                <w:lang w:eastAsia="ja-JP"/>
              </w:rPr>
            </w:pPr>
            <w:r>
              <w:rPr>
                <w:rFonts w:eastAsia="Times New Roman"/>
                <w:color w:val="000000"/>
                <w:lang w:eastAsia="ja-JP"/>
              </w:rPr>
              <w:t xml:space="preserve">           Pooled estimate</w:t>
            </w:r>
          </w:p>
        </w:tc>
      </w:tr>
      <w:tr w:rsidR="003E0AE8" w:rsidTr="00B472BA">
        <w:trPr>
          <w:trHeight w:val="395"/>
        </w:trPr>
        <w:tc>
          <w:tcPr>
            <w:tcW w:w="0" w:type="auto"/>
            <w:vMerge/>
            <w:tcBorders>
              <w:top w:val="single" w:sz="4" w:space="0" w:color="auto"/>
              <w:left w:val="nil"/>
              <w:bottom w:val="single" w:sz="4" w:space="0" w:color="000000"/>
              <w:right w:val="nil"/>
            </w:tcBorders>
            <w:vAlign w:val="center"/>
            <w:hideMark/>
          </w:tcPr>
          <w:p w:rsidR="003E0AE8" w:rsidRDefault="003E0AE8" w:rsidP="00B472BA">
            <w:pPr>
              <w:spacing w:after="0" w:line="240" w:lineRule="auto"/>
              <w:rPr>
                <w:rFonts w:eastAsia="Times New Roman"/>
                <w:color w:val="000000"/>
                <w:lang w:eastAsia="ja-JP"/>
              </w:rPr>
            </w:pPr>
          </w:p>
        </w:tc>
        <w:tc>
          <w:tcPr>
            <w:tcW w:w="0" w:type="auto"/>
            <w:vMerge/>
            <w:tcBorders>
              <w:top w:val="single" w:sz="4" w:space="0" w:color="auto"/>
              <w:left w:val="nil"/>
              <w:bottom w:val="single" w:sz="4" w:space="0" w:color="000000"/>
              <w:right w:val="nil"/>
            </w:tcBorders>
            <w:vAlign w:val="center"/>
            <w:hideMark/>
          </w:tcPr>
          <w:p w:rsidR="003E0AE8" w:rsidRDefault="003E0AE8" w:rsidP="00B472BA">
            <w:pPr>
              <w:spacing w:after="0" w:line="240" w:lineRule="auto"/>
              <w:rPr>
                <w:rFonts w:eastAsia="Times New Roman"/>
                <w:color w:val="000000"/>
                <w:lang w:eastAsia="ja-JP"/>
              </w:rPr>
            </w:pPr>
          </w:p>
        </w:tc>
        <w:tc>
          <w:tcPr>
            <w:tcW w:w="2069" w:type="dxa"/>
            <w:tcBorders>
              <w:top w:val="nil"/>
              <w:left w:val="nil"/>
              <w:bottom w:val="single" w:sz="4" w:space="0" w:color="auto"/>
              <w:right w:val="nil"/>
            </w:tcBorders>
            <w:noWrap/>
            <w:vAlign w:val="center"/>
            <w:hideMark/>
          </w:tcPr>
          <w:p w:rsidR="003E0AE8" w:rsidRDefault="003E0AE8" w:rsidP="00B472BA">
            <w:pPr>
              <w:spacing w:after="0" w:line="240" w:lineRule="auto"/>
              <w:jc w:val="center"/>
              <w:rPr>
                <w:rFonts w:eastAsia="Times New Roman"/>
                <w:color w:val="000000"/>
                <w:lang w:eastAsia="ja-JP"/>
              </w:rPr>
            </w:pPr>
            <w:r>
              <w:rPr>
                <w:rFonts w:eastAsia="Times New Roman"/>
                <w:color w:val="000000"/>
                <w:lang w:eastAsia="ja-JP"/>
              </w:rPr>
              <w:t>HR (95% CI)</w:t>
            </w:r>
          </w:p>
        </w:tc>
        <w:tc>
          <w:tcPr>
            <w:tcW w:w="1444" w:type="dxa"/>
            <w:gridSpan w:val="2"/>
            <w:tcBorders>
              <w:top w:val="nil"/>
              <w:left w:val="nil"/>
              <w:bottom w:val="single" w:sz="4" w:space="0" w:color="auto"/>
              <w:right w:val="nil"/>
            </w:tcBorders>
            <w:noWrap/>
            <w:vAlign w:val="center"/>
            <w:hideMark/>
          </w:tcPr>
          <w:p w:rsidR="003E0AE8" w:rsidRDefault="003E0AE8" w:rsidP="00B472BA">
            <w:pPr>
              <w:spacing w:after="0" w:line="240" w:lineRule="auto"/>
              <w:rPr>
                <w:rFonts w:eastAsia="Times New Roman"/>
                <w:color w:val="000000"/>
                <w:lang w:eastAsia="ja-JP"/>
              </w:rPr>
            </w:pPr>
            <w:r>
              <w:rPr>
                <w:rFonts w:eastAsia="Times New Roman"/>
                <w:color w:val="000000"/>
                <w:lang w:eastAsia="ja-JP"/>
              </w:rPr>
              <w:t>P value</w:t>
            </w:r>
          </w:p>
        </w:tc>
      </w:tr>
      <w:tr w:rsidR="003E0AE8" w:rsidTr="00B472BA">
        <w:trPr>
          <w:trHeight w:val="395"/>
        </w:trPr>
        <w:tc>
          <w:tcPr>
            <w:tcW w:w="4111" w:type="dxa"/>
            <w:noWrap/>
            <w:vAlign w:val="center"/>
            <w:hideMark/>
          </w:tcPr>
          <w:p w:rsidR="003E0AE8" w:rsidRDefault="003E0AE8" w:rsidP="00B472BA">
            <w:pPr>
              <w:spacing w:after="0" w:line="240" w:lineRule="auto"/>
              <w:rPr>
                <w:rFonts w:eastAsia="Times New Roman"/>
                <w:b/>
                <w:color w:val="000000"/>
                <w:lang w:eastAsia="ja-JP"/>
              </w:rPr>
            </w:pPr>
            <w:r>
              <w:rPr>
                <w:rFonts w:eastAsia="Times New Roman"/>
                <w:b/>
                <w:color w:val="000000"/>
                <w:lang w:eastAsia="ja-JP"/>
              </w:rPr>
              <w:t>All trials</w:t>
            </w:r>
          </w:p>
        </w:tc>
        <w:tc>
          <w:tcPr>
            <w:tcW w:w="1701" w:type="dxa"/>
            <w:noWrap/>
            <w:vAlign w:val="center"/>
          </w:tcPr>
          <w:p w:rsidR="003E0AE8" w:rsidRDefault="003E0AE8" w:rsidP="00B472BA">
            <w:pPr>
              <w:spacing w:after="0" w:line="240" w:lineRule="auto"/>
              <w:rPr>
                <w:rFonts w:eastAsia="Times New Roman"/>
                <w:b/>
                <w:color w:val="000000"/>
                <w:lang w:eastAsia="ja-JP"/>
              </w:rPr>
            </w:pPr>
          </w:p>
        </w:tc>
        <w:tc>
          <w:tcPr>
            <w:tcW w:w="2069" w:type="dxa"/>
            <w:noWrap/>
            <w:vAlign w:val="center"/>
          </w:tcPr>
          <w:p w:rsidR="003E0AE8" w:rsidRDefault="003E0AE8" w:rsidP="00B472BA">
            <w:pPr>
              <w:spacing w:after="0" w:line="240" w:lineRule="auto"/>
              <w:jc w:val="center"/>
              <w:rPr>
                <w:rFonts w:eastAsia="Times New Roman"/>
                <w:b/>
                <w:color w:val="000000"/>
                <w:lang w:eastAsia="ja-JP"/>
              </w:rPr>
            </w:pPr>
          </w:p>
        </w:tc>
        <w:tc>
          <w:tcPr>
            <w:tcW w:w="1444" w:type="dxa"/>
            <w:gridSpan w:val="2"/>
            <w:vAlign w:val="center"/>
          </w:tcPr>
          <w:p w:rsidR="003E0AE8" w:rsidRDefault="003E0AE8" w:rsidP="00B472BA">
            <w:pPr>
              <w:spacing w:after="0" w:line="240" w:lineRule="auto"/>
              <w:jc w:val="center"/>
              <w:rPr>
                <w:rFonts w:eastAsia="Times New Roman"/>
                <w:b/>
                <w:color w:val="000000"/>
                <w:lang w:eastAsia="ja-JP"/>
              </w:rPr>
            </w:pPr>
          </w:p>
        </w:tc>
      </w:tr>
      <w:tr w:rsidR="003E0AE8" w:rsidTr="00B472BA">
        <w:trPr>
          <w:trHeight w:val="395"/>
        </w:trPr>
        <w:tc>
          <w:tcPr>
            <w:tcW w:w="4111" w:type="dxa"/>
            <w:noWrap/>
            <w:vAlign w:val="center"/>
            <w:hideMark/>
          </w:tcPr>
          <w:p w:rsidR="003E0AE8" w:rsidRDefault="003E0AE8" w:rsidP="00B472BA">
            <w:pPr>
              <w:spacing w:after="0" w:line="240" w:lineRule="auto"/>
            </w:pPr>
            <w:r>
              <w:t>Time to end of RRT dependence at day 28</w:t>
            </w:r>
          </w:p>
        </w:tc>
        <w:tc>
          <w:tcPr>
            <w:tcW w:w="1701" w:type="dxa"/>
            <w:noWrap/>
            <w:vAlign w:val="center"/>
            <w:hideMark/>
          </w:tcPr>
          <w:p w:rsidR="003E0AE8" w:rsidRDefault="003E0AE8" w:rsidP="00B472BA">
            <w:pPr>
              <w:spacing w:after="0" w:line="240" w:lineRule="auto"/>
              <w:jc w:val="center"/>
            </w:pPr>
            <w:r>
              <w:t>4</w:t>
            </w:r>
          </w:p>
        </w:tc>
        <w:tc>
          <w:tcPr>
            <w:tcW w:w="2069" w:type="dxa"/>
            <w:noWrap/>
            <w:vAlign w:val="center"/>
            <w:hideMark/>
          </w:tcPr>
          <w:p w:rsidR="003E0AE8" w:rsidRDefault="003E0AE8" w:rsidP="00B472BA">
            <w:pPr>
              <w:spacing w:after="0" w:line="240" w:lineRule="auto"/>
            </w:pPr>
            <w:r>
              <w:t>0.91 (0.82 - 1.01)</w:t>
            </w:r>
          </w:p>
        </w:tc>
        <w:tc>
          <w:tcPr>
            <w:tcW w:w="1444" w:type="dxa"/>
            <w:gridSpan w:val="2"/>
            <w:vAlign w:val="center"/>
            <w:hideMark/>
          </w:tcPr>
          <w:p w:rsidR="003E0AE8" w:rsidRDefault="003E0AE8" w:rsidP="00B472BA">
            <w:pPr>
              <w:spacing w:after="0" w:line="240" w:lineRule="auto"/>
            </w:pPr>
            <w:r>
              <w:t>0.09</w:t>
            </w:r>
          </w:p>
        </w:tc>
      </w:tr>
      <w:tr w:rsidR="003E0AE8" w:rsidTr="00B472BA">
        <w:trPr>
          <w:trHeight w:val="395"/>
        </w:trPr>
        <w:tc>
          <w:tcPr>
            <w:tcW w:w="4111" w:type="dxa"/>
            <w:noWrap/>
            <w:vAlign w:val="center"/>
            <w:hideMark/>
          </w:tcPr>
          <w:p w:rsidR="003E0AE8" w:rsidRDefault="003E0AE8" w:rsidP="00B472BA">
            <w:pPr>
              <w:spacing w:after="0" w:line="240" w:lineRule="auto"/>
            </w:pPr>
            <w:r>
              <w:t>Time to end of RRT dependence at day 60</w:t>
            </w:r>
          </w:p>
        </w:tc>
        <w:tc>
          <w:tcPr>
            <w:tcW w:w="1701" w:type="dxa"/>
            <w:noWrap/>
            <w:vAlign w:val="center"/>
            <w:hideMark/>
          </w:tcPr>
          <w:p w:rsidR="003E0AE8" w:rsidRDefault="003E0AE8" w:rsidP="00B472BA">
            <w:pPr>
              <w:spacing w:after="0" w:line="240" w:lineRule="auto"/>
              <w:jc w:val="center"/>
            </w:pPr>
            <w:r>
              <w:t>3</w:t>
            </w:r>
          </w:p>
        </w:tc>
        <w:tc>
          <w:tcPr>
            <w:tcW w:w="2069" w:type="dxa"/>
            <w:noWrap/>
            <w:vAlign w:val="center"/>
            <w:hideMark/>
          </w:tcPr>
          <w:p w:rsidR="003E0AE8" w:rsidRDefault="003E0AE8" w:rsidP="00B472BA">
            <w:pPr>
              <w:spacing w:after="0" w:line="240" w:lineRule="auto"/>
            </w:pPr>
            <w:r>
              <w:t>0.93 (0.84 - 1.03)</w:t>
            </w:r>
          </w:p>
        </w:tc>
        <w:tc>
          <w:tcPr>
            <w:tcW w:w="1444" w:type="dxa"/>
            <w:gridSpan w:val="2"/>
            <w:vAlign w:val="center"/>
            <w:hideMark/>
          </w:tcPr>
          <w:p w:rsidR="003E0AE8" w:rsidRDefault="003E0AE8" w:rsidP="00B472BA">
            <w:pPr>
              <w:spacing w:after="0" w:line="240" w:lineRule="auto"/>
            </w:pPr>
            <w:r>
              <w:t>0.18</w:t>
            </w:r>
          </w:p>
        </w:tc>
      </w:tr>
      <w:tr w:rsidR="003E0AE8" w:rsidTr="00B472BA">
        <w:trPr>
          <w:trHeight w:val="395"/>
        </w:trPr>
        <w:tc>
          <w:tcPr>
            <w:tcW w:w="4111" w:type="dxa"/>
            <w:noWrap/>
            <w:vAlign w:val="center"/>
            <w:hideMark/>
          </w:tcPr>
          <w:p w:rsidR="003E0AE8" w:rsidRDefault="003E0AE8" w:rsidP="00B472BA">
            <w:pPr>
              <w:spacing w:after="0" w:line="240" w:lineRule="auto"/>
            </w:pPr>
            <w:r>
              <w:t>Time to end of RRT dependence at day 90</w:t>
            </w:r>
          </w:p>
        </w:tc>
        <w:tc>
          <w:tcPr>
            <w:tcW w:w="1701" w:type="dxa"/>
            <w:noWrap/>
            <w:vAlign w:val="center"/>
            <w:hideMark/>
          </w:tcPr>
          <w:p w:rsidR="003E0AE8" w:rsidRDefault="003E0AE8" w:rsidP="00B472BA">
            <w:pPr>
              <w:spacing w:after="0" w:line="240" w:lineRule="auto"/>
              <w:jc w:val="center"/>
            </w:pPr>
            <w:r>
              <w:t>2</w:t>
            </w:r>
          </w:p>
        </w:tc>
        <w:tc>
          <w:tcPr>
            <w:tcW w:w="2069" w:type="dxa"/>
            <w:noWrap/>
            <w:vAlign w:val="center"/>
            <w:hideMark/>
          </w:tcPr>
          <w:p w:rsidR="003E0AE8" w:rsidRDefault="003E0AE8" w:rsidP="00B472BA">
            <w:pPr>
              <w:spacing w:after="0" w:line="240" w:lineRule="auto"/>
            </w:pPr>
            <w:r>
              <w:t>0.97 (0.86 – 1.10)</w:t>
            </w:r>
          </w:p>
        </w:tc>
        <w:tc>
          <w:tcPr>
            <w:tcW w:w="1444" w:type="dxa"/>
            <w:gridSpan w:val="2"/>
            <w:vAlign w:val="center"/>
            <w:hideMark/>
          </w:tcPr>
          <w:p w:rsidR="003E0AE8" w:rsidRDefault="003E0AE8" w:rsidP="00B472BA">
            <w:pPr>
              <w:spacing w:after="0" w:line="240" w:lineRule="auto"/>
            </w:pPr>
            <w:r>
              <w:t>0.61</w:t>
            </w:r>
          </w:p>
        </w:tc>
      </w:tr>
      <w:tr w:rsidR="003E0AE8" w:rsidTr="00B472BA">
        <w:trPr>
          <w:trHeight w:val="395"/>
        </w:trPr>
        <w:tc>
          <w:tcPr>
            <w:tcW w:w="4111" w:type="dxa"/>
            <w:noWrap/>
            <w:vAlign w:val="center"/>
            <w:hideMark/>
          </w:tcPr>
          <w:p w:rsidR="003E0AE8" w:rsidRDefault="003E0AE8" w:rsidP="00B472BA">
            <w:pPr>
              <w:spacing w:after="0" w:line="240" w:lineRule="auto"/>
              <w:rPr>
                <w:b/>
              </w:rPr>
            </w:pPr>
            <w:r>
              <w:rPr>
                <w:b/>
              </w:rPr>
              <w:t>IRRT trials*</w:t>
            </w:r>
          </w:p>
        </w:tc>
        <w:tc>
          <w:tcPr>
            <w:tcW w:w="1701" w:type="dxa"/>
            <w:noWrap/>
            <w:vAlign w:val="center"/>
          </w:tcPr>
          <w:p w:rsidR="003E0AE8" w:rsidRDefault="003E0AE8" w:rsidP="00B472BA">
            <w:pPr>
              <w:spacing w:after="0" w:line="240" w:lineRule="auto"/>
              <w:jc w:val="center"/>
            </w:pPr>
          </w:p>
        </w:tc>
        <w:tc>
          <w:tcPr>
            <w:tcW w:w="2069" w:type="dxa"/>
            <w:noWrap/>
            <w:vAlign w:val="center"/>
          </w:tcPr>
          <w:p w:rsidR="003E0AE8" w:rsidRDefault="003E0AE8" w:rsidP="00B472BA">
            <w:pPr>
              <w:spacing w:after="0" w:line="240" w:lineRule="auto"/>
            </w:pPr>
          </w:p>
        </w:tc>
        <w:tc>
          <w:tcPr>
            <w:tcW w:w="1444" w:type="dxa"/>
            <w:gridSpan w:val="2"/>
            <w:vAlign w:val="center"/>
          </w:tcPr>
          <w:p w:rsidR="003E0AE8" w:rsidRDefault="003E0AE8" w:rsidP="00B472BA">
            <w:pPr>
              <w:spacing w:after="0" w:line="240" w:lineRule="auto"/>
            </w:pPr>
          </w:p>
        </w:tc>
      </w:tr>
      <w:tr w:rsidR="003E0AE8" w:rsidTr="00B472BA">
        <w:trPr>
          <w:trHeight w:val="395"/>
        </w:trPr>
        <w:tc>
          <w:tcPr>
            <w:tcW w:w="4111" w:type="dxa"/>
            <w:vAlign w:val="center"/>
            <w:hideMark/>
          </w:tcPr>
          <w:p w:rsidR="003E0AE8" w:rsidRDefault="003E0AE8" w:rsidP="00B472BA">
            <w:pPr>
              <w:spacing w:after="0" w:line="240" w:lineRule="auto"/>
            </w:pPr>
            <w:r>
              <w:t>Time to end of RRT dependence at day 28</w:t>
            </w:r>
          </w:p>
        </w:tc>
        <w:tc>
          <w:tcPr>
            <w:tcW w:w="1701" w:type="dxa"/>
            <w:noWrap/>
            <w:vAlign w:val="center"/>
            <w:hideMark/>
          </w:tcPr>
          <w:p w:rsidR="003E0AE8" w:rsidRDefault="003E0AE8" w:rsidP="00B472BA">
            <w:pPr>
              <w:spacing w:after="0" w:line="240" w:lineRule="auto"/>
              <w:jc w:val="center"/>
            </w:pPr>
            <w:r>
              <w:t>2</w:t>
            </w:r>
          </w:p>
        </w:tc>
        <w:tc>
          <w:tcPr>
            <w:tcW w:w="2069" w:type="dxa"/>
            <w:noWrap/>
            <w:vAlign w:val="center"/>
            <w:hideMark/>
          </w:tcPr>
          <w:p w:rsidR="003E0AE8" w:rsidRDefault="003E0AE8" w:rsidP="00B472BA">
            <w:pPr>
              <w:spacing w:after="0" w:line="240" w:lineRule="auto"/>
            </w:pPr>
            <w:r>
              <w:t>0.78 (0.65-0.94)</w:t>
            </w:r>
          </w:p>
        </w:tc>
        <w:tc>
          <w:tcPr>
            <w:tcW w:w="1444" w:type="dxa"/>
            <w:gridSpan w:val="2"/>
            <w:vAlign w:val="center"/>
            <w:hideMark/>
          </w:tcPr>
          <w:p w:rsidR="003E0AE8" w:rsidRDefault="003E0AE8" w:rsidP="00B472BA">
            <w:pPr>
              <w:spacing w:after="0" w:line="240" w:lineRule="auto"/>
            </w:pPr>
            <w:r>
              <w:t>0.009</w:t>
            </w:r>
          </w:p>
        </w:tc>
      </w:tr>
      <w:tr w:rsidR="003E0AE8" w:rsidTr="00B472BA">
        <w:trPr>
          <w:trHeight w:val="395"/>
        </w:trPr>
        <w:tc>
          <w:tcPr>
            <w:tcW w:w="4111" w:type="dxa"/>
            <w:vAlign w:val="center"/>
            <w:hideMark/>
          </w:tcPr>
          <w:p w:rsidR="003E0AE8" w:rsidRDefault="003E0AE8" w:rsidP="00B472BA">
            <w:pPr>
              <w:spacing w:after="0" w:line="240" w:lineRule="auto"/>
            </w:pPr>
            <w:r>
              <w:t>Time to end of RRT dependence at day 60</w:t>
            </w:r>
          </w:p>
        </w:tc>
        <w:tc>
          <w:tcPr>
            <w:tcW w:w="1701" w:type="dxa"/>
            <w:noWrap/>
            <w:vAlign w:val="center"/>
            <w:hideMark/>
          </w:tcPr>
          <w:p w:rsidR="003E0AE8" w:rsidRDefault="003E0AE8" w:rsidP="00B472BA">
            <w:pPr>
              <w:spacing w:after="0" w:line="240" w:lineRule="auto"/>
              <w:jc w:val="center"/>
            </w:pPr>
            <w:r>
              <w:t>1</w:t>
            </w:r>
          </w:p>
        </w:tc>
        <w:tc>
          <w:tcPr>
            <w:tcW w:w="2069" w:type="dxa"/>
            <w:noWrap/>
            <w:vAlign w:val="center"/>
            <w:hideMark/>
          </w:tcPr>
          <w:p w:rsidR="003E0AE8" w:rsidRDefault="003E0AE8" w:rsidP="00B472BA">
            <w:pPr>
              <w:spacing w:after="0" w:line="240" w:lineRule="auto"/>
            </w:pPr>
            <w:r>
              <w:t>0.90 (0.75-1.08)</w:t>
            </w:r>
          </w:p>
        </w:tc>
        <w:tc>
          <w:tcPr>
            <w:tcW w:w="1444" w:type="dxa"/>
            <w:gridSpan w:val="2"/>
            <w:vAlign w:val="center"/>
            <w:hideMark/>
          </w:tcPr>
          <w:p w:rsidR="003E0AE8" w:rsidRDefault="003E0AE8" w:rsidP="00B472BA">
            <w:pPr>
              <w:spacing w:after="0" w:line="240" w:lineRule="auto"/>
            </w:pPr>
            <w:r>
              <w:t>0.30</w:t>
            </w:r>
          </w:p>
        </w:tc>
      </w:tr>
      <w:tr w:rsidR="003E0AE8" w:rsidTr="00B472BA">
        <w:trPr>
          <w:trHeight w:val="395"/>
        </w:trPr>
        <w:tc>
          <w:tcPr>
            <w:tcW w:w="4111" w:type="dxa"/>
            <w:vAlign w:val="center"/>
            <w:hideMark/>
          </w:tcPr>
          <w:p w:rsidR="003E0AE8" w:rsidRDefault="003E0AE8" w:rsidP="00B472BA">
            <w:pPr>
              <w:spacing w:after="0" w:line="240" w:lineRule="auto"/>
              <w:rPr>
                <w:b/>
              </w:rPr>
            </w:pPr>
            <w:r>
              <w:rPr>
                <w:b/>
              </w:rPr>
              <w:t>CRRT trials#</w:t>
            </w:r>
          </w:p>
        </w:tc>
        <w:tc>
          <w:tcPr>
            <w:tcW w:w="1701" w:type="dxa"/>
            <w:noWrap/>
            <w:vAlign w:val="center"/>
          </w:tcPr>
          <w:p w:rsidR="003E0AE8" w:rsidRDefault="003E0AE8" w:rsidP="00B472BA">
            <w:pPr>
              <w:spacing w:after="0" w:line="240" w:lineRule="auto"/>
              <w:jc w:val="center"/>
            </w:pPr>
          </w:p>
        </w:tc>
        <w:tc>
          <w:tcPr>
            <w:tcW w:w="2069" w:type="dxa"/>
            <w:noWrap/>
            <w:vAlign w:val="center"/>
          </w:tcPr>
          <w:p w:rsidR="003E0AE8" w:rsidRDefault="003E0AE8" w:rsidP="00B472BA">
            <w:pPr>
              <w:spacing w:after="0" w:line="240" w:lineRule="auto"/>
            </w:pPr>
          </w:p>
        </w:tc>
        <w:tc>
          <w:tcPr>
            <w:tcW w:w="1444" w:type="dxa"/>
            <w:gridSpan w:val="2"/>
            <w:vAlign w:val="center"/>
          </w:tcPr>
          <w:p w:rsidR="003E0AE8" w:rsidRDefault="003E0AE8" w:rsidP="00B472BA">
            <w:pPr>
              <w:spacing w:after="0" w:line="240" w:lineRule="auto"/>
            </w:pPr>
          </w:p>
        </w:tc>
      </w:tr>
      <w:tr w:rsidR="003E0AE8" w:rsidTr="00B472BA">
        <w:trPr>
          <w:trHeight w:val="395"/>
        </w:trPr>
        <w:tc>
          <w:tcPr>
            <w:tcW w:w="4111" w:type="dxa"/>
            <w:vAlign w:val="center"/>
            <w:hideMark/>
          </w:tcPr>
          <w:p w:rsidR="003E0AE8" w:rsidRDefault="003E0AE8" w:rsidP="00B472BA">
            <w:pPr>
              <w:spacing w:after="0" w:line="240" w:lineRule="auto"/>
            </w:pPr>
            <w:r>
              <w:t>Time to end of RRT dependence at day 28</w:t>
            </w:r>
          </w:p>
        </w:tc>
        <w:tc>
          <w:tcPr>
            <w:tcW w:w="1701" w:type="dxa"/>
            <w:noWrap/>
            <w:vAlign w:val="center"/>
            <w:hideMark/>
          </w:tcPr>
          <w:p w:rsidR="003E0AE8" w:rsidRDefault="003E0AE8" w:rsidP="00B472BA">
            <w:pPr>
              <w:spacing w:after="0" w:line="240" w:lineRule="auto"/>
              <w:jc w:val="center"/>
            </w:pPr>
            <w:r>
              <w:t>2</w:t>
            </w:r>
          </w:p>
        </w:tc>
        <w:tc>
          <w:tcPr>
            <w:tcW w:w="2069" w:type="dxa"/>
            <w:noWrap/>
            <w:vAlign w:val="center"/>
            <w:hideMark/>
          </w:tcPr>
          <w:p w:rsidR="003E0AE8" w:rsidRDefault="003E0AE8" w:rsidP="00B472BA">
            <w:pPr>
              <w:spacing w:after="0" w:line="240" w:lineRule="auto"/>
            </w:pPr>
            <w:r>
              <w:t>0.99 (0.87-1.12)</w:t>
            </w:r>
          </w:p>
        </w:tc>
        <w:tc>
          <w:tcPr>
            <w:tcW w:w="1444" w:type="dxa"/>
            <w:gridSpan w:val="2"/>
            <w:vAlign w:val="center"/>
            <w:hideMark/>
          </w:tcPr>
          <w:p w:rsidR="003E0AE8" w:rsidRDefault="003E0AE8" w:rsidP="00B472BA">
            <w:pPr>
              <w:spacing w:after="0" w:line="240" w:lineRule="auto"/>
            </w:pPr>
            <w:r>
              <w:t>0.80</w:t>
            </w:r>
          </w:p>
        </w:tc>
      </w:tr>
      <w:tr w:rsidR="003E0AE8" w:rsidTr="00B472BA">
        <w:trPr>
          <w:trHeight w:val="395"/>
        </w:trPr>
        <w:tc>
          <w:tcPr>
            <w:tcW w:w="4111" w:type="dxa"/>
            <w:vAlign w:val="center"/>
            <w:hideMark/>
          </w:tcPr>
          <w:p w:rsidR="003E0AE8" w:rsidRDefault="003E0AE8" w:rsidP="00B472BA">
            <w:pPr>
              <w:spacing w:after="0" w:line="240" w:lineRule="auto"/>
            </w:pPr>
            <w:r>
              <w:t>Time to end of RRT dependence at day 60</w:t>
            </w:r>
          </w:p>
        </w:tc>
        <w:tc>
          <w:tcPr>
            <w:tcW w:w="1701" w:type="dxa"/>
            <w:noWrap/>
            <w:vAlign w:val="center"/>
            <w:hideMark/>
          </w:tcPr>
          <w:p w:rsidR="003E0AE8" w:rsidRDefault="003E0AE8" w:rsidP="00B472BA">
            <w:pPr>
              <w:spacing w:after="0" w:line="240" w:lineRule="auto"/>
              <w:jc w:val="center"/>
            </w:pPr>
            <w:r>
              <w:t>2</w:t>
            </w:r>
          </w:p>
        </w:tc>
        <w:tc>
          <w:tcPr>
            <w:tcW w:w="2069" w:type="dxa"/>
            <w:noWrap/>
            <w:vAlign w:val="center"/>
            <w:hideMark/>
          </w:tcPr>
          <w:p w:rsidR="003E0AE8" w:rsidRDefault="003E0AE8" w:rsidP="00B472BA">
            <w:pPr>
              <w:spacing w:after="0" w:line="240" w:lineRule="auto"/>
            </w:pPr>
            <w:r>
              <w:t>0.96 (0.85-1.09)</w:t>
            </w:r>
          </w:p>
        </w:tc>
        <w:tc>
          <w:tcPr>
            <w:tcW w:w="1444" w:type="dxa"/>
            <w:gridSpan w:val="2"/>
            <w:vAlign w:val="center"/>
            <w:hideMark/>
          </w:tcPr>
          <w:p w:rsidR="003E0AE8" w:rsidRDefault="003E0AE8" w:rsidP="00B472BA">
            <w:pPr>
              <w:spacing w:after="0" w:line="240" w:lineRule="auto"/>
            </w:pPr>
            <w:r>
              <w:t>0.50</w:t>
            </w:r>
          </w:p>
        </w:tc>
      </w:tr>
      <w:tr w:rsidR="003E0AE8" w:rsidTr="00B472BA">
        <w:trPr>
          <w:trHeight w:val="395"/>
        </w:trPr>
        <w:tc>
          <w:tcPr>
            <w:tcW w:w="4111" w:type="dxa"/>
            <w:tcBorders>
              <w:top w:val="nil"/>
              <w:left w:val="nil"/>
              <w:bottom w:val="single" w:sz="4" w:space="0" w:color="auto"/>
              <w:right w:val="nil"/>
            </w:tcBorders>
            <w:vAlign w:val="center"/>
            <w:hideMark/>
          </w:tcPr>
          <w:p w:rsidR="003E0AE8" w:rsidRDefault="003E0AE8" w:rsidP="00B472BA">
            <w:pPr>
              <w:spacing w:after="0" w:line="240" w:lineRule="auto"/>
            </w:pPr>
            <w:r>
              <w:t>Time to end of RRT dependence at day 90</w:t>
            </w:r>
          </w:p>
        </w:tc>
        <w:tc>
          <w:tcPr>
            <w:tcW w:w="1701" w:type="dxa"/>
            <w:tcBorders>
              <w:top w:val="nil"/>
              <w:left w:val="nil"/>
              <w:bottom w:val="single" w:sz="4" w:space="0" w:color="auto"/>
              <w:right w:val="nil"/>
            </w:tcBorders>
            <w:noWrap/>
            <w:vAlign w:val="center"/>
            <w:hideMark/>
          </w:tcPr>
          <w:p w:rsidR="003E0AE8" w:rsidRDefault="003E0AE8" w:rsidP="00B472BA">
            <w:pPr>
              <w:spacing w:after="0" w:line="240" w:lineRule="auto"/>
              <w:jc w:val="center"/>
            </w:pPr>
            <w:r>
              <w:t>2</w:t>
            </w:r>
          </w:p>
        </w:tc>
        <w:tc>
          <w:tcPr>
            <w:tcW w:w="2069" w:type="dxa"/>
            <w:tcBorders>
              <w:top w:val="nil"/>
              <w:left w:val="nil"/>
              <w:bottom w:val="single" w:sz="4" w:space="0" w:color="auto"/>
              <w:right w:val="nil"/>
            </w:tcBorders>
            <w:noWrap/>
            <w:vAlign w:val="center"/>
            <w:hideMark/>
          </w:tcPr>
          <w:p w:rsidR="003E0AE8" w:rsidRDefault="003E0AE8" w:rsidP="00B472BA">
            <w:pPr>
              <w:spacing w:after="0" w:line="240" w:lineRule="auto"/>
            </w:pPr>
            <w:r>
              <w:t>0.97 (0.86-1.10)</w:t>
            </w:r>
          </w:p>
        </w:tc>
        <w:tc>
          <w:tcPr>
            <w:tcW w:w="1444" w:type="dxa"/>
            <w:gridSpan w:val="2"/>
            <w:tcBorders>
              <w:top w:val="nil"/>
              <w:left w:val="nil"/>
              <w:bottom w:val="single" w:sz="4" w:space="0" w:color="auto"/>
              <w:right w:val="nil"/>
            </w:tcBorders>
            <w:vAlign w:val="center"/>
            <w:hideMark/>
          </w:tcPr>
          <w:p w:rsidR="003E0AE8" w:rsidRDefault="003E0AE8" w:rsidP="00B472BA">
            <w:pPr>
              <w:spacing w:after="0" w:line="240" w:lineRule="auto"/>
            </w:pPr>
            <w:r>
              <w:t>0.60</w:t>
            </w:r>
          </w:p>
        </w:tc>
      </w:tr>
    </w:tbl>
    <w:p w:rsidR="003E0AE8" w:rsidRDefault="003E0AE8" w:rsidP="003E0AE8">
      <w:pPr>
        <w:spacing w:after="0" w:line="240" w:lineRule="auto"/>
      </w:pPr>
    </w:p>
    <w:p w:rsidR="003E0AE8" w:rsidRDefault="003E0AE8" w:rsidP="003E0AE8">
      <w:r>
        <w:br w:type="page"/>
      </w:r>
    </w:p>
    <w:p w:rsidR="003E0AE8" w:rsidRDefault="003E0AE8" w:rsidP="003E0AE8">
      <w:pPr>
        <w:autoSpaceDE w:val="0"/>
        <w:autoSpaceDN w:val="0"/>
        <w:adjustRightInd w:val="0"/>
        <w:spacing w:after="0" w:line="240" w:lineRule="auto"/>
        <w:rPr>
          <w:rFonts w:eastAsia="Times New Roman"/>
          <w:color w:val="000000"/>
          <w:sz w:val="24"/>
          <w:szCs w:val="24"/>
          <w:lang w:eastAsia="ja-JP"/>
        </w:rPr>
      </w:pPr>
      <w:r w:rsidRPr="00A36D29">
        <w:rPr>
          <w:rFonts w:cs="Avenir-Book"/>
          <w:b/>
          <w:sz w:val="24"/>
          <w:szCs w:val="24"/>
        </w:rPr>
        <w:t>Supplementary Table 3: Hazard of RRT independence at different time points comparing higher intensity to standard intensity RRT groups, stratified by treatment group (a patient level analysis)</w:t>
      </w:r>
    </w:p>
    <w:p w:rsidR="003E0AE8" w:rsidRDefault="003E0AE8" w:rsidP="003E0AE8">
      <w:pPr>
        <w:autoSpaceDE w:val="0"/>
        <w:autoSpaceDN w:val="0"/>
        <w:adjustRightInd w:val="0"/>
        <w:spacing w:after="0" w:line="240" w:lineRule="auto"/>
        <w:rPr>
          <w:rFonts w:cs="Avenir-Book"/>
          <w:b/>
          <w:color w:val="FF0000"/>
          <w:sz w:val="24"/>
          <w:szCs w:val="24"/>
        </w:rPr>
      </w:pPr>
    </w:p>
    <w:tbl>
      <w:tblPr>
        <w:tblpPr w:leftFromText="180" w:rightFromText="180" w:bottomFromText="200" w:vertAnchor="text" w:tblpY="188"/>
        <w:tblW w:w="9325" w:type="dxa"/>
        <w:tblLook w:val="04A0" w:firstRow="1" w:lastRow="0" w:firstColumn="1" w:lastColumn="0" w:noHBand="0" w:noVBand="1"/>
      </w:tblPr>
      <w:tblGrid>
        <w:gridCol w:w="4111"/>
        <w:gridCol w:w="1701"/>
        <w:gridCol w:w="2069"/>
        <w:gridCol w:w="447"/>
        <w:gridCol w:w="997"/>
      </w:tblGrid>
      <w:tr w:rsidR="003E0AE8" w:rsidTr="00B472BA">
        <w:trPr>
          <w:gridAfter w:val="1"/>
          <w:wAfter w:w="997" w:type="dxa"/>
          <w:trHeight w:val="395"/>
        </w:trPr>
        <w:tc>
          <w:tcPr>
            <w:tcW w:w="4111" w:type="dxa"/>
            <w:vMerge w:val="restart"/>
            <w:tcBorders>
              <w:top w:val="single" w:sz="4" w:space="0" w:color="auto"/>
              <w:left w:val="nil"/>
              <w:bottom w:val="single" w:sz="4" w:space="0" w:color="000000"/>
              <w:right w:val="nil"/>
            </w:tcBorders>
            <w:hideMark/>
          </w:tcPr>
          <w:p w:rsidR="003E0AE8" w:rsidRDefault="003E0AE8" w:rsidP="00B472BA">
            <w:pPr>
              <w:spacing w:after="0" w:line="240" w:lineRule="auto"/>
              <w:ind w:right="1682"/>
              <w:jc w:val="center"/>
              <w:rPr>
                <w:rFonts w:eastAsia="Times New Roman"/>
                <w:color w:val="000000"/>
                <w:lang w:eastAsia="ja-JP"/>
              </w:rPr>
            </w:pPr>
            <w:r>
              <w:rPr>
                <w:rFonts w:eastAsia="Times New Roman"/>
                <w:color w:val="000000"/>
                <w:lang w:eastAsia="ja-JP"/>
              </w:rPr>
              <w:t>Outcomes</w:t>
            </w:r>
          </w:p>
        </w:tc>
        <w:tc>
          <w:tcPr>
            <w:tcW w:w="1701" w:type="dxa"/>
            <w:vMerge w:val="restart"/>
            <w:tcBorders>
              <w:top w:val="single" w:sz="4" w:space="0" w:color="auto"/>
              <w:left w:val="nil"/>
              <w:bottom w:val="single" w:sz="4" w:space="0" w:color="000000"/>
              <w:right w:val="nil"/>
            </w:tcBorders>
            <w:noWrap/>
            <w:hideMark/>
          </w:tcPr>
          <w:p w:rsidR="003E0AE8" w:rsidRDefault="003E0AE8" w:rsidP="00B472BA">
            <w:pPr>
              <w:spacing w:after="0" w:line="240" w:lineRule="auto"/>
              <w:rPr>
                <w:rFonts w:eastAsia="Times New Roman"/>
                <w:color w:val="000000"/>
                <w:lang w:eastAsia="ja-JP"/>
              </w:rPr>
            </w:pPr>
            <w:r>
              <w:rPr>
                <w:rFonts w:eastAsia="Times New Roman"/>
                <w:color w:val="000000"/>
                <w:lang w:eastAsia="ja-JP"/>
              </w:rPr>
              <w:t>Trial numbers</w:t>
            </w:r>
          </w:p>
        </w:tc>
        <w:tc>
          <w:tcPr>
            <w:tcW w:w="2516" w:type="dxa"/>
            <w:gridSpan w:val="2"/>
            <w:tcBorders>
              <w:top w:val="single" w:sz="4" w:space="0" w:color="auto"/>
              <w:left w:val="nil"/>
              <w:bottom w:val="single" w:sz="4" w:space="0" w:color="auto"/>
              <w:right w:val="nil"/>
            </w:tcBorders>
            <w:noWrap/>
            <w:vAlign w:val="center"/>
            <w:hideMark/>
          </w:tcPr>
          <w:p w:rsidR="003E0AE8" w:rsidRDefault="003E0AE8" w:rsidP="00B472BA">
            <w:pPr>
              <w:spacing w:after="0" w:line="240" w:lineRule="auto"/>
              <w:rPr>
                <w:rFonts w:eastAsia="Times New Roman"/>
                <w:color w:val="000000"/>
                <w:lang w:eastAsia="ja-JP"/>
              </w:rPr>
            </w:pPr>
            <w:r>
              <w:rPr>
                <w:rFonts w:eastAsia="Times New Roman"/>
                <w:color w:val="000000"/>
                <w:lang w:eastAsia="ja-JP"/>
              </w:rPr>
              <w:t xml:space="preserve">           Pooled estimate</w:t>
            </w:r>
          </w:p>
        </w:tc>
      </w:tr>
      <w:tr w:rsidR="003E0AE8" w:rsidTr="00B472BA">
        <w:trPr>
          <w:trHeight w:val="395"/>
        </w:trPr>
        <w:tc>
          <w:tcPr>
            <w:tcW w:w="0" w:type="auto"/>
            <w:vMerge/>
            <w:tcBorders>
              <w:top w:val="single" w:sz="4" w:space="0" w:color="auto"/>
              <w:left w:val="nil"/>
              <w:bottom w:val="single" w:sz="4" w:space="0" w:color="000000"/>
              <w:right w:val="nil"/>
            </w:tcBorders>
            <w:vAlign w:val="center"/>
            <w:hideMark/>
          </w:tcPr>
          <w:p w:rsidR="003E0AE8" w:rsidRDefault="003E0AE8" w:rsidP="00B472BA">
            <w:pPr>
              <w:spacing w:after="0" w:line="240" w:lineRule="auto"/>
              <w:rPr>
                <w:rFonts w:eastAsia="Times New Roman"/>
                <w:color w:val="000000"/>
                <w:lang w:eastAsia="ja-JP"/>
              </w:rPr>
            </w:pPr>
          </w:p>
        </w:tc>
        <w:tc>
          <w:tcPr>
            <w:tcW w:w="0" w:type="auto"/>
            <w:vMerge/>
            <w:tcBorders>
              <w:top w:val="single" w:sz="4" w:space="0" w:color="auto"/>
              <w:left w:val="nil"/>
              <w:bottom w:val="single" w:sz="4" w:space="0" w:color="000000"/>
              <w:right w:val="nil"/>
            </w:tcBorders>
            <w:vAlign w:val="center"/>
            <w:hideMark/>
          </w:tcPr>
          <w:p w:rsidR="003E0AE8" w:rsidRDefault="003E0AE8" w:rsidP="00B472BA">
            <w:pPr>
              <w:spacing w:after="0" w:line="240" w:lineRule="auto"/>
              <w:rPr>
                <w:rFonts w:eastAsia="Times New Roman"/>
                <w:color w:val="000000"/>
                <w:lang w:eastAsia="ja-JP"/>
              </w:rPr>
            </w:pPr>
          </w:p>
        </w:tc>
        <w:tc>
          <w:tcPr>
            <w:tcW w:w="2069" w:type="dxa"/>
            <w:tcBorders>
              <w:top w:val="nil"/>
              <w:left w:val="nil"/>
              <w:bottom w:val="single" w:sz="4" w:space="0" w:color="auto"/>
              <w:right w:val="nil"/>
            </w:tcBorders>
            <w:noWrap/>
            <w:vAlign w:val="center"/>
            <w:hideMark/>
          </w:tcPr>
          <w:p w:rsidR="003E0AE8" w:rsidRDefault="003E0AE8" w:rsidP="00B472BA">
            <w:pPr>
              <w:spacing w:after="0" w:line="240" w:lineRule="auto"/>
              <w:jc w:val="center"/>
              <w:rPr>
                <w:rFonts w:eastAsia="Times New Roman"/>
                <w:color w:val="000000"/>
                <w:lang w:eastAsia="ja-JP"/>
              </w:rPr>
            </w:pPr>
            <w:r>
              <w:rPr>
                <w:rFonts w:eastAsia="Times New Roman"/>
                <w:color w:val="000000"/>
                <w:lang w:eastAsia="ja-JP"/>
              </w:rPr>
              <w:t>HR (95% CI)</w:t>
            </w:r>
          </w:p>
        </w:tc>
        <w:tc>
          <w:tcPr>
            <w:tcW w:w="1444" w:type="dxa"/>
            <w:gridSpan w:val="2"/>
            <w:tcBorders>
              <w:top w:val="nil"/>
              <w:left w:val="nil"/>
              <w:bottom w:val="single" w:sz="4" w:space="0" w:color="auto"/>
              <w:right w:val="nil"/>
            </w:tcBorders>
            <w:noWrap/>
            <w:vAlign w:val="center"/>
            <w:hideMark/>
          </w:tcPr>
          <w:p w:rsidR="003E0AE8" w:rsidRDefault="003E0AE8" w:rsidP="00B472BA">
            <w:pPr>
              <w:spacing w:after="0" w:line="240" w:lineRule="auto"/>
              <w:rPr>
                <w:rFonts w:eastAsia="Times New Roman"/>
                <w:color w:val="000000"/>
                <w:lang w:eastAsia="ja-JP"/>
              </w:rPr>
            </w:pPr>
            <w:r>
              <w:rPr>
                <w:rFonts w:eastAsia="Times New Roman"/>
                <w:color w:val="000000"/>
                <w:lang w:eastAsia="ja-JP"/>
              </w:rPr>
              <w:t>P value</w:t>
            </w:r>
          </w:p>
        </w:tc>
      </w:tr>
      <w:tr w:rsidR="003E0AE8" w:rsidTr="00B472BA">
        <w:trPr>
          <w:trHeight w:val="395"/>
        </w:trPr>
        <w:tc>
          <w:tcPr>
            <w:tcW w:w="4111" w:type="dxa"/>
            <w:noWrap/>
            <w:vAlign w:val="center"/>
            <w:hideMark/>
          </w:tcPr>
          <w:p w:rsidR="003E0AE8" w:rsidRDefault="003E0AE8" w:rsidP="00B472BA">
            <w:pPr>
              <w:spacing w:after="0" w:line="240" w:lineRule="auto"/>
              <w:rPr>
                <w:rFonts w:eastAsia="Times New Roman"/>
                <w:b/>
                <w:color w:val="000000"/>
                <w:lang w:eastAsia="ja-JP"/>
              </w:rPr>
            </w:pPr>
            <w:r>
              <w:rPr>
                <w:rFonts w:eastAsia="Times New Roman"/>
                <w:b/>
                <w:color w:val="000000"/>
                <w:lang w:eastAsia="ja-JP"/>
              </w:rPr>
              <w:t>All trials</w:t>
            </w:r>
          </w:p>
        </w:tc>
        <w:tc>
          <w:tcPr>
            <w:tcW w:w="1701" w:type="dxa"/>
            <w:noWrap/>
            <w:vAlign w:val="center"/>
          </w:tcPr>
          <w:p w:rsidR="003E0AE8" w:rsidRDefault="003E0AE8" w:rsidP="00B472BA">
            <w:pPr>
              <w:spacing w:after="0" w:line="240" w:lineRule="auto"/>
              <w:rPr>
                <w:rFonts w:eastAsia="Times New Roman"/>
                <w:b/>
                <w:color w:val="000000"/>
                <w:lang w:eastAsia="ja-JP"/>
              </w:rPr>
            </w:pPr>
          </w:p>
        </w:tc>
        <w:tc>
          <w:tcPr>
            <w:tcW w:w="2069" w:type="dxa"/>
            <w:noWrap/>
            <w:vAlign w:val="center"/>
          </w:tcPr>
          <w:p w:rsidR="003E0AE8" w:rsidRDefault="003E0AE8" w:rsidP="00B472BA">
            <w:pPr>
              <w:spacing w:after="0" w:line="240" w:lineRule="auto"/>
              <w:jc w:val="center"/>
              <w:rPr>
                <w:rFonts w:eastAsia="Times New Roman"/>
                <w:b/>
                <w:color w:val="000000"/>
                <w:lang w:eastAsia="ja-JP"/>
              </w:rPr>
            </w:pPr>
          </w:p>
        </w:tc>
        <w:tc>
          <w:tcPr>
            <w:tcW w:w="1444" w:type="dxa"/>
            <w:gridSpan w:val="2"/>
            <w:vAlign w:val="center"/>
          </w:tcPr>
          <w:p w:rsidR="003E0AE8" w:rsidRDefault="003E0AE8" w:rsidP="00B472BA">
            <w:pPr>
              <w:spacing w:after="0" w:line="240" w:lineRule="auto"/>
              <w:jc w:val="center"/>
              <w:rPr>
                <w:rFonts w:eastAsia="Times New Roman"/>
                <w:b/>
                <w:color w:val="000000"/>
                <w:lang w:eastAsia="ja-JP"/>
              </w:rPr>
            </w:pPr>
          </w:p>
        </w:tc>
      </w:tr>
      <w:tr w:rsidR="003E0AE8" w:rsidTr="00B472BA">
        <w:trPr>
          <w:trHeight w:val="395"/>
        </w:trPr>
        <w:tc>
          <w:tcPr>
            <w:tcW w:w="4111" w:type="dxa"/>
            <w:noWrap/>
            <w:vAlign w:val="center"/>
            <w:hideMark/>
          </w:tcPr>
          <w:p w:rsidR="003E0AE8" w:rsidRDefault="003E0AE8" w:rsidP="00B472BA">
            <w:pPr>
              <w:spacing w:after="0" w:line="240" w:lineRule="auto"/>
            </w:pPr>
            <w:r>
              <w:t>Time to end of RRT dependence at day 28</w:t>
            </w:r>
          </w:p>
        </w:tc>
        <w:tc>
          <w:tcPr>
            <w:tcW w:w="1701" w:type="dxa"/>
            <w:noWrap/>
            <w:vAlign w:val="center"/>
            <w:hideMark/>
          </w:tcPr>
          <w:p w:rsidR="003E0AE8" w:rsidRDefault="003E0AE8" w:rsidP="00B472BA">
            <w:pPr>
              <w:spacing w:after="0" w:line="240" w:lineRule="auto"/>
              <w:jc w:val="center"/>
            </w:pPr>
            <w:r>
              <w:t>4</w:t>
            </w:r>
          </w:p>
        </w:tc>
        <w:tc>
          <w:tcPr>
            <w:tcW w:w="2069" w:type="dxa"/>
            <w:noWrap/>
            <w:vAlign w:val="center"/>
            <w:hideMark/>
          </w:tcPr>
          <w:p w:rsidR="003E0AE8" w:rsidRDefault="003E0AE8" w:rsidP="00B472BA">
            <w:pPr>
              <w:spacing w:after="0" w:line="240" w:lineRule="auto"/>
            </w:pPr>
            <w:r>
              <w:t>0.91 (0.82 - 1.01)</w:t>
            </w:r>
          </w:p>
        </w:tc>
        <w:tc>
          <w:tcPr>
            <w:tcW w:w="1444" w:type="dxa"/>
            <w:gridSpan w:val="2"/>
            <w:vAlign w:val="center"/>
            <w:hideMark/>
          </w:tcPr>
          <w:p w:rsidR="003E0AE8" w:rsidRDefault="003E0AE8" w:rsidP="00B472BA">
            <w:pPr>
              <w:spacing w:after="0" w:line="240" w:lineRule="auto"/>
            </w:pPr>
            <w:r>
              <w:t>0.09</w:t>
            </w:r>
          </w:p>
        </w:tc>
      </w:tr>
      <w:tr w:rsidR="003E0AE8" w:rsidTr="00B472BA">
        <w:trPr>
          <w:trHeight w:val="395"/>
        </w:trPr>
        <w:tc>
          <w:tcPr>
            <w:tcW w:w="4111" w:type="dxa"/>
            <w:noWrap/>
            <w:vAlign w:val="center"/>
            <w:hideMark/>
          </w:tcPr>
          <w:p w:rsidR="003E0AE8" w:rsidRDefault="003E0AE8" w:rsidP="00B472BA">
            <w:pPr>
              <w:spacing w:after="0" w:line="240" w:lineRule="auto"/>
            </w:pPr>
            <w:r>
              <w:t>Time to end of RRT dependence at day 60</w:t>
            </w:r>
          </w:p>
        </w:tc>
        <w:tc>
          <w:tcPr>
            <w:tcW w:w="1701" w:type="dxa"/>
            <w:noWrap/>
            <w:vAlign w:val="center"/>
            <w:hideMark/>
          </w:tcPr>
          <w:p w:rsidR="003E0AE8" w:rsidRDefault="003E0AE8" w:rsidP="00B472BA">
            <w:pPr>
              <w:spacing w:after="0" w:line="240" w:lineRule="auto"/>
              <w:jc w:val="center"/>
            </w:pPr>
            <w:r>
              <w:t>3</w:t>
            </w:r>
          </w:p>
        </w:tc>
        <w:tc>
          <w:tcPr>
            <w:tcW w:w="2069" w:type="dxa"/>
            <w:noWrap/>
            <w:vAlign w:val="center"/>
            <w:hideMark/>
          </w:tcPr>
          <w:p w:rsidR="003E0AE8" w:rsidRDefault="003E0AE8" w:rsidP="00B472BA">
            <w:pPr>
              <w:spacing w:after="0" w:line="240" w:lineRule="auto"/>
            </w:pPr>
            <w:r>
              <w:t>0.93 (0.84 - 1.03)</w:t>
            </w:r>
          </w:p>
        </w:tc>
        <w:tc>
          <w:tcPr>
            <w:tcW w:w="1444" w:type="dxa"/>
            <w:gridSpan w:val="2"/>
            <w:vAlign w:val="center"/>
            <w:hideMark/>
          </w:tcPr>
          <w:p w:rsidR="003E0AE8" w:rsidRDefault="003E0AE8" w:rsidP="00B472BA">
            <w:pPr>
              <w:spacing w:after="0" w:line="240" w:lineRule="auto"/>
            </w:pPr>
            <w:r>
              <w:t>0.18</w:t>
            </w:r>
          </w:p>
        </w:tc>
      </w:tr>
      <w:tr w:rsidR="003E0AE8" w:rsidTr="00B472BA">
        <w:trPr>
          <w:trHeight w:val="395"/>
        </w:trPr>
        <w:tc>
          <w:tcPr>
            <w:tcW w:w="4111" w:type="dxa"/>
            <w:noWrap/>
            <w:vAlign w:val="center"/>
            <w:hideMark/>
          </w:tcPr>
          <w:p w:rsidR="003E0AE8" w:rsidRDefault="003E0AE8" w:rsidP="00B472BA">
            <w:pPr>
              <w:spacing w:after="0" w:line="240" w:lineRule="auto"/>
            </w:pPr>
            <w:r>
              <w:t>Time to end of RRT dependence at day 90</w:t>
            </w:r>
          </w:p>
        </w:tc>
        <w:tc>
          <w:tcPr>
            <w:tcW w:w="1701" w:type="dxa"/>
            <w:noWrap/>
            <w:vAlign w:val="center"/>
            <w:hideMark/>
          </w:tcPr>
          <w:p w:rsidR="003E0AE8" w:rsidRDefault="003E0AE8" w:rsidP="00B472BA">
            <w:pPr>
              <w:spacing w:after="0" w:line="240" w:lineRule="auto"/>
              <w:jc w:val="center"/>
            </w:pPr>
            <w:r>
              <w:t>2</w:t>
            </w:r>
          </w:p>
        </w:tc>
        <w:tc>
          <w:tcPr>
            <w:tcW w:w="2069" w:type="dxa"/>
            <w:noWrap/>
            <w:vAlign w:val="center"/>
            <w:hideMark/>
          </w:tcPr>
          <w:p w:rsidR="003E0AE8" w:rsidRDefault="003E0AE8" w:rsidP="00B472BA">
            <w:pPr>
              <w:spacing w:after="0" w:line="240" w:lineRule="auto"/>
            </w:pPr>
            <w:r>
              <w:t>0.97 (0.86 – 1.10)</w:t>
            </w:r>
          </w:p>
        </w:tc>
        <w:tc>
          <w:tcPr>
            <w:tcW w:w="1444" w:type="dxa"/>
            <w:gridSpan w:val="2"/>
            <w:vAlign w:val="center"/>
            <w:hideMark/>
          </w:tcPr>
          <w:p w:rsidR="003E0AE8" w:rsidRDefault="003E0AE8" w:rsidP="00B472BA">
            <w:pPr>
              <w:spacing w:after="0" w:line="240" w:lineRule="auto"/>
            </w:pPr>
            <w:r>
              <w:t>0.61</w:t>
            </w:r>
          </w:p>
        </w:tc>
      </w:tr>
      <w:tr w:rsidR="003E0AE8" w:rsidTr="00B472BA">
        <w:trPr>
          <w:trHeight w:val="395"/>
        </w:trPr>
        <w:tc>
          <w:tcPr>
            <w:tcW w:w="4111" w:type="dxa"/>
            <w:noWrap/>
            <w:vAlign w:val="center"/>
            <w:hideMark/>
          </w:tcPr>
          <w:p w:rsidR="003E0AE8" w:rsidRDefault="003E0AE8" w:rsidP="00B472BA">
            <w:pPr>
              <w:spacing w:after="0" w:line="240" w:lineRule="auto"/>
              <w:rPr>
                <w:b/>
              </w:rPr>
            </w:pPr>
            <w:r>
              <w:rPr>
                <w:b/>
              </w:rPr>
              <w:t>IRRT trials*</w:t>
            </w:r>
          </w:p>
        </w:tc>
        <w:tc>
          <w:tcPr>
            <w:tcW w:w="1701" w:type="dxa"/>
            <w:noWrap/>
            <w:vAlign w:val="center"/>
          </w:tcPr>
          <w:p w:rsidR="003E0AE8" w:rsidRDefault="003E0AE8" w:rsidP="00B472BA">
            <w:pPr>
              <w:spacing w:after="0" w:line="240" w:lineRule="auto"/>
              <w:jc w:val="center"/>
            </w:pPr>
          </w:p>
        </w:tc>
        <w:tc>
          <w:tcPr>
            <w:tcW w:w="2069" w:type="dxa"/>
            <w:noWrap/>
            <w:vAlign w:val="center"/>
          </w:tcPr>
          <w:p w:rsidR="003E0AE8" w:rsidRDefault="003E0AE8" w:rsidP="00B472BA">
            <w:pPr>
              <w:spacing w:after="0" w:line="240" w:lineRule="auto"/>
            </w:pPr>
          </w:p>
        </w:tc>
        <w:tc>
          <w:tcPr>
            <w:tcW w:w="1444" w:type="dxa"/>
            <w:gridSpan w:val="2"/>
            <w:vAlign w:val="center"/>
          </w:tcPr>
          <w:p w:rsidR="003E0AE8" w:rsidRDefault="003E0AE8" w:rsidP="00B472BA">
            <w:pPr>
              <w:spacing w:after="0" w:line="240" w:lineRule="auto"/>
            </w:pPr>
          </w:p>
        </w:tc>
      </w:tr>
      <w:tr w:rsidR="003E0AE8" w:rsidTr="00B472BA">
        <w:trPr>
          <w:trHeight w:val="395"/>
        </w:trPr>
        <w:tc>
          <w:tcPr>
            <w:tcW w:w="4111" w:type="dxa"/>
            <w:vAlign w:val="center"/>
            <w:hideMark/>
          </w:tcPr>
          <w:p w:rsidR="003E0AE8" w:rsidRDefault="003E0AE8" w:rsidP="00B472BA">
            <w:pPr>
              <w:spacing w:after="0" w:line="240" w:lineRule="auto"/>
            </w:pPr>
            <w:r>
              <w:t>Time to end of RRT dependence at day 28</w:t>
            </w:r>
          </w:p>
        </w:tc>
        <w:tc>
          <w:tcPr>
            <w:tcW w:w="1701" w:type="dxa"/>
            <w:noWrap/>
            <w:vAlign w:val="center"/>
            <w:hideMark/>
          </w:tcPr>
          <w:p w:rsidR="003E0AE8" w:rsidRDefault="003E0AE8" w:rsidP="00B472BA">
            <w:pPr>
              <w:spacing w:after="0" w:line="240" w:lineRule="auto"/>
              <w:jc w:val="center"/>
            </w:pPr>
            <w:r>
              <w:t>2</w:t>
            </w:r>
          </w:p>
        </w:tc>
        <w:tc>
          <w:tcPr>
            <w:tcW w:w="2069" w:type="dxa"/>
            <w:noWrap/>
            <w:vAlign w:val="center"/>
            <w:hideMark/>
          </w:tcPr>
          <w:p w:rsidR="003E0AE8" w:rsidRDefault="003E0AE8" w:rsidP="00B472BA">
            <w:pPr>
              <w:spacing w:after="0" w:line="240" w:lineRule="auto"/>
            </w:pPr>
            <w:r>
              <w:t>0.78 (0.64-0.95)</w:t>
            </w:r>
          </w:p>
        </w:tc>
        <w:tc>
          <w:tcPr>
            <w:tcW w:w="1444" w:type="dxa"/>
            <w:gridSpan w:val="2"/>
            <w:vAlign w:val="center"/>
            <w:hideMark/>
          </w:tcPr>
          <w:p w:rsidR="003E0AE8" w:rsidRDefault="003E0AE8" w:rsidP="00B472BA">
            <w:pPr>
              <w:spacing w:after="0" w:line="240" w:lineRule="auto"/>
            </w:pPr>
            <w:r>
              <w:t>0.01</w:t>
            </w:r>
          </w:p>
        </w:tc>
      </w:tr>
      <w:tr w:rsidR="003E0AE8" w:rsidTr="00B472BA">
        <w:trPr>
          <w:trHeight w:val="395"/>
        </w:trPr>
        <w:tc>
          <w:tcPr>
            <w:tcW w:w="4111" w:type="dxa"/>
            <w:vAlign w:val="center"/>
            <w:hideMark/>
          </w:tcPr>
          <w:p w:rsidR="003E0AE8" w:rsidRDefault="003E0AE8" w:rsidP="00B472BA">
            <w:pPr>
              <w:spacing w:after="0" w:line="240" w:lineRule="auto"/>
            </w:pPr>
            <w:r>
              <w:t>Time to end of RRT dependence at day 60</w:t>
            </w:r>
          </w:p>
        </w:tc>
        <w:tc>
          <w:tcPr>
            <w:tcW w:w="1701" w:type="dxa"/>
            <w:noWrap/>
            <w:vAlign w:val="center"/>
            <w:hideMark/>
          </w:tcPr>
          <w:p w:rsidR="003E0AE8" w:rsidRDefault="003E0AE8" w:rsidP="00B472BA">
            <w:pPr>
              <w:spacing w:after="0" w:line="240" w:lineRule="auto"/>
              <w:jc w:val="center"/>
            </w:pPr>
            <w:r>
              <w:t>1</w:t>
            </w:r>
          </w:p>
        </w:tc>
        <w:tc>
          <w:tcPr>
            <w:tcW w:w="2069" w:type="dxa"/>
            <w:noWrap/>
            <w:vAlign w:val="center"/>
            <w:hideMark/>
          </w:tcPr>
          <w:p w:rsidR="003E0AE8" w:rsidRDefault="003E0AE8" w:rsidP="00B472BA">
            <w:pPr>
              <w:spacing w:after="0" w:line="240" w:lineRule="auto"/>
            </w:pPr>
            <w:r>
              <w:t>0.90 (0.75-1.09)</w:t>
            </w:r>
          </w:p>
        </w:tc>
        <w:tc>
          <w:tcPr>
            <w:tcW w:w="1444" w:type="dxa"/>
            <w:gridSpan w:val="2"/>
            <w:vAlign w:val="center"/>
            <w:hideMark/>
          </w:tcPr>
          <w:p w:rsidR="003E0AE8" w:rsidRDefault="003E0AE8" w:rsidP="00B472BA">
            <w:pPr>
              <w:spacing w:after="0" w:line="240" w:lineRule="auto"/>
            </w:pPr>
            <w:r>
              <w:t>0.29</w:t>
            </w:r>
          </w:p>
        </w:tc>
      </w:tr>
      <w:tr w:rsidR="003E0AE8" w:rsidTr="00B472BA">
        <w:trPr>
          <w:trHeight w:val="395"/>
        </w:trPr>
        <w:tc>
          <w:tcPr>
            <w:tcW w:w="4111" w:type="dxa"/>
            <w:vAlign w:val="center"/>
            <w:hideMark/>
          </w:tcPr>
          <w:p w:rsidR="003E0AE8" w:rsidRDefault="003E0AE8" w:rsidP="00B472BA">
            <w:pPr>
              <w:spacing w:after="0" w:line="240" w:lineRule="auto"/>
              <w:rPr>
                <w:b/>
              </w:rPr>
            </w:pPr>
            <w:r>
              <w:rPr>
                <w:b/>
              </w:rPr>
              <w:t>CRRT trials#</w:t>
            </w:r>
          </w:p>
        </w:tc>
        <w:tc>
          <w:tcPr>
            <w:tcW w:w="1701" w:type="dxa"/>
            <w:noWrap/>
            <w:vAlign w:val="center"/>
          </w:tcPr>
          <w:p w:rsidR="003E0AE8" w:rsidRDefault="003E0AE8" w:rsidP="00B472BA">
            <w:pPr>
              <w:spacing w:after="0" w:line="240" w:lineRule="auto"/>
              <w:jc w:val="center"/>
            </w:pPr>
          </w:p>
        </w:tc>
        <w:tc>
          <w:tcPr>
            <w:tcW w:w="2069" w:type="dxa"/>
            <w:noWrap/>
            <w:vAlign w:val="center"/>
          </w:tcPr>
          <w:p w:rsidR="003E0AE8" w:rsidRDefault="003E0AE8" w:rsidP="00B472BA">
            <w:pPr>
              <w:spacing w:after="0" w:line="240" w:lineRule="auto"/>
            </w:pPr>
          </w:p>
        </w:tc>
        <w:tc>
          <w:tcPr>
            <w:tcW w:w="1444" w:type="dxa"/>
            <w:gridSpan w:val="2"/>
            <w:vAlign w:val="center"/>
          </w:tcPr>
          <w:p w:rsidR="003E0AE8" w:rsidRDefault="003E0AE8" w:rsidP="00B472BA">
            <w:pPr>
              <w:spacing w:after="0" w:line="240" w:lineRule="auto"/>
            </w:pPr>
          </w:p>
        </w:tc>
      </w:tr>
      <w:tr w:rsidR="003E0AE8" w:rsidTr="00B472BA">
        <w:trPr>
          <w:trHeight w:val="395"/>
        </w:trPr>
        <w:tc>
          <w:tcPr>
            <w:tcW w:w="4111" w:type="dxa"/>
            <w:vAlign w:val="center"/>
            <w:hideMark/>
          </w:tcPr>
          <w:p w:rsidR="003E0AE8" w:rsidRDefault="003E0AE8" w:rsidP="00B472BA">
            <w:pPr>
              <w:spacing w:after="0" w:line="240" w:lineRule="auto"/>
            </w:pPr>
            <w:r>
              <w:t>Time to end of RRT dependence at day 28</w:t>
            </w:r>
          </w:p>
        </w:tc>
        <w:tc>
          <w:tcPr>
            <w:tcW w:w="1701" w:type="dxa"/>
            <w:noWrap/>
            <w:vAlign w:val="center"/>
            <w:hideMark/>
          </w:tcPr>
          <w:p w:rsidR="003E0AE8" w:rsidRDefault="003E0AE8" w:rsidP="00B472BA">
            <w:pPr>
              <w:spacing w:after="0" w:line="240" w:lineRule="auto"/>
              <w:jc w:val="center"/>
            </w:pPr>
            <w:r>
              <w:t>2</w:t>
            </w:r>
          </w:p>
        </w:tc>
        <w:tc>
          <w:tcPr>
            <w:tcW w:w="2069" w:type="dxa"/>
            <w:noWrap/>
            <w:vAlign w:val="center"/>
            <w:hideMark/>
          </w:tcPr>
          <w:p w:rsidR="003E0AE8" w:rsidRDefault="003E0AE8" w:rsidP="00B472BA">
            <w:pPr>
              <w:spacing w:after="0" w:line="240" w:lineRule="auto"/>
            </w:pPr>
            <w:r>
              <w:t>0.98 (0.86-1.11)</w:t>
            </w:r>
          </w:p>
        </w:tc>
        <w:tc>
          <w:tcPr>
            <w:tcW w:w="1444" w:type="dxa"/>
            <w:gridSpan w:val="2"/>
            <w:vAlign w:val="center"/>
            <w:hideMark/>
          </w:tcPr>
          <w:p w:rsidR="003E0AE8" w:rsidRDefault="003E0AE8" w:rsidP="00B472BA">
            <w:pPr>
              <w:spacing w:after="0" w:line="240" w:lineRule="auto"/>
            </w:pPr>
            <w:r>
              <w:t>0.71</w:t>
            </w:r>
          </w:p>
        </w:tc>
      </w:tr>
      <w:tr w:rsidR="003E0AE8" w:rsidTr="00B472BA">
        <w:trPr>
          <w:trHeight w:val="395"/>
        </w:trPr>
        <w:tc>
          <w:tcPr>
            <w:tcW w:w="4111" w:type="dxa"/>
            <w:vAlign w:val="center"/>
            <w:hideMark/>
          </w:tcPr>
          <w:p w:rsidR="003E0AE8" w:rsidRDefault="003E0AE8" w:rsidP="00B472BA">
            <w:pPr>
              <w:spacing w:after="0" w:line="240" w:lineRule="auto"/>
            </w:pPr>
            <w:r>
              <w:t>Time to end of RRT dependence at day 60</w:t>
            </w:r>
          </w:p>
        </w:tc>
        <w:tc>
          <w:tcPr>
            <w:tcW w:w="1701" w:type="dxa"/>
            <w:noWrap/>
            <w:vAlign w:val="center"/>
            <w:hideMark/>
          </w:tcPr>
          <w:p w:rsidR="003E0AE8" w:rsidRDefault="003E0AE8" w:rsidP="00B472BA">
            <w:pPr>
              <w:spacing w:after="0" w:line="240" w:lineRule="auto"/>
              <w:jc w:val="center"/>
            </w:pPr>
            <w:r>
              <w:t>2</w:t>
            </w:r>
          </w:p>
        </w:tc>
        <w:tc>
          <w:tcPr>
            <w:tcW w:w="2069" w:type="dxa"/>
            <w:noWrap/>
            <w:vAlign w:val="center"/>
            <w:hideMark/>
          </w:tcPr>
          <w:p w:rsidR="003E0AE8" w:rsidRDefault="003E0AE8" w:rsidP="00B472BA">
            <w:pPr>
              <w:spacing w:after="0" w:line="240" w:lineRule="auto"/>
            </w:pPr>
            <w:r>
              <w:t>0.96 (0.85-1.08)</w:t>
            </w:r>
          </w:p>
        </w:tc>
        <w:tc>
          <w:tcPr>
            <w:tcW w:w="1444" w:type="dxa"/>
            <w:gridSpan w:val="2"/>
            <w:vAlign w:val="center"/>
            <w:hideMark/>
          </w:tcPr>
          <w:p w:rsidR="003E0AE8" w:rsidRDefault="003E0AE8" w:rsidP="00B472BA">
            <w:pPr>
              <w:spacing w:after="0" w:line="240" w:lineRule="auto"/>
            </w:pPr>
            <w:r>
              <w:t>0.52</w:t>
            </w:r>
          </w:p>
        </w:tc>
      </w:tr>
      <w:tr w:rsidR="003E0AE8" w:rsidTr="00B472BA">
        <w:trPr>
          <w:trHeight w:val="395"/>
        </w:trPr>
        <w:tc>
          <w:tcPr>
            <w:tcW w:w="4111" w:type="dxa"/>
            <w:tcBorders>
              <w:top w:val="nil"/>
              <w:left w:val="nil"/>
              <w:bottom w:val="single" w:sz="4" w:space="0" w:color="auto"/>
              <w:right w:val="nil"/>
            </w:tcBorders>
            <w:vAlign w:val="center"/>
            <w:hideMark/>
          </w:tcPr>
          <w:p w:rsidR="003E0AE8" w:rsidRDefault="003E0AE8" w:rsidP="00B472BA">
            <w:pPr>
              <w:spacing w:after="0" w:line="240" w:lineRule="auto"/>
            </w:pPr>
            <w:r>
              <w:t>Time to end of RRT dependence at day 90</w:t>
            </w:r>
          </w:p>
        </w:tc>
        <w:tc>
          <w:tcPr>
            <w:tcW w:w="1701" w:type="dxa"/>
            <w:tcBorders>
              <w:top w:val="nil"/>
              <w:left w:val="nil"/>
              <w:bottom w:val="single" w:sz="4" w:space="0" w:color="auto"/>
              <w:right w:val="nil"/>
            </w:tcBorders>
            <w:noWrap/>
            <w:vAlign w:val="center"/>
            <w:hideMark/>
          </w:tcPr>
          <w:p w:rsidR="003E0AE8" w:rsidRDefault="003E0AE8" w:rsidP="00B472BA">
            <w:pPr>
              <w:spacing w:after="0" w:line="240" w:lineRule="auto"/>
              <w:jc w:val="center"/>
            </w:pPr>
            <w:r>
              <w:t>2</w:t>
            </w:r>
          </w:p>
        </w:tc>
        <w:tc>
          <w:tcPr>
            <w:tcW w:w="2069" w:type="dxa"/>
            <w:tcBorders>
              <w:top w:val="nil"/>
              <w:left w:val="nil"/>
              <w:bottom w:val="single" w:sz="4" w:space="0" w:color="auto"/>
              <w:right w:val="nil"/>
            </w:tcBorders>
            <w:noWrap/>
            <w:vAlign w:val="center"/>
            <w:hideMark/>
          </w:tcPr>
          <w:p w:rsidR="003E0AE8" w:rsidRDefault="003E0AE8" w:rsidP="00B472BA">
            <w:pPr>
              <w:spacing w:after="0" w:line="240" w:lineRule="auto"/>
            </w:pPr>
            <w:r>
              <w:t>0.97 (0.86-1.10)</w:t>
            </w:r>
          </w:p>
        </w:tc>
        <w:tc>
          <w:tcPr>
            <w:tcW w:w="1444" w:type="dxa"/>
            <w:gridSpan w:val="2"/>
            <w:tcBorders>
              <w:top w:val="nil"/>
              <w:left w:val="nil"/>
              <w:bottom w:val="single" w:sz="4" w:space="0" w:color="auto"/>
              <w:right w:val="nil"/>
            </w:tcBorders>
            <w:vAlign w:val="center"/>
            <w:hideMark/>
          </w:tcPr>
          <w:p w:rsidR="003E0AE8" w:rsidRDefault="003E0AE8" w:rsidP="00B472BA">
            <w:pPr>
              <w:spacing w:after="0" w:line="240" w:lineRule="auto"/>
            </w:pPr>
            <w:r>
              <w:t>0.61</w:t>
            </w:r>
          </w:p>
        </w:tc>
      </w:tr>
    </w:tbl>
    <w:p w:rsidR="003E0AE8" w:rsidRDefault="003E0AE8" w:rsidP="003E0AE8">
      <w:pPr>
        <w:spacing w:after="0" w:line="240" w:lineRule="auto"/>
      </w:pPr>
    </w:p>
    <w:p w:rsidR="003E0AE8" w:rsidRDefault="003E0AE8" w:rsidP="003E0AE8">
      <w:pPr>
        <w:spacing w:after="0" w:line="240" w:lineRule="auto"/>
      </w:pPr>
      <w:r>
        <w:t xml:space="preserve">IRRT = intermittent renal replacement therapy; CRRT = continuous renal replacement therapy; RR = risk ratio; RRT dependence refers to number of patients who were still RRT dependent at the different study point. *Two trials allowed IRRT as part of the protocol including ATN  </w:t>
      </w:r>
      <w:r>
        <w:fldChar w:fldCharType="begin"/>
      </w:r>
      <w:r>
        <w:instrText xml:space="preserve"> ADDIN EN.CITE &lt;EndNote&gt;&lt;Cite&gt;&lt;Author&gt;VA/NIH Acute Renal Failure Trial Network. Palevsky PM&lt;/Author&gt;&lt;Year&gt;2008&lt;/Year&gt;&lt;RecNum&gt;32&lt;/RecNum&gt;&lt;DisplayText&gt;(4)&lt;/DisplayText&gt;&lt;record&gt;&lt;rec-number&gt;32&lt;/rec-number&gt;&lt;foreign-keys&gt;&lt;key app="EN" db-id="exdffxs0l2pz08evttxvfed1xwdvetrap2st" timestamp="1450645109"&gt;32&lt;/key&gt;&lt;/foreign-keys&gt;&lt;ref-type name="Journal Article"&gt;17&lt;/ref-type&gt;&lt;contributors&gt;&lt;authors&gt;&lt;author&gt;VA/NIH Acute Renal Failure Trial Network. Palevsky PM, Zhang JH, O&amp;apos;Connor TZ, Chertow GM, Crowley ST, et al&lt;/author&gt;&lt;/authors&gt;&lt;/contributors&gt;&lt;titles&gt;&lt;title&gt;Intensity of renal support in critically ill patients with acute kidney injury&lt;/title&gt;&lt;secondary-title&gt;The New England journal of medicine&lt;/secondary-title&gt;&lt;/titles&gt;&lt;periodical&gt;&lt;full-title&gt;N Engl J Med&lt;/full-title&gt;&lt;abbr-1&gt;The New England journal of medicine&lt;/abbr-1&gt;&lt;/periodical&gt;&lt;pages&gt;7-20&lt;/pages&gt;&lt;volume&gt;359&lt;/volume&gt;&lt;number&gt;1&lt;/number&gt;&lt;dates&gt;&lt;year&gt;2008&lt;/year&gt;&lt;pub-dates&gt;&lt;date&gt;Jul 3&lt;/date&gt;&lt;/pub-dates&gt;&lt;/dates&gt;&lt;urls&gt;&lt;/urls&gt;&lt;custom2&gt;2574780&lt;/custom2&gt;&lt;/record&gt;&lt;/Cite&gt;&lt;/EndNote&gt;</w:instrText>
      </w:r>
      <w:r>
        <w:fldChar w:fldCharType="separate"/>
      </w:r>
      <w:r>
        <w:rPr>
          <w:noProof/>
        </w:rPr>
        <w:t>(</w:t>
      </w:r>
      <w:hyperlink w:anchor="_ENREF_4" w:tooltip="VA/NIH Acute Renal Failure Trial Network. Palevsky PM, 2008 #32" w:history="1">
        <w:r>
          <w:rPr>
            <w:noProof/>
          </w:rPr>
          <w:t>4</w:t>
        </w:r>
      </w:hyperlink>
      <w:r>
        <w:rPr>
          <w:noProof/>
        </w:rPr>
        <w:t>)</w:t>
      </w:r>
      <w:r>
        <w:fldChar w:fldCharType="end"/>
      </w:r>
      <w:r>
        <w:t xml:space="preserve"> and Faulhaber-Walter trial </w:t>
      </w:r>
      <w:r>
        <w:fldChar w:fldCharType="begin"/>
      </w:r>
      <w:r>
        <w:instrText xml:space="preserve"> ADDIN EN.CITE &lt;EndNote&gt;&lt;Cite&gt;&lt;Author&gt;Faulhaber-Walter&lt;/Author&gt;&lt;Year&gt;2009&lt;/Year&gt;&lt;RecNum&gt;18&lt;/RecNum&gt;&lt;DisplayText&gt;(6)&lt;/DisplayText&gt;&lt;record&gt;&lt;rec-number&gt;18&lt;/rec-number&gt;&lt;foreign-keys&gt;&lt;key app="EN" db-id="exdffxs0l2pz08evttxvfed1xwdvetrap2st" timestamp="0"&gt;18&lt;/key&gt;&lt;/foreign-keys&gt;&lt;ref-type name="Journal Article"&gt;17&lt;/ref-type&gt;&lt;contributors&gt;&lt;authors&gt;&lt;author&gt;Faulhaber-Walter, R.&lt;/author&gt;&lt;author&gt;Hafer, C.&lt;/author&gt;&lt;author&gt;Jahr, N.&lt;/author&gt;&lt;author&gt;Vahlbruch, J.&lt;/author&gt;&lt;author&gt;Hoy, L.&lt;/author&gt;&lt;author&gt;Haller, H.&lt;/author&gt;&lt;author&gt;Fliser, D.&lt;/author&gt;&lt;author&gt;Kielstein, J. T.&lt;/author&gt;&lt;/authors&gt;&lt;/contributors&gt;&lt;auth-address&gt;Department of Internal Medicine, Hannover Medical School, Hannover, Germany.&lt;/auth-address&gt;&lt;titles&gt;&lt;title&gt;The Hannover Dialysis Outcome study: comparison of standard versus intensified extended dialysis for treatment of patients with acute kidney injury in the intensive care unit&lt;/title&gt;&lt;secondary-title&gt;Nephrol Dial Transplant&lt;/secondary-title&gt;&lt;alt-title&gt;Nephrology, dialysis, transplantation : official publication of the European Dialysis and Transplant Association - European Renal Association&lt;/alt-title&gt;&lt;/titles&gt;&lt;pages&gt;2179-86&lt;/pages&gt;&lt;volume&gt;24&lt;/volume&gt;&lt;number&gt;7&lt;/number&gt;&lt;keywords&gt;&lt;keyword&gt;Acute Kidney Injury/*therapy&lt;/keyword&gt;&lt;keyword&gt;Female&lt;/keyword&gt;&lt;keyword&gt;Humans&lt;/keyword&gt;&lt;keyword&gt;*Intensive Care Units&lt;/keyword&gt;&lt;keyword&gt;Male&lt;/keyword&gt;&lt;keyword&gt;Middle Aged&lt;/keyword&gt;&lt;keyword&gt;Prospective Studies&lt;/keyword&gt;&lt;keyword&gt;Renal Dialysis/*methods&lt;/keyword&gt;&lt;keyword&gt;Treatment Outcome&lt;/keyword&gt;&lt;/keywords&gt;&lt;dates&gt;&lt;year&gt;2009&lt;/year&gt;&lt;pub-dates&gt;&lt;date&gt;Jul&lt;/date&gt;&lt;/pub-dates&gt;&lt;/dates&gt;&lt;isbn&gt;1460-2385 (Electronic)&amp;#xD;0931-0509 (Linking)&lt;/isbn&gt;&lt;accession-num&gt;19218540&lt;/accession-num&gt;&lt;urls&gt;&lt;related-urls&gt;&lt;url&gt;http://www.ncbi.nlm.nih.gov/pubmed/19218540&lt;/url&gt;&lt;/related-urls&gt;&lt;/urls&gt;&lt;electronic-resource-num&gt;10.1093/ndt/gfp035&lt;/electronic-resource-num&gt;&lt;/record&gt;&lt;/Cite&gt;&lt;/EndNote&gt;</w:instrText>
      </w:r>
      <w:r>
        <w:fldChar w:fldCharType="separate"/>
      </w:r>
      <w:r>
        <w:rPr>
          <w:noProof/>
        </w:rPr>
        <w:t>(</w:t>
      </w:r>
      <w:hyperlink w:anchor="_ENREF_6" w:tooltip="Faulhaber-Walter, 2009 #18" w:history="1">
        <w:r>
          <w:rPr>
            <w:noProof/>
          </w:rPr>
          <w:t>6</w:t>
        </w:r>
      </w:hyperlink>
      <w:r>
        <w:rPr>
          <w:noProof/>
        </w:rPr>
        <w:t>)</w:t>
      </w:r>
      <w:r>
        <w:fldChar w:fldCharType="end"/>
      </w:r>
      <w:r>
        <w:t xml:space="preserve">; #Five trials employed CRRT only including Ronco </w:t>
      </w:r>
      <w:r>
        <w:fldChar w:fldCharType="begin"/>
      </w:r>
      <w:r>
        <w:instrText xml:space="preserve"> ADDIN EN.CITE &lt;EndNote&gt;&lt;Cite&gt;&lt;Author&gt;Ronco&lt;/Author&gt;&lt;Year&gt;2000&lt;/Year&gt;&lt;RecNum&gt;10&lt;/RecNum&gt;&lt;DisplayText&gt;(1)&lt;/DisplayText&gt;&lt;record&gt;&lt;rec-number&gt;10&lt;/rec-number&gt;&lt;foreign-keys&gt;&lt;key app="EN" db-id="exdffxs0l2pz08evttxvfed1xwdvetrap2st" timestamp="0"&gt;10&lt;/key&gt;&lt;/foreign-keys&gt;&lt;ref-type name="Journal Article"&gt;17&lt;/ref-type&gt;&lt;contributors&gt;&lt;authors&gt;&lt;author&gt;Ronco, C.&lt;/author&gt;&lt;author&gt;Bellomo, R.&lt;/author&gt;&lt;author&gt;Homel, P.&lt;/author&gt;&lt;author&gt;Brendolan, A.&lt;/author&gt;&lt;author&gt;Dan, M.&lt;/author&gt;&lt;author&gt;Piccinni, P.&lt;/author&gt;&lt;author&gt;La Greca, G.&lt;/author&gt;&lt;/authors&gt;&lt;/contributors&gt;&lt;auth-address&gt;Department of Nephrology, St Bortolo Hospital, Vicenza, Italy. cronco@rriny.com&lt;/auth-address&gt;&lt;titles&gt;&lt;title&gt;Effects of different doses in continuous veno-venous haemofiltration on outcomes of acute renal failure: a prospective randomised trial&lt;/title&gt;&lt;secondary-title&gt;Lancet&lt;/secondary-title&gt;&lt;alt-title&gt;Lancet&lt;/alt-title&gt;&lt;/titles&gt;&lt;pages&gt;26-30&lt;/pages&gt;&lt;volume&gt;356&lt;/volume&gt;&lt;number&gt;9223&lt;/number&gt;&lt;keywords&gt;&lt;keyword&gt;Apache&lt;/keyword&gt;&lt;keyword&gt;Acute Kidney Injury/*mortality/*therapy&lt;/keyword&gt;&lt;keyword&gt;Age Factors&lt;/keyword&gt;&lt;keyword&gt;Analysis of Variance&lt;/keyword&gt;&lt;keyword&gt;Body Weight&lt;/keyword&gt;&lt;keyword&gt;Hemofiltration/*methods&lt;/keyword&gt;&lt;keyword&gt;Humans&lt;/keyword&gt;&lt;keyword&gt;Italy&lt;/keyword&gt;&lt;keyword&gt;Middle Aged&lt;/keyword&gt;&lt;keyword&gt;Proportional Hazards Models&lt;/keyword&gt;&lt;keyword&gt;Prospective Studies&lt;/keyword&gt;&lt;keyword&gt;Severity of Illness Index&lt;/keyword&gt;&lt;keyword&gt;Survival Rate&lt;/keyword&gt;&lt;keyword&gt;Treatment Outcome&lt;/keyword&gt;&lt;/keywords&gt;&lt;dates&gt;&lt;year&gt;2000&lt;/year&gt;&lt;pub-dates&gt;&lt;date&gt;Jul 1&lt;/date&gt;&lt;/pub-dates&gt;&lt;/dates&gt;&lt;isbn&gt;0140-6736 (Print)&amp;#xD;0140-6736 (Linking)&lt;/isbn&gt;&lt;accession-num&gt;10892761&lt;/accession-num&gt;&lt;urls&gt;&lt;related-urls&gt;&lt;url&gt;http://www.ncbi.nlm.nih.gov/pubmed/10892761&lt;/url&gt;&lt;/related-urls&gt;&lt;/urls&gt;&lt;electronic-resource-num&gt;10.1016/S0140-6736(00)02430-2&lt;/electronic-resource-num&gt;&lt;/record&gt;&lt;/Cite&gt;&lt;/EndNote&gt;</w:instrText>
      </w:r>
      <w:r>
        <w:fldChar w:fldCharType="separate"/>
      </w:r>
      <w:r>
        <w:rPr>
          <w:noProof/>
        </w:rPr>
        <w:t>(</w:t>
      </w:r>
      <w:hyperlink w:anchor="_ENREF_1" w:tooltip="Ronco, 2000 #10" w:history="1">
        <w:r>
          <w:rPr>
            <w:noProof/>
          </w:rPr>
          <w:t>1</w:t>
        </w:r>
      </w:hyperlink>
      <w:r>
        <w:rPr>
          <w:noProof/>
        </w:rPr>
        <w:t>)</w:t>
      </w:r>
      <w:r>
        <w:fldChar w:fldCharType="end"/>
      </w:r>
      <w:r>
        <w:t xml:space="preserve">, Bouman </w:t>
      </w:r>
      <w:r>
        <w:fldChar w:fldCharType="begin"/>
      </w:r>
      <w:r>
        <w:instrText xml:space="preserve"> ADDIN EN.CITE &lt;EndNote&gt;&lt;Cite&gt;&lt;Author&gt;Bouman&lt;/Author&gt;&lt;Year&gt;2002&lt;/Year&gt;&lt;RecNum&gt;11&lt;/RecNum&gt;&lt;DisplayText&gt;(2)&lt;/DisplayText&gt;&lt;record&gt;&lt;rec-number&gt;11&lt;/rec-number&gt;&lt;foreign-keys&gt;&lt;key app="EN" db-id="exdffxs0l2pz08evttxvfed1xwdvetrap2st" timestamp="0"&gt;11&lt;/key&gt;&lt;/foreign-keys&gt;&lt;ref-type name="Journal Article"&gt;17&lt;/ref-type&gt;&lt;contributors&gt;&lt;authors&gt;&lt;author&gt;Bouman, C. S.&lt;/author&gt;&lt;author&gt;Oudemans-Van Straaten, H. M.&lt;/author&gt;&lt;author&gt;Tijssen, J. G.&lt;/author&gt;&lt;author&gt;Zandstra, D. F.&lt;/author&gt;&lt;author&gt;Kesecioglu, J.&lt;/author&gt;&lt;/authors&gt;&lt;/contributors&gt;&lt;auth-address&gt;Department of Intensive Care, Academic Medical Center, Amsterdam, The Netherlands.&lt;/auth-address&gt;&lt;titles&gt;&lt;title&gt;Effects of early high-volume continuous venovenous hemofiltration on survival and recovery of renal function in intensive care patients with acute renal failure: a prospective, randomized trial&lt;/title&gt;&lt;secondary-title&gt;Crit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medicine&lt;/abbr-1&gt;&lt;/alt-periodical&gt;&lt;pages&gt;2205-11&lt;/pages&gt;&lt;volume&gt;30&lt;/volume&gt;&lt;number&gt;10&lt;/number&gt;&lt;keywords&gt;&lt;keyword&gt;Acute Kidney Injury/mortality/physiopathology/*therapy&lt;/keyword&gt;&lt;keyword&gt;Aged&lt;/keyword&gt;&lt;keyword&gt;Female&lt;/keyword&gt;&lt;keyword&gt;*Hemofiltration/adverse effects/methods&lt;/keyword&gt;&lt;keyword&gt;Humans&lt;/keyword&gt;&lt;keyword&gt;Intensive Care Units&lt;/keyword&gt;&lt;keyword&gt;Kidney/physiopathology&lt;/keyword&gt;&lt;keyword&gt;Male&lt;/keyword&gt;&lt;keyword&gt;Prospective Studies&lt;/keyword&gt;&lt;keyword&gt;Survival Rate&lt;/keyword&gt;&lt;keyword&gt;Time Factors&lt;/keyword&gt;&lt;/keywords&gt;&lt;dates&gt;&lt;year&gt;2002&lt;/year&gt;&lt;pub-dates&gt;&lt;date&gt;Oct&lt;/date&gt;&lt;/pub-dates&gt;&lt;/dates&gt;&lt;isbn&gt;0090-3493 (Print)&amp;#xD;0090-3493 (Linking)&lt;/isbn&gt;&lt;accession-num&gt;12394945&lt;/accession-num&gt;&lt;urls&gt;&lt;related-urls&gt;&lt;url&gt;http://www.ncbi.nlm.nih.gov/pubmed/12394945&lt;/url&gt;&lt;/related-urls&gt;&lt;/urls&gt;&lt;electronic-resource-num&gt;10.1097/01.CCM.0000030444.21921.EF&lt;/electronic-resource-num&gt;&lt;/record&gt;&lt;/Cite&gt;&lt;/EndNote&gt;</w:instrText>
      </w:r>
      <w:r>
        <w:fldChar w:fldCharType="separate"/>
      </w:r>
      <w:r>
        <w:rPr>
          <w:noProof/>
        </w:rPr>
        <w:t>(</w:t>
      </w:r>
      <w:hyperlink w:anchor="_ENREF_2" w:tooltip="Bouman, 2002 #11" w:history="1">
        <w:r>
          <w:rPr>
            <w:noProof/>
          </w:rPr>
          <w:t>2</w:t>
        </w:r>
      </w:hyperlink>
      <w:r>
        <w:rPr>
          <w:noProof/>
        </w:rPr>
        <w:t>)</w:t>
      </w:r>
      <w:r>
        <w:fldChar w:fldCharType="end"/>
      </w:r>
      <w:r>
        <w:t xml:space="preserve">, Saudan </w:t>
      </w:r>
      <w:r>
        <w:fldChar w:fldCharType="begin">
          <w:fldData xml:space="preserve">PEVuZE5vdGU+PENpdGU+PEF1dGhvcj5TYXVkYW48L0F1dGhvcj48WWVhcj4yMDA2PC9ZZWFyPjxS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</w:fldData>
        </w:fldChar>
      </w:r>
      <w:r>
        <w:instrText xml:space="preserve"> ADDIN EN.CITE </w:instrText>
      </w:r>
      <w:r>
        <w:fldChar w:fldCharType="begin">
          <w:fldData xml:space="preserve">PEVuZE5vdGU+PENpdGU+PEF1dGhvcj5TYXVkYW48L0F1dGhvcj48WWVhcj4yMDA2PC9ZZWFyPjxS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</w:fldData>
        </w:fldChar>
      </w:r>
      <w:r>
        <w:instrText xml:space="preserve"> ADDIN EN.CITE.DATA </w:instrText>
      </w:r>
      <w:r>
        <w:fldChar w:fldCharType="end"/>
      </w:r>
      <w:r>
        <w:fldChar w:fldCharType="separate"/>
      </w:r>
      <w:r>
        <w:rPr>
          <w:noProof/>
        </w:rPr>
        <w:t>(</w:t>
      </w:r>
      <w:hyperlink w:anchor="_ENREF_3" w:tooltip="Saudan, 2006 #13" w:history="1">
        <w:r>
          <w:rPr>
            <w:noProof/>
          </w:rPr>
          <w:t>3</w:t>
        </w:r>
      </w:hyperlink>
      <w:r>
        <w:rPr>
          <w:noProof/>
        </w:rPr>
        <w:t>)</w:t>
      </w:r>
      <w:r>
        <w:fldChar w:fldCharType="end"/>
      </w:r>
      <w:r>
        <w:t xml:space="preserve">, Tolwani </w:t>
      </w:r>
      <w:r>
        <w:fldChar w:fldCharType="begin"/>
      </w:r>
      <w:r>
        <w:instrText xml:space="preserve"> ADDIN EN.CITE &lt;EndNote&gt;&lt;Cite&gt;&lt;Author&gt;Tolwani&lt;/Author&gt;&lt;Year&gt;2008&lt;/Year&gt;&lt;RecNum&gt;15&lt;/RecNum&gt;&lt;DisplayText&gt;(5)&lt;/DisplayText&gt;&lt;record&gt;&lt;rec-number&gt;15&lt;/rec-number&gt;&lt;foreign-keys&gt;&lt;key app="EN" db-id="exdffxs0l2pz08evttxvfed1xwdvetrap2st" timestamp="0"&gt;15&lt;/key&gt;&lt;/foreign-keys&gt;&lt;ref-type name="Journal Article"&gt;17&lt;/ref-type&gt;&lt;contributors&gt;&lt;authors&gt;&lt;author&gt;Tolwani, A. J.&lt;/author&gt;&lt;author&gt;Campbell, R. C.&lt;/author&gt;&lt;author&gt;Stofan, B. S.&lt;/author&gt;&lt;author&gt;Lai, K. R.&lt;/author&gt;&lt;author&gt;Oster, R. A.&lt;/author&gt;&lt;author&gt;Wille, K. M.&lt;/author&gt;&lt;/authors&gt;&lt;/contributors&gt;&lt;auth-address&gt;Department of Medicine, University of Alabama at Birmingham, Birmingham, Alabama, USA. atolwani@uab.edu&lt;/auth-address&gt;&lt;titles&gt;&lt;title&gt;Standard versus high-dose CVVHDF for ICU-related acute renal failure&lt;/title&gt;&lt;secondary-title&gt;J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JASN&lt;/abbr-1&gt;&lt;/alt-periodical&gt;&lt;pages&gt;1233-8&lt;/pages&gt;&lt;volume&gt;19&lt;/volume&gt;&lt;number&gt;6&lt;/number&gt;&lt;keywords&gt;&lt;keyword&gt;Acute Kidney Injury/*mortality/*therapy&lt;/keyword&gt;&lt;keyword&gt;Female&lt;/keyword&gt;&lt;keyword&gt;Hemodiafiltration/*methods&lt;/keyword&gt;&lt;keyword&gt;Humans&lt;/keyword&gt;&lt;keyword&gt;Intensive Care Units&lt;/keyword&gt;&lt;keyword&gt;Male&lt;/keyword&gt;&lt;keyword&gt;Middle Aged&lt;/keyword&gt;&lt;keyword&gt;Survival Rate&lt;/keyword&gt;&lt;/keywords&gt;&lt;dates&gt;&lt;year&gt;2008&lt;/year&gt;&lt;pub-dates&gt;&lt;date&gt;Jun&lt;/date&gt;&lt;/pub-dates&gt;&lt;/dates&gt;&lt;isbn&gt;1533-3450 (Electronic)&amp;#xD;1046-6673 (Linking)&lt;/isbn&gt;&lt;accession-num&gt;18337480&lt;/accession-num&gt;&lt;urls&gt;&lt;related-urls&gt;&lt;url&gt;http://www.ncbi.nlm.nih.gov/pubmed/18337480&lt;/url&gt;&lt;/related-urls&gt;&lt;/urls&gt;&lt;custom2&gt;2396940&lt;/custom2&gt;&lt;electronic-resource-num&gt;10.1681/ASN.2007111173&lt;/electronic-resource-num&gt;&lt;/record&gt;&lt;/Cite&gt;&lt;/EndNote&gt;</w:instrText>
      </w:r>
      <w:r>
        <w:fldChar w:fldCharType="separate"/>
      </w:r>
      <w:r>
        <w:rPr>
          <w:noProof/>
        </w:rPr>
        <w:t>(</w:t>
      </w:r>
      <w:hyperlink w:anchor="_ENREF_5" w:tooltip="Tolwani, 2008 #15" w:history="1">
        <w:r>
          <w:rPr>
            <w:noProof/>
          </w:rPr>
          <w:t>5</w:t>
        </w:r>
      </w:hyperlink>
      <w:r>
        <w:rPr>
          <w:noProof/>
        </w:rPr>
        <w:t>)</w:t>
      </w:r>
      <w:r>
        <w:fldChar w:fldCharType="end"/>
      </w:r>
      <w:r>
        <w:t xml:space="preserve">, RENAL </w:t>
      </w:r>
      <w:r>
        <w:fldChar w:fldCharType="begin"/>
      </w:r>
      <w:r>
        <w:instrText xml:space="preserve"> ADDIN EN.CITE &lt;EndNote&gt;&lt;Cite&gt;&lt;Author&gt;RENAL Replacement Therapy Study Investigators. Bellomo R&lt;/Author&gt;&lt;Year&gt;2009&lt;/Year&gt;&lt;RecNum&gt;33&lt;/RecNum&gt;&lt;DisplayText&gt;(7)&lt;/DisplayText&gt;&lt;record&gt;&lt;rec-number&gt;33&lt;/rec-number&gt;&lt;foreign-keys&gt;&lt;key app="EN" db-id="exdffxs0l2pz08evttxvfed1xwdvetrap2st" timestamp="1450645238"&gt;33&lt;/key&gt;&lt;/foreign-keys&gt;&lt;ref-type name="Journal Article"&gt;17&lt;/ref-type&gt;&lt;contributors&gt;&lt;authors&gt;&lt;author&gt;RENAL Replacement Therapy Study Investigators. Bellomo R, Cass A, Cole L, Finfer S, Gallagher M, et al&lt;/author&gt;&lt;/authors&gt;&lt;/contributors&gt;&lt;titles&gt;&lt;title&gt;Intensity of continuous renal-replacement therapy in critically ill patients&lt;/title&gt;&lt;secondary-title&gt;The New England journal of medicine&lt;/secondary-title&gt;&lt;/titles&gt;&lt;periodical&gt;&lt;full-title&gt;N Engl J Med&lt;/full-title&gt;&lt;abbr-1&gt;The New England journal of medicine&lt;/abbr-1&gt;&lt;/periodical&gt;&lt;pages&gt;1627-38&lt;/pages&gt;&lt;volume&gt;361&lt;/volume&gt;&lt;number&gt;17&lt;/number&gt;&lt;dates&gt;&lt;year&gt;2009&lt;/year&gt;&lt;pub-dates&gt;&lt;date&gt;Oct 22&lt;/date&gt;&lt;/pub-dates&gt;&lt;/dates&gt;&lt;urls&gt;&lt;/urls&gt;&lt;/record&gt;&lt;/Cite&gt;&lt;/EndNote&gt;</w:instrText>
      </w:r>
      <w:r>
        <w:fldChar w:fldCharType="separate"/>
      </w:r>
      <w:r>
        <w:rPr>
          <w:noProof/>
        </w:rPr>
        <w:t>(</w:t>
      </w:r>
      <w:hyperlink w:anchor="_ENREF_7" w:tooltip="RENAL Replacement Therapy Study Investigators. Bellomo R, 2009 #33" w:history="1">
        <w:r>
          <w:rPr>
            <w:noProof/>
          </w:rPr>
          <w:t>7</w:t>
        </w:r>
      </w:hyperlink>
      <w:r>
        <w:rPr>
          <w:noProof/>
        </w:rPr>
        <w:t>)</w:t>
      </w:r>
      <w:r>
        <w:fldChar w:fldCharType="end"/>
      </w:r>
      <w:r>
        <w:t xml:space="preserve">. </w:t>
      </w:r>
    </w:p>
    <w:p w:rsidR="003E0AE8" w:rsidRPr="002857A5" w:rsidRDefault="003E0AE8" w:rsidP="003E0AE8">
      <w:pPr>
        <w:spacing w:after="0" w:line="240" w:lineRule="auto"/>
      </w:pPr>
      <w:r w:rsidRPr="002857A5">
        <w:t>Denominator was all patients alive at each fixed study point.</w:t>
      </w:r>
    </w:p>
    <w:p w:rsidR="003E0AE8" w:rsidRDefault="003E0AE8" w:rsidP="003E0AE8"/>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pPr>
        <w:rPr>
          <w:b/>
          <w:bCs/>
        </w:rPr>
      </w:pPr>
    </w:p>
    <w:p w:rsidR="003E0AE8" w:rsidRDefault="003E0AE8" w:rsidP="003E0AE8">
      <w:r>
        <w:rPr>
          <w:b/>
          <w:bCs/>
        </w:rPr>
        <w:t>List of studies used for individual patient data meta-analysis</w:t>
      </w:r>
    </w:p>
    <w:p w:rsidR="003E0AE8" w:rsidRPr="00DE76B8" w:rsidRDefault="003E0AE8" w:rsidP="003E0AE8">
      <w:pPr>
        <w:pStyle w:val="EndNoteBibliography"/>
        <w:spacing w:after="0"/>
      </w:pPr>
      <w:r>
        <w:rPr>
          <w:lang w:val="en-AU"/>
        </w:rPr>
        <w:fldChar w:fldCharType="begin"/>
      </w:r>
      <w:r>
        <w:rPr>
          <w:lang w:val="it-IT"/>
        </w:rPr>
        <w:instrText xml:space="preserve"> ADDIN EN.REFLIST </w:instrText>
      </w:r>
      <w:r>
        <w:rPr>
          <w:lang w:val="en-AU"/>
        </w:rPr>
        <w:fldChar w:fldCharType="end"/>
      </w:r>
      <w:r w:rsidRPr="00DE76B8">
        <w:t>1.</w:t>
      </w:r>
      <w:r w:rsidRPr="00DE76B8">
        <w:tab/>
        <w:t>Ronco C, Bellomo R, Homel P, Brendolan A, Dan M, Piccinni P, et al. Effects of different doses in continuous veno-venous haemofiltration on outcomes of acute renal failure: a prospective randomised trial. Lancet. 2000;356(9223):26-30.</w:t>
      </w:r>
    </w:p>
    <w:p w:rsidR="003E0AE8" w:rsidRPr="00DE76B8" w:rsidRDefault="003E0AE8" w:rsidP="003E0AE8">
      <w:pPr>
        <w:pStyle w:val="EndNoteBibliography"/>
        <w:spacing w:after="0"/>
      </w:pPr>
      <w:r w:rsidRPr="00DE76B8">
        <w:t>2.</w:t>
      </w:r>
      <w:r w:rsidRPr="00DE76B8">
        <w:tab/>
        <w:t>Bouman CS, Oudemans-Van Straaten HM, Tijssen JG, Zandstra DF, Kesecioglu J. Effects of early high-volume continuous venovenous hemofiltration on survival and recovery of renal function in intensive care patients with acute renal failure: a prospective, randomized trial. Critical care medicine. 2002;30(10):2205-11.</w:t>
      </w:r>
    </w:p>
    <w:p w:rsidR="003E0AE8" w:rsidRPr="00DE76B8" w:rsidRDefault="003E0AE8" w:rsidP="003E0AE8">
      <w:pPr>
        <w:pStyle w:val="EndNoteBibliography"/>
        <w:spacing w:after="0"/>
      </w:pPr>
      <w:r w:rsidRPr="00DE76B8">
        <w:t>3.</w:t>
      </w:r>
      <w:r w:rsidRPr="00DE76B8">
        <w:tab/>
        <w:t>Saudan P, Niederberger M, De Seigneux S, Romand J, Pugin J, Perneger T, et al. Adding a dialysis dose to continuous hemofiltration increases survival in patients with acute renal failure. Kidney Int. 2006;70(7):1312-7.</w:t>
      </w:r>
    </w:p>
    <w:p w:rsidR="003E0AE8" w:rsidRPr="00DE76B8" w:rsidRDefault="003E0AE8" w:rsidP="003E0AE8">
      <w:pPr>
        <w:pStyle w:val="EndNoteBibliography"/>
        <w:spacing w:after="0"/>
      </w:pPr>
      <w:r w:rsidRPr="00DE76B8">
        <w:t>4.</w:t>
      </w:r>
      <w:r w:rsidRPr="00DE76B8">
        <w:tab/>
        <w:t>VA/NIH Acute Renal Failure Trial Network. Palevsky PM ZJ, O'Connor TZ, Chertow GM, Crowley ST, et al. Intensity of renal support in critically ill patients with acute kidney injury. The New England journal of medicine. 2008;359(1):7-20.</w:t>
      </w:r>
    </w:p>
    <w:p w:rsidR="003E0AE8" w:rsidRPr="00DE76B8" w:rsidRDefault="003E0AE8" w:rsidP="003E0AE8">
      <w:pPr>
        <w:pStyle w:val="EndNoteBibliography"/>
        <w:spacing w:after="0"/>
      </w:pPr>
      <w:r w:rsidRPr="00DE76B8">
        <w:t>5.</w:t>
      </w:r>
      <w:r w:rsidRPr="00DE76B8">
        <w:tab/>
        <w:t>Tolwani AJ, Campbell RC, Stofan BS, Lai KR, Oster RA, Wille KM. Standard versus high-dose CVVHDF for ICU-related acute renal failure. Journal of the American Society of Nephrology : JASN. 2008;19(6):1233-8.</w:t>
      </w:r>
    </w:p>
    <w:p w:rsidR="003E0AE8" w:rsidRPr="00DE76B8" w:rsidRDefault="003E0AE8" w:rsidP="003E0AE8">
      <w:pPr>
        <w:pStyle w:val="EndNoteBibliography"/>
        <w:spacing w:after="0"/>
      </w:pPr>
      <w:r w:rsidRPr="00DE76B8">
        <w:t>6.</w:t>
      </w:r>
      <w:r w:rsidRPr="00DE76B8">
        <w:tab/>
        <w:t>Faulhaber-Walter R, Hafer C, Jahr N, Vahlbruch J, Hoy L, Haller H, et al. The Hannover Dialysis Outcome study: comparison of standard versus intensified extended dialysis for treatment of patients with acute kidney injury in the intensive care unit. Nephrol Dial Transplant. 2009;24(7):2179-86.</w:t>
      </w:r>
    </w:p>
    <w:p w:rsidR="003E0AE8" w:rsidRPr="00DE76B8" w:rsidRDefault="003E0AE8" w:rsidP="003E0AE8">
      <w:pPr>
        <w:pStyle w:val="EndNoteBibliography"/>
      </w:pPr>
      <w:r w:rsidRPr="00DE76B8">
        <w:t>7.</w:t>
      </w:r>
      <w:r w:rsidRPr="00DE76B8">
        <w:tab/>
        <w:t>RENAL Replacement Therapy Study Investigators. Bellomo R CA, Cole L, Finfer S, Gallagher M, et al. Intensity of continuous renal-replacement therapy in critically ill patients. The New England journal of medicine. 2009;361(17):1627-38.</w:t>
      </w:r>
    </w:p>
    <w:p w:rsidR="003E0AE8" w:rsidRDefault="003E0AE8" w:rsidP="003E0AE8"/>
    <w:p w:rsidR="003E0AE8" w:rsidRDefault="003E0AE8" w:rsidP="003E0AE8"/>
    <w:p w:rsidR="003E0AE8" w:rsidRDefault="003E0AE8" w:rsidP="003E0AE8"/>
    <w:p w:rsidR="003E0AE8" w:rsidRDefault="003E0AE8" w:rsidP="003E0AE8"/>
    <w:p w:rsidR="007C2E65" w:rsidRDefault="007C2E65" w:rsidP="007C2E65"/>
    <w:p w:rsidR="003E0AE8" w:rsidRDefault="003E0AE8" w:rsidP="007C2E65"/>
    <w:p w:rsidR="003E0AE8" w:rsidRDefault="003E0AE8" w:rsidP="007C2E65">
      <w:pPr>
        <w:sectPr w:rsidR="003E0AE8">
          <w:pgSz w:w="11906" w:h="16838"/>
          <w:pgMar w:top="1440" w:right="1800" w:bottom="1440" w:left="1800" w:header="708" w:footer="708" w:gutter="0"/>
          <w:cols w:space="708"/>
          <w:docGrid w:linePitch="360"/>
        </w:sectPr>
      </w:pPr>
    </w:p>
    <w:p w:rsidR="007C2E65" w:rsidRPr="00381A4B" w:rsidRDefault="00A07C48" w:rsidP="007C2E65">
      <w:pPr>
        <w:rPr>
          <w:rFonts w:eastAsia="Times New Roman"/>
          <w:b/>
          <w:sz w:val="24"/>
          <w:szCs w:val="24"/>
        </w:rPr>
      </w:pPr>
      <w:r>
        <w:rPr>
          <w:rFonts w:eastAsia="Times New Roman"/>
          <w:b/>
          <w:sz w:val="24"/>
          <w:szCs w:val="24"/>
        </w:rPr>
        <w:t>Supplementary T</w:t>
      </w:r>
      <w:r w:rsidR="007C2E65" w:rsidRPr="00381A4B">
        <w:rPr>
          <w:rFonts w:eastAsia="Times New Roman"/>
          <w:b/>
          <w:sz w:val="24"/>
          <w:szCs w:val="24"/>
        </w:rPr>
        <w:t>able 4: All-cause mortality between higher intensity and standard intensity RRT group</w:t>
      </w:r>
      <w:r w:rsidR="00E0268F">
        <w:rPr>
          <w:rFonts w:eastAsia="Times New Roman"/>
          <w:b/>
          <w:sz w:val="24"/>
          <w:szCs w:val="24"/>
        </w:rPr>
        <w:t xml:space="preserve"> </w:t>
      </w:r>
      <w:r w:rsidR="007C2E65" w:rsidRPr="00381A4B">
        <w:rPr>
          <w:rFonts w:eastAsia="Times New Roman"/>
          <w:b/>
          <w:sz w:val="24"/>
          <w:szCs w:val="24"/>
        </w:rPr>
        <w:t xml:space="preserve">- time to event analysis </w:t>
      </w:r>
    </w:p>
    <w:tbl>
      <w:tblPr>
        <w:tblW w:w="13414" w:type="dxa"/>
        <w:tblInd w:w="-176" w:type="dxa"/>
        <w:tblLook w:val="04A0" w:firstRow="1" w:lastRow="0" w:firstColumn="1" w:lastColumn="0" w:noHBand="0" w:noVBand="1"/>
      </w:tblPr>
      <w:tblGrid>
        <w:gridCol w:w="3828"/>
        <w:gridCol w:w="1832"/>
        <w:gridCol w:w="2181"/>
        <w:gridCol w:w="2181"/>
        <w:gridCol w:w="2450"/>
        <w:gridCol w:w="130"/>
        <w:gridCol w:w="812"/>
      </w:tblGrid>
      <w:tr w:rsidR="00381A4B" w:rsidRPr="00381A4B" w:rsidTr="00CC0F45">
        <w:trPr>
          <w:gridAfter w:val="1"/>
          <w:wAfter w:w="812" w:type="dxa"/>
          <w:trHeight w:val="430"/>
        </w:trPr>
        <w:tc>
          <w:tcPr>
            <w:tcW w:w="3828" w:type="dxa"/>
            <w:vMerge w:val="restart"/>
            <w:tcBorders>
              <w:top w:val="single" w:sz="4" w:space="0" w:color="auto"/>
              <w:left w:val="nil"/>
              <w:bottom w:val="single" w:sz="4" w:space="0" w:color="000000"/>
              <w:right w:val="nil"/>
            </w:tcBorders>
            <w:hideMark/>
          </w:tcPr>
          <w:p w:rsidR="007C2E65" w:rsidRPr="00381A4B" w:rsidRDefault="007C2E65" w:rsidP="00CC0F45">
            <w:pPr>
              <w:ind w:right="1682"/>
              <w:rPr>
                <w:rFonts w:eastAsia="Times New Roman"/>
                <w:sz w:val="24"/>
                <w:szCs w:val="24"/>
                <w:lang w:eastAsia="ja-JP"/>
              </w:rPr>
            </w:pPr>
            <w:r w:rsidRPr="00381A4B">
              <w:rPr>
                <w:rFonts w:eastAsia="Times New Roman"/>
                <w:sz w:val="24"/>
                <w:szCs w:val="24"/>
                <w:lang w:eastAsia="ja-JP"/>
              </w:rPr>
              <w:t>Outcomes</w:t>
            </w:r>
          </w:p>
        </w:tc>
        <w:tc>
          <w:tcPr>
            <w:tcW w:w="1832" w:type="dxa"/>
            <w:vMerge w:val="restart"/>
            <w:tcBorders>
              <w:top w:val="single" w:sz="4" w:space="0" w:color="auto"/>
              <w:left w:val="nil"/>
              <w:bottom w:val="single" w:sz="4" w:space="0" w:color="000000"/>
              <w:right w:val="nil"/>
            </w:tcBorders>
            <w:noWrap/>
            <w:hideMark/>
          </w:tcPr>
          <w:p w:rsidR="007C2E65" w:rsidRPr="00381A4B" w:rsidRDefault="007C2E65" w:rsidP="00CC0F45">
            <w:pPr>
              <w:rPr>
                <w:rFonts w:eastAsia="Times New Roman"/>
                <w:sz w:val="24"/>
                <w:szCs w:val="24"/>
                <w:lang w:eastAsia="ja-JP"/>
              </w:rPr>
            </w:pPr>
            <w:r w:rsidRPr="00381A4B">
              <w:rPr>
                <w:rFonts w:eastAsia="Times New Roman"/>
                <w:sz w:val="24"/>
                <w:szCs w:val="24"/>
                <w:lang w:eastAsia="ja-JP"/>
              </w:rPr>
              <w:t>Trial numbers</w:t>
            </w:r>
          </w:p>
        </w:tc>
        <w:tc>
          <w:tcPr>
            <w:tcW w:w="2181" w:type="dxa"/>
            <w:tcBorders>
              <w:top w:val="single" w:sz="4" w:space="0" w:color="auto"/>
              <w:left w:val="nil"/>
              <w:bottom w:val="nil"/>
              <w:right w:val="nil"/>
            </w:tcBorders>
            <w:hideMark/>
          </w:tcPr>
          <w:p w:rsidR="007C2E65" w:rsidRPr="00381A4B" w:rsidRDefault="007C2E65" w:rsidP="00CC0F45">
            <w:pPr>
              <w:jc w:val="center"/>
              <w:rPr>
                <w:rFonts w:eastAsia="Times New Roman"/>
                <w:sz w:val="24"/>
                <w:szCs w:val="24"/>
                <w:lang w:eastAsia="ja-JP"/>
              </w:rPr>
            </w:pPr>
            <w:r w:rsidRPr="00381A4B">
              <w:rPr>
                <w:rFonts w:eastAsia="Times New Roman"/>
                <w:sz w:val="24"/>
                <w:szCs w:val="24"/>
                <w:lang w:eastAsia="ja-JP"/>
              </w:rPr>
              <w:t>Higher intensity RRT group</w:t>
            </w:r>
          </w:p>
        </w:tc>
        <w:tc>
          <w:tcPr>
            <w:tcW w:w="2181" w:type="dxa"/>
            <w:vMerge w:val="restart"/>
            <w:tcBorders>
              <w:top w:val="single" w:sz="4" w:space="0" w:color="auto"/>
              <w:left w:val="nil"/>
              <w:bottom w:val="single" w:sz="4" w:space="0" w:color="auto"/>
              <w:right w:val="nil"/>
            </w:tcBorders>
            <w:hideMark/>
          </w:tcPr>
          <w:p w:rsidR="007C2E65" w:rsidRPr="00381A4B" w:rsidRDefault="007C2E65" w:rsidP="00CC0F45">
            <w:pPr>
              <w:jc w:val="center"/>
              <w:rPr>
                <w:rFonts w:eastAsia="Times New Roman"/>
                <w:sz w:val="24"/>
                <w:szCs w:val="24"/>
                <w:lang w:eastAsia="ja-JP"/>
              </w:rPr>
            </w:pPr>
            <w:r w:rsidRPr="00381A4B">
              <w:rPr>
                <w:rFonts w:eastAsia="Times New Roman"/>
                <w:sz w:val="24"/>
                <w:szCs w:val="24"/>
                <w:lang w:eastAsia="ja-JP"/>
              </w:rPr>
              <w:t>Standard intensity RRT group</w:t>
            </w:r>
          </w:p>
        </w:tc>
        <w:tc>
          <w:tcPr>
            <w:tcW w:w="2580" w:type="dxa"/>
            <w:gridSpan w:val="2"/>
            <w:tcBorders>
              <w:top w:val="single" w:sz="4" w:space="0" w:color="auto"/>
              <w:left w:val="nil"/>
              <w:bottom w:val="single" w:sz="4" w:space="0" w:color="auto"/>
              <w:right w:val="nil"/>
            </w:tcBorders>
            <w:noWrap/>
            <w:hideMark/>
          </w:tcPr>
          <w:p w:rsidR="007C2E65" w:rsidRPr="00381A4B" w:rsidRDefault="007C2E65" w:rsidP="00CC0F45">
            <w:pPr>
              <w:jc w:val="center"/>
              <w:rPr>
                <w:rFonts w:eastAsia="Times New Roman"/>
                <w:sz w:val="24"/>
                <w:szCs w:val="24"/>
                <w:lang w:eastAsia="ja-JP"/>
              </w:rPr>
            </w:pPr>
            <w:r w:rsidRPr="00381A4B">
              <w:rPr>
                <w:rFonts w:eastAsia="Times New Roman"/>
                <w:sz w:val="24"/>
                <w:szCs w:val="24"/>
                <w:lang w:eastAsia="ja-JP"/>
              </w:rPr>
              <w:t xml:space="preserve">Pooled estimate                     </w:t>
            </w:r>
          </w:p>
        </w:tc>
      </w:tr>
      <w:tr w:rsidR="00381A4B" w:rsidRPr="00381A4B" w:rsidTr="00CC0F45">
        <w:trPr>
          <w:trHeight w:val="388"/>
        </w:trPr>
        <w:tc>
          <w:tcPr>
            <w:tcW w:w="3828" w:type="dxa"/>
            <w:vMerge/>
            <w:tcBorders>
              <w:top w:val="single" w:sz="4" w:space="0" w:color="auto"/>
              <w:left w:val="nil"/>
              <w:bottom w:val="single" w:sz="4" w:space="0" w:color="000000"/>
              <w:right w:val="nil"/>
            </w:tcBorders>
            <w:vAlign w:val="center"/>
            <w:hideMark/>
          </w:tcPr>
          <w:p w:rsidR="007C2E65" w:rsidRPr="00381A4B" w:rsidRDefault="007C2E65" w:rsidP="00CC0F45">
            <w:pPr>
              <w:rPr>
                <w:rFonts w:eastAsia="Times New Roman"/>
                <w:sz w:val="24"/>
                <w:szCs w:val="24"/>
                <w:lang w:eastAsia="ja-JP"/>
              </w:rPr>
            </w:pPr>
          </w:p>
        </w:tc>
        <w:tc>
          <w:tcPr>
            <w:tcW w:w="1832" w:type="dxa"/>
            <w:vMerge/>
            <w:tcBorders>
              <w:top w:val="single" w:sz="4" w:space="0" w:color="auto"/>
              <w:left w:val="nil"/>
              <w:bottom w:val="single" w:sz="4" w:space="0" w:color="000000"/>
              <w:right w:val="nil"/>
            </w:tcBorders>
            <w:vAlign w:val="center"/>
            <w:hideMark/>
          </w:tcPr>
          <w:p w:rsidR="007C2E65" w:rsidRPr="00381A4B" w:rsidRDefault="007C2E65" w:rsidP="00CC0F45">
            <w:pPr>
              <w:rPr>
                <w:rFonts w:eastAsia="Times New Roman"/>
                <w:sz w:val="24"/>
                <w:szCs w:val="24"/>
                <w:lang w:eastAsia="ja-JP"/>
              </w:rPr>
            </w:pPr>
          </w:p>
        </w:tc>
        <w:tc>
          <w:tcPr>
            <w:tcW w:w="2181" w:type="dxa"/>
            <w:tcBorders>
              <w:top w:val="nil"/>
              <w:left w:val="nil"/>
              <w:bottom w:val="single" w:sz="4" w:space="0" w:color="auto"/>
              <w:right w:val="nil"/>
            </w:tcBorders>
          </w:tcPr>
          <w:p w:rsidR="007C2E65" w:rsidRPr="00381A4B" w:rsidRDefault="007C2E65" w:rsidP="00CC0F45">
            <w:pPr>
              <w:rPr>
                <w:rFonts w:eastAsia="Times New Roman"/>
                <w:sz w:val="24"/>
                <w:szCs w:val="24"/>
                <w:lang w:eastAsia="ja-JP"/>
              </w:rPr>
            </w:pPr>
          </w:p>
        </w:tc>
        <w:tc>
          <w:tcPr>
            <w:tcW w:w="0" w:type="auto"/>
            <w:vMerge/>
            <w:tcBorders>
              <w:top w:val="single" w:sz="4" w:space="0" w:color="auto"/>
              <w:left w:val="nil"/>
              <w:bottom w:val="single" w:sz="4" w:space="0" w:color="auto"/>
              <w:right w:val="nil"/>
            </w:tcBorders>
            <w:vAlign w:val="center"/>
            <w:hideMark/>
          </w:tcPr>
          <w:p w:rsidR="007C2E65" w:rsidRPr="00381A4B" w:rsidRDefault="007C2E65" w:rsidP="00CC0F45">
            <w:pPr>
              <w:rPr>
                <w:rFonts w:eastAsia="Times New Roman"/>
                <w:sz w:val="24"/>
                <w:szCs w:val="24"/>
                <w:lang w:eastAsia="ja-JP"/>
              </w:rPr>
            </w:pPr>
          </w:p>
        </w:tc>
        <w:tc>
          <w:tcPr>
            <w:tcW w:w="2450" w:type="dxa"/>
            <w:tcBorders>
              <w:top w:val="nil"/>
              <w:left w:val="nil"/>
              <w:bottom w:val="single" w:sz="4" w:space="0" w:color="auto"/>
              <w:right w:val="nil"/>
            </w:tcBorders>
            <w:noWrap/>
            <w:vAlign w:val="center"/>
            <w:hideMark/>
          </w:tcPr>
          <w:p w:rsidR="007C2E65" w:rsidRPr="00381A4B" w:rsidRDefault="007C2E65" w:rsidP="00CC0F45">
            <w:pPr>
              <w:jc w:val="center"/>
              <w:rPr>
                <w:rFonts w:eastAsia="Times New Roman"/>
                <w:sz w:val="24"/>
                <w:szCs w:val="24"/>
                <w:lang w:eastAsia="ja-JP"/>
              </w:rPr>
            </w:pPr>
            <w:r w:rsidRPr="00381A4B">
              <w:rPr>
                <w:rFonts w:eastAsia="Times New Roman"/>
                <w:sz w:val="24"/>
                <w:szCs w:val="24"/>
                <w:lang w:eastAsia="ja-JP"/>
              </w:rPr>
              <w:t>RR (95% CI)</w:t>
            </w:r>
          </w:p>
        </w:tc>
        <w:tc>
          <w:tcPr>
            <w:tcW w:w="942" w:type="dxa"/>
            <w:gridSpan w:val="2"/>
            <w:tcBorders>
              <w:top w:val="nil"/>
              <w:left w:val="nil"/>
              <w:bottom w:val="single" w:sz="4" w:space="0" w:color="auto"/>
              <w:right w:val="nil"/>
            </w:tcBorders>
            <w:noWrap/>
            <w:vAlign w:val="center"/>
            <w:hideMark/>
          </w:tcPr>
          <w:p w:rsidR="007C2E65" w:rsidRPr="00381A4B" w:rsidRDefault="007C2E65" w:rsidP="00CC0F45">
            <w:pPr>
              <w:jc w:val="center"/>
              <w:rPr>
                <w:rFonts w:eastAsia="Times New Roman"/>
                <w:sz w:val="24"/>
                <w:szCs w:val="24"/>
                <w:lang w:eastAsia="ja-JP"/>
              </w:rPr>
            </w:pPr>
            <w:r w:rsidRPr="00381A4B">
              <w:rPr>
                <w:rFonts w:eastAsia="Times New Roman"/>
                <w:sz w:val="24"/>
                <w:szCs w:val="24"/>
                <w:lang w:eastAsia="ja-JP"/>
              </w:rPr>
              <w:t>P value</w:t>
            </w:r>
          </w:p>
        </w:tc>
      </w:tr>
      <w:tr w:rsidR="00381A4B" w:rsidRPr="00381A4B" w:rsidTr="00CC0F45">
        <w:trPr>
          <w:trHeight w:val="388"/>
        </w:trPr>
        <w:tc>
          <w:tcPr>
            <w:tcW w:w="3828" w:type="dxa"/>
            <w:noWrap/>
            <w:vAlign w:val="center"/>
            <w:hideMark/>
          </w:tcPr>
          <w:p w:rsidR="007C2E65" w:rsidRPr="00381A4B" w:rsidRDefault="007C2E65" w:rsidP="00CC0F45">
            <w:pPr>
              <w:spacing w:after="80"/>
              <w:rPr>
                <w:rFonts w:eastAsia="Times New Roman"/>
                <w:b/>
                <w:sz w:val="24"/>
                <w:szCs w:val="24"/>
                <w:lang w:eastAsia="ja-JP"/>
              </w:rPr>
            </w:pPr>
            <w:r w:rsidRPr="00381A4B">
              <w:rPr>
                <w:rFonts w:eastAsia="Times New Roman"/>
                <w:b/>
                <w:sz w:val="24"/>
                <w:szCs w:val="24"/>
                <w:lang w:eastAsia="ja-JP"/>
              </w:rPr>
              <w:t>All trials</w:t>
            </w:r>
          </w:p>
        </w:tc>
        <w:tc>
          <w:tcPr>
            <w:tcW w:w="1832" w:type="dxa"/>
            <w:noWrap/>
            <w:vAlign w:val="center"/>
          </w:tcPr>
          <w:p w:rsidR="007C2E65" w:rsidRPr="00381A4B" w:rsidRDefault="007C2E65" w:rsidP="00CC0F45">
            <w:pPr>
              <w:rPr>
                <w:rFonts w:eastAsia="Times New Roman"/>
                <w:b/>
                <w:sz w:val="24"/>
                <w:szCs w:val="24"/>
                <w:lang w:eastAsia="ja-JP"/>
              </w:rPr>
            </w:pPr>
          </w:p>
        </w:tc>
        <w:tc>
          <w:tcPr>
            <w:tcW w:w="2181" w:type="dxa"/>
          </w:tcPr>
          <w:p w:rsidR="007C2E65" w:rsidRPr="00381A4B" w:rsidRDefault="007C2E65" w:rsidP="00CC0F45">
            <w:pPr>
              <w:jc w:val="center"/>
              <w:rPr>
                <w:rFonts w:eastAsia="Times New Roman"/>
                <w:b/>
                <w:sz w:val="24"/>
                <w:szCs w:val="24"/>
                <w:lang w:eastAsia="ja-JP"/>
              </w:rPr>
            </w:pPr>
          </w:p>
        </w:tc>
        <w:tc>
          <w:tcPr>
            <w:tcW w:w="2181" w:type="dxa"/>
          </w:tcPr>
          <w:p w:rsidR="007C2E65" w:rsidRPr="00381A4B" w:rsidRDefault="007C2E65" w:rsidP="00CC0F45">
            <w:pPr>
              <w:jc w:val="center"/>
              <w:rPr>
                <w:rFonts w:eastAsia="Times New Roman"/>
                <w:b/>
                <w:sz w:val="24"/>
                <w:szCs w:val="24"/>
                <w:lang w:eastAsia="ja-JP"/>
              </w:rPr>
            </w:pPr>
          </w:p>
        </w:tc>
        <w:tc>
          <w:tcPr>
            <w:tcW w:w="2450" w:type="dxa"/>
            <w:noWrap/>
            <w:vAlign w:val="center"/>
          </w:tcPr>
          <w:p w:rsidR="007C2E65" w:rsidRPr="00381A4B" w:rsidRDefault="007C2E65" w:rsidP="00CC0F45">
            <w:pPr>
              <w:jc w:val="center"/>
              <w:rPr>
                <w:rFonts w:eastAsia="Times New Roman"/>
                <w:b/>
                <w:sz w:val="24"/>
                <w:szCs w:val="24"/>
                <w:lang w:eastAsia="ja-JP"/>
              </w:rPr>
            </w:pPr>
          </w:p>
        </w:tc>
        <w:tc>
          <w:tcPr>
            <w:tcW w:w="942" w:type="dxa"/>
            <w:gridSpan w:val="2"/>
            <w:vAlign w:val="center"/>
          </w:tcPr>
          <w:p w:rsidR="007C2E65" w:rsidRPr="00381A4B" w:rsidRDefault="007C2E65" w:rsidP="00CC0F45">
            <w:pPr>
              <w:jc w:val="center"/>
              <w:rPr>
                <w:rFonts w:eastAsia="Times New Roman"/>
                <w:b/>
                <w:sz w:val="24"/>
                <w:szCs w:val="24"/>
                <w:lang w:eastAsia="ja-JP"/>
              </w:rPr>
            </w:pP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28 days</w:t>
            </w:r>
          </w:p>
        </w:tc>
        <w:tc>
          <w:tcPr>
            <w:tcW w:w="1832" w:type="dxa"/>
            <w:noWrap/>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7</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760/1849 (41.1%)</w:t>
            </w:r>
          </w:p>
        </w:tc>
        <w:tc>
          <w:tcPr>
            <w:tcW w:w="2181" w:type="dxa"/>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 xml:space="preserve">  724/1724 (42.0%)</w:t>
            </w:r>
          </w:p>
        </w:tc>
        <w:tc>
          <w:tcPr>
            <w:tcW w:w="2450" w:type="dxa"/>
            <w:noWrap/>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0.95 (0.85 </w:t>
            </w:r>
            <w:r w:rsidRPr="00381A4B">
              <w:rPr>
                <w:sz w:val="24"/>
                <w:szCs w:val="24"/>
              </w:rPr>
              <w:t>-</w:t>
            </w:r>
            <w:r w:rsidRPr="00381A4B">
              <w:rPr>
                <w:rFonts w:eastAsia="Times New Roman"/>
                <w:sz w:val="24"/>
                <w:szCs w:val="24"/>
                <w:lang w:eastAsia="ja-JP"/>
              </w:rPr>
              <w:t xml:space="preserve"> 1.05)</w:t>
            </w:r>
          </w:p>
        </w:tc>
        <w:tc>
          <w:tcPr>
            <w:tcW w:w="942" w:type="dxa"/>
            <w:gridSpan w:val="2"/>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0.30</w:t>
            </w: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60 days</w:t>
            </w:r>
          </w:p>
        </w:tc>
        <w:tc>
          <w:tcPr>
            <w:tcW w:w="1832" w:type="dxa"/>
            <w:noWrap/>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5</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710/1488 (47.7%)</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722/1506 (47.9%)</w:t>
            </w:r>
          </w:p>
        </w:tc>
        <w:tc>
          <w:tcPr>
            <w:tcW w:w="2450" w:type="dxa"/>
            <w:noWrap/>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0.99 (0.89 </w:t>
            </w:r>
            <w:r w:rsidRPr="00381A4B">
              <w:rPr>
                <w:sz w:val="24"/>
                <w:szCs w:val="24"/>
              </w:rPr>
              <w:t>-</w:t>
            </w:r>
            <w:r w:rsidRPr="00381A4B">
              <w:rPr>
                <w:rFonts w:eastAsia="Times New Roman"/>
                <w:sz w:val="24"/>
                <w:szCs w:val="24"/>
                <w:lang w:eastAsia="ja-JP"/>
              </w:rPr>
              <w:t xml:space="preserve"> 1.09)</w:t>
            </w:r>
          </w:p>
        </w:tc>
        <w:tc>
          <w:tcPr>
            <w:tcW w:w="942" w:type="dxa"/>
            <w:gridSpan w:val="2"/>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0.80</w:t>
            </w: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90 days</w:t>
            </w:r>
          </w:p>
        </w:tc>
        <w:tc>
          <w:tcPr>
            <w:tcW w:w="1832" w:type="dxa"/>
            <w:noWrap/>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4</w:t>
            </w:r>
          </w:p>
        </w:tc>
        <w:tc>
          <w:tcPr>
            <w:tcW w:w="2181" w:type="dxa"/>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 xml:space="preserve">  428/925 (46.3%)</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455/945 (48.1%)</w:t>
            </w:r>
          </w:p>
        </w:tc>
        <w:tc>
          <w:tcPr>
            <w:tcW w:w="2450" w:type="dxa"/>
            <w:noWrap/>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0.94 (0.83 </w:t>
            </w:r>
            <w:r w:rsidRPr="00381A4B">
              <w:rPr>
                <w:sz w:val="24"/>
                <w:szCs w:val="24"/>
              </w:rPr>
              <w:t>-</w:t>
            </w:r>
            <w:r w:rsidRPr="00381A4B">
              <w:rPr>
                <w:rFonts w:eastAsia="Times New Roman"/>
                <w:sz w:val="24"/>
                <w:szCs w:val="24"/>
                <w:lang w:eastAsia="ja-JP"/>
              </w:rPr>
              <w:t xml:space="preserve"> 1.08)</w:t>
            </w:r>
          </w:p>
        </w:tc>
        <w:tc>
          <w:tcPr>
            <w:tcW w:w="942" w:type="dxa"/>
            <w:gridSpan w:val="2"/>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0.39</w:t>
            </w: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Death in ICU</w:t>
            </w:r>
          </w:p>
        </w:tc>
        <w:tc>
          <w:tcPr>
            <w:tcW w:w="1832" w:type="dxa"/>
            <w:noWrap/>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6</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580/1489 (39.0%)</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585/1506 (38.8%)</w:t>
            </w:r>
          </w:p>
        </w:tc>
        <w:tc>
          <w:tcPr>
            <w:tcW w:w="2450" w:type="dxa"/>
            <w:noWrap/>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0.96 (0.83 - 1.12)</w:t>
            </w:r>
          </w:p>
        </w:tc>
        <w:tc>
          <w:tcPr>
            <w:tcW w:w="942" w:type="dxa"/>
            <w:gridSpan w:val="2"/>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0.63</w:t>
            </w:r>
          </w:p>
        </w:tc>
      </w:tr>
      <w:tr w:rsidR="00381A4B" w:rsidRPr="00381A4B" w:rsidTr="00CC0F45">
        <w:trPr>
          <w:trHeight w:val="388"/>
        </w:trPr>
        <w:tc>
          <w:tcPr>
            <w:tcW w:w="3828" w:type="dxa"/>
            <w:vAlign w:val="center"/>
          </w:tcPr>
          <w:p w:rsidR="007C2E65" w:rsidRPr="00381A4B" w:rsidRDefault="007C2E65" w:rsidP="00CC0F45">
            <w:pPr>
              <w:spacing w:after="80"/>
              <w:rPr>
                <w:rFonts w:eastAsia="Times New Roman"/>
                <w:b/>
                <w:sz w:val="24"/>
                <w:szCs w:val="24"/>
                <w:lang w:eastAsia="ja-JP"/>
              </w:rPr>
            </w:pPr>
            <w:r w:rsidRPr="00381A4B">
              <w:rPr>
                <w:rFonts w:eastAsia="Times New Roman"/>
                <w:b/>
                <w:sz w:val="24"/>
                <w:szCs w:val="24"/>
                <w:lang w:eastAsia="ja-JP"/>
              </w:rPr>
              <w:t>IRRT trials*</w:t>
            </w:r>
          </w:p>
        </w:tc>
        <w:tc>
          <w:tcPr>
            <w:tcW w:w="1832" w:type="dxa"/>
            <w:noWrap/>
            <w:vAlign w:val="center"/>
          </w:tcPr>
          <w:p w:rsidR="007C2E65" w:rsidRPr="00381A4B" w:rsidRDefault="007C2E65" w:rsidP="00CC0F45">
            <w:pPr>
              <w:spacing w:after="80"/>
              <w:rPr>
                <w:rFonts w:eastAsia="Times New Roman"/>
                <w:b/>
                <w:sz w:val="24"/>
                <w:szCs w:val="24"/>
                <w:lang w:eastAsia="ja-JP"/>
              </w:rPr>
            </w:pPr>
          </w:p>
        </w:tc>
        <w:tc>
          <w:tcPr>
            <w:tcW w:w="2181" w:type="dxa"/>
          </w:tcPr>
          <w:p w:rsidR="007C2E65" w:rsidRPr="00381A4B" w:rsidRDefault="007C2E65" w:rsidP="00CC0F45">
            <w:pPr>
              <w:spacing w:after="80"/>
              <w:jc w:val="center"/>
              <w:rPr>
                <w:rFonts w:eastAsia="Times New Roman"/>
                <w:b/>
                <w:sz w:val="24"/>
                <w:szCs w:val="24"/>
                <w:lang w:eastAsia="ja-JP"/>
              </w:rPr>
            </w:pPr>
          </w:p>
        </w:tc>
        <w:tc>
          <w:tcPr>
            <w:tcW w:w="2181" w:type="dxa"/>
          </w:tcPr>
          <w:p w:rsidR="007C2E65" w:rsidRPr="00381A4B" w:rsidRDefault="007C2E65" w:rsidP="00CC0F45">
            <w:pPr>
              <w:spacing w:after="80"/>
              <w:jc w:val="center"/>
              <w:rPr>
                <w:rFonts w:eastAsia="Times New Roman"/>
                <w:b/>
                <w:sz w:val="24"/>
                <w:szCs w:val="24"/>
                <w:lang w:eastAsia="ja-JP"/>
              </w:rPr>
            </w:pPr>
          </w:p>
        </w:tc>
        <w:tc>
          <w:tcPr>
            <w:tcW w:w="2450" w:type="dxa"/>
            <w:noWrap/>
          </w:tcPr>
          <w:p w:rsidR="007C2E65" w:rsidRPr="00381A4B" w:rsidRDefault="007C2E65" w:rsidP="00CC0F45">
            <w:pPr>
              <w:spacing w:after="80"/>
              <w:jc w:val="center"/>
              <w:rPr>
                <w:rFonts w:eastAsia="Times New Roman"/>
                <w:b/>
                <w:sz w:val="24"/>
                <w:szCs w:val="24"/>
                <w:lang w:eastAsia="ja-JP"/>
              </w:rPr>
            </w:pPr>
          </w:p>
        </w:tc>
        <w:tc>
          <w:tcPr>
            <w:tcW w:w="942" w:type="dxa"/>
            <w:gridSpan w:val="2"/>
          </w:tcPr>
          <w:p w:rsidR="007C2E65" w:rsidRPr="00381A4B" w:rsidRDefault="007C2E65" w:rsidP="00CC0F45">
            <w:pPr>
              <w:spacing w:after="80"/>
              <w:jc w:val="center"/>
              <w:rPr>
                <w:rFonts w:eastAsia="Times New Roman"/>
                <w:b/>
                <w:sz w:val="24"/>
                <w:szCs w:val="24"/>
                <w:lang w:eastAsia="ja-JP"/>
              </w:rPr>
            </w:pP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28 days</w:t>
            </w:r>
          </w:p>
        </w:tc>
        <w:tc>
          <w:tcPr>
            <w:tcW w:w="1832" w:type="dxa"/>
            <w:noWrap/>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2</w:t>
            </w:r>
          </w:p>
        </w:tc>
        <w:tc>
          <w:tcPr>
            <w:tcW w:w="2181" w:type="dxa"/>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287/644 (44.6%)</w:t>
            </w:r>
          </w:p>
        </w:tc>
        <w:tc>
          <w:tcPr>
            <w:tcW w:w="2181" w:type="dxa"/>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272/636 (42.8%)</w:t>
            </w:r>
          </w:p>
        </w:tc>
        <w:tc>
          <w:tcPr>
            <w:tcW w:w="2450"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1.04 (0.88 - 1.23)</w:t>
            </w:r>
          </w:p>
        </w:tc>
        <w:tc>
          <w:tcPr>
            <w:tcW w:w="942" w:type="dxa"/>
            <w:gridSpan w:val="2"/>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0.62</w:t>
            </w: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60 days</w:t>
            </w:r>
          </w:p>
        </w:tc>
        <w:tc>
          <w:tcPr>
            <w:tcW w:w="1832" w:type="dxa"/>
            <w:noWrap/>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1</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302/563 (53.6%)</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289/561 (51.5%)</w:t>
            </w:r>
          </w:p>
        </w:tc>
        <w:tc>
          <w:tcPr>
            <w:tcW w:w="2450"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1.05 (0.89 </w:t>
            </w:r>
            <w:r w:rsidRPr="00381A4B">
              <w:rPr>
                <w:rFonts w:eastAsia="Times New Roman"/>
                <w:sz w:val="24"/>
                <w:szCs w:val="24"/>
              </w:rPr>
              <w:t>-</w:t>
            </w:r>
            <w:r w:rsidRPr="00381A4B">
              <w:rPr>
                <w:rFonts w:eastAsia="Times New Roman"/>
                <w:sz w:val="24"/>
                <w:szCs w:val="24"/>
                <w:lang w:eastAsia="ja-JP"/>
              </w:rPr>
              <w:t xml:space="preserve"> 1.24)</w:t>
            </w:r>
          </w:p>
        </w:tc>
        <w:tc>
          <w:tcPr>
            <w:tcW w:w="942" w:type="dxa"/>
            <w:gridSpan w:val="2"/>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0.54</w:t>
            </w: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90 days</w:t>
            </w:r>
          </w:p>
        </w:tc>
        <w:tc>
          <w:tcPr>
            <w:tcW w:w="1832" w:type="dxa"/>
            <w:noWrap/>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0</w:t>
            </w:r>
          </w:p>
        </w:tc>
        <w:tc>
          <w:tcPr>
            <w:tcW w:w="2181" w:type="dxa"/>
          </w:tcPr>
          <w:p w:rsidR="007C2E65" w:rsidRPr="00381A4B" w:rsidRDefault="007C2E65" w:rsidP="00CC0F45">
            <w:pPr>
              <w:spacing w:after="80"/>
              <w:jc w:val="center"/>
              <w:rPr>
                <w:rFonts w:eastAsia="Times New Roman"/>
                <w:sz w:val="24"/>
                <w:szCs w:val="24"/>
                <w:lang w:eastAsia="ja-JP"/>
              </w:rPr>
            </w:pPr>
          </w:p>
        </w:tc>
        <w:tc>
          <w:tcPr>
            <w:tcW w:w="2181" w:type="dxa"/>
          </w:tcPr>
          <w:p w:rsidR="007C2E65" w:rsidRPr="00381A4B" w:rsidRDefault="007C2E65" w:rsidP="00CC0F45">
            <w:pPr>
              <w:spacing w:after="80"/>
              <w:jc w:val="center"/>
              <w:rPr>
                <w:rFonts w:eastAsia="Times New Roman"/>
                <w:sz w:val="24"/>
                <w:szCs w:val="24"/>
                <w:lang w:eastAsia="ja-JP"/>
              </w:rPr>
            </w:pPr>
          </w:p>
        </w:tc>
        <w:tc>
          <w:tcPr>
            <w:tcW w:w="2450" w:type="dxa"/>
            <w:noWrap/>
            <w:vAlign w:val="center"/>
          </w:tcPr>
          <w:p w:rsidR="007C2E65" w:rsidRPr="00381A4B" w:rsidRDefault="007C2E65" w:rsidP="00CC0F45">
            <w:pPr>
              <w:spacing w:after="80"/>
              <w:jc w:val="center"/>
              <w:rPr>
                <w:rFonts w:eastAsia="Times New Roman"/>
                <w:sz w:val="24"/>
                <w:szCs w:val="24"/>
                <w:lang w:eastAsia="ja-JP"/>
              </w:rPr>
            </w:pPr>
          </w:p>
        </w:tc>
        <w:tc>
          <w:tcPr>
            <w:tcW w:w="942" w:type="dxa"/>
            <w:gridSpan w:val="2"/>
            <w:vAlign w:val="center"/>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Death in ICU</w:t>
            </w:r>
          </w:p>
        </w:tc>
        <w:tc>
          <w:tcPr>
            <w:tcW w:w="1832" w:type="dxa"/>
            <w:noWrap/>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2</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235/563 (41.7%)</w:t>
            </w:r>
          </w:p>
        </w:tc>
        <w:tc>
          <w:tcPr>
            <w:tcW w:w="2181"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225/561 (40.1%)</w:t>
            </w:r>
          </w:p>
        </w:tc>
        <w:tc>
          <w:tcPr>
            <w:tcW w:w="2450"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0.97 (0.84 - 1.12)</w:t>
            </w:r>
          </w:p>
        </w:tc>
        <w:tc>
          <w:tcPr>
            <w:tcW w:w="942" w:type="dxa"/>
            <w:gridSpan w:val="2"/>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0.68</w:t>
            </w:r>
          </w:p>
        </w:tc>
      </w:tr>
      <w:tr w:rsidR="00381A4B" w:rsidRPr="00381A4B" w:rsidTr="00CC0F45">
        <w:trPr>
          <w:trHeight w:val="388"/>
        </w:trPr>
        <w:tc>
          <w:tcPr>
            <w:tcW w:w="3828" w:type="dxa"/>
            <w:vAlign w:val="center"/>
          </w:tcPr>
          <w:p w:rsidR="007C2E65" w:rsidRPr="00381A4B" w:rsidRDefault="007C2E65" w:rsidP="00CC0F45">
            <w:pPr>
              <w:spacing w:after="80"/>
              <w:rPr>
                <w:rFonts w:eastAsia="Times New Roman"/>
                <w:sz w:val="24"/>
                <w:szCs w:val="24"/>
                <w:lang w:eastAsia="ja-JP"/>
              </w:rPr>
            </w:pPr>
            <w:r w:rsidRPr="00381A4B">
              <w:rPr>
                <w:rFonts w:eastAsia="Times New Roman"/>
                <w:b/>
                <w:sz w:val="24"/>
                <w:szCs w:val="24"/>
                <w:lang w:eastAsia="ja-JP"/>
              </w:rPr>
              <w:t>CRRT trials#</w:t>
            </w:r>
          </w:p>
        </w:tc>
        <w:tc>
          <w:tcPr>
            <w:tcW w:w="1832" w:type="dxa"/>
            <w:noWrap/>
            <w:vAlign w:val="center"/>
          </w:tcPr>
          <w:p w:rsidR="007C2E65" w:rsidRPr="00381A4B" w:rsidRDefault="007C2E65" w:rsidP="00CC0F45">
            <w:pPr>
              <w:spacing w:after="80"/>
              <w:rPr>
                <w:rFonts w:eastAsia="Times New Roman"/>
                <w:sz w:val="24"/>
                <w:szCs w:val="24"/>
                <w:lang w:eastAsia="ja-JP"/>
              </w:rPr>
            </w:pPr>
          </w:p>
        </w:tc>
        <w:tc>
          <w:tcPr>
            <w:tcW w:w="2181" w:type="dxa"/>
          </w:tcPr>
          <w:p w:rsidR="007C2E65" w:rsidRPr="00381A4B" w:rsidRDefault="007C2E65" w:rsidP="00CC0F45">
            <w:pPr>
              <w:spacing w:after="80"/>
              <w:jc w:val="center"/>
              <w:rPr>
                <w:rFonts w:eastAsia="Times New Roman"/>
                <w:sz w:val="24"/>
                <w:szCs w:val="24"/>
                <w:lang w:eastAsia="ja-JP"/>
              </w:rPr>
            </w:pPr>
          </w:p>
        </w:tc>
        <w:tc>
          <w:tcPr>
            <w:tcW w:w="2181" w:type="dxa"/>
          </w:tcPr>
          <w:p w:rsidR="007C2E65" w:rsidRPr="00381A4B" w:rsidRDefault="007C2E65" w:rsidP="00CC0F45">
            <w:pPr>
              <w:spacing w:after="80"/>
              <w:jc w:val="center"/>
              <w:rPr>
                <w:rFonts w:eastAsia="Times New Roman"/>
                <w:sz w:val="24"/>
                <w:szCs w:val="24"/>
                <w:lang w:eastAsia="ja-JP"/>
              </w:rPr>
            </w:pPr>
          </w:p>
        </w:tc>
        <w:tc>
          <w:tcPr>
            <w:tcW w:w="2450" w:type="dxa"/>
            <w:noWrap/>
          </w:tcPr>
          <w:p w:rsidR="007C2E65" w:rsidRPr="00381A4B" w:rsidRDefault="007C2E65" w:rsidP="00CC0F45">
            <w:pPr>
              <w:spacing w:after="80"/>
              <w:jc w:val="center"/>
              <w:rPr>
                <w:rFonts w:eastAsia="Times New Roman"/>
                <w:sz w:val="24"/>
                <w:szCs w:val="24"/>
                <w:lang w:eastAsia="ja-JP"/>
              </w:rPr>
            </w:pPr>
          </w:p>
        </w:tc>
        <w:tc>
          <w:tcPr>
            <w:tcW w:w="942" w:type="dxa"/>
            <w:gridSpan w:val="2"/>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88"/>
        </w:trPr>
        <w:tc>
          <w:tcPr>
            <w:tcW w:w="3828" w:type="dxa"/>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28 days</w:t>
            </w:r>
          </w:p>
        </w:tc>
        <w:tc>
          <w:tcPr>
            <w:tcW w:w="1832" w:type="dxa"/>
            <w:noWrap/>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5</w:t>
            </w:r>
          </w:p>
        </w:tc>
        <w:tc>
          <w:tcPr>
            <w:tcW w:w="2181"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473/1025 (39.3%)</w:t>
            </w:r>
          </w:p>
        </w:tc>
        <w:tc>
          <w:tcPr>
            <w:tcW w:w="2181"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452/1088 (41.5%)</w:t>
            </w:r>
          </w:p>
        </w:tc>
        <w:tc>
          <w:tcPr>
            <w:tcW w:w="2450"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0.89 (0.78 </w:t>
            </w:r>
            <w:r w:rsidRPr="00381A4B">
              <w:rPr>
                <w:rFonts w:eastAsia="Times New Roman"/>
                <w:sz w:val="24"/>
                <w:szCs w:val="24"/>
              </w:rPr>
              <w:t>-</w:t>
            </w:r>
            <w:r w:rsidRPr="00381A4B">
              <w:rPr>
                <w:rFonts w:eastAsia="Times New Roman"/>
                <w:sz w:val="24"/>
                <w:szCs w:val="24"/>
                <w:lang w:eastAsia="ja-JP"/>
              </w:rPr>
              <w:t xml:space="preserve"> 1.02)</w:t>
            </w:r>
          </w:p>
        </w:tc>
        <w:tc>
          <w:tcPr>
            <w:tcW w:w="942" w:type="dxa"/>
            <w:gridSpan w:val="2"/>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0.08</w:t>
            </w:r>
          </w:p>
        </w:tc>
      </w:tr>
      <w:tr w:rsidR="00381A4B" w:rsidRPr="00381A4B" w:rsidTr="00CC0F45">
        <w:trPr>
          <w:trHeight w:val="388"/>
        </w:trPr>
        <w:tc>
          <w:tcPr>
            <w:tcW w:w="3828" w:type="dxa"/>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60 days</w:t>
            </w:r>
          </w:p>
        </w:tc>
        <w:tc>
          <w:tcPr>
            <w:tcW w:w="1832" w:type="dxa"/>
            <w:noWrap/>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4</w:t>
            </w:r>
          </w:p>
        </w:tc>
        <w:tc>
          <w:tcPr>
            <w:tcW w:w="2181"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408/925 (44.1%)</w:t>
            </w:r>
          </w:p>
        </w:tc>
        <w:tc>
          <w:tcPr>
            <w:tcW w:w="2181"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433/945 (45.8%)</w:t>
            </w:r>
          </w:p>
        </w:tc>
        <w:tc>
          <w:tcPr>
            <w:tcW w:w="2450"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0.95 (0.83 </w:t>
            </w:r>
            <w:r w:rsidRPr="00381A4B">
              <w:rPr>
                <w:rFonts w:eastAsia="Times New Roman"/>
                <w:sz w:val="24"/>
                <w:szCs w:val="24"/>
              </w:rPr>
              <w:t>-</w:t>
            </w:r>
            <w:r w:rsidRPr="00381A4B">
              <w:rPr>
                <w:rFonts w:eastAsia="Times New Roman"/>
                <w:sz w:val="24"/>
                <w:szCs w:val="24"/>
                <w:lang w:eastAsia="ja-JP"/>
              </w:rPr>
              <w:t xml:space="preserve"> 1.08)</w:t>
            </w:r>
          </w:p>
        </w:tc>
        <w:tc>
          <w:tcPr>
            <w:tcW w:w="942" w:type="dxa"/>
            <w:gridSpan w:val="2"/>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0.42</w:t>
            </w:r>
          </w:p>
        </w:tc>
      </w:tr>
      <w:tr w:rsidR="00381A4B" w:rsidRPr="00381A4B" w:rsidTr="00CC0F45">
        <w:trPr>
          <w:trHeight w:val="388"/>
        </w:trPr>
        <w:tc>
          <w:tcPr>
            <w:tcW w:w="3828" w:type="dxa"/>
            <w:vAlign w:val="center"/>
            <w:hideMark/>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Mortality at 90 days</w:t>
            </w:r>
          </w:p>
        </w:tc>
        <w:tc>
          <w:tcPr>
            <w:tcW w:w="1832" w:type="dxa"/>
            <w:noWrap/>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4</w:t>
            </w:r>
          </w:p>
        </w:tc>
        <w:tc>
          <w:tcPr>
            <w:tcW w:w="2181" w:type="dxa"/>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428/925 (46.3%)</w:t>
            </w:r>
          </w:p>
        </w:tc>
        <w:tc>
          <w:tcPr>
            <w:tcW w:w="2181" w:type="dxa"/>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455/945 (48.1 %)</w:t>
            </w:r>
          </w:p>
        </w:tc>
        <w:tc>
          <w:tcPr>
            <w:tcW w:w="2450"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0.94 (0.83 </w:t>
            </w:r>
            <w:r w:rsidRPr="00381A4B">
              <w:rPr>
                <w:rFonts w:eastAsia="Times New Roman"/>
                <w:sz w:val="24"/>
                <w:szCs w:val="24"/>
              </w:rPr>
              <w:t>-</w:t>
            </w:r>
            <w:r w:rsidRPr="00381A4B">
              <w:rPr>
                <w:rFonts w:eastAsia="Times New Roman"/>
                <w:sz w:val="24"/>
                <w:szCs w:val="24"/>
                <w:lang w:eastAsia="ja-JP"/>
              </w:rPr>
              <w:t xml:space="preserve"> 1.08)</w:t>
            </w:r>
          </w:p>
        </w:tc>
        <w:tc>
          <w:tcPr>
            <w:tcW w:w="942" w:type="dxa"/>
            <w:gridSpan w:val="2"/>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0.39</w:t>
            </w:r>
          </w:p>
        </w:tc>
      </w:tr>
      <w:tr w:rsidR="00381A4B" w:rsidRPr="00381A4B" w:rsidTr="00CC0F45">
        <w:trPr>
          <w:trHeight w:val="552"/>
        </w:trPr>
        <w:tc>
          <w:tcPr>
            <w:tcW w:w="3828" w:type="dxa"/>
            <w:tcBorders>
              <w:top w:val="nil"/>
              <w:left w:val="nil"/>
              <w:bottom w:val="single" w:sz="4" w:space="0" w:color="auto"/>
              <w:right w:val="nil"/>
            </w:tcBorders>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Death in ICU</w:t>
            </w:r>
          </w:p>
        </w:tc>
        <w:tc>
          <w:tcPr>
            <w:tcW w:w="1832" w:type="dxa"/>
            <w:tcBorders>
              <w:top w:val="nil"/>
              <w:left w:val="nil"/>
              <w:bottom w:val="single" w:sz="4" w:space="0" w:color="auto"/>
              <w:right w:val="nil"/>
            </w:tcBorders>
            <w:noWrap/>
            <w:vAlign w:val="center"/>
          </w:tcPr>
          <w:p w:rsidR="007C2E65" w:rsidRPr="00381A4B" w:rsidRDefault="007C2E65" w:rsidP="00CC0F45">
            <w:pPr>
              <w:spacing w:after="80"/>
              <w:rPr>
                <w:rFonts w:eastAsia="Times New Roman"/>
                <w:sz w:val="24"/>
                <w:szCs w:val="24"/>
                <w:lang w:eastAsia="ja-JP"/>
              </w:rPr>
            </w:pPr>
            <w:r w:rsidRPr="00381A4B">
              <w:rPr>
                <w:rFonts w:eastAsia="Times New Roman"/>
                <w:sz w:val="24"/>
                <w:szCs w:val="24"/>
                <w:lang w:eastAsia="ja-JP"/>
              </w:rPr>
              <w:t>4</w:t>
            </w:r>
          </w:p>
        </w:tc>
        <w:tc>
          <w:tcPr>
            <w:tcW w:w="2181" w:type="dxa"/>
            <w:tcBorders>
              <w:top w:val="nil"/>
              <w:left w:val="nil"/>
              <w:bottom w:val="single" w:sz="4" w:space="0" w:color="auto"/>
              <w:right w:val="nil"/>
            </w:tcBorders>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345/926 (37.3%)</w:t>
            </w:r>
          </w:p>
        </w:tc>
        <w:tc>
          <w:tcPr>
            <w:tcW w:w="2181" w:type="dxa"/>
            <w:tcBorders>
              <w:top w:val="nil"/>
              <w:left w:val="nil"/>
              <w:bottom w:val="single" w:sz="4" w:space="0" w:color="auto"/>
              <w:right w:val="nil"/>
            </w:tcBorders>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360/945 (38.1%)</w:t>
            </w:r>
          </w:p>
        </w:tc>
        <w:tc>
          <w:tcPr>
            <w:tcW w:w="2450" w:type="dxa"/>
            <w:tcBorders>
              <w:top w:val="nil"/>
              <w:left w:val="nil"/>
              <w:bottom w:val="single" w:sz="4" w:space="0" w:color="auto"/>
              <w:right w:val="nil"/>
            </w:tcBorders>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0.96 (0.83 - 1.12)</w:t>
            </w:r>
          </w:p>
        </w:tc>
        <w:tc>
          <w:tcPr>
            <w:tcW w:w="942" w:type="dxa"/>
            <w:gridSpan w:val="2"/>
            <w:tcBorders>
              <w:top w:val="nil"/>
              <w:left w:val="nil"/>
              <w:bottom w:val="single" w:sz="4" w:space="0" w:color="auto"/>
              <w:right w:val="nil"/>
            </w:tcBorders>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0.63</w:t>
            </w:r>
          </w:p>
        </w:tc>
      </w:tr>
    </w:tbl>
    <w:p w:rsidR="007C2E65" w:rsidRPr="00381A4B" w:rsidRDefault="007C2E65" w:rsidP="007C2E65">
      <w:pPr>
        <w:rPr>
          <w:rFonts w:eastAsia="Times New Roman"/>
        </w:rPr>
      </w:pPr>
      <w:r w:rsidRPr="00381A4B">
        <w:rPr>
          <w:rFonts w:eastAsia="Times New Roman"/>
        </w:rPr>
        <w:t xml:space="preserve">IRRT = intermittent renal replacement therapy; CRRT = continuous renal replacement therapy; RR = risk ratio; RRT dependence refers to number of patients who were still RRT dependent at the different study point. *Two trials allowed IRRT as part of the protocol including ATN </w:t>
      </w:r>
      <w:r w:rsidRPr="00381A4B">
        <w:rPr>
          <w:rFonts w:eastAsia="Times New Roman"/>
        </w:rPr>
        <w:fldChar w:fldCharType="begin"/>
      </w:r>
      <w:r w:rsidRPr="00381A4B">
        <w:rPr>
          <w:rFonts w:eastAsia="Times New Roman"/>
        </w:rPr>
        <w:instrText xml:space="preserve"> ADDIN EN.CITE &lt;EndNote&gt;&lt;Cite&gt;&lt;Author&gt;VA/NIH Acute Renal Failure Trial Network. Palevsky PM&lt;/Author&gt;&lt;Year&gt;2008&lt;/Year&gt;&lt;RecNum&gt;32&lt;/RecNum&gt;&lt;DisplayText&gt;(1)&lt;/DisplayText&gt;&lt;record&gt;&lt;rec-number&gt;32&lt;/rec-number&gt;&lt;foreign-keys&gt;&lt;key app="EN" db-id="exdffxs0l2pz08evttxvfed1xwdvetrap2st"&gt;32&lt;/key&gt;&lt;/foreign-keys&gt;&lt;ref-type name="Journal Article"&gt;17&lt;/ref-type&gt;&lt;contributors&gt;&lt;authors&gt;&lt;author&gt;VA/NIH Acute Renal Failure Trial Network. Palevsky PM, Zhang JH, O&amp;apos;Connor TZ, Chertow GM, Crowley ST, et al&lt;/author&gt;&lt;/authors&gt;&lt;/contributors&gt;&lt;titles&gt;&lt;title&gt;Intensity of renal support in critically ill patients with acute kidney injury&lt;/title&gt;&lt;secondary-title&gt;The New England journal of medicine&lt;/secondary-title&gt;&lt;/titles&gt;&lt;periodical&gt;&lt;full-title&gt;N Engl J Med&lt;/full-title&gt;&lt;abbr-1&gt;The New England journal of medicine&lt;/abbr-1&gt;&lt;/periodical&gt;&lt;pages&gt;7-20&lt;/pages&gt;&lt;volume&gt;359&lt;/volume&gt;&lt;number&gt;1&lt;/number&gt;&lt;dates&gt;&lt;year&gt;2008&lt;/year&gt;&lt;pub-dates&gt;&lt;date&gt;Jul 3&lt;/date&gt;&lt;/pub-dates&gt;&lt;/dates&gt;&lt;urls&gt;&lt;/urls&gt;&lt;custom2&gt;2574780&lt;/custom2&gt;&lt;/record&gt;&lt;/Cite&gt;&lt;/EndNote&gt;</w:instrText>
      </w:r>
      <w:r w:rsidRPr="00381A4B">
        <w:rPr>
          <w:rFonts w:eastAsia="Times New Roman"/>
        </w:rPr>
        <w:fldChar w:fldCharType="separate"/>
      </w:r>
      <w:r w:rsidRPr="00381A4B">
        <w:rPr>
          <w:rFonts w:eastAsia="Times New Roman"/>
          <w:noProof/>
        </w:rPr>
        <w:t>(</w:t>
      </w:r>
      <w:hyperlink w:anchor="_ENREF_1" w:tooltip="VA/NIH Acute Renal Failure Trial Network. Palevsky PM, 2008 #32" w:history="1">
        <w:r w:rsidRPr="00381A4B">
          <w:rPr>
            <w:rFonts w:eastAsia="Times New Roman"/>
            <w:noProof/>
          </w:rPr>
          <w:t>1</w:t>
        </w:r>
      </w:hyperlink>
      <w:r w:rsidRPr="00381A4B">
        <w:rPr>
          <w:rFonts w:eastAsia="Times New Roman"/>
          <w:noProof/>
        </w:rPr>
        <w:t>)</w:t>
      </w:r>
      <w:r w:rsidRPr="00381A4B">
        <w:rPr>
          <w:rFonts w:eastAsia="Times New Roman"/>
        </w:rPr>
        <w:fldChar w:fldCharType="end"/>
      </w:r>
      <w:r w:rsidRPr="00381A4B">
        <w:rPr>
          <w:rFonts w:eastAsia="Times New Roman"/>
        </w:rPr>
        <w:t xml:space="preserve">and Faulhaber-Walter trial; #Five trials employed CRRT only including Ronco, Bouman, Saudan, Tolwani, RENAL. </w:t>
      </w:r>
    </w:p>
    <w:p w:rsidR="007C2E65" w:rsidRPr="00381A4B" w:rsidRDefault="007C2E65" w:rsidP="007C2E65">
      <w:pPr>
        <w:rPr>
          <w:rFonts w:eastAsia="Times New Roman" w:cs="Calibri"/>
          <w:noProof/>
          <w:szCs w:val="24"/>
          <w:lang w:eastAsia="ja-JP"/>
        </w:rPr>
      </w:pPr>
      <w:r w:rsidRPr="00381A4B">
        <w:rPr>
          <w:rFonts w:ascii="Times New Roman" w:eastAsia="Times New Roman" w:hAnsi="Times New Roman"/>
          <w:sz w:val="24"/>
          <w:szCs w:val="24"/>
          <w:lang w:eastAsia="ja-JP"/>
        </w:rPr>
        <w:fldChar w:fldCharType="begin"/>
      </w:r>
      <w:r w:rsidRPr="00381A4B">
        <w:rPr>
          <w:rFonts w:eastAsia="Times New Roman"/>
          <w:sz w:val="24"/>
          <w:szCs w:val="24"/>
          <w:lang w:eastAsia="ja-JP"/>
        </w:rPr>
        <w:instrText xml:space="preserve"> ADDIN EN.REFLIST </w:instrText>
      </w:r>
      <w:r w:rsidRPr="00381A4B">
        <w:rPr>
          <w:rFonts w:ascii="Times New Roman" w:eastAsia="Times New Roman" w:hAnsi="Times New Roman"/>
          <w:sz w:val="24"/>
          <w:szCs w:val="24"/>
          <w:lang w:eastAsia="ja-JP"/>
        </w:rPr>
        <w:fldChar w:fldCharType="separate"/>
      </w:r>
      <w:bookmarkStart w:id="0" w:name="_ENREF_1"/>
      <w:r w:rsidRPr="00381A4B">
        <w:rPr>
          <w:rFonts w:eastAsia="Times New Roman" w:cs="Calibri"/>
          <w:noProof/>
          <w:szCs w:val="24"/>
          <w:lang w:eastAsia="ja-JP"/>
        </w:rPr>
        <w:t>1.</w:t>
      </w:r>
      <w:r w:rsidRPr="00381A4B">
        <w:rPr>
          <w:rFonts w:eastAsia="Times New Roman" w:cs="Calibri"/>
          <w:noProof/>
          <w:szCs w:val="24"/>
          <w:lang w:eastAsia="ja-JP"/>
        </w:rPr>
        <w:tab/>
        <w:t>VA/NIH Acute Renal Failure Trial Network. Palevsky PM ZJ, O'Connor TZ, Chertow GM, Crowley ST, et al. Intensity of renal support in critically ill patients with acute kidney injury. The New England journal of medicine. 2008 Jul 3;359(1):7-20. Pubmed Central PMCID: 2574780.</w:t>
      </w:r>
      <w:bookmarkEnd w:id="0"/>
    </w:p>
    <w:p w:rsidR="007C2E65" w:rsidRPr="00381A4B" w:rsidRDefault="007C2E65" w:rsidP="007C2E65">
      <w:pPr>
        <w:rPr>
          <w:rFonts w:eastAsia="Times New Roman" w:cs="Calibri"/>
          <w:noProof/>
          <w:szCs w:val="24"/>
          <w:lang w:eastAsia="ja-JP"/>
        </w:rPr>
      </w:pPr>
      <w:bookmarkStart w:id="1" w:name="_ENREF_2"/>
      <w:r w:rsidRPr="00381A4B">
        <w:rPr>
          <w:rFonts w:eastAsia="Times New Roman" w:cs="Calibri"/>
          <w:noProof/>
          <w:szCs w:val="24"/>
          <w:lang w:eastAsia="ja-JP"/>
        </w:rPr>
        <w:t>2.</w:t>
      </w:r>
      <w:r w:rsidRPr="00381A4B">
        <w:rPr>
          <w:rFonts w:eastAsia="Times New Roman" w:cs="Calibri"/>
          <w:noProof/>
          <w:szCs w:val="24"/>
          <w:lang w:eastAsia="ja-JP"/>
        </w:rPr>
        <w:tab/>
        <w:t>Faulhaber-Walter R, Hafer C, Jahr N, Vahlbruch J, Hoy L, Haller H, et al. The Hannover Dialysis Outcome study: comparison of standard versus intensified extended dialysis for treatment of patients with acute kidney injury in the intensive care unit. Nephrol Dial Transplant. 2009 Jul;24(7):2179-86. PubMed PMID: 19218540.</w:t>
      </w:r>
      <w:bookmarkEnd w:id="1"/>
    </w:p>
    <w:p w:rsidR="007C2E65" w:rsidRPr="00381A4B" w:rsidRDefault="007C2E65" w:rsidP="007C2E65">
      <w:pPr>
        <w:rPr>
          <w:rFonts w:eastAsia="Times New Roman" w:cs="Calibri"/>
          <w:noProof/>
          <w:szCs w:val="24"/>
          <w:lang w:eastAsia="ja-JP"/>
        </w:rPr>
      </w:pPr>
      <w:bookmarkStart w:id="2" w:name="_ENREF_3"/>
      <w:r w:rsidRPr="00381A4B">
        <w:rPr>
          <w:rFonts w:eastAsia="Times New Roman" w:cs="Calibri"/>
          <w:noProof/>
          <w:szCs w:val="24"/>
          <w:lang w:eastAsia="ja-JP"/>
        </w:rPr>
        <w:t>3.</w:t>
      </w:r>
      <w:r w:rsidRPr="00381A4B">
        <w:rPr>
          <w:rFonts w:eastAsia="Times New Roman" w:cs="Calibri"/>
          <w:noProof/>
          <w:szCs w:val="24"/>
          <w:lang w:eastAsia="ja-JP"/>
        </w:rPr>
        <w:tab/>
        <w:t>Ronco C, Bellomo R, Homel P, Brendolan A, Dan M, Piccinni P, et al. Effects of different doses in continuous veno-venous haemofiltration on outcomes of acute renal failure: a prospective randomised trial. Lancet. 2000 Jul 1;356(9223):26-30. PubMed PMID: 10892761.</w:t>
      </w:r>
      <w:bookmarkEnd w:id="2"/>
    </w:p>
    <w:p w:rsidR="007C2E65" w:rsidRPr="00381A4B" w:rsidRDefault="007C2E65" w:rsidP="007C2E65">
      <w:pPr>
        <w:rPr>
          <w:rFonts w:eastAsia="Times New Roman" w:cs="Calibri"/>
          <w:noProof/>
          <w:szCs w:val="24"/>
          <w:lang w:eastAsia="ja-JP"/>
        </w:rPr>
      </w:pPr>
      <w:bookmarkStart w:id="3" w:name="_ENREF_4"/>
      <w:r w:rsidRPr="00381A4B">
        <w:rPr>
          <w:rFonts w:eastAsia="Times New Roman" w:cs="Calibri"/>
          <w:noProof/>
          <w:szCs w:val="24"/>
          <w:lang w:eastAsia="ja-JP"/>
        </w:rPr>
        <w:t>4.</w:t>
      </w:r>
      <w:r w:rsidRPr="00381A4B">
        <w:rPr>
          <w:rFonts w:eastAsia="Times New Roman" w:cs="Calibri"/>
          <w:noProof/>
          <w:szCs w:val="24"/>
          <w:lang w:eastAsia="ja-JP"/>
        </w:rPr>
        <w:tab/>
        <w:t>Bouman CS, Oudemans-Van Straaten HM, Tijssen JG, Zandstra DF, Kesecioglu J. Effects of early high-volume continuous venovenous hemofiltration on survival and recovery of renal function in intensive care patients with acute renal failure: a prospective, randomized trial. Critical care medicine. 2002 Oct;30(10):2205-11. PubMed PMID: 12394945.</w:t>
      </w:r>
      <w:bookmarkEnd w:id="3"/>
    </w:p>
    <w:p w:rsidR="007C2E65" w:rsidRPr="00381A4B" w:rsidRDefault="007C2E65" w:rsidP="007C2E65">
      <w:pPr>
        <w:rPr>
          <w:rFonts w:eastAsia="Times New Roman" w:cs="Calibri"/>
          <w:noProof/>
          <w:szCs w:val="24"/>
          <w:lang w:eastAsia="ja-JP"/>
        </w:rPr>
      </w:pPr>
      <w:bookmarkStart w:id="4" w:name="_ENREF_5"/>
      <w:r w:rsidRPr="00381A4B">
        <w:rPr>
          <w:rFonts w:eastAsia="Times New Roman" w:cs="Calibri"/>
          <w:noProof/>
          <w:szCs w:val="24"/>
          <w:lang w:eastAsia="ja-JP"/>
        </w:rPr>
        <w:t>5.</w:t>
      </w:r>
      <w:r w:rsidRPr="00381A4B">
        <w:rPr>
          <w:rFonts w:eastAsia="Times New Roman" w:cs="Calibri"/>
          <w:noProof/>
          <w:szCs w:val="24"/>
          <w:lang w:eastAsia="ja-JP"/>
        </w:rPr>
        <w:tab/>
        <w:t>Saudan P, Niederberger M, De Seigneux S, Romand J, Pugin J, Perneger T, et al. Adding a dialysis dose to continuous hemofiltration increases survival in patients with acute renal failure. Kidney Int. 2006 Oct;70(7):1312-7. PubMed PMID: 16850022.</w:t>
      </w:r>
      <w:bookmarkEnd w:id="4"/>
    </w:p>
    <w:p w:rsidR="007C2E65" w:rsidRPr="00381A4B" w:rsidRDefault="007C2E65" w:rsidP="007C2E65">
      <w:pPr>
        <w:rPr>
          <w:rFonts w:eastAsia="Times New Roman" w:cs="Calibri"/>
          <w:noProof/>
          <w:szCs w:val="24"/>
          <w:lang w:eastAsia="ja-JP"/>
        </w:rPr>
      </w:pPr>
      <w:bookmarkStart w:id="5" w:name="_ENREF_6"/>
      <w:r w:rsidRPr="00381A4B">
        <w:rPr>
          <w:rFonts w:eastAsia="Times New Roman" w:cs="Calibri"/>
          <w:noProof/>
          <w:szCs w:val="24"/>
          <w:lang w:eastAsia="ja-JP"/>
        </w:rPr>
        <w:t>6.</w:t>
      </w:r>
      <w:r w:rsidRPr="00381A4B">
        <w:rPr>
          <w:rFonts w:eastAsia="Times New Roman" w:cs="Calibri"/>
          <w:noProof/>
          <w:szCs w:val="24"/>
          <w:lang w:eastAsia="ja-JP"/>
        </w:rPr>
        <w:tab/>
        <w:t>Tolwani AJ, Campbell RC, Stofan BS, Lai KR, Oster RA, Wille KM. Standard versus high-dose CVVHDF for ICU-related acute renal failure. Journal of the American Society of Nephrology : JASN. 2008 Jun;19(6):1233-8. PubMed PMID: 18337480. Pubmed Central PMCID: 2396940.</w:t>
      </w:r>
      <w:bookmarkEnd w:id="5"/>
    </w:p>
    <w:p w:rsidR="007C2E65" w:rsidRPr="00381A4B" w:rsidRDefault="007C2E65" w:rsidP="007C2E65">
      <w:pPr>
        <w:rPr>
          <w:rFonts w:eastAsia="Times New Roman" w:cs="Calibri"/>
          <w:noProof/>
          <w:szCs w:val="24"/>
          <w:lang w:eastAsia="ja-JP"/>
        </w:rPr>
      </w:pPr>
      <w:bookmarkStart w:id="6" w:name="_ENREF_7"/>
      <w:r w:rsidRPr="00381A4B">
        <w:rPr>
          <w:rFonts w:eastAsia="Times New Roman" w:cs="Calibri"/>
          <w:noProof/>
          <w:szCs w:val="24"/>
          <w:lang w:eastAsia="ja-JP"/>
        </w:rPr>
        <w:t>7.</w:t>
      </w:r>
      <w:r w:rsidRPr="00381A4B">
        <w:rPr>
          <w:rFonts w:eastAsia="Times New Roman" w:cs="Calibri"/>
          <w:noProof/>
          <w:szCs w:val="24"/>
          <w:lang w:eastAsia="ja-JP"/>
        </w:rPr>
        <w:tab/>
        <w:t>RENAL Replacement Therapy Study Investigators. Bellomo R CA, Cole L, Finfer S, Gallagher M, et al. Intensity of continuous renal-replacement therapy in critically ill patients. The New England journal of medicine. 2009 Oct 22;361(17):1627-38.</w:t>
      </w:r>
      <w:bookmarkEnd w:id="6"/>
    </w:p>
    <w:p w:rsidR="007C2E65" w:rsidRPr="00381A4B" w:rsidRDefault="007C2E65" w:rsidP="007C2E65">
      <w:pPr>
        <w:rPr>
          <w:rFonts w:eastAsia="Times New Roman" w:cs="Calibri"/>
          <w:noProof/>
          <w:szCs w:val="24"/>
          <w:lang w:eastAsia="ja-JP"/>
        </w:rPr>
      </w:pPr>
    </w:p>
    <w:p w:rsidR="007C2E65" w:rsidRDefault="007C2E65" w:rsidP="007C2E65">
      <w:pPr>
        <w:pStyle w:val="PlainText"/>
        <w:spacing w:line="360" w:lineRule="auto"/>
        <w:ind w:left="720"/>
        <w:rPr>
          <w:rFonts w:asciiTheme="minorHAnsi" w:hAnsiTheme="minorHAnsi"/>
          <w:i/>
          <w:color w:val="002060"/>
          <w:sz w:val="24"/>
          <w:szCs w:val="24"/>
        </w:rPr>
      </w:pPr>
      <w:r w:rsidRPr="00381A4B">
        <w:rPr>
          <w:rFonts w:eastAsia="Times New Roman"/>
          <w:sz w:val="24"/>
          <w:szCs w:val="24"/>
          <w:lang w:eastAsia="ja-JP"/>
        </w:rPr>
        <w:fldChar w:fldCharType="end"/>
      </w:r>
    </w:p>
    <w:p w:rsidR="007C2E65" w:rsidRDefault="007C2E65" w:rsidP="007C2E65">
      <w:pPr>
        <w:spacing w:after="200" w:line="276" w:lineRule="auto"/>
        <w:rPr>
          <w:rFonts w:eastAsia="Calibri"/>
          <w:i/>
          <w:color w:val="002060"/>
          <w:sz w:val="24"/>
          <w:szCs w:val="24"/>
        </w:rPr>
      </w:pPr>
      <w:r>
        <w:rPr>
          <w:i/>
          <w:color w:val="002060"/>
          <w:sz w:val="24"/>
          <w:szCs w:val="24"/>
        </w:rPr>
        <w:br w:type="page"/>
      </w:r>
    </w:p>
    <w:p w:rsidR="007C2E65" w:rsidRPr="00381A4B" w:rsidRDefault="007C2E65" w:rsidP="007C2E65">
      <w:pPr>
        <w:pStyle w:val="PlainText"/>
        <w:spacing w:line="360" w:lineRule="auto"/>
        <w:rPr>
          <w:rFonts w:asciiTheme="minorHAnsi" w:hAnsiTheme="minorHAnsi"/>
          <w:i/>
          <w:sz w:val="24"/>
          <w:szCs w:val="24"/>
        </w:rPr>
      </w:pPr>
      <w:r w:rsidRPr="00381A4B">
        <w:rPr>
          <w:rFonts w:eastAsia="Times New Roman" w:cs="Avenir-Book"/>
          <w:b/>
          <w:sz w:val="24"/>
          <w:szCs w:val="24"/>
        </w:rPr>
        <w:t>Supplementary Ta</w:t>
      </w:r>
      <w:r w:rsidR="00ED43E4">
        <w:rPr>
          <w:rFonts w:eastAsia="Times New Roman" w:cs="Avenir-Book"/>
          <w:b/>
          <w:sz w:val="24"/>
          <w:szCs w:val="24"/>
        </w:rPr>
        <w:t xml:space="preserve">ble 5: Time of the end of RRT </w:t>
      </w:r>
      <w:r w:rsidRPr="00381A4B">
        <w:rPr>
          <w:rFonts w:eastAsia="Times New Roman" w:cs="Avenir-Book"/>
          <w:b/>
          <w:sz w:val="24"/>
          <w:szCs w:val="24"/>
        </w:rPr>
        <w:t>dependence among the survivors between higher intensity and standard intensity RRT group stratified by treatment group (time to event analysis)</w:t>
      </w:r>
    </w:p>
    <w:tbl>
      <w:tblPr>
        <w:tblpPr w:leftFromText="180" w:rightFromText="180" w:bottomFromText="200" w:vertAnchor="text" w:tblpY="188"/>
        <w:tblW w:w="13969" w:type="dxa"/>
        <w:tblLook w:val="04A0" w:firstRow="1" w:lastRow="0" w:firstColumn="1" w:lastColumn="0" w:noHBand="0" w:noVBand="1"/>
      </w:tblPr>
      <w:tblGrid>
        <w:gridCol w:w="3510"/>
        <w:gridCol w:w="1701"/>
        <w:gridCol w:w="2977"/>
        <w:gridCol w:w="2268"/>
        <w:gridCol w:w="2069"/>
        <w:gridCol w:w="447"/>
        <w:gridCol w:w="997"/>
      </w:tblGrid>
      <w:tr w:rsidR="00381A4B" w:rsidRPr="00381A4B" w:rsidTr="00CC0F45">
        <w:trPr>
          <w:gridAfter w:val="1"/>
          <w:wAfter w:w="997" w:type="dxa"/>
          <w:trHeight w:val="395"/>
        </w:trPr>
        <w:tc>
          <w:tcPr>
            <w:tcW w:w="3510" w:type="dxa"/>
            <w:vMerge w:val="restart"/>
            <w:tcBorders>
              <w:top w:val="single" w:sz="4" w:space="0" w:color="auto"/>
              <w:left w:val="nil"/>
              <w:bottom w:val="single" w:sz="4" w:space="0" w:color="000000"/>
              <w:right w:val="nil"/>
            </w:tcBorders>
            <w:hideMark/>
          </w:tcPr>
          <w:p w:rsidR="007C2E65" w:rsidRPr="00381A4B" w:rsidRDefault="007C2E65" w:rsidP="00CC0F45">
            <w:pPr>
              <w:ind w:right="1682"/>
              <w:jc w:val="center"/>
              <w:rPr>
                <w:rFonts w:eastAsia="Times New Roman"/>
                <w:lang w:eastAsia="ja-JP"/>
              </w:rPr>
            </w:pPr>
            <w:r w:rsidRPr="00381A4B">
              <w:rPr>
                <w:rFonts w:eastAsia="Times New Roman"/>
                <w:lang w:eastAsia="ja-JP"/>
              </w:rPr>
              <w:t>Outcomes</w:t>
            </w:r>
          </w:p>
        </w:tc>
        <w:tc>
          <w:tcPr>
            <w:tcW w:w="1701" w:type="dxa"/>
            <w:vMerge w:val="restart"/>
            <w:tcBorders>
              <w:top w:val="single" w:sz="4" w:space="0" w:color="auto"/>
              <w:left w:val="nil"/>
              <w:bottom w:val="single" w:sz="4" w:space="0" w:color="000000"/>
              <w:right w:val="nil"/>
            </w:tcBorders>
            <w:noWrap/>
            <w:hideMark/>
          </w:tcPr>
          <w:p w:rsidR="007C2E65" w:rsidRPr="00381A4B" w:rsidRDefault="007C2E65" w:rsidP="00CC0F45">
            <w:pPr>
              <w:rPr>
                <w:rFonts w:eastAsia="Times New Roman"/>
                <w:lang w:eastAsia="ja-JP"/>
              </w:rPr>
            </w:pPr>
            <w:r w:rsidRPr="00381A4B">
              <w:rPr>
                <w:rFonts w:eastAsia="Times New Roman"/>
                <w:lang w:eastAsia="ja-JP"/>
              </w:rPr>
              <w:t>Trial numbers</w:t>
            </w:r>
          </w:p>
        </w:tc>
        <w:tc>
          <w:tcPr>
            <w:tcW w:w="2977" w:type="dxa"/>
            <w:tcBorders>
              <w:top w:val="single" w:sz="4" w:space="0" w:color="auto"/>
              <w:left w:val="nil"/>
              <w:bottom w:val="nil"/>
              <w:right w:val="nil"/>
            </w:tcBorders>
            <w:hideMark/>
          </w:tcPr>
          <w:p w:rsidR="007C2E65" w:rsidRPr="00381A4B" w:rsidRDefault="007C2E65" w:rsidP="00CC0F45">
            <w:pPr>
              <w:rPr>
                <w:rFonts w:eastAsia="Times New Roman"/>
                <w:lang w:eastAsia="ja-JP"/>
              </w:rPr>
            </w:pPr>
            <w:r w:rsidRPr="00381A4B">
              <w:rPr>
                <w:rFonts w:eastAsia="Times New Roman"/>
                <w:lang w:eastAsia="ja-JP"/>
              </w:rPr>
              <w:t>Higher intensity RRT</w:t>
            </w:r>
          </w:p>
        </w:tc>
        <w:tc>
          <w:tcPr>
            <w:tcW w:w="2268" w:type="dxa"/>
            <w:vMerge w:val="restart"/>
            <w:tcBorders>
              <w:top w:val="single" w:sz="4" w:space="0" w:color="auto"/>
              <w:left w:val="nil"/>
              <w:bottom w:val="single" w:sz="4" w:space="0" w:color="auto"/>
              <w:right w:val="nil"/>
            </w:tcBorders>
            <w:hideMark/>
          </w:tcPr>
          <w:p w:rsidR="007C2E65" w:rsidRPr="00381A4B" w:rsidRDefault="007C2E65" w:rsidP="00CC0F45">
            <w:pPr>
              <w:rPr>
                <w:rFonts w:eastAsia="Times New Roman"/>
                <w:lang w:eastAsia="ja-JP"/>
              </w:rPr>
            </w:pPr>
            <w:r w:rsidRPr="00381A4B">
              <w:rPr>
                <w:rFonts w:eastAsia="Times New Roman"/>
                <w:lang w:eastAsia="ja-JP"/>
              </w:rPr>
              <w:t>Standard intensity RRT</w:t>
            </w:r>
          </w:p>
        </w:tc>
        <w:tc>
          <w:tcPr>
            <w:tcW w:w="2516" w:type="dxa"/>
            <w:gridSpan w:val="2"/>
            <w:tcBorders>
              <w:top w:val="single" w:sz="4" w:space="0" w:color="auto"/>
              <w:left w:val="nil"/>
              <w:bottom w:val="single" w:sz="4" w:space="0" w:color="auto"/>
              <w:right w:val="nil"/>
            </w:tcBorders>
            <w:noWrap/>
            <w:vAlign w:val="center"/>
            <w:hideMark/>
          </w:tcPr>
          <w:p w:rsidR="007C2E65" w:rsidRPr="00381A4B" w:rsidRDefault="007C2E65" w:rsidP="00CC0F45">
            <w:pPr>
              <w:rPr>
                <w:rFonts w:eastAsia="Times New Roman"/>
                <w:lang w:eastAsia="ja-JP"/>
              </w:rPr>
            </w:pPr>
            <w:r w:rsidRPr="00381A4B">
              <w:rPr>
                <w:rFonts w:eastAsia="Times New Roman"/>
                <w:lang w:eastAsia="ja-JP"/>
              </w:rPr>
              <w:t xml:space="preserve">           Pooled estimate</w:t>
            </w:r>
          </w:p>
        </w:tc>
      </w:tr>
      <w:tr w:rsidR="00381A4B" w:rsidRPr="00381A4B" w:rsidTr="00CC0F45">
        <w:trPr>
          <w:trHeight w:val="395"/>
        </w:trPr>
        <w:tc>
          <w:tcPr>
            <w:tcW w:w="3510" w:type="dxa"/>
            <w:vMerge/>
            <w:tcBorders>
              <w:top w:val="single" w:sz="4" w:space="0" w:color="auto"/>
              <w:left w:val="nil"/>
              <w:bottom w:val="single" w:sz="4" w:space="0" w:color="000000"/>
              <w:right w:val="nil"/>
            </w:tcBorders>
            <w:vAlign w:val="center"/>
            <w:hideMark/>
          </w:tcPr>
          <w:p w:rsidR="007C2E65" w:rsidRPr="00381A4B" w:rsidRDefault="007C2E65" w:rsidP="00CC0F45">
            <w:pPr>
              <w:rPr>
                <w:rFonts w:eastAsia="Times New Roman"/>
                <w:lang w:eastAsia="ja-JP"/>
              </w:rPr>
            </w:pPr>
          </w:p>
        </w:tc>
        <w:tc>
          <w:tcPr>
            <w:tcW w:w="1701" w:type="dxa"/>
            <w:vMerge/>
            <w:tcBorders>
              <w:top w:val="single" w:sz="4" w:space="0" w:color="auto"/>
              <w:left w:val="nil"/>
              <w:bottom w:val="single" w:sz="4" w:space="0" w:color="000000"/>
              <w:right w:val="nil"/>
            </w:tcBorders>
            <w:vAlign w:val="center"/>
            <w:hideMark/>
          </w:tcPr>
          <w:p w:rsidR="007C2E65" w:rsidRPr="00381A4B" w:rsidRDefault="007C2E65" w:rsidP="00CC0F45">
            <w:pPr>
              <w:rPr>
                <w:rFonts w:eastAsia="Times New Roman"/>
                <w:lang w:eastAsia="ja-JP"/>
              </w:rPr>
            </w:pPr>
          </w:p>
        </w:tc>
        <w:tc>
          <w:tcPr>
            <w:tcW w:w="2977" w:type="dxa"/>
            <w:tcBorders>
              <w:top w:val="nil"/>
              <w:left w:val="nil"/>
              <w:bottom w:val="single" w:sz="4" w:space="0" w:color="auto"/>
              <w:right w:val="nil"/>
            </w:tcBorders>
          </w:tcPr>
          <w:p w:rsidR="007C2E65" w:rsidRPr="00381A4B" w:rsidRDefault="007C2E65" w:rsidP="00CC0F45">
            <w:pPr>
              <w:rPr>
                <w:rFonts w:eastAsia="Times New Roman"/>
                <w:lang w:eastAsia="ja-JP"/>
              </w:rPr>
            </w:pPr>
          </w:p>
        </w:tc>
        <w:tc>
          <w:tcPr>
            <w:tcW w:w="0" w:type="auto"/>
            <w:vMerge/>
            <w:tcBorders>
              <w:top w:val="single" w:sz="4" w:space="0" w:color="auto"/>
              <w:left w:val="nil"/>
              <w:bottom w:val="single" w:sz="4" w:space="0" w:color="auto"/>
              <w:right w:val="nil"/>
            </w:tcBorders>
            <w:vAlign w:val="center"/>
            <w:hideMark/>
          </w:tcPr>
          <w:p w:rsidR="007C2E65" w:rsidRPr="00381A4B" w:rsidRDefault="007C2E65" w:rsidP="00CC0F45">
            <w:pPr>
              <w:rPr>
                <w:rFonts w:eastAsia="Times New Roman"/>
                <w:lang w:eastAsia="ja-JP"/>
              </w:rPr>
            </w:pPr>
          </w:p>
        </w:tc>
        <w:tc>
          <w:tcPr>
            <w:tcW w:w="2069" w:type="dxa"/>
            <w:tcBorders>
              <w:top w:val="nil"/>
              <w:left w:val="nil"/>
              <w:bottom w:val="single" w:sz="4" w:space="0" w:color="auto"/>
              <w:right w:val="nil"/>
            </w:tcBorders>
            <w:noWrap/>
            <w:vAlign w:val="center"/>
            <w:hideMark/>
          </w:tcPr>
          <w:p w:rsidR="007C2E65" w:rsidRPr="00381A4B" w:rsidRDefault="007C2E65" w:rsidP="00CC0F45">
            <w:pPr>
              <w:jc w:val="center"/>
              <w:rPr>
                <w:rFonts w:eastAsia="Times New Roman"/>
                <w:lang w:eastAsia="ja-JP"/>
              </w:rPr>
            </w:pPr>
            <w:r w:rsidRPr="00381A4B">
              <w:rPr>
                <w:rFonts w:eastAsia="Times New Roman"/>
                <w:lang w:eastAsia="ja-JP"/>
              </w:rPr>
              <w:t>RR (95% CI)</w:t>
            </w:r>
          </w:p>
        </w:tc>
        <w:tc>
          <w:tcPr>
            <w:tcW w:w="1444" w:type="dxa"/>
            <w:gridSpan w:val="2"/>
            <w:tcBorders>
              <w:top w:val="nil"/>
              <w:left w:val="nil"/>
              <w:bottom w:val="single" w:sz="4" w:space="0" w:color="auto"/>
              <w:right w:val="nil"/>
            </w:tcBorders>
            <w:noWrap/>
            <w:vAlign w:val="center"/>
            <w:hideMark/>
          </w:tcPr>
          <w:p w:rsidR="007C2E65" w:rsidRPr="00381A4B" w:rsidRDefault="007C2E65" w:rsidP="00CC0F45">
            <w:pPr>
              <w:rPr>
                <w:rFonts w:eastAsia="Times New Roman"/>
                <w:lang w:eastAsia="ja-JP"/>
              </w:rPr>
            </w:pPr>
            <w:r w:rsidRPr="00381A4B">
              <w:rPr>
                <w:rFonts w:eastAsia="Times New Roman"/>
                <w:lang w:eastAsia="ja-JP"/>
              </w:rPr>
              <w:t>P value</w:t>
            </w:r>
          </w:p>
        </w:tc>
      </w:tr>
      <w:tr w:rsidR="00381A4B" w:rsidRPr="00381A4B" w:rsidTr="00CC0F45">
        <w:trPr>
          <w:trHeight w:val="395"/>
        </w:trPr>
        <w:tc>
          <w:tcPr>
            <w:tcW w:w="3510" w:type="dxa"/>
            <w:noWrap/>
            <w:vAlign w:val="center"/>
          </w:tcPr>
          <w:p w:rsidR="007C2E65" w:rsidRPr="00381A4B" w:rsidRDefault="007C2E65" w:rsidP="00CC0F45">
            <w:pPr>
              <w:rPr>
                <w:rFonts w:eastAsia="Times New Roman"/>
                <w:b/>
                <w:lang w:eastAsia="ja-JP"/>
              </w:rPr>
            </w:pPr>
            <w:r w:rsidRPr="00381A4B">
              <w:rPr>
                <w:rFonts w:eastAsia="Times New Roman"/>
                <w:b/>
                <w:lang w:eastAsia="ja-JP"/>
              </w:rPr>
              <w:t>All trials</w:t>
            </w:r>
          </w:p>
        </w:tc>
        <w:tc>
          <w:tcPr>
            <w:tcW w:w="1701" w:type="dxa"/>
            <w:noWrap/>
            <w:vAlign w:val="center"/>
          </w:tcPr>
          <w:p w:rsidR="007C2E65" w:rsidRPr="00381A4B" w:rsidRDefault="007C2E65" w:rsidP="00CC0F45">
            <w:pPr>
              <w:rPr>
                <w:rFonts w:eastAsia="Times New Roman"/>
                <w:b/>
                <w:lang w:eastAsia="ja-JP"/>
              </w:rPr>
            </w:pPr>
          </w:p>
        </w:tc>
        <w:tc>
          <w:tcPr>
            <w:tcW w:w="2977" w:type="dxa"/>
          </w:tcPr>
          <w:p w:rsidR="007C2E65" w:rsidRPr="00381A4B" w:rsidRDefault="007C2E65" w:rsidP="00CC0F45">
            <w:pPr>
              <w:jc w:val="center"/>
              <w:rPr>
                <w:rFonts w:eastAsia="Times New Roman"/>
                <w:b/>
                <w:lang w:eastAsia="ja-JP"/>
              </w:rPr>
            </w:pPr>
          </w:p>
        </w:tc>
        <w:tc>
          <w:tcPr>
            <w:tcW w:w="2268" w:type="dxa"/>
          </w:tcPr>
          <w:p w:rsidR="007C2E65" w:rsidRPr="00381A4B" w:rsidRDefault="007C2E65" w:rsidP="00CC0F45">
            <w:pPr>
              <w:jc w:val="center"/>
              <w:rPr>
                <w:rFonts w:eastAsia="Times New Roman"/>
                <w:b/>
                <w:lang w:eastAsia="ja-JP"/>
              </w:rPr>
            </w:pPr>
          </w:p>
        </w:tc>
        <w:tc>
          <w:tcPr>
            <w:tcW w:w="2069" w:type="dxa"/>
            <w:noWrap/>
            <w:vAlign w:val="center"/>
          </w:tcPr>
          <w:p w:rsidR="007C2E65" w:rsidRPr="00381A4B" w:rsidRDefault="007C2E65" w:rsidP="00CC0F45">
            <w:pPr>
              <w:jc w:val="center"/>
              <w:rPr>
                <w:rFonts w:eastAsia="Times New Roman"/>
                <w:b/>
                <w:lang w:eastAsia="ja-JP"/>
              </w:rPr>
            </w:pPr>
          </w:p>
        </w:tc>
        <w:tc>
          <w:tcPr>
            <w:tcW w:w="1444" w:type="dxa"/>
            <w:gridSpan w:val="2"/>
            <w:vAlign w:val="center"/>
          </w:tcPr>
          <w:p w:rsidR="007C2E65" w:rsidRPr="00381A4B" w:rsidRDefault="007C2E65" w:rsidP="00CC0F45">
            <w:pPr>
              <w:jc w:val="center"/>
              <w:rPr>
                <w:rFonts w:eastAsia="Times New Roman"/>
                <w:b/>
                <w:lang w:eastAsia="ja-JP"/>
              </w:rPr>
            </w:pPr>
          </w:p>
        </w:tc>
      </w:tr>
      <w:tr w:rsidR="00381A4B" w:rsidRPr="00381A4B" w:rsidTr="00CC0F45">
        <w:trPr>
          <w:trHeight w:val="395"/>
        </w:trPr>
        <w:tc>
          <w:tcPr>
            <w:tcW w:w="3510" w:type="dxa"/>
            <w:noWrap/>
            <w:vAlign w:val="center"/>
          </w:tcPr>
          <w:p w:rsidR="007C2E65" w:rsidRPr="00381A4B" w:rsidRDefault="007C2E65" w:rsidP="00CC0F45">
            <w:pPr>
              <w:rPr>
                <w:rFonts w:eastAsia="Times New Roman"/>
              </w:rPr>
            </w:pPr>
            <w:r w:rsidRPr="00381A4B">
              <w:rPr>
                <w:rFonts w:eastAsia="Times New Roman"/>
              </w:rPr>
              <w:t>RRT independence by day 28</w:t>
            </w:r>
          </w:p>
        </w:tc>
        <w:tc>
          <w:tcPr>
            <w:tcW w:w="1701" w:type="dxa"/>
            <w:noWrap/>
            <w:vAlign w:val="center"/>
          </w:tcPr>
          <w:p w:rsidR="007C2E65" w:rsidRPr="00381A4B" w:rsidRDefault="007C2E65" w:rsidP="00CC0F45">
            <w:pPr>
              <w:jc w:val="center"/>
              <w:rPr>
                <w:rFonts w:eastAsia="Times New Roman"/>
              </w:rPr>
            </w:pPr>
            <w:r w:rsidRPr="00381A4B">
              <w:rPr>
                <w:rFonts w:eastAsia="Times New Roman"/>
              </w:rPr>
              <w:t>6</w:t>
            </w:r>
          </w:p>
        </w:tc>
        <w:tc>
          <w:tcPr>
            <w:tcW w:w="2977" w:type="dxa"/>
            <w:vAlign w:val="center"/>
          </w:tcPr>
          <w:p w:rsidR="007C2E65" w:rsidRPr="00381A4B" w:rsidRDefault="007C2E65" w:rsidP="00CC0F45">
            <w:pPr>
              <w:rPr>
                <w:rFonts w:eastAsia="Times New Roman"/>
              </w:rPr>
            </w:pPr>
            <w:r w:rsidRPr="00381A4B">
              <w:rPr>
                <w:rFonts w:eastAsia="Times New Roman"/>
              </w:rPr>
              <w:t>687/977 (70.3%)</w:t>
            </w:r>
          </w:p>
        </w:tc>
        <w:tc>
          <w:tcPr>
            <w:tcW w:w="2268" w:type="dxa"/>
            <w:vAlign w:val="center"/>
          </w:tcPr>
          <w:p w:rsidR="007C2E65" w:rsidRPr="00381A4B" w:rsidRDefault="007C2E65" w:rsidP="00CC0F45">
            <w:pPr>
              <w:rPr>
                <w:rFonts w:eastAsia="Times New Roman"/>
              </w:rPr>
            </w:pPr>
            <w:r w:rsidRPr="00381A4B">
              <w:rPr>
                <w:rFonts w:eastAsia="Times New Roman"/>
              </w:rPr>
              <w:t>706/938 (75.3%)</w:t>
            </w:r>
          </w:p>
        </w:tc>
        <w:tc>
          <w:tcPr>
            <w:tcW w:w="2069" w:type="dxa"/>
            <w:noWrap/>
            <w:vAlign w:val="center"/>
          </w:tcPr>
          <w:p w:rsidR="007C2E65" w:rsidRPr="00381A4B" w:rsidRDefault="007C2E65" w:rsidP="00CC0F45">
            <w:pPr>
              <w:rPr>
                <w:rFonts w:eastAsia="Times New Roman"/>
              </w:rPr>
            </w:pPr>
            <w:r w:rsidRPr="00381A4B">
              <w:rPr>
                <w:rFonts w:eastAsia="Times New Roman"/>
              </w:rPr>
              <w:t>0.89 (0.80 – 0.99)</w:t>
            </w:r>
          </w:p>
        </w:tc>
        <w:tc>
          <w:tcPr>
            <w:tcW w:w="1444" w:type="dxa"/>
            <w:gridSpan w:val="2"/>
            <w:vAlign w:val="center"/>
          </w:tcPr>
          <w:p w:rsidR="007C2E65" w:rsidRPr="00381A4B" w:rsidRDefault="007C2E65" w:rsidP="00CC0F45">
            <w:pPr>
              <w:rPr>
                <w:rFonts w:eastAsia="Times New Roman"/>
              </w:rPr>
            </w:pPr>
            <w:r w:rsidRPr="00381A4B">
              <w:rPr>
                <w:rFonts w:eastAsia="Times New Roman"/>
              </w:rPr>
              <w:t>0.03</w:t>
            </w:r>
          </w:p>
        </w:tc>
      </w:tr>
      <w:tr w:rsidR="00381A4B" w:rsidRPr="00381A4B" w:rsidTr="00CC0F45">
        <w:trPr>
          <w:trHeight w:val="395"/>
        </w:trPr>
        <w:tc>
          <w:tcPr>
            <w:tcW w:w="3510" w:type="dxa"/>
            <w:noWrap/>
            <w:vAlign w:val="center"/>
          </w:tcPr>
          <w:p w:rsidR="007C2E65" w:rsidRPr="00381A4B" w:rsidRDefault="007C2E65" w:rsidP="00CC0F45">
            <w:pPr>
              <w:rPr>
                <w:rFonts w:eastAsia="Times New Roman"/>
              </w:rPr>
            </w:pPr>
            <w:r w:rsidRPr="00381A4B">
              <w:rPr>
                <w:rFonts w:eastAsia="Times New Roman"/>
              </w:rPr>
              <w:t>RRT  independence by day 60</w:t>
            </w:r>
          </w:p>
        </w:tc>
        <w:tc>
          <w:tcPr>
            <w:tcW w:w="1701" w:type="dxa"/>
            <w:noWrap/>
            <w:vAlign w:val="center"/>
          </w:tcPr>
          <w:p w:rsidR="007C2E65" w:rsidRPr="00381A4B" w:rsidRDefault="007C2E65" w:rsidP="00CC0F45">
            <w:pPr>
              <w:jc w:val="center"/>
              <w:rPr>
                <w:rFonts w:eastAsia="Times New Roman"/>
              </w:rPr>
            </w:pPr>
            <w:r w:rsidRPr="00381A4B">
              <w:rPr>
                <w:rFonts w:eastAsia="Times New Roman"/>
              </w:rPr>
              <w:t>4</w:t>
            </w:r>
          </w:p>
        </w:tc>
        <w:tc>
          <w:tcPr>
            <w:tcW w:w="2977" w:type="dxa"/>
            <w:vAlign w:val="center"/>
          </w:tcPr>
          <w:p w:rsidR="007C2E65" w:rsidRPr="00381A4B" w:rsidRDefault="007C2E65" w:rsidP="00CC0F45">
            <w:pPr>
              <w:textAlignment w:val="baseline"/>
              <w:rPr>
                <w:rFonts w:eastAsia="Times New Roman"/>
              </w:rPr>
            </w:pPr>
            <w:r w:rsidRPr="00381A4B">
              <w:rPr>
                <w:rFonts w:eastAsia="Times New Roman"/>
              </w:rPr>
              <w:t>625/734 (85.1%)</w:t>
            </w:r>
          </w:p>
        </w:tc>
        <w:tc>
          <w:tcPr>
            <w:tcW w:w="2268" w:type="dxa"/>
            <w:vAlign w:val="center"/>
          </w:tcPr>
          <w:p w:rsidR="007C2E65" w:rsidRPr="00381A4B" w:rsidRDefault="007C2E65" w:rsidP="00CC0F45">
            <w:pPr>
              <w:textAlignment w:val="baseline"/>
              <w:rPr>
                <w:rFonts w:eastAsia="Times New Roman"/>
              </w:rPr>
            </w:pPr>
            <w:r w:rsidRPr="00381A4B">
              <w:rPr>
                <w:rFonts w:eastAsia="Times New Roman"/>
              </w:rPr>
              <w:t>647/744 (87.0%)</w:t>
            </w:r>
          </w:p>
        </w:tc>
        <w:tc>
          <w:tcPr>
            <w:tcW w:w="2069" w:type="dxa"/>
            <w:noWrap/>
            <w:vAlign w:val="center"/>
          </w:tcPr>
          <w:p w:rsidR="007C2E65" w:rsidRPr="00381A4B" w:rsidRDefault="007C2E65" w:rsidP="00CC0F45">
            <w:pPr>
              <w:textAlignment w:val="baseline"/>
              <w:rPr>
                <w:rFonts w:eastAsia="Times New Roman"/>
              </w:rPr>
            </w:pPr>
            <w:r w:rsidRPr="00381A4B">
              <w:rPr>
                <w:rFonts w:eastAsia="Times New Roman"/>
              </w:rPr>
              <w:t>0.96 (0.86 - 1.07)</w:t>
            </w:r>
          </w:p>
        </w:tc>
        <w:tc>
          <w:tcPr>
            <w:tcW w:w="1444" w:type="dxa"/>
            <w:gridSpan w:val="2"/>
            <w:vAlign w:val="center"/>
          </w:tcPr>
          <w:p w:rsidR="007C2E65" w:rsidRPr="00381A4B" w:rsidRDefault="007C2E65" w:rsidP="00CC0F45">
            <w:pPr>
              <w:textAlignment w:val="baseline"/>
              <w:rPr>
                <w:rFonts w:eastAsia="Times New Roman"/>
              </w:rPr>
            </w:pPr>
            <w:r w:rsidRPr="00381A4B">
              <w:rPr>
                <w:rFonts w:eastAsia="Times New Roman"/>
              </w:rPr>
              <w:t>0.49</w:t>
            </w:r>
          </w:p>
        </w:tc>
      </w:tr>
      <w:tr w:rsidR="00381A4B" w:rsidRPr="00381A4B" w:rsidTr="00CC0F45">
        <w:trPr>
          <w:trHeight w:val="395"/>
        </w:trPr>
        <w:tc>
          <w:tcPr>
            <w:tcW w:w="3510" w:type="dxa"/>
            <w:noWrap/>
            <w:vAlign w:val="center"/>
          </w:tcPr>
          <w:p w:rsidR="007C2E65" w:rsidRPr="00381A4B" w:rsidRDefault="007C2E65" w:rsidP="00CC0F45">
            <w:pPr>
              <w:rPr>
                <w:rFonts w:eastAsia="Times New Roman"/>
              </w:rPr>
            </w:pPr>
            <w:r w:rsidRPr="00381A4B">
              <w:rPr>
                <w:rFonts w:eastAsia="Times New Roman"/>
              </w:rPr>
              <w:t>RRT  independence by day 90</w:t>
            </w:r>
          </w:p>
        </w:tc>
        <w:tc>
          <w:tcPr>
            <w:tcW w:w="1701" w:type="dxa"/>
            <w:noWrap/>
            <w:vAlign w:val="center"/>
          </w:tcPr>
          <w:p w:rsidR="007C2E65" w:rsidRPr="00381A4B" w:rsidRDefault="007C2E65" w:rsidP="00CC0F45">
            <w:pPr>
              <w:jc w:val="center"/>
              <w:rPr>
                <w:rFonts w:eastAsia="Times New Roman"/>
              </w:rPr>
            </w:pPr>
            <w:r w:rsidRPr="00381A4B">
              <w:rPr>
                <w:rFonts w:eastAsia="Times New Roman"/>
              </w:rPr>
              <w:t>2</w:t>
            </w:r>
          </w:p>
        </w:tc>
        <w:tc>
          <w:tcPr>
            <w:tcW w:w="2977" w:type="dxa"/>
            <w:vAlign w:val="center"/>
          </w:tcPr>
          <w:p w:rsidR="007C2E65" w:rsidRPr="00381A4B" w:rsidRDefault="007C2E65" w:rsidP="00CC0F45">
            <w:pPr>
              <w:rPr>
                <w:rFonts w:eastAsia="Times New Roman"/>
              </w:rPr>
            </w:pPr>
            <w:r w:rsidRPr="00381A4B">
              <w:rPr>
                <w:rFonts w:eastAsia="Times New Roman"/>
              </w:rPr>
              <w:t>416/459 (90.6%)</w:t>
            </w:r>
          </w:p>
        </w:tc>
        <w:tc>
          <w:tcPr>
            <w:tcW w:w="2268" w:type="dxa"/>
            <w:vAlign w:val="center"/>
          </w:tcPr>
          <w:p w:rsidR="007C2E65" w:rsidRPr="00381A4B" w:rsidRDefault="007C2E65" w:rsidP="00CC0F45">
            <w:pPr>
              <w:rPr>
                <w:rFonts w:eastAsia="Times New Roman"/>
              </w:rPr>
            </w:pPr>
            <w:r w:rsidRPr="00381A4B">
              <w:rPr>
                <w:rFonts w:eastAsia="Times New Roman"/>
              </w:rPr>
              <w:t>417/446 (93.5%)</w:t>
            </w:r>
          </w:p>
        </w:tc>
        <w:tc>
          <w:tcPr>
            <w:tcW w:w="2069" w:type="dxa"/>
            <w:noWrap/>
            <w:vAlign w:val="center"/>
          </w:tcPr>
          <w:p w:rsidR="007C2E65" w:rsidRPr="00381A4B" w:rsidRDefault="007C2E65" w:rsidP="00CC0F45">
            <w:pPr>
              <w:rPr>
                <w:rFonts w:eastAsia="Times New Roman"/>
              </w:rPr>
            </w:pPr>
            <w:r w:rsidRPr="00381A4B">
              <w:rPr>
                <w:rFonts w:eastAsia="Times New Roman"/>
              </w:rPr>
              <w:t>0.94 (0.82 – 1.07)</w:t>
            </w:r>
          </w:p>
        </w:tc>
        <w:tc>
          <w:tcPr>
            <w:tcW w:w="1444" w:type="dxa"/>
            <w:gridSpan w:val="2"/>
            <w:vAlign w:val="center"/>
          </w:tcPr>
          <w:p w:rsidR="007C2E65" w:rsidRPr="00381A4B" w:rsidRDefault="007C2E65" w:rsidP="00CC0F45">
            <w:pPr>
              <w:rPr>
                <w:rFonts w:eastAsia="Times New Roman"/>
              </w:rPr>
            </w:pPr>
            <w:r w:rsidRPr="00381A4B">
              <w:rPr>
                <w:rFonts w:eastAsia="Times New Roman"/>
              </w:rPr>
              <w:t>0.34</w:t>
            </w:r>
          </w:p>
        </w:tc>
      </w:tr>
      <w:tr w:rsidR="00381A4B" w:rsidRPr="00381A4B" w:rsidTr="00CC0F45">
        <w:trPr>
          <w:trHeight w:val="395"/>
        </w:trPr>
        <w:tc>
          <w:tcPr>
            <w:tcW w:w="3510" w:type="dxa"/>
            <w:vAlign w:val="center"/>
          </w:tcPr>
          <w:p w:rsidR="007C2E65" w:rsidRPr="00381A4B" w:rsidRDefault="007C2E65" w:rsidP="00CC0F45">
            <w:pPr>
              <w:rPr>
                <w:rFonts w:eastAsia="Times New Roman"/>
              </w:rPr>
            </w:pPr>
            <w:r w:rsidRPr="00381A4B">
              <w:rPr>
                <w:rFonts w:eastAsia="Times New Roman"/>
                <w:b/>
                <w:lang w:eastAsia="ja-JP"/>
              </w:rPr>
              <w:t>IRRT</w:t>
            </w:r>
            <w:r w:rsidRPr="00381A4B">
              <w:rPr>
                <w:rFonts w:eastAsia="Times New Roman"/>
                <w:b/>
              </w:rPr>
              <w:t xml:space="preserve"> trials*</w:t>
            </w:r>
          </w:p>
        </w:tc>
        <w:tc>
          <w:tcPr>
            <w:tcW w:w="1701" w:type="dxa"/>
            <w:noWrap/>
            <w:vAlign w:val="center"/>
          </w:tcPr>
          <w:p w:rsidR="007C2E65" w:rsidRPr="00381A4B" w:rsidRDefault="007C2E65" w:rsidP="00CC0F45">
            <w:pPr>
              <w:jc w:val="center"/>
              <w:rPr>
                <w:rFonts w:eastAsia="Times New Roman"/>
              </w:rPr>
            </w:pPr>
          </w:p>
        </w:tc>
        <w:tc>
          <w:tcPr>
            <w:tcW w:w="2977" w:type="dxa"/>
            <w:vAlign w:val="center"/>
          </w:tcPr>
          <w:p w:rsidR="007C2E65" w:rsidRPr="00381A4B" w:rsidRDefault="007C2E65" w:rsidP="00CC0F45">
            <w:pPr>
              <w:rPr>
                <w:rFonts w:eastAsia="Times New Roman"/>
              </w:rPr>
            </w:pPr>
          </w:p>
        </w:tc>
        <w:tc>
          <w:tcPr>
            <w:tcW w:w="2268" w:type="dxa"/>
            <w:vAlign w:val="center"/>
          </w:tcPr>
          <w:p w:rsidR="007C2E65" w:rsidRPr="00381A4B" w:rsidRDefault="007C2E65" w:rsidP="00CC0F45">
            <w:pPr>
              <w:rPr>
                <w:rFonts w:eastAsia="Times New Roman"/>
              </w:rPr>
            </w:pPr>
          </w:p>
        </w:tc>
        <w:tc>
          <w:tcPr>
            <w:tcW w:w="2069" w:type="dxa"/>
            <w:noWrap/>
            <w:vAlign w:val="center"/>
          </w:tcPr>
          <w:p w:rsidR="007C2E65" w:rsidRPr="00381A4B" w:rsidRDefault="007C2E65" w:rsidP="00CC0F45">
            <w:pPr>
              <w:rPr>
                <w:rFonts w:eastAsia="Times New Roman"/>
              </w:rPr>
            </w:pPr>
          </w:p>
        </w:tc>
        <w:tc>
          <w:tcPr>
            <w:tcW w:w="1444" w:type="dxa"/>
            <w:gridSpan w:val="2"/>
            <w:vAlign w:val="center"/>
          </w:tcPr>
          <w:p w:rsidR="007C2E65" w:rsidRPr="00381A4B" w:rsidRDefault="007C2E65" w:rsidP="00CC0F45">
            <w:pPr>
              <w:rPr>
                <w:rFonts w:eastAsia="Times New Roman"/>
              </w:rPr>
            </w:pPr>
          </w:p>
        </w:tc>
      </w:tr>
      <w:tr w:rsidR="00381A4B" w:rsidRPr="00381A4B" w:rsidTr="00CC0F45">
        <w:trPr>
          <w:trHeight w:val="395"/>
        </w:trPr>
        <w:tc>
          <w:tcPr>
            <w:tcW w:w="3510" w:type="dxa"/>
            <w:vAlign w:val="center"/>
          </w:tcPr>
          <w:p w:rsidR="007C2E65" w:rsidRPr="00381A4B" w:rsidRDefault="007C2E65" w:rsidP="00CC0F45">
            <w:pPr>
              <w:rPr>
                <w:rFonts w:eastAsia="Times New Roman"/>
                <w:b/>
              </w:rPr>
            </w:pPr>
            <w:r w:rsidRPr="00381A4B">
              <w:rPr>
                <w:rFonts w:eastAsia="Times New Roman"/>
              </w:rPr>
              <w:t>RRT  independence by day 28</w:t>
            </w:r>
          </w:p>
        </w:tc>
        <w:tc>
          <w:tcPr>
            <w:tcW w:w="1701" w:type="dxa"/>
            <w:noWrap/>
            <w:vAlign w:val="center"/>
          </w:tcPr>
          <w:p w:rsidR="007C2E65" w:rsidRPr="00381A4B" w:rsidRDefault="007C2E65" w:rsidP="00CC0F45">
            <w:pPr>
              <w:jc w:val="center"/>
              <w:rPr>
                <w:rFonts w:eastAsia="Times New Roman"/>
              </w:rPr>
            </w:pPr>
            <w:r w:rsidRPr="00381A4B">
              <w:rPr>
                <w:rFonts w:eastAsia="Times New Roman"/>
              </w:rPr>
              <w:t>2</w:t>
            </w:r>
          </w:p>
        </w:tc>
        <w:tc>
          <w:tcPr>
            <w:tcW w:w="2977" w:type="dxa"/>
            <w:vAlign w:val="center"/>
          </w:tcPr>
          <w:p w:rsidR="007C2E65" w:rsidRPr="00381A4B" w:rsidRDefault="007C2E65" w:rsidP="00CC0F45">
            <w:pPr>
              <w:rPr>
                <w:rFonts w:eastAsia="Times New Roman"/>
              </w:rPr>
            </w:pPr>
            <w:r w:rsidRPr="00381A4B">
              <w:rPr>
                <w:rFonts w:eastAsia="Times New Roman"/>
              </w:rPr>
              <w:t>197/346 (56.9%)</w:t>
            </w:r>
          </w:p>
        </w:tc>
        <w:tc>
          <w:tcPr>
            <w:tcW w:w="2268" w:type="dxa"/>
            <w:vAlign w:val="center"/>
          </w:tcPr>
          <w:p w:rsidR="007C2E65" w:rsidRPr="00381A4B" w:rsidRDefault="007C2E65" w:rsidP="00CC0F45">
            <w:pPr>
              <w:rPr>
                <w:rFonts w:eastAsia="Times New Roman"/>
              </w:rPr>
            </w:pPr>
            <w:r w:rsidRPr="00381A4B">
              <w:rPr>
                <w:rFonts w:eastAsia="Times New Roman"/>
              </w:rPr>
              <w:t>227/357 (63.6%)</w:t>
            </w:r>
          </w:p>
        </w:tc>
        <w:tc>
          <w:tcPr>
            <w:tcW w:w="2069" w:type="dxa"/>
            <w:noWrap/>
            <w:vAlign w:val="center"/>
          </w:tcPr>
          <w:p w:rsidR="007C2E65" w:rsidRPr="00381A4B" w:rsidRDefault="007C2E65" w:rsidP="00CC0F45">
            <w:pPr>
              <w:rPr>
                <w:rFonts w:eastAsia="Times New Roman"/>
              </w:rPr>
            </w:pPr>
            <w:r w:rsidRPr="00381A4B">
              <w:rPr>
                <w:rFonts w:eastAsia="Times New Roman"/>
              </w:rPr>
              <w:t>0.87 (0.72-1.05)</w:t>
            </w:r>
          </w:p>
        </w:tc>
        <w:tc>
          <w:tcPr>
            <w:tcW w:w="1444" w:type="dxa"/>
            <w:gridSpan w:val="2"/>
            <w:vAlign w:val="center"/>
          </w:tcPr>
          <w:p w:rsidR="007C2E65" w:rsidRPr="00381A4B" w:rsidRDefault="007C2E65" w:rsidP="00CC0F45">
            <w:pPr>
              <w:rPr>
                <w:rFonts w:eastAsia="Times New Roman"/>
              </w:rPr>
            </w:pPr>
            <w:r w:rsidRPr="00381A4B">
              <w:rPr>
                <w:rFonts w:eastAsia="Times New Roman"/>
              </w:rPr>
              <w:t>0.15</w:t>
            </w:r>
          </w:p>
        </w:tc>
      </w:tr>
      <w:tr w:rsidR="00381A4B" w:rsidRPr="00381A4B" w:rsidTr="00CC0F45">
        <w:trPr>
          <w:trHeight w:val="395"/>
        </w:trPr>
        <w:tc>
          <w:tcPr>
            <w:tcW w:w="3510" w:type="dxa"/>
            <w:vAlign w:val="center"/>
          </w:tcPr>
          <w:p w:rsidR="007C2E65" w:rsidRPr="00381A4B" w:rsidRDefault="007C2E65" w:rsidP="00CC0F45">
            <w:pPr>
              <w:rPr>
                <w:rFonts w:eastAsia="Times New Roman"/>
              </w:rPr>
            </w:pPr>
            <w:r w:rsidRPr="00381A4B">
              <w:rPr>
                <w:rFonts w:eastAsia="Times New Roman"/>
              </w:rPr>
              <w:t>RRT  independence by day 60</w:t>
            </w:r>
          </w:p>
        </w:tc>
        <w:tc>
          <w:tcPr>
            <w:tcW w:w="1701" w:type="dxa"/>
            <w:noWrap/>
            <w:vAlign w:val="center"/>
          </w:tcPr>
          <w:p w:rsidR="007C2E65" w:rsidRPr="00381A4B" w:rsidRDefault="007C2E65" w:rsidP="00CC0F45">
            <w:pPr>
              <w:jc w:val="center"/>
              <w:rPr>
                <w:rFonts w:eastAsia="Times New Roman"/>
              </w:rPr>
            </w:pPr>
            <w:r w:rsidRPr="00381A4B">
              <w:rPr>
                <w:rFonts w:eastAsia="Times New Roman"/>
              </w:rPr>
              <w:t>1</w:t>
            </w:r>
          </w:p>
        </w:tc>
        <w:tc>
          <w:tcPr>
            <w:tcW w:w="2977" w:type="dxa"/>
            <w:vAlign w:val="center"/>
          </w:tcPr>
          <w:p w:rsidR="007C2E65" w:rsidRPr="00381A4B" w:rsidRDefault="007C2E65" w:rsidP="00CC0F45">
            <w:pPr>
              <w:rPr>
                <w:rFonts w:eastAsia="Times New Roman"/>
              </w:rPr>
            </w:pPr>
            <w:r w:rsidRPr="00381A4B">
              <w:rPr>
                <w:rFonts w:eastAsia="Times New Roman"/>
              </w:rPr>
              <w:t>188/244 (77.0%)</w:t>
            </w:r>
          </w:p>
        </w:tc>
        <w:tc>
          <w:tcPr>
            <w:tcW w:w="2268" w:type="dxa"/>
            <w:vAlign w:val="center"/>
          </w:tcPr>
          <w:p w:rsidR="007C2E65" w:rsidRPr="00381A4B" w:rsidRDefault="007C2E65" w:rsidP="00CC0F45">
            <w:pPr>
              <w:rPr>
                <w:rFonts w:eastAsia="Times New Roman"/>
              </w:rPr>
            </w:pPr>
            <w:r w:rsidRPr="00381A4B">
              <w:rPr>
                <w:rFonts w:eastAsia="Times New Roman"/>
              </w:rPr>
              <w:t>202/260 (77.7%)</w:t>
            </w:r>
          </w:p>
        </w:tc>
        <w:tc>
          <w:tcPr>
            <w:tcW w:w="2069" w:type="dxa"/>
            <w:noWrap/>
            <w:vAlign w:val="center"/>
          </w:tcPr>
          <w:p w:rsidR="007C2E65" w:rsidRPr="00381A4B" w:rsidRDefault="007C2E65" w:rsidP="00CC0F45">
            <w:pPr>
              <w:rPr>
                <w:rFonts w:eastAsia="Times New Roman"/>
              </w:rPr>
            </w:pPr>
            <w:r w:rsidRPr="00381A4B">
              <w:rPr>
                <w:rFonts w:eastAsia="Times New Roman"/>
              </w:rPr>
              <w:t>0.97 (0.79-1.18)</w:t>
            </w:r>
          </w:p>
        </w:tc>
        <w:tc>
          <w:tcPr>
            <w:tcW w:w="1444" w:type="dxa"/>
            <w:gridSpan w:val="2"/>
            <w:vAlign w:val="center"/>
          </w:tcPr>
          <w:p w:rsidR="007C2E65" w:rsidRPr="00381A4B" w:rsidRDefault="007C2E65" w:rsidP="00CC0F45">
            <w:pPr>
              <w:rPr>
                <w:rFonts w:eastAsia="Times New Roman"/>
              </w:rPr>
            </w:pPr>
            <w:r w:rsidRPr="00381A4B">
              <w:rPr>
                <w:rFonts w:eastAsia="Times New Roman"/>
              </w:rPr>
              <w:t>0.75</w:t>
            </w:r>
          </w:p>
        </w:tc>
      </w:tr>
      <w:tr w:rsidR="00381A4B" w:rsidRPr="00381A4B" w:rsidTr="00CC0F45">
        <w:trPr>
          <w:trHeight w:val="395"/>
        </w:trPr>
        <w:tc>
          <w:tcPr>
            <w:tcW w:w="3510" w:type="dxa"/>
            <w:vAlign w:val="center"/>
          </w:tcPr>
          <w:p w:rsidR="007C2E65" w:rsidRPr="00381A4B" w:rsidRDefault="007C2E65" w:rsidP="00CC0F45">
            <w:pPr>
              <w:rPr>
                <w:rFonts w:eastAsia="Times New Roman"/>
              </w:rPr>
            </w:pPr>
            <w:r w:rsidRPr="00381A4B">
              <w:rPr>
                <w:rFonts w:eastAsia="Times New Roman"/>
                <w:b/>
              </w:rPr>
              <w:t>CRRT trials#</w:t>
            </w:r>
          </w:p>
        </w:tc>
        <w:tc>
          <w:tcPr>
            <w:tcW w:w="1701" w:type="dxa"/>
            <w:noWrap/>
            <w:vAlign w:val="center"/>
          </w:tcPr>
          <w:p w:rsidR="007C2E65" w:rsidRPr="00381A4B" w:rsidRDefault="007C2E65" w:rsidP="00CC0F45">
            <w:pPr>
              <w:jc w:val="center"/>
              <w:rPr>
                <w:rFonts w:eastAsia="Times New Roman"/>
              </w:rPr>
            </w:pPr>
          </w:p>
        </w:tc>
        <w:tc>
          <w:tcPr>
            <w:tcW w:w="2977" w:type="dxa"/>
            <w:vAlign w:val="center"/>
          </w:tcPr>
          <w:p w:rsidR="007C2E65" w:rsidRPr="00381A4B" w:rsidRDefault="007C2E65" w:rsidP="00CC0F45">
            <w:pPr>
              <w:rPr>
                <w:rFonts w:eastAsia="Times New Roman"/>
              </w:rPr>
            </w:pPr>
          </w:p>
        </w:tc>
        <w:tc>
          <w:tcPr>
            <w:tcW w:w="2268" w:type="dxa"/>
            <w:vAlign w:val="center"/>
          </w:tcPr>
          <w:p w:rsidR="007C2E65" w:rsidRPr="00381A4B" w:rsidRDefault="007C2E65" w:rsidP="00CC0F45">
            <w:pPr>
              <w:rPr>
                <w:rFonts w:eastAsia="Times New Roman"/>
              </w:rPr>
            </w:pPr>
          </w:p>
        </w:tc>
        <w:tc>
          <w:tcPr>
            <w:tcW w:w="2069" w:type="dxa"/>
            <w:noWrap/>
            <w:vAlign w:val="center"/>
          </w:tcPr>
          <w:p w:rsidR="007C2E65" w:rsidRPr="00381A4B" w:rsidRDefault="007C2E65" w:rsidP="00CC0F45">
            <w:pPr>
              <w:rPr>
                <w:rFonts w:eastAsia="Times New Roman"/>
              </w:rPr>
            </w:pPr>
          </w:p>
        </w:tc>
        <w:tc>
          <w:tcPr>
            <w:tcW w:w="1444" w:type="dxa"/>
            <w:gridSpan w:val="2"/>
            <w:vAlign w:val="center"/>
          </w:tcPr>
          <w:p w:rsidR="007C2E65" w:rsidRPr="00381A4B" w:rsidRDefault="007C2E65" w:rsidP="00CC0F45">
            <w:pPr>
              <w:rPr>
                <w:rFonts w:eastAsia="Times New Roman"/>
              </w:rPr>
            </w:pPr>
          </w:p>
        </w:tc>
      </w:tr>
      <w:tr w:rsidR="00381A4B" w:rsidRPr="00381A4B" w:rsidTr="00CC0F45">
        <w:trPr>
          <w:trHeight w:val="395"/>
        </w:trPr>
        <w:tc>
          <w:tcPr>
            <w:tcW w:w="3510" w:type="dxa"/>
            <w:vAlign w:val="center"/>
          </w:tcPr>
          <w:p w:rsidR="007C2E65" w:rsidRPr="00381A4B" w:rsidRDefault="007C2E65" w:rsidP="00CC0F45">
            <w:pPr>
              <w:rPr>
                <w:rFonts w:eastAsia="Times New Roman"/>
                <w:b/>
              </w:rPr>
            </w:pPr>
            <w:r w:rsidRPr="00381A4B">
              <w:rPr>
                <w:rFonts w:eastAsia="Times New Roman"/>
              </w:rPr>
              <w:t>RRT  independence by day 28</w:t>
            </w:r>
          </w:p>
        </w:tc>
        <w:tc>
          <w:tcPr>
            <w:tcW w:w="1701" w:type="dxa"/>
            <w:noWrap/>
            <w:vAlign w:val="center"/>
          </w:tcPr>
          <w:p w:rsidR="007C2E65" w:rsidRPr="00381A4B" w:rsidRDefault="007C2E65" w:rsidP="00CC0F45">
            <w:pPr>
              <w:jc w:val="center"/>
              <w:rPr>
                <w:rFonts w:eastAsia="Times New Roman"/>
              </w:rPr>
            </w:pPr>
            <w:r w:rsidRPr="00381A4B">
              <w:rPr>
                <w:rFonts w:eastAsia="Times New Roman"/>
              </w:rPr>
              <w:t>4</w:t>
            </w:r>
          </w:p>
        </w:tc>
        <w:tc>
          <w:tcPr>
            <w:tcW w:w="2977" w:type="dxa"/>
            <w:vAlign w:val="center"/>
          </w:tcPr>
          <w:p w:rsidR="007C2E65" w:rsidRPr="00381A4B" w:rsidRDefault="007C2E65" w:rsidP="00CC0F45">
            <w:pPr>
              <w:rPr>
                <w:rFonts w:eastAsia="Times New Roman"/>
              </w:rPr>
            </w:pPr>
            <w:r w:rsidRPr="00381A4B">
              <w:rPr>
                <w:rFonts w:eastAsia="Times New Roman"/>
              </w:rPr>
              <w:t>490/631 (77.7%)</w:t>
            </w:r>
          </w:p>
        </w:tc>
        <w:tc>
          <w:tcPr>
            <w:tcW w:w="2268" w:type="dxa"/>
            <w:vAlign w:val="center"/>
          </w:tcPr>
          <w:p w:rsidR="007C2E65" w:rsidRPr="00381A4B" w:rsidRDefault="007C2E65" w:rsidP="00CC0F45">
            <w:pPr>
              <w:rPr>
                <w:rFonts w:eastAsia="Times New Roman"/>
              </w:rPr>
            </w:pPr>
            <w:r w:rsidRPr="00381A4B">
              <w:rPr>
                <w:rFonts w:eastAsia="Times New Roman"/>
              </w:rPr>
              <w:t>479/581 (82.4%)</w:t>
            </w:r>
          </w:p>
        </w:tc>
        <w:tc>
          <w:tcPr>
            <w:tcW w:w="2069" w:type="dxa"/>
            <w:noWrap/>
            <w:vAlign w:val="center"/>
          </w:tcPr>
          <w:p w:rsidR="007C2E65" w:rsidRPr="00381A4B" w:rsidRDefault="007C2E65" w:rsidP="00CC0F45">
            <w:pPr>
              <w:rPr>
                <w:rFonts w:eastAsia="Times New Roman"/>
              </w:rPr>
            </w:pPr>
            <w:r w:rsidRPr="00381A4B">
              <w:rPr>
                <w:rFonts w:eastAsia="Times New Roman"/>
              </w:rPr>
              <w:t>0.87 (0.77-0.99)</w:t>
            </w:r>
          </w:p>
        </w:tc>
        <w:tc>
          <w:tcPr>
            <w:tcW w:w="1444" w:type="dxa"/>
            <w:gridSpan w:val="2"/>
            <w:vAlign w:val="center"/>
          </w:tcPr>
          <w:p w:rsidR="007C2E65" w:rsidRPr="00381A4B" w:rsidRDefault="007C2E65" w:rsidP="00CC0F45">
            <w:pPr>
              <w:rPr>
                <w:rFonts w:eastAsia="Times New Roman"/>
              </w:rPr>
            </w:pPr>
            <w:r w:rsidRPr="00381A4B">
              <w:rPr>
                <w:rFonts w:eastAsia="Times New Roman"/>
              </w:rPr>
              <w:t>0.04</w:t>
            </w:r>
          </w:p>
        </w:tc>
      </w:tr>
      <w:tr w:rsidR="00381A4B" w:rsidRPr="00381A4B" w:rsidTr="00CC0F45">
        <w:trPr>
          <w:trHeight w:val="395"/>
        </w:trPr>
        <w:tc>
          <w:tcPr>
            <w:tcW w:w="3510" w:type="dxa"/>
            <w:vAlign w:val="center"/>
          </w:tcPr>
          <w:p w:rsidR="007C2E65" w:rsidRPr="00381A4B" w:rsidRDefault="007C2E65" w:rsidP="00CC0F45">
            <w:pPr>
              <w:rPr>
                <w:rFonts w:eastAsia="Times New Roman"/>
              </w:rPr>
            </w:pPr>
            <w:r w:rsidRPr="00381A4B">
              <w:rPr>
                <w:rFonts w:eastAsia="Times New Roman"/>
              </w:rPr>
              <w:t>RRT  independence by day 60</w:t>
            </w:r>
          </w:p>
        </w:tc>
        <w:tc>
          <w:tcPr>
            <w:tcW w:w="1701" w:type="dxa"/>
            <w:noWrap/>
            <w:vAlign w:val="center"/>
          </w:tcPr>
          <w:p w:rsidR="007C2E65" w:rsidRPr="00381A4B" w:rsidRDefault="007C2E65" w:rsidP="00CC0F45">
            <w:pPr>
              <w:jc w:val="center"/>
              <w:rPr>
                <w:rFonts w:eastAsia="Times New Roman"/>
              </w:rPr>
            </w:pPr>
            <w:r w:rsidRPr="00381A4B">
              <w:rPr>
                <w:rFonts w:eastAsia="Times New Roman"/>
              </w:rPr>
              <w:t>3</w:t>
            </w:r>
          </w:p>
        </w:tc>
        <w:tc>
          <w:tcPr>
            <w:tcW w:w="2977" w:type="dxa"/>
            <w:vAlign w:val="center"/>
          </w:tcPr>
          <w:p w:rsidR="007C2E65" w:rsidRPr="00381A4B" w:rsidRDefault="007C2E65" w:rsidP="00CC0F45">
            <w:pPr>
              <w:rPr>
                <w:rFonts w:eastAsia="Times New Roman"/>
              </w:rPr>
            </w:pPr>
            <w:r w:rsidRPr="00381A4B">
              <w:rPr>
                <w:rFonts w:eastAsia="Times New Roman"/>
              </w:rPr>
              <w:t>437/490(89.2%)</w:t>
            </w:r>
          </w:p>
        </w:tc>
        <w:tc>
          <w:tcPr>
            <w:tcW w:w="2268" w:type="dxa"/>
            <w:vAlign w:val="center"/>
          </w:tcPr>
          <w:p w:rsidR="007C2E65" w:rsidRPr="00381A4B" w:rsidRDefault="007C2E65" w:rsidP="00CC0F45">
            <w:pPr>
              <w:rPr>
                <w:rFonts w:eastAsia="Times New Roman"/>
              </w:rPr>
            </w:pPr>
            <w:r w:rsidRPr="00381A4B">
              <w:rPr>
                <w:rFonts w:eastAsia="Times New Roman"/>
              </w:rPr>
              <w:t>445/484(91.9%)</w:t>
            </w:r>
          </w:p>
        </w:tc>
        <w:tc>
          <w:tcPr>
            <w:tcW w:w="2069" w:type="dxa"/>
            <w:noWrap/>
            <w:vAlign w:val="center"/>
          </w:tcPr>
          <w:p w:rsidR="007C2E65" w:rsidRPr="00381A4B" w:rsidRDefault="007C2E65" w:rsidP="00CC0F45">
            <w:pPr>
              <w:rPr>
                <w:rFonts w:eastAsia="Times New Roman"/>
              </w:rPr>
            </w:pPr>
            <w:r w:rsidRPr="00381A4B">
              <w:rPr>
                <w:rFonts w:eastAsia="Times New Roman"/>
              </w:rPr>
              <w:t>0.94 (0.83 -1.08)</w:t>
            </w:r>
          </w:p>
        </w:tc>
        <w:tc>
          <w:tcPr>
            <w:tcW w:w="1444" w:type="dxa"/>
            <w:gridSpan w:val="2"/>
            <w:vAlign w:val="center"/>
          </w:tcPr>
          <w:p w:rsidR="007C2E65" w:rsidRPr="00381A4B" w:rsidRDefault="007C2E65" w:rsidP="00CC0F45">
            <w:pPr>
              <w:rPr>
                <w:rFonts w:eastAsia="Times New Roman"/>
              </w:rPr>
            </w:pPr>
            <w:r w:rsidRPr="00381A4B">
              <w:rPr>
                <w:rFonts w:eastAsia="Times New Roman"/>
              </w:rPr>
              <w:t>0.40</w:t>
            </w:r>
          </w:p>
        </w:tc>
      </w:tr>
      <w:tr w:rsidR="00381A4B" w:rsidRPr="00381A4B" w:rsidTr="00CC0F45">
        <w:trPr>
          <w:trHeight w:val="395"/>
        </w:trPr>
        <w:tc>
          <w:tcPr>
            <w:tcW w:w="3510" w:type="dxa"/>
            <w:tcBorders>
              <w:bottom w:val="single" w:sz="4" w:space="0" w:color="auto"/>
            </w:tcBorders>
            <w:vAlign w:val="center"/>
          </w:tcPr>
          <w:p w:rsidR="007C2E65" w:rsidRPr="00381A4B" w:rsidRDefault="007C2E65" w:rsidP="00CC0F45">
            <w:pPr>
              <w:rPr>
                <w:rFonts w:eastAsia="Times New Roman"/>
              </w:rPr>
            </w:pPr>
            <w:r w:rsidRPr="00381A4B">
              <w:rPr>
                <w:rFonts w:eastAsia="Times New Roman"/>
              </w:rPr>
              <w:t>RRT  independence by day 90</w:t>
            </w:r>
          </w:p>
        </w:tc>
        <w:tc>
          <w:tcPr>
            <w:tcW w:w="1701" w:type="dxa"/>
            <w:tcBorders>
              <w:bottom w:val="single" w:sz="4" w:space="0" w:color="auto"/>
            </w:tcBorders>
            <w:noWrap/>
            <w:vAlign w:val="center"/>
          </w:tcPr>
          <w:p w:rsidR="007C2E65" w:rsidRPr="00381A4B" w:rsidRDefault="007C2E65" w:rsidP="00CC0F45">
            <w:pPr>
              <w:jc w:val="center"/>
              <w:rPr>
                <w:rFonts w:eastAsia="Times New Roman"/>
              </w:rPr>
            </w:pPr>
            <w:r w:rsidRPr="00381A4B">
              <w:rPr>
                <w:rFonts w:eastAsia="Times New Roman"/>
              </w:rPr>
              <w:t>2</w:t>
            </w:r>
          </w:p>
        </w:tc>
        <w:tc>
          <w:tcPr>
            <w:tcW w:w="2977" w:type="dxa"/>
            <w:tcBorders>
              <w:bottom w:val="single" w:sz="4" w:space="0" w:color="auto"/>
            </w:tcBorders>
            <w:vAlign w:val="center"/>
          </w:tcPr>
          <w:p w:rsidR="007C2E65" w:rsidRPr="00381A4B" w:rsidRDefault="007C2E65" w:rsidP="00CC0F45">
            <w:pPr>
              <w:rPr>
                <w:rFonts w:eastAsia="Times New Roman"/>
              </w:rPr>
            </w:pPr>
            <w:r w:rsidRPr="00381A4B">
              <w:rPr>
                <w:rFonts w:eastAsia="Times New Roman"/>
              </w:rPr>
              <w:t>416/459 (90.6%)</w:t>
            </w:r>
          </w:p>
        </w:tc>
        <w:tc>
          <w:tcPr>
            <w:tcW w:w="2268" w:type="dxa"/>
            <w:tcBorders>
              <w:bottom w:val="single" w:sz="4" w:space="0" w:color="auto"/>
            </w:tcBorders>
            <w:vAlign w:val="center"/>
          </w:tcPr>
          <w:p w:rsidR="007C2E65" w:rsidRPr="00381A4B" w:rsidRDefault="007C2E65" w:rsidP="00CC0F45">
            <w:pPr>
              <w:rPr>
                <w:rFonts w:eastAsia="Times New Roman"/>
              </w:rPr>
            </w:pPr>
            <w:r w:rsidRPr="00381A4B">
              <w:rPr>
                <w:rFonts w:eastAsia="Times New Roman"/>
              </w:rPr>
              <w:t>417/446 (93.5%)</w:t>
            </w:r>
          </w:p>
        </w:tc>
        <w:tc>
          <w:tcPr>
            <w:tcW w:w="2069" w:type="dxa"/>
            <w:tcBorders>
              <w:bottom w:val="single" w:sz="4" w:space="0" w:color="auto"/>
            </w:tcBorders>
            <w:noWrap/>
            <w:vAlign w:val="center"/>
          </w:tcPr>
          <w:p w:rsidR="007C2E65" w:rsidRPr="00381A4B" w:rsidRDefault="007C2E65" w:rsidP="00CC0F45">
            <w:pPr>
              <w:rPr>
                <w:rFonts w:eastAsia="Times New Roman"/>
              </w:rPr>
            </w:pPr>
            <w:r w:rsidRPr="00381A4B">
              <w:rPr>
                <w:rFonts w:eastAsia="Times New Roman"/>
              </w:rPr>
              <w:t>0.94 (0.82 – 1.07)</w:t>
            </w:r>
          </w:p>
        </w:tc>
        <w:tc>
          <w:tcPr>
            <w:tcW w:w="1444" w:type="dxa"/>
            <w:gridSpan w:val="2"/>
            <w:tcBorders>
              <w:bottom w:val="single" w:sz="4" w:space="0" w:color="auto"/>
            </w:tcBorders>
            <w:vAlign w:val="center"/>
          </w:tcPr>
          <w:p w:rsidR="007C2E65" w:rsidRPr="00381A4B" w:rsidRDefault="007C2E65" w:rsidP="00CC0F45">
            <w:pPr>
              <w:rPr>
                <w:rFonts w:eastAsia="Times New Roman"/>
              </w:rPr>
            </w:pPr>
            <w:r w:rsidRPr="00381A4B">
              <w:rPr>
                <w:rFonts w:eastAsia="Times New Roman"/>
              </w:rPr>
              <w:t>0.34</w:t>
            </w:r>
          </w:p>
        </w:tc>
      </w:tr>
    </w:tbl>
    <w:p w:rsidR="007C2E65" w:rsidRPr="00381A4B" w:rsidRDefault="007C2E65" w:rsidP="007C2E65">
      <w:pPr>
        <w:rPr>
          <w:rFonts w:eastAsia="Times New Roman"/>
          <w:sz w:val="24"/>
          <w:szCs w:val="24"/>
          <w:lang w:eastAsia="ja-JP"/>
        </w:rPr>
      </w:pPr>
    </w:p>
    <w:p w:rsidR="007C2E65" w:rsidRPr="00381A4B" w:rsidRDefault="007C2E65" w:rsidP="007C2E65">
      <w:pPr>
        <w:pStyle w:val="PlainText"/>
        <w:spacing w:line="360" w:lineRule="auto"/>
        <w:ind w:left="720"/>
        <w:rPr>
          <w:rFonts w:asciiTheme="minorHAnsi" w:hAnsiTheme="minorHAnsi"/>
          <w:i/>
          <w:sz w:val="24"/>
          <w:szCs w:val="24"/>
        </w:rPr>
      </w:pPr>
    </w:p>
    <w:p w:rsidR="007C2E65" w:rsidRPr="00381A4B" w:rsidRDefault="007C2E65" w:rsidP="007C2E65">
      <w:pPr>
        <w:rPr>
          <w:rFonts w:eastAsia="Times New Roman"/>
        </w:rPr>
      </w:pPr>
      <w:r w:rsidRPr="00381A4B">
        <w:rPr>
          <w:rFonts w:eastAsia="Times New Roman"/>
        </w:rPr>
        <w:t xml:space="preserve">IRRT = intermittent renal replacement therapy; CRRT = continuous renal replacement therapy; RR = risk ratio; RRT dependence refers to number of patients who were still RRT dependent at the different study point. *Two trials allowed IRRT as part of the protocol including ATN </w:t>
      </w:r>
      <w:r w:rsidRPr="00381A4B">
        <w:rPr>
          <w:rFonts w:eastAsia="Times New Roman"/>
        </w:rPr>
        <w:fldChar w:fldCharType="begin"/>
      </w:r>
      <w:r w:rsidRPr="00381A4B">
        <w:rPr>
          <w:rFonts w:eastAsia="Times New Roman"/>
        </w:rPr>
        <w:instrText xml:space="preserve"> ADDIN EN.CITE &lt;EndNote&gt;&lt;Cite&gt;&lt;Author&gt;VA/NIH Acute Renal Failure Trial Network. Palevsky PM&lt;/Author&gt;&lt;Year&gt;2008&lt;/Year&gt;&lt;RecNum&gt;32&lt;/RecNum&gt;&lt;DisplayText&gt;(1)&lt;/DisplayText&gt;&lt;record&gt;&lt;rec-number&gt;32&lt;/rec-number&gt;&lt;foreign-keys&gt;&lt;key app="EN" db-id="exdffxs0l2pz08evttxvfed1xwdvetrap2st"&gt;32&lt;/key&gt;&lt;/foreign-keys&gt;&lt;ref-type name="Journal Article"&gt;17&lt;/ref-type&gt;&lt;contributors&gt;&lt;authors&gt;&lt;author&gt;VA/NIH Acute Renal Failure Trial Network. Palevsky PM, Zhang JH, O&amp;apos;Connor TZ, Chertow GM, Crowley ST, et al&lt;/author&gt;&lt;/authors&gt;&lt;/contributors&gt;&lt;titles&gt;&lt;title&gt;Intensity of renal support in critically ill patients with acute kidney injury&lt;/title&gt;&lt;secondary-title&gt;The New England journal of medicine&lt;/secondary-title&gt;&lt;/titles&gt;&lt;periodical&gt;&lt;full-title&gt;N Engl J Med&lt;/full-title&gt;&lt;abbr-1&gt;The New England journal of medicine&lt;/abbr-1&gt;&lt;/periodical&gt;&lt;pages&gt;7-20&lt;/pages&gt;&lt;volume&gt;359&lt;/volume&gt;&lt;number&gt;1&lt;/number&gt;&lt;dates&gt;&lt;year&gt;2008&lt;/year&gt;&lt;pub-dates&gt;&lt;date&gt;Jul 3&lt;/date&gt;&lt;/pub-dates&gt;&lt;/dates&gt;&lt;urls&gt;&lt;/urls&gt;&lt;custom2&gt;2574780&lt;/custom2&gt;&lt;/record&gt;&lt;/Cite&gt;&lt;/EndNote&gt;</w:instrText>
      </w:r>
      <w:r w:rsidRPr="00381A4B">
        <w:rPr>
          <w:rFonts w:eastAsia="Times New Roman"/>
        </w:rPr>
        <w:fldChar w:fldCharType="separate"/>
      </w:r>
      <w:r w:rsidRPr="00381A4B">
        <w:rPr>
          <w:rFonts w:eastAsia="Times New Roman"/>
          <w:noProof/>
        </w:rPr>
        <w:t>(</w:t>
      </w:r>
      <w:hyperlink w:anchor="_ENREF_1" w:tooltip="VA/NIH Acute Renal Failure Trial Network. Palevsky PM, 2008 #32" w:history="1">
        <w:r w:rsidRPr="00381A4B">
          <w:rPr>
            <w:rFonts w:eastAsia="Times New Roman"/>
            <w:noProof/>
          </w:rPr>
          <w:t>1</w:t>
        </w:r>
      </w:hyperlink>
      <w:r w:rsidRPr="00381A4B">
        <w:rPr>
          <w:rFonts w:eastAsia="Times New Roman"/>
          <w:noProof/>
        </w:rPr>
        <w:t>)</w:t>
      </w:r>
      <w:r w:rsidRPr="00381A4B">
        <w:rPr>
          <w:rFonts w:eastAsia="Times New Roman"/>
        </w:rPr>
        <w:fldChar w:fldCharType="end"/>
      </w:r>
      <w:r w:rsidRPr="00381A4B">
        <w:rPr>
          <w:rFonts w:eastAsia="Times New Roman"/>
        </w:rPr>
        <w:t xml:space="preserve"> and Faulhaber-Walter trial </w:t>
      </w:r>
      <w:r w:rsidRPr="00381A4B">
        <w:rPr>
          <w:rFonts w:eastAsia="Times New Roman"/>
        </w:rPr>
        <w:fldChar w:fldCharType="begin"/>
      </w:r>
      <w:r w:rsidRPr="00381A4B">
        <w:rPr>
          <w:rFonts w:eastAsia="Times New Roman"/>
        </w:rPr>
        <w:instrText xml:space="preserve"> ADDIN EN.CITE &lt;EndNote&gt;&lt;Cite&gt;&lt;Author&gt;Faulhaber-Walter&lt;/Author&gt;&lt;Year&gt;2009&lt;/Year&gt;&lt;RecNum&gt;18&lt;/RecNum&gt;&lt;DisplayText&gt;(2)&lt;/DisplayText&gt;&lt;record&gt;&lt;rec-number&gt;18&lt;/rec-number&gt;&lt;foreign-keys&gt;&lt;key app="EN" db-id="exdffxs0l2pz08evttxvfed1xwdvetrap2st"&gt;18&lt;/key&gt;&lt;/foreign-keys&gt;&lt;ref-type name="Journal Article"&gt;17&lt;/ref-type&gt;&lt;contributors&gt;&lt;authors&gt;&lt;author&gt;Faulhaber-Walter, R.&lt;/author&gt;&lt;author&gt;Hafer, C.&lt;/author&gt;&lt;author&gt;Jahr, N.&lt;/author&gt;&lt;author&gt;Vahlbruch, J.&lt;/author&gt;&lt;author&gt;Hoy, L.&lt;/author&gt;&lt;author&gt;Haller, H.&lt;/author&gt;&lt;author&gt;Fliser, D.&lt;/author&gt;&lt;author&gt;Kielstein, J. T.&lt;/author&gt;&lt;/authors&gt;&lt;/contributors&gt;&lt;auth-address&gt;Department of Internal Medicine, Hannover Medical School, Hannover, Germany.&lt;/auth-address&gt;&lt;titles&gt;&lt;title&gt;The Hannover Dialysis Outcome study: comparison of standard versus intensified extended dialysis for treatment of patients with acute kidney injury in the intensive care unit&lt;/title&gt;&lt;secondary-title&gt;Nephrol Dial Transplant&lt;/secondary-title&gt;&lt;alt-title&gt;Nephrology, dialysis, transplantation : official publication of the European Dialysis and Transplant Association - European Renal Association&lt;/alt-title&gt;&lt;/titles&gt;&lt;pages&gt;2179-86&lt;/pages&gt;&lt;volume&gt;24&lt;/volume&gt;&lt;number&gt;7&lt;/number&gt;&lt;keywords&gt;&lt;keyword&gt;Acute Kidney Injury/*therapy&lt;/keyword&gt;&lt;keyword&gt;Female&lt;/keyword&gt;&lt;keyword&gt;Humans&lt;/keyword&gt;&lt;keyword&gt;*Intensive Care Units&lt;/keyword&gt;&lt;keyword&gt;Male&lt;/keyword&gt;&lt;keyword&gt;Middle Aged&lt;/keyword&gt;&lt;keyword&gt;Prospective Studies&lt;/keyword&gt;&lt;keyword&gt;Renal Dialysis/*methods&lt;/keyword&gt;&lt;keyword&gt;Treatment Outcome&lt;/keyword&gt;&lt;/keywords&gt;&lt;dates&gt;&lt;year&gt;2009&lt;/year&gt;&lt;pub-dates&gt;&lt;date&gt;Jul&lt;/date&gt;&lt;/pub-dates&gt;&lt;/dates&gt;&lt;isbn&gt;1460-2385 (Electronic)&amp;#xD;0931-0509 (Linking)&lt;/isbn&gt;&lt;accession-num&gt;19218540&lt;/accession-num&gt;&lt;urls&gt;&lt;related-urls&gt;&lt;url&gt;http://www.ncbi.nlm.nih.gov/pubmed/19218540&lt;/url&gt;&lt;/related-urls&gt;&lt;/urls&gt;&lt;electronic-resource-num&gt;10.1093/ndt/gfp035&lt;/electronic-resource-num&gt;&lt;/record&gt;&lt;/Cite&gt;&lt;/EndNote&gt;</w:instrText>
      </w:r>
      <w:r w:rsidRPr="00381A4B">
        <w:rPr>
          <w:rFonts w:eastAsia="Times New Roman"/>
        </w:rPr>
        <w:fldChar w:fldCharType="separate"/>
      </w:r>
      <w:r w:rsidRPr="00381A4B">
        <w:rPr>
          <w:rFonts w:eastAsia="Times New Roman"/>
          <w:noProof/>
        </w:rPr>
        <w:t>(</w:t>
      </w:r>
      <w:hyperlink w:anchor="_ENREF_2" w:tooltip="Faulhaber-Walter, 2009 #18" w:history="1">
        <w:r w:rsidRPr="00381A4B">
          <w:rPr>
            <w:rFonts w:eastAsia="Times New Roman"/>
            <w:noProof/>
          </w:rPr>
          <w:t>2</w:t>
        </w:r>
      </w:hyperlink>
      <w:r w:rsidRPr="00381A4B">
        <w:rPr>
          <w:rFonts w:eastAsia="Times New Roman"/>
          <w:noProof/>
        </w:rPr>
        <w:t>)</w:t>
      </w:r>
      <w:r w:rsidRPr="00381A4B">
        <w:rPr>
          <w:rFonts w:eastAsia="Times New Roman"/>
        </w:rPr>
        <w:fldChar w:fldCharType="end"/>
      </w:r>
      <w:r w:rsidRPr="00381A4B">
        <w:rPr>
          <w:rFonts w:eastAsia="Times New Roman"/>
        </w:rPr>
        <w:t xml:space="preserve">; #Five trials employed CRRT only including Ronco </w:t>
      </w:r>
      <w:r w:rsidRPr="00381A4B">
        <w:rPr>
          <w:rFonts w:eastAsia="Times New Roman"/>
        </w:rPr>
        <w:fldChar w:fldCharType="begin"/>
      </w:r>
      <w:r w:rsidRPr="00381A4B">
        <w:rPr>
          <w:rFonts w:eastAsia="Times New Roman"/>
        </w:rPr>
        <w:instrText xml:space="preserve"> ADDIN EN.CITE &lt;EndNote&gt;&lt;Cite&gt;&lt;Author&gt;Ronco&lt;/Author&gt;&lt;Year&gt;2000&lt;/Year&gt;&lt;RecNum&gt;10&lt;/RecNum&gt;&lt;DisplayText&gt;(3)&lt;/DisplayText&gt;&lt;record&gt;&lt;rec-number&gt;10&lt;/rec-number&gt;&lt;foreign-keys&gt;&lt;key app="EN" db-id="exdffxs0l2pz08evttxvfed1xwdvetrap2st"&gt;10&lt;/key&gt;&lt;/foreign-keys&gt;&lt;ref-type name="Journal Article"&gt;17&lt;/ref-type&gt;&lt;contributors&gt;&lt;authors&gt;&lt;author&gt;Ronco, C.&lt;/author&gt;&lt;author&gt;Bellomo, R.&lt;/author&gt;&lt;author&gt;Homel, P.&lt;/author&gt;&lt;author&gt;Brendolan, A.&lt;/author&gt;&lt;author&gt;Dan, M.&lt;/author&gt;&lt;author&gt;Piccinni, P.&lt;/author&gt;&lt;author&gt;La Greca, G.&lt;/author&gt;&lt;/authors&gt;&lt;/contributors&gt;&lt;auth-address&gt;Department of Nephrology, St Bortolo Hospital, Vicenza, Italy. cronco@rriny.com&lt;/auth-address&gt;&lt;titles&gt;&lt;title&gt;Effects of different doses in continuous veno-venous haemofiltration on outcomes of acute renal failure: a prospective randomised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26-30&lt;/pages&gt;&lt;volume&gt;356&lt;/volume&gt;&lt;number&gt;9223&lt;/number&gt;&lt;keywords&gt;&lt;keyword&gt;Apache&lt;/keyword&gt;&lt;keyword&gt;Acute Kidney Injury/*mortality/*therapy&lt;/keyword&gt;&lt;keyword&gt;Age Factors&lt;/keyword&gt;&lt;keyword&gt;Analysis of Variance&lt;/keyword&gt;&lt;keyword&gt;Body Weight&lt;/keyword&gt;&lt;keyword&gt;Hemofiltration/*methods&lt;/keyword&gt;&lt;keyword&gt;Humans&lt;/keyword&gt;&lt;keyword&gt;Italy&lt;/keyword&gt;&lt;keyword&gt;Middle Aged&lt;/keyword&gt;&lt;keyword&gt;Proportional Hazards Models&lt;/keyword&gt;&lt;keyword&gt;Prospective Studies&lt;/keyword&gt;&lt;keyword&gt;Severity of Illness Index&lt;/keyword&gt;&lt;keyword&gt;Survival Rate&lt;/keyword&gt;&lt;keyword&gt;Treatment Outcome&lt;/keyword&gt;&lt;/keywords&gt;&lt;dates&gt;&lt;year&gt;2000&lt;/year&gt;&lt;pub-dates&gt;&lt;date&gt;Jul 1&lt;/date&gt;&lt;/pub-dates&gt;&lt;/dates&gt;&lt;isbn&gt;0140-6736 (Print)&amp;#xD;0140-6736 (Linking)&lt;/isbn&gt;&lt;accession-num&gt;10892761&lt;/accession-num&gt;&lt;urls&gt;&lt;related-urls&gt;&lt;url&gt;http://www.ncbi.nlm.nih.gov/pubmed/10892761&lt;/url&gt;&lt;/related-urls&gt;&lt;/urls&gt;&lt;electronic-resource-num&gt;10.1016/S0140-6736(00)02430-2&lt;/electronic-resource-num&gt;&lt;/record&gt;&lt;/Cite&gt;&lt;/EndNote&gt;</w:instrText>
      </w:r>
      <w:r w:rsidRPr="00381A4B">
        <w:rPr>
          <w:rFonts w:eastAsia="Times New Roman"/>
        </w:rPr>
        <w:fldChar w:fldCharType="separate"/>
      </w:r>
      <w:r w:rsidRPr="00381A4B">
        <w:rPr>
          <w:rFonts w:eastAsia="Times New Roman"/>
          <w:noProof/>
        </w:rPr>
        <w:t>(</w:t>
      </w:r>
      <w:hyperlink w:anchor="_ENREF_3" w:tooltip="Ronco, 2000 #10" w:history="1">
        <w:r w:rsidRPr="00381A4B">
          <w:rPr>
            <w:rFonts w:eastAsia="Times New Roman"/>
            <w:noProof/>
          </w:rPr>
          <w:t>3</w:t>
        </w:r>
      </w:hyperlink>
      <w:r w:rsidRPr="00381A4B">
        <w:rPr>
          <w:rFonts w:eastAsia="Times New Roman"/>
          <w:noProof/>
        </w:rPr>
        <w:t>)</w:t>
      </w:r>
      <w:r w:rsidRPr="00381A4B">
        <w:rPr>
          <w:rFonts w:eastAsia="Times New Roman"/>
        </w:rPr>
        <w:fldChar w:fldCharType="end"/>
      </w:r>
      <w:r w:rsidRPr="00381A4B">
        <w:rPr>
          <w:rFonts w:eastAsia="Times New Roman"/>
        </w:rPr>
        <w:t xml:space="preserve">, Bouman </w:t>
      </w:r>
      <w:r w:rsidRPr="00381A4B">
        <w:rPr>
          <w:rFonts w:eastAsia="Times New Roman"/>
        </w:rPr>
        <w:fldChar w:fldCharType="begin"/>
      </w:r>
      <w:r w:rsidRPr="00381A4B">
        <w:rPr>
          <w:rFonts w:eastAsia="Times New Roman"/>
        </w:rPr>
        <w:instrText xml:space="preserve"> ADDIN EN.CITE &lt;EndNote&gt;&lt;Cite&gt;&lt;Author&gt;Bouman&lt;/Author&gt;&lt;Year&gt;2002&lt;/Year&gt;&lt;RecNum&gt;11&lt;/RecNum&gt;&lt;DisplayText&gt;(4)&lt;/DisplayText&gt;&lt;record&gt;&lt;rec-number&gt;11&lt;/rec-number&gt;&lt;foreign-keys&gt;&lt;key app="EN" db-id="exdffxs0l2pz08evttxvfed1xwdvetrap2st"&gt;11&lt;/key&gt;&lt;/foreign-keys&gt;&lt;ref-type name="Journal Article"&gt;17&lt;/ref-type&gt;&lt;contributors&gt;&lt;authors&gt;&lt;author&gt;Bouman, C. S.&lt;/author&gt;&lt;author&gt;Oudemans-Van Straaten, H. M.&lt;/author&gt;&lt;author&gt;Tijssen, J. G.&lt;/author&gt;&lt;author&gt;Zandstra, D. F.&lt;/author&gt;&lt;author&gt;Kesecioglu, J.&lt;/author&gt;&lt;/authors&gt;&lt;/contributors&gt;&lt;auth-address&gt;Department of Intensive Care, Academic Medical Center, Amsterdam, The Netherlands.&lt;/auth-address&gt;&lt;titles&gt;&lt;title&gt;Effects of early high-volume continuous venovenous hemofiltration on survival and recovery of renal function in intensive care patients with acute renal failure: a prospective, randomized trial&lt;/title&gt;&lt;secondary-title&gt;Crit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medicine&lt;/abbr-1&gt;&lt;/alt-periodical&gt;&lt;pages&gt;2205-11&lt;/pages&gt;&lt;volume&gt;30&lt;/volume&gt;&lt;number&gt;10&lt;/number&gt;&lt;keywords&gt;&lt;keyword&gt;Acute Kidney Injury/mortality/physiopathology/*therapy&lt;/keyword&gt;&lt;keyword&gt;Aged&lt;/keyword&gt;&lt;keyword&gt;Female&lt;/keyword&gt;&lt;keyword&gt;*Hemofiltration/adverse effects/methods&lt;/keyword&gt;&lt;keyword&gt;Humans&lt;/keyword&gt;&lt;keyword&gt;Intensive Care Units&lt;/keyword&gt;&lt;keyword&gt;Kidney/physiopathology&lt;/keyword&gt;&lt;keyword&gt;Male&lt;/keyword&gt;&lt;keyword&gt;Prospective Studies&lt;/keyword&gt;&lt;keyword&gt;Survival Rate&lt;/keyword&gt;&lt;keyword&gt;Time Factors&lt;/keyword&gt;&lt;/keywords&gt;&lt;dates&gt;&lt;year&gt;2002&lt;/year&gt;&lt;pub-dates&gt;&lt;date&gt;Oct&lt;/date&gt;&lt;/pub-dates&gt;&lt;/dates&gt;&lt;isbn&gt;0090-3493 (Print)&amp;#xD;0090-3493 (Linking)&lt;/isbn&gt;&lt;accession-num&gt;12394945&lt;/accession-num&gt;&lt;urls&gt;&lt;related-urls&gt;&lt;url&gt;http://www.ncbi.nlm.nih.gov/pubmed/12394945&lt;/url&gt;&lt;/related-urls&gt;&lt;/urls&gt;&lt;electronic-resource-num&gt;10.1097/01.CCM.0000030444.21921.EF&lt;/electronic-resource-num&gt;&lt;/record&gt;&lt;/Cite&gt;&lt;/EndNote&gt;</w:instrText>
      </w:r>
      <w:r w:rsidRPr="00381A4B">
        <w:rPr>
          <w:rFonts w:eastAsia="Times New Roman"/>
        </w:rPr>
        <w:fldChar w:fldCharType="separate"/>
      </w:r>
      <w:r w:rsidRPr="00381A4B">
        <w:rPr>
          <w:rFonts w:eastAsia="Times New Roman"/>
          <w:noProof/>
        </w:rPr>
        <w:t>(</w:t>
      </w:r>
      <w:hyperlink w:anchor="_ENREF_4" w:tooltip="Bouman, 2002 #11" w:history="1">
        <w:r w:rsidRPr="00381A4B">
          <w:rPr>
            <w:rFonts w:eastAsia="Times New Roman"/>
            <w:noProof/>
          </w:rPr>
          <w:t>4</w:t>
        </w:r>
      </w:hyperlink>
      <w:r w:rsidRPr="00381A4B">
        <w:rPr>
          <w:rFonts w:eastAsia="Times New Roman"/>
          <w:noProof/>
        </w:rPr>
        <w:t>)</w:t>
      </w:r>
      <w:r w:rsidRPr="00381A4B">
        <w:rPr>
          <w:rFonts w:eastAsia="Times New Roman"/>
        </w:rPr>
        <w:fldChar w:fldCharType="end"/>
      </w:r>
      <w:r w:rsidRPr="00381A4B">
        <w:rPr>
          <w:rFonts w:eastAsia="Times New Roman"/>
        </w:rPr>
        <w:t xml:space="preserve">, Saudan </w:t>
      </w:r>
      <w:r w:rsidRPr="00381A4B">
        <w:rPr>
          <w:rFonts w:eastAsia="Times New Roman"/>
        </w:rPr>
        <w:fldChar w:fldCharType="begin">
          <w:fldData xml:space="preserve">PEVuZE5vdGU+PENpdGU+PEF1dGhvcj5TYXVkYW48L0F1dGhvcj48WWVhcj4yMDA2PC9ZZWFyPjxS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</w:fldData>
        </w:fldChar>
      </w:r>
      <w:r w:rsidRPr="00381A4B">
        <w:rPr>
          <w:rFonts w:eastAsia="Times New Roman"/>
        </w:rPr>
        <w:instrText xml:space="preserve"> ADDIN EN.CITE </w:instrText>
      </w:r>
      <w:r w:rsidRPr="00381A4B">
        <w:rPr>
          <w:rFonts w:eastAsia="Times New Roman"/>
        </w:rPr>
        <w:fldChar w:fldCharType="begin">
          <w:fldData xml:space="preserve">PEVuZE5vdGU+PENpdGU+PEF1dGhvcj5TYXVkYW48L0F1dGhvcj48WWVhcj4yMDA2PC9ZZWFyPjxS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</w:fldData>
        </w:fldChar>
      </w:r>
      <w:r w:rsidRPr="00381A4B">
        <w:rPr>
          <w:rFonts w:eastAsia="Times New Roman"/>
        </w:rPr>
        <w:instrText xml:space="preserve"> ADDIN EN.CITE.DATA </w:instrText>
      </w:r>
      <w:r w:rsidRPr="00381A4B">
        <w:rPr>
          <w:rFonts w:eastAsia="Times New Roman"/>
        </w:rPr>
      </w:r>
      <w:r w:rsidRPr="00381A4B">
        <w:rPr>
          <w:rFonts w:eastAsia="Times New Roman"/>
        </w:rPr>
        <w:fldChar w:fldCharType="end"/>
      </w:r>
      <w:r w:rsidRPr="00381A4B">
        <w:rPr>
          <w:rFonts w:eastAsia="Times New Roman"/>
        </w:rPr>
      </w:r>
      <w:r w:rsidRPr="00381A4B">
        <w:rPr>
          <w:rFonts w:eastAsia="Times New Roman"/>
        </w:rPr>
        <w:fldChar w:fldCharType="separate"/>
      </w:r>
      <w:r w:rsidRPr="00381A4B">
        <w:rPr>
          <w:rFonts w:eastAsia="Times New Roman"/>
          <w:noProof/>
        </w:rPr>
        <w:t>(</w:t>
      </w:r>
      <w:hyperlink w:anchor="_ENREF_5" w:tooltip="Saudan, 2006 #13" w:history="1">
        <w:r w:rsidRPr="00381A4B">
          <w:rPr>
            <w:rFonts w:eastAsia="Times New Roman"/>
            <w:noProof/>
          </w:rPr>
          <w:t>5</w:t>
        </w:r>
      </w:hyperlink>
      <w:r w:rsidRPr="00381A4B">
        <w:rPr>
          <w:rFonts w:eastAsia="Times New Roman"/>
          <w:noProof/>
        </w:rPr>
        <w:t>)</w:t>
      </w:r>
      <w:r w:rsidRPr="00381A4B">
        <w:rPr>
          <w:rFonts w:eastAsia="Times New Roman"/>
        </w:rPr>
        <w:fldChar w:fldCharType="end"/>
      </w:r>
      <w:r w:rsidRPr="00381A4B">
        <w:rPr>
          <w:rFonts w:eastAsia="Times New Roman"/>
        </w:rPr>
        <w:t xml:space="preserve">, Tolwani </w:t>
      </w:r>
      <w:r w:rsidRPr="00381A4B">
        <w:rPr>
          <w:rFonts w:eastAsia="Times New Roman"/>
        </w:rPr>
        <w:fldChar w:fldCharType="begin"/>
      </w:r>
      <w:r w:rsidRPr="00381A4B">
        <w:rPr>
          <w:rFonts w:eastAsia="Times New Roman"/>
        </w:rPr>
        <w:instrText xml:space="preserve"> ADDIN EN.CITE &lt;EndNote&gt;&lt;Cite&gt;&lt;Author&gt;Tolwani&lt;/Author&gt;&lt;Year&gt;2008&lt;/Year&gt;&lt;RecNum&gt;15&lt;/RecNum&gt;&lt;DisplayText&gt;(6)&lt;/DisplayText&gt;&lt;record&gt;&lt;rec-number&gt;15&lt;/rec-number&gt;&lt;foreign-keys&gt;&lt;key app="EN" db-id="exdffxs0l2pz08evttxvfed1xwdvetrap2st"&gt;15&lt;/key&gt;&lt;/foreign-keys&gt;&lt;ref-type name="Journal Article"&gt;17&lt;/ref-type&gt;&lt;contributors&gt;&lt;authors&gt;&lt;author&gt;Tolwani, A. J.&lt;/author&gt;&lt;author&gt;Campbell, R. C.&lt;/author&gt;&lt;author&gt;Stofan, B. S.&lt;/author&gt;&lt;author&gt;Lai, K. R.&lt;/author&gt;&lt;author&gt;Oster, R. A.&lt;/author&gt;&lt;author&gt;Wille, K. M.&lt;/author&gt;&lt;/authors&gt;&lt;/contributors&gt;&lt;auth-address&gt;Department of Medicine, University of Alabama at Birmingham, Birmingham, Alabama, USA. atolwani@uab.edu&lt;/auth-address&gt;&lt;titles&gt;&lt;title&gt;Standard versus high-dose CVVHDF for ICU-related acute renal failure&lt;/title&gt;&lt;secondary-title&gt;J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JASN&lt;/abbr-1&gt;&lt;/alt-periodical&gt;&lt;pages&gt;1233-8&lt;/pages&gt;&lt;volume&gt;19&lt;/volume&gt;&lt;number&gt;6&lt;/number&gt;&lt;keywords&gt;&lt;keyword&gt;Acute Kidney Injury/*mortality/*therapy&lt;/keyword&gt;&lt;keyword&gt;Female&lt;/keyword&gt;&lt;keyword&gt;Hemodiafiltration/*methods&lt;/keyword&gt;&lt;keyword&gt;Humans&lt;/keyword&gt;&lt;keyword&gt;Intensive Care Units&lt;/keyword&gt;&lt;keyword&gt;Male&lt;/keyword&gt;&lt;keyword&gt;Middle Aged&lt;/keyword&gt;&lt;keyword&gt;Survival Rate&lt;/keyword&gt;&lt;/keywords&gt;&lt;dates&gt;&lt;year&gt;2008&lt;/year&gt;&lt;pub-dates&gt;&lt;date&gt;Jun&lt;/date&gt;&lt;/pub-dates&gt;&lt;/dates&gt;&lt;isbn&gt;1533-3450 (Electronic)&amp;#xD;1046-6673 (Linking)&lt;/isbn&gt;&lt;accession-num&gt;18337480&lt;/accession-num&gt;&lt;urls&gt;&lt;related-urls&gt;&lt;url&gt;http://www.ncbi.nlm.nih.gov/pubmed/18337480&lt;/url&gt;&lt;/related-urls&gt;&lt;/urls&gt;&lt;custom2&gt;2396940&lt;/custom2&gt;&lt;electronic-resource-num&gt;10.1681/ASN.2007111173&lt;/electronic-resource-num&gt;&lt;/record&gt;&lt;/Cite&gt;&lt;/EndNote&gt;</w:instrText>
      </w:r>
      <w:r w:rsidRPr="00381A4B">
        <w:rPr>
          <w:rFonts w:eastAsia="Times New Roman"/>
        </w:rPr>
        <w:fldChar w:fldCharType="separate"/>
      </w:r>
      <w:r w:rsidRPr="00381A4B">
        <w:rPr>
          <w:rFonts w:eastAsia="Times New Roman"/>
          <w:noProof/>
        </w:rPr>
        <w:t>(</w:t>
      </w:r>
      <w:hyperlink w:anchor="_ENREF_6" w:tooltip="Tolwani, 2008 #15" w:history="1">
        <w:r w:rsidRPr="00381A4B">
          <w:rPr>
            <w:rFonts w:eastAsia="Times New Roman"/>
            <w:noProof/>
          </w:rPr>
          <w:t>6</w:t>
        </w:r>
      </w:hyperlink>
      <w:r w:rsidRPr="00381A4B">
        <w:rPr>
          <w:rFonts w:eastAsia="Times New Roman"/>
          <w:noProof/>
        </w:rPr>
        <w:t>)</w:t>
      </w:r>
      <w:r w:rsidRPr="00381A4B">
        <w:rPr>
          <w:rFonts w:eastAsia="Times New Roman"/>
        </w:rPr>
        <w:fldChar w:fldCharType="end"/>
      </w:r>
      <w:r w:rsidRPr="00381A4B">
        <w:rPr>
          <w:rFonts w:eastAsia="Times New Roman"/>
        </w:rPr>
        <w:t xml:space="preserve">, RENAL </w:t>
      </w:r>
      <w:r w:rsidRPr="00381A4B">
        <w:rPr>
          <w:rFonts w:eastAsia="Times New Roman"/>
        </w:rPr>
        <w:fldChar w:fldCharType="begin"/>
      </w:r>
      <w:r w:rsidRPr="00381A4B">
        <w:rPr>
          <w:rFonts w:eastAsia="Times New Roman"/>
        </w:rPr>
        <w:instrText xml:space="preserve"> ADDIN EN.CITE &lt;EndNote&gt;&lt;Cite&gt;&lt;Author&gt;RENAL Replacement Therapy Study Investigators. Bellomo R&lt;/Author&gt;&lt;Year&gt;2009&lt;/Year&gt;&lt;RecNum&gt;33&lt;/RecNum&gt;&lt;DisplayText&gt;(7)&lt;/DisplayText&gt;&lt;record&gt;&lt;rec-number&gt;33&lt;/rec-number&gt;&lt;foreign-keys&gt;&lt;key app="EN" db-id="exdffxs0l2pz08evttxvfed1xwdvetrap2st"&gt;33&lt;/key&gt;&lt;/foreign-keys&gt;&lt;ref-type name="Journal Article"&gt;17&lt;/ref-type&gt;&lt;contributors&gt;&lt;authors&gt;&lt;author&gt;RENAL Replacement Therapy Study Investigators. Bellomo R, Cass A, Cole L, Finfer S, Gallagher M, et al&lt;/author&gt;&lt;/authors&gt;&lt;/contributors&gt;&lt;titles&gt;&lt;title&gt;Intensity of continuous renal-replacement therapy in critically ill patients&lt;/title&gt;&lt;secondary-title&gt;The New England journal of medicine&lt;/secondary-title&gt;&lt;/titles&gt;&lt;periodical&gt;&lt;full-title&gt;N Engl J Med&lt;/full-title&gt;&lt;abbr-1&gt;The New England journal of medicine&lt;/abbr-1&gt;&lt;/periodical&gt;&lt;pages&gt;1627-38&lt;/pages&gt;&lt;volume&gt;361&lt;/volume&gt;&lt;number&gt;17&lt;/number&gt;&lt;dates&gt;&lt;year&gt;2009&lt;/year&gt;&lt;pub-dates&gt;&lt;date&gt;Oct 22&lt;/date&gt;&lt;/pub-dates&gt;&lt;/dates&gt;&lt;urls&gt;&lt;/urls&gt;&lt;/record&gt;&lt;/Cite&gt;&lt;/EndNote&gt;</w:instrText>
      </w:r>
      <w:r w:rsidRPr="00381A4B">
        <w:rPr>
          <w:rFonts w:eastAsia="Times New Roman"/>
        </w:rPr>
        <w:fldChar w:fldCharType="separate"/>
      </w:r>
      <w:r w:rsidRPr="00381A4B">
        <w:rPr>
          <w:rFonts w:eastAsia="Times New Roman"/>
          <w:noProof/>
        </w:rPr>
        <w:t>(</w:t>
      </w:r>
      <w:hyperlink w:anchor="_ENREF_7" w:tooltip="RENAL Replacement Therapy Study Investigators. Bellomo R, 2009 #33" w:history="1">
        <w:r w:rsidRPr="00381A4B">
          <w:rPr>
            <w:rFonts w:eastAsia="Times New Roman"/>
            <w:noProof/>
          </w:rPr>
          <w:t>7</w:t>
        </w:r>
      </w:hyperlink>
      <w:r w:rsidRPr="00381A4B">
        <w:rPr>
          <w:rFonts w:eastAsia="Times New Roman"/>
          <w:noProof/>
        </w:rPr>
        <w:t>)</w:t>
      </w:r>
      <w:r w:rsidRPr="00381A4B">
        <w:rPr>
          <w:rFonts w:eastAsia="Times New Roman"/>
        </w:rPr>
        <w:fldChar w:fldCharType="end"/>
      </w:r>
      <w:r w:rsidRPr="00381A4B">
        <w:rPr>
          <w:rFonts w:eastAsia="Times New Roman"/>
        </w:rPr>
        <w:t xml:space="preserve">. </w:t>
      </w:r>
    </w:p>
    <w:p w:rsidR="007C2E65" w:rsidRPr="00381A4B" w:rsidRDefault="007C2E65" w:rsidP="007C2E65">
      <w:pPr>
        <w:rPr>
          <w:rFonts w:eastAsia="Times New Roman"/>
          <w:sz w:val="20"/>
          <w:highlight w:val="yellow"/>
          <w:lang w:eastAsia="ja-JP"/>
        </w:rPr>
      </w:pPr>
      <w:r w:rsidRPr="00381A4B">
        <w:rPr>
          <w:rFonts w:eastAsia="Times New Roman"/>
          <w:sz w:val="20"/>
          <w:lang w:eastAsia="ja-JP"/>
        </w:rPr>
        <w:t>Denominator included all patients who were alive at that fixed study point.</w:t>
      </w:r>
    </w:p>
    <w:p w:rsidR="007C2E65" w:rsidRPr="00381A4B" w:rsidRDefault="007C2E65" w:rsidP="007C2E65">
      <w:pPr>
        <w:rPr>
          <w:rFonts w:eastAsia="Times New Roman"/>
          <w:b/>
          <w:bCs/>
        </w:rPr>
      </w:pPr>
      <w:r w:rsidRPr="00381A4B">
        <w:rPr>
          <w:rFonts w:eastAsia="Times New Roman"/>
          <w:b/>
          <w:bCs/>
        </w:rPr>
        <w:t>List of studies used for individual patient data meta-analysis</w:t>
      </w:r>
    </w:p>
    <w:p w:rsidR="007C2E65" w:rsidRPr="00381A4B" w:rsidRDefault="007C2E65" w:rsidP="007C2E65">
      <w:pPr>
        <w:rPr>
          <w:rFonts w:eastAsia="Times New Roman"/>
          <w:noProof/>
        </w:rPr>
      </w:pPr>
      <w:r w:rsidRPr="00381A4B">
        <w:rPr>
          <w:rFonts w:eastAsia="Times New Roman"/>
          <w:noProof/>
        </w:rPr>
        <w:fldChar w:fldCharType="begin"/>
      </w:r>
      <w:r w:rsidRPr="00381A4B">
        <w:rPr>
          <w:rFonts w:eastAsia="Times New Roman"/>
          <w:noProof/>
        </w:rPr>
        <w:instrText xml:space="preserve"> ADDIN EN.REFLIST </w:instrText>
      </w:r>
      <w:r w:rsidRPr="00381A4B">
        <w:rPr>
          <w:rFonts w:eastAsia="Times New Roman"/>
          <w:noProof/>
        </w:rPr>
        <w:fldChar w:fldCharType="separate"/>
      </w:r>
      <w:r w:rsidRPr="00381A4B">
        <w:rPr>
          <w:rFonts w:eastAsia="Times New Roman"/>
          <w:noProof/>
        </w:rPr>
        <w:t>1.</w:t>
      </w:r>
      <w:r w:rsidRPr="00381A4B">
        <w:rPr>
          <w:rFonts w:eastAsia="Times New Roman"/>
          <w:noProof/>
        </w:rPr>
        <w:tab/>
        <w:t>VA/NIH Acute Renal Failure Trial Network. Palevsky PM ZJ, O'Connor TZ, Chertow GM, Crowley ST, et al. Intensity of renal support in critically ill patients with acute kidney injury. The New England journal of medicine. 2008;359(1):7-20.</w:t>
      </w:r>
    </w:p>
    <w:p w:rsidR="007C2E65" w:rsidRPr="00381A4B" w:rsidRDefault="007C2E65" w:rsidP="007C2E65">
      <w:pPr>
        <w:rPr>
          <w:rFonts w:eastAsia="Times New Roman"/>
          <w:noProof/>
        </w:rPr>
      </w:pPr>
      <w:r w:rsidRPr="00381A4B">
        <w:rPr>
          <w:rFonts w:eastAsia="Times New Roman"/>
          <w:noProof/>
        </w:rPr>
        <w:t>2.</w:t>
      </w:r>
      <w:r w:rsidRPr="00381A4B">
        <w:rPr>
          <w:rFonts w:eastAsia="Times New Roman"/>
          <w:noProof/>
        </w:rPr>
        <w:tab/>
        <w:t>Faulhaber-Walter R, Hafer C, Jahr N, Vahlbruch J, Hoy L, Haller H, et al. The Hannover Dialysis Outcome study: comparison of standard versus intensified extended dialysis for treatment of patients with acute kidney injury in the intensive care unit. Nephrol Dial Transplant. 2009;24(7):2179-86.</w:t>
      </w:r>
    </w:p>
    <w:p w:rsidR="007C2E65" w:rsidRPr="00381A4B" w:rsidRDefault="007C2E65" w:rsidP="007C2E65">
      <w:pPr>
        <w:rPr>
          <w:rFonts w:eastAsia="Times New Roman"/>
          <w:noProof/>
        </w:rPr>
      </w:pPr>
      <w:r w:rsidRPr="00381A4B">
        <w:rPr>
          <w:rFonts w:eastAsia="Times New Roman"/>
          <w:noProof/>
        </w:rPr>
        <w:t>3.</w:t>
      </w:r>
      <w:r w:rsidRPr="00381A4B">
        <w:rPr>
          <w:rFonts w:eastAsia="Times New Roman"/>
          <w:noProof/>
        </w:rPr>
        <w:tab/>
        <w:t>Ronco C, Bellomo R, Homel P, Brendolan A, Dan M, Piccinni P, et al. Effects of different doses in continuous veno-venous haemofiltration on outcomes of acute renal failure: a prospective randomised trial. Lancet. 2000;356(9223):26-30.</w:t>
      </w:r>
    </w:p>
    <w:p w:rsidR="007C2E65" w:rsidRPr="00381A4B" w:rsidRDefault="007C2E65" w:rsidP="007C2E65">
      <w:pPr>
        <w:rPr>
          <w:rFonts w:eastAsia="Times New Roman"/>
          <w:noProof/>
        </w:rPr>
      </w:pPr>
      <w:r w:rsidRPr="00381A4B">
        <w:rPr>
          <w:rFonts w:eastAsia="Times New Roman"/>
          <w:noProof/>
        </w:rPr>
        <w:t>4.</w:t>
      </w:r>
      <w:r w:rsidRPr="00381A4B">
        <w:rPr>
          <w:rFonts w:eastAsia="Times New Roman"/>
          <w:noProof/>
        </w:rPr>
        <w:tab/>
        <w:t>Bouman CS, Oudemans-Van Straaten HM, Tijssen JG, Zandstra DF, Kesecioglu J. Effects of early high-volume continuous venovenous hemofiltration on survival and recovery of renal function in intensive care patients with acute renal failure: a prospective, randomized trial. Critical care medicine. 2002;30(10):2205-11.</w:t>
      </w:r>
    </w:p>
    <w:p w:rsidR="007C2E65" w:rsidRPr="00381A4B" w:rsidRDefault="007C2E65" w:rsidP="007C2E65">
      <w:pPr>
        <w:rPr>
          <w:rFonts w:eastAsia="Times New Roman"/>
          <w:noProof/>
        </w:rPr>
      </w:pPr>
      <w:r w:rsidRPr="00381A4B">
        <w:rPr>
          <w:rFonts w:eastAsia="Times New Roman"/>
          <w:noProof/>
        </w:rPr>
        <w:t>5.</w:t>
      </w:r>
      <w:r w:rsidRPr="00381A4B">
        <w:rPr>
          <w:rFonts w:eastAsia="Times New Roman"/>
          <w:noProof/>
        </w:rPr>
        <w:tab/>
        <w:t>Saudan P, Niederberger M, De Seigneux S, Romand J, Pugin J, Perneger T, et al. Adding a dialysis dose to continuous hemofiltration increases survival in patients with acute renal failure. Kidney Int. 2006;70(7):1312-7.</w:t>
      </w:r>
    </w:p>
    <w:p w:rsidR="007C2E65" w:rsidRPr="00381A4B" w:rsidRDefault="007C2E65" w:rsidP="007C2E65">
      <w:pPr>
        <w:rPr>
          <w:rFonts w:eastAsia="Times New Roman"/>
          <w:noProof/>
        </w:rPr>
      </w:pPr>
      <w:r w:rsidRPr="00381A4B">
        <w:rPr>
          <w:rFonts w:eastAsia="Times New Roman"/>
          <w:noProof/>
        </w:rPr>
        <w:t>6.</w:t>
      </w:r>
      <w:r w:rsidRPr="00381A4B">
        <w:rPr>
          <w:rFonts w:eastAsia="Times New Roman"/>
          <w:noProof/>
        </w:rPr>
        <w:tab/>
        <w:t>Tolwani AJ, Campbell RC, Stofan BS, Lai KR, Oster RA, Wille KM. Standard versus high-dose CVVHDF for ICU-related acute renal failure. Journal of the American Society of Nephrology : JASN. 2008;19(6):1233-8.</w:t>
      </w:r>
    </w:p>
    <w:p w:rsidR="007C2E65" w:rsidRPr="00381A4B" w:rsidRDefault="007C2E65" w:rsidP="007C2E65">
      <w:pPr>
        <w:rPr>
          <w:rFonts w:eastAsia="Times New Roman"/>
        </w:rPr>
      </w:pPr>
      <w:r w:rsidRPr="00381A4B">
        <w:rPr>
          <w:rFonts w:eastAsia="Times New Roman"/>
          <w:noProof/>
        </w:rPr>
        <w:t>7.</w:t>
      </w:r>
      <w:r w:rsidRPr="00381A4B">
        <w:rPr>
          <w:rFonts w:eastAsia="Times New Roman"/>
          <w:noProof/>
        </w:rPr>
        <w:tab/>
        <w:t>RENAL Replacement Therapy Study Investigators. Bellomo R CA, Cole L, Finfer S, Gallagher M, et al. Intensity of continuous renal-replacement therapy in critically ill patients. The New England journal of medicine. 2009;361(17):1627-38.</w:t>
      </w:r>
      <w:r w:rsidRPr="00381A4B">
        <w:rPr>
          <w:rFonts w:eastAsia="Times New Roman"/>
        </w:rPr>
        <w:fldChar w:fldCharType="end"/>
      </w:r>
    </w:p>
    <w:p w:rsidR="007C2E65" w:rsidRDefault="007C2E65" w:rsidP="007C2E65">
      <w:pPr>
        <w:rPr>
          <w:rFonts w:eastAsia="Times New Roman"/>
          <w:color w:val="FF0000"/>
        </w:rPr>
      </w:pPr>
      <w:r>
        <w:rPr>
          <w:rFonts w:eastAsia="Times New Roman"/>
          <w:color w:val="FF0000"/>
        </w:rPr>
        <w:br w:type="page"/>
      </w:r>
    </w:p>
    <w:p w:rsidR="007C2E65" w:rsidRPr="00381A4B" w:rsidRDefault="007C2E65" w:rsidP="007C2E65">
      <w:pPr>
        <w:spacing w:after="80"/>
        <w:rPr>
          <w:rFonts w:eastAsia="Times New Roman"/>
          <w:b/>
          <w:sz w:val="24"/>
          <w:szCs w:val="24"/>
          <w:lang w:eastAsia="ja-JP"/>
        </w:rPr>
      </w:pPr>
      <w:r w:rsidRPr="00381A4B">
        <w:rPr>
          <w:rFonts w:eastAsia="Times New Roman"/>
          <w:b/>
          <w:sz w:val="24"/>
          <w:szCs w:val="24"/>
          <w:lang w:eastAsia="ja-JP"/>
        </w:rPr>
        <w:t xml:space="preserve">Supplementary Table 6: All-cause mortality between higher intensity and standard intensity IRRT group </w:t>
      </w:r>
    </w:p>
    <w:tbl>
      <w:tblPr>
        <w:tblW w:w="13528" w:type="dxa"/>
        <w:tblInd w:w="-601" w:type="dxa"/>
        <w:tblLook w:val="04A0" w:firstRow="1" w:lastRow="0" w:firstColumn="1" w:lastColumn="0" w:noHBand="0" w:noVBand="1"/>
      </w:tblPr>
      <w:tblGrid>
        <w:gridCol w:w="3970"/>
        <w:gridCol w:w="1977"/>
        <w:gridCol w:w="2133"/>
        <w:gridCol w:w="2133"/>
        <w:gridCol w:w="2395"/>
        <w:gridCol w:w="125"/>
        <w:gridCol w:w="795"/>
      </w:tblGrid>
      <w:tr w:rsidR="00381A4B" w:rsidRPr="00381A4B" w:rsidTr="00CC0F45">
        <w:trPr>
          <w:gridAfter w:val="1"/>
          <w:wAfter w:w="795" w:type="dxa"/>
          <w:trHeight w:val="438"/>
        </w:trPr>
        <w:tc>
          <w:tcPr>
            <w:tcW w:w="3970" w:type="dxa"/>
            <w:vMerge w:val="restart"/>
            <w:tcBorders>
              <w:top w:val="single" w:sz="4" w:space="0" w:color="auto"/>
              <w:left w:val="nil"/>
              <w:bottom w:val="single" w:sz="4" w:space="0" w:color="000000"/>
              <w:right w:val="nil"/>
            </w:tcBorders>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Outcomes</w:t>
            </w:r>
          </w:p>
        </w:tc>
        <w:tc>
          <w:tcPr>
            <w:tcW w:w="1977" w:type="dxa"/>
            <w:vMerge w:val="restart"/>
            <w:tcBorders>
              <w:top w:val="single" w:sz="4" w:space="0" w:color="auto"/>
              <w:left w:val="nil"/>
              <w:bottom w:val="single" w:sz="4" w:space="0" w:color="000000"/>
              <w:right w:val="nil"/>
            </w:tcBorders>
            <w:noWrap/>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Trial numbers</w:t>
            </w:r>
          </w:p>
        </w:tc>
        <w:tc>
          <w:tcPr>
            <w:tcW w:w="2133" w:type="dxa"/>
            <w:tcBorders>
              <w:top w:val="single" w:sz="4" w:space="0" w:color="auto"/>
              <w:left w:val="nil"/>
              <w:bottom w:val="nil"/>
              <w:right w:val="nil"/>
            </w:tcBorders>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Higher intensity RRT group</w:t>
            </w:r>
          </w:p>
        </w:tc>
        <w:tc>
          <w:tcPr>
            <w:tcW w:w="2133" w:type="dxa"/>
            <w:vMerge w:val="restart"/>
            <w:tcBorders>
              <w:top w:val="single" w:sz="4" w:space="0" w:color="auto"/>
              <w:left w:val="nil"/>
              <w:bottom w:val="single" w:sz="4" w:space="0" w:color="auto"/>
              <w:right w:val="nil"/>
            </w:tcBorders>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Standard intensity RRT group</w:t>
            </w:r>
          </w:p>
        </w:tc>
        <w:tc>
          <w:tcPr>
            <w:tcW w:w="2520" w:type="dxa"/>
            <w:gridSpan w:val="2"/>
            <w:tcBorders>
              <w:top w:val="single" w:sz="4" w:space="0" w:color="auto"/>
              <w:left w:val="nil"/>
              <w:bottom w:val="single" w:sz="4" w:space="0" w:color="auto"/>
              <w:right w:val="nil"/>
            </w:tcBorders>
            <w:noWrap/>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Pooled estimate                     </w:t>
            </w:r>
          </w:p>
        </w:tc>
      </w:tr>
      <w:tr w:rsidR="00381A4B" w:rsidRPr="00381A4B" w:rsidTr="00CC0F45">
        <w:trPr>
          <w:trHeight w:val="395"/>
        </w:trPr>
        <w:tc>
          <w:tcPr>
            <w:tcW w:w="0" w:type="auto"/>
            <w:vMerge/>
            <w:tcBorders>
              <w:top w:val="single" w:sz="4" w:space="0" w:color="auto"/>
              <w:left w:val="nil"/>
              <w:bottom w:val="single" w:sz="4" w:space="0" w:color="000000"/>
              <w:right w:val="nil"/>
            </w:tcBorders>
            <w:vAlign w:val="center"/>
            <w:hideMark/>
          </w:tcPr>
          <w:p w:rsidR="007C2E65" w:rsidRPr="00381A4B" w:rsidRDefault="007C2E65" w:rsidP="00CC0F45">
            <w:pPr>
              <w:spacing w:after="80"/>
              <w:jc w:val="center"/>
              <w:rPr>
                <w:rFonts w:eastAsia="Times New Roman"/>
                <w:sz w:val="24"/>
                <w:szCs w:val="24"/>
                <w:lang w:eastAsia="ja-JP"/>
              </w:rPr>
            </w:pPr>
          </w:p>
        </w:tc>
        <w:tc>
          <w:tcPr>
            <w:tcW w:w="0" w:type="auto"/>
            <w:vMerge/>
            <w:tcBorders>
              <w:top w:val="single" w:sz="4" w:space="0" w:color="auto"/>
              <w:left w:val="nil"/>
              <w:bottom w:val="single" w:sz="4" w:space="0" w:color="000000"/>
              <w:right w:val="nil"/>
            </w:tcBorders>
            <w:vAlign w:val="center"/>
            <w:hideMark/>
          </w:tcPr>
          <w:p w:rsidR="007C2E65" w:rsidRPr="00381A4B" w:rsidRDefault="007C2E65" w:rsidP="00CC0F45">
            <w:pPr>
              <w:spacing w:after="80"/>
              <w:jc w:val="center"/>
              <w:rPr>
                <w:rFonts w:eastAsia="Times New Roman"/>
                <w:sz w:val="24"/>
                <w:szCs w:val="24"/>
                <w:lang w:eastAsia="ja-JP"/>
              </w:rPr>
            </w:pPr>
          </w:p>
        </w:tc>
        <w:tc>
          <w:tcPr>
            <w:tcW w:w="2133" w:type="dxa"/>
            <w:tcBorders>
              <w:top w:val="nil"/>
              <w:left w:val="nil"/>
              <w:bottom w:val="single" w:sz="4" w:space="0" w:color="auto"/>
              <w:right w:val="nil"/>
            </w:tcBorders>
          </w:tcPr>
          <w:p w:rsidR="007C2E65" w:rsidRPr="00381A4B" w:rsidRDefault="007C2E65" w:rsidP="00CC0F45">
            <w:pPr>
              <w:spacing w:after="80"/>
              <w:jc w:val="center"/>
              <w:rPr>
                <w:rFonts w:eastAsia="Times New Roman"/>
                <w:sz w:val="24"/>
                <w:szCs w:val="24"/>
                <w:lang w:eastAsia="ja-JP"/>
              </w:rPr>
            </w:pPr>
          </w:p>
        </w:tc>
        <w:tc>
          <w:tcPr>
            <w:tcW w:w="0" w:type="auto"/>
            <w:vMerge/>
            <w:tcBorders>
              <w:top w:val="single" w:sz="4" w:space="0" w:color="auto"/>
              <w:left w:val="nil"/>
              <w:bottom w:val="single" w:sz="4" w:space="0" w:color="auto"/>
              <w:right w:val="nil"/>
            </w:tcBorders>
            <w:vAlign w:val="center"/>
            <w:hideMark/>
          </w:tcPr>
          <w:p w:rsidR="007C2E65" w:rsidRPr="00381A4B" w:rsidRDefault="007C2E65" w:rsidP="00CC0F45">
            <w:pPr>
              <w:spacing w:after="80"/>
              <w:jc w:val="center"/>
              <w:rPr>
                <w:rFonts w:eastAsia="Times New Roman"/>
                <w:sz w:val="24"/>
                <w:szCs w:val="24"/>
                <w:lang w:eastAsia="ja-JP"/>
              </w:rPr>
            </w:pPr>
          </w:p>
        </w:tc>
        <w:tc>
          <w:tcPr>
            <w:tcW w:w="2395" w:type="dxa"/>
            <w:tcBorders>
              <w:top w:val="nil"/>
              <w:left w:val="nil"/>
              <w:bottom w:val="single" w:sz="4" w:space="0" w:color="auto"/>
              <w:right w:val="nil"/>
            </w:tcBorders>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RR (95% CI)</w:t>
            </w:r>
          </w:p>
        </w:tc>
        <w:tc>
          <w:tcPr>
            <w:tcW w:w="920" w:type="dxa"/>
            <w:gridSpan w:val="2"/>
            <w:tcBorders>
              <w:top w:val="nil"/>
              <w:left w:val="nil"/>
              <w:bottom w:val="single" w:sz="4" w:space="0" w:color="auto"/>
              <w:right w:val="nil"/>
            </w:tcBorders>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P value</w:t>
            </w:r>
          </w:p>
        </w:tc>
      </w:tr>
      <w:tr w:rsidR="00381A4B" w:rsidRPr="00381A4B" w:rsidTr="00CC0F45">
        <w:trPr>
          <w:trHeight w:val="395"/>
        </w:trPr>
        <w:tc>
          <w:tcPr>
            <w:tcW w:w="3970" w:type="dxa"/>
            <w:vAlign w:val="center"/>
          </w:tcPr>
          <w:p w:rsidR="007C2E65" w:rsidRPr="00E0268F" w:rsidRDefault="007C2E65" w:rsidP="00E0268F">
            <w:pPr>
              <w:spacing w:after="80"/>
              <w:rPr>
                <w:rFonts w:eastAsia="Times New Roman"/>
                <w:b/>
                <w:sz w:val="24"/>
                <w:szCs w:val="24"/>
                <w:lang w:eastAsia="ja-JP"/>
              </w:rPr>
            </w:pPr>
            <w:r w:rsidRPr="00E0268F">
              <w:rPr>
                <w:rFonts w:eastAsia="Times New Roman"/>
                <w:b/>
                <w:sz w:val="24"/>
                <w:szCs w:val="24"/>
                <w:lang w:eastAsia="ja-JP"/>
              </w:rPr>
              <w:t>ATN trial</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p>
        </w:tc>
        <w:tc>
          <w:tcPr>
            <w:tcW w:w="2133" w:type="dxa"/>
          </w:tcPr>
          <w:p w:rsidR="007C2E65" w:rsidRPr="00381A4B" w:rsidRDefault="007C2E65" w:rsidP="00CC0F45">
            <w:pPr>
              <w:spacing w:after="80"/>
              <w:jc w:val="center"/>
              <w:rPr>
                <w:rFonts w:eastAsia="Times New Roman"/>
                <w:sz w:val="24"/>
                <w:szCs w:val="24"/>
                <w:lang w:eastAsia="ja-JP"/>
              </w:rPr>
            </w:pPr>
          </w:p>
        </w:tc>
        <w:tc>
          <w:tcPr>
            <w:tcW w:w="2133" w:type="dxa"/>
          </w:tcPr>
          <w:p w:rsidR="007C2E65" w:rsidRPr="00381A4B" w:rsidRDefault="007C2E65" w:rsidP="00CC0F45">
            <w:pPr>
              <w:spacing w:after="80"/>
              <w:jc w:val="center"/>
              <w:rPr>
                <w:rFonts w:eastAsia="Times New Roman"/>
                <w:sz w:val="24"/>
                <w:szCs w:val="24"/>
                <w:lang w:eastAsia="ja-JP"/>
              </w:rPr>
            </w:pPr>
          </w:p>
        </w:tc>
        <w:tc>
          <w:tcPr>
            <w:tcW w:w="2395" w:type="dxa"/>
            <w:noWrap/>
          </w:tcPr>
          <w:p w:rsidR="007C2E65" w:rsidRPr="00381A4B" w:rsidRDefault="007C2E65" w:rsidP="00CC0F45">
            <w:pPr>
              <w:spacing w:after="80"/>
              <w:jc w:val="center"/>
              <w:rPr>
                <w:rFonts w:eastAsia="Times New Roman"/>
                <w:sz w:val="24"/>
                <w:szCs w:val="24"/>
                <w:lang w:eastAsia="ja-JP"/>
              </w:rPr>
            </w:pPr>
          </w:p>
        </w:tc>
        <w:tc>
          <w:tcPr>
            <w:tcW w:w="920" w:type="dxa"/>
            <w:gridSpan w:val="2"/>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95"/>
        </w:trPr>
        <w:tc>
          <w:tcPr>
            <w:tcW w:w="3970" w:type="dxa"/>
            <w:vAlign w:val="center"/>
            <w:hideMark/>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Mortality at 28 days</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w:t>
            </w:r>
          </w:p>
        </w:tc>
        <w:tc>
          <w:tcPr>
            <w:tcW w:w="2133" w:type="dxa"/>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251/563 (44.6%)</w:t>
            </w:r>
          </w:p>
        </w:tc>
        <w:tc>
          <w:tcPr>
            <w:tcW w:w="2133" w:type="dxa"/>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243/561 (43.3%)</w:t>
            </w:r>
          </w:p>
        </w:tc>
        <w:tc>
          <w:tcPr>
            <w:tcW w:w="2395"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1.03 (0.90 - 1.17)</w:t>
            </w:r>
          </w:p>
        </w:tc>
        <w:tc>
          <w:tcPr>
            <w:tcW w:w="920" w:type="dxa"/>
            <w:gridSpan w:val="2"/>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0.41</w:t>
            </w:r>
          </w:p>
        </w:tc>
      </w:tr>
      <w:tr w:rsidR="00381A4B" w:rsidRPr="00381A4B" w:rsidTr="00CC0F45">
        <w:trPr>
          <w:trHeight w:val="395"/>
        </w:trPr>
        <w:tc>
          <w:tcPr>
            <w:tcW w:w="3970" w:type="dxa"/>
            <w:vAlign w:val="center"/>
            <w:hideMark/>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Mortality at 60 days</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w:t>
            </w:r>
          </w:p>
        </w:tc>
        <w:tc>
          <w:tcPr>
            <w:tcW w:w="2133"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302/563 (53.6%)</w:t>
            </w:r>
          </w:p>
        </w:tc>
        <w:tc>
          <w:tcPr>
            <w:tcW w:w="2133"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289/561 (51.5%)</w:t>
            </w:r>
          </w:p>
        </w:tc>
        <w:tc>
          <w:tcPr>
            <w:tcW w:w="2395"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1.04 (0.93 - 1.16)</w:t>
            </w:r>
          </w:p>
        </w:tc>
        <w:tc>
          <w:tcPr>
            <w:tcW w:w="920" w:type="dxa"/>
            <w:gridSpan w:val="2"/>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0.48</w:t>
            </w:r>
          </w:p>
        </w:tc>
      </w:tr>
      <w:tr w:rsidR="00381A4B" w:rsidRPr="00381A4B" w:rsidTr="00CC0F45">
        <w:trPr>
          <w:trHeight w:val="395"/>
        </w:trPr>
        <w:tc>
          <w:tcPr>
            <w:tcW w:w="3970" w:type="dxa"/>
            <w:vAlign w:val="center"/>
            <w:hideMark/>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Mortality at 90 days</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w:t>
            </w:r>
          </w:p>
        </w:tc>
        <w:tc>
          <w:tcPr>
            <w:tcW w:w="2133" w:type="dxa"/>
          </w:tcPr>
          <w:p w:rsidR="007C2E65" w:rsidRPr="00381A4B" w:rsidRDefault="007C2E65" w:rsidP="00CC0F45">
            <w:pPr>
              <w:spacing w:after="80"/>
              <w:jc w:val="center"/>
              <w:rPr>
                <w:rFonts w:eastAsia="Times New Roman"/>
                <w:sz w:val="24"/>
                <w:szCs w:val="24"/>
                <w:lang w:eastAsia="ja-JP"/>
              </w:rPr>
            </w:pPr>
          </w:p>
        </w:tc>
        <w:tc>
          <w:tcPr>
            <w:tcW w:w="2133" w:type="dxa"/>
          </w:tcPr>
          <w:p w:rsidR="007C2E65" w:rsidRPr="00381A4B" w:rsidRDefault="007C2E65" w:rsidP="00CC0F45">
            <w:pPr>
              <w:spacing w:after="80"/>
              <w:jc w:val="center"/>
              <w:rPr>
                <w:rFonts w:eastAsia="Times New Roman"/>
                <w:sz w:val="24"/>
                <w:szCs w:val="24"/>
                <w:lang w:eastAsia="ja-JP"/>
              </w:rPr>
            </w:pPr>
          </w:p>
        </w:tc>
        <w:tc>
          <w:tcPr>
            <w:tcW w:w="2395" w:type="dxa"/>
            <w:noWrap/>
            <w:vAlign w:val="center"/>
          </w:tcPr>
          <w:p w:rsidR="007C2E65" w:rsidRPr="00381A4B" w:rsidRDefault="007C2E65" w:rsidP="00CC0F45">
            <w:pPr>
              <w:spacing w:after="80"/>
              <w:jc w:val="center"/>
              <w:rPr>
                <w:rFonts w:eastAsia="Times New Roman"/>
                <w:sz w:val="24"/>
                <w:szCs w:val="24"/>
                <w:lang w:eastAsia="ja-JP"/>
              </w:rPr>
            </w:pPr>
          </w:p>
        </w:tc>
        <w:tc>
          <w:tcPr>
            <w:tcW w:w="920" w:type="dxa"/>
            <w:gridSpan w:val="2"/>
            <w:vAlign w:val="center"/>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95"/>
        </w:trPr>
        <w:tc>
          <w:tcPr>
            <w:tcW w:w="3970" w:type="dxa"/>
            <w:vAlign w:val="center"/>
            <w:hideMark/>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Death in ICU</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w:t>
            </w:r>
          </w:p>
        </w:tc>
        <w:tc>
          <w:tcPr>
            <w:tcW w:w="2133"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235/563 (41.7%)</w:t>
            </w:r>
          </w:p>
        </w:tc>
        <w:tc>
          <w:tcPr>
            <w:tcW w:w="2133" w:type="dxa"/>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247/636 (38.8%)</w:t>
            </w:r>
          </w:p>
        </w:tc>
        <w:tc>
          <w:tcPr>
            <w:tcW w:w="2395"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1.04 (0.90 - 1.20)</w:t>
            </w:r>
          </w:p>
        </w:tc>
        <w:tc>
          <w:tcPr>
            <w:tcW w:w="920" w:type="dxa"/>
            <w:gridSpan w:val="2"/>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0.58</w:t>
            </w:r>
          </w:p>
        </w:tc>
      </w:tr>
      <w:tr w:rsidR="00381A4B" w:rsidRPr="00381A4B" w:rsidTr="00CC0F45">
        <w:trPr>
          <w:trHeight w:val="395"/>
        </w:trPr>
        <w:tc>
          <w:tcPr>
            <w:tcW w:w="3970" w:type="dxa"/>
            <w:vAlign w:val="center"/>
          </w:tcPr>
          <w:p w:rsidR="007C2E65" w:rsidRPr="00E0268F" w:rsidRDefault="007C2E65" w:rsidP="00E0268F">
            <w:pPr>
              <w:spacing w:after="80"/>
              <w:rPr>
                <w:rFonts w:eastAsia="Times New Roman"/>
                <w:b/>
                <w:sz w:val="24"/>
                <w:szCs w:val="24"/>
                <w:lang w:eastAsia="ja-JP"/>
              </w:rPr>
            </w:pPr>
            <w:r w:rsidRPr="00E0268F">
              <w:rPr>
                <w:rFonts w:eastAsia="Times New Roman"/>
                <w:b/>
                <w:sz w:val="24"/>
                <w:szCs w:val="24"/>
                <w:lang w:eastAsia="ja-JP"/>
              </w:rPr>
              <w:t>HAN</w:t>
            </w:r>
            <w:r w:rsidRPr="00E0268F">
              <w:rPr>
                <w:rFonts w:eastAsia="Times New Roman" w:hint="eastAsia"/>
                <w:b/>
                <w:sz w:val="24"/>
                <w:szCs w:val="24"/>
                <w:lang w:eastAsia="ja-JP"/>
              </w:rPr>
              <w:t>N</w:t>
            </w:r>
            <w:r w:rsidRPr="00E0268F">
              <w:rPr>
                <w:rFonts w:eastAsia="Times New Roman"/>
                <w:b/>
                <w:sz w:val="24"/>
                <w:szCs w:val="24"/>
                <w:lang w:eastAsia="ja-JP"/>
              </w:rPr>
              <w:t>OVER trial</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p>
        </w:tc>
        <w:tc>
          <w:tcPr>
            <w:tcW w:w="2133" w:type="dxa"/>
          </w:tcPr>
          <w:p w:rsidR="007C2E65" w:rsidRPr="00381A4B" w:rsidRDefault="007C2E65" w:rsidP="00CC0F45">
            <w:pPr>
              <w:spacing w:after="80"/>
              <w:jc w:val="center"/>
              <w:rPr>
                <w:rFonts w:eastAsia="Times New Roman"/>
                <w:sz w:val="24"/>
                <w:szCs w:val="24"/>
                <w:lang w:eastAsia="ja-JP"/>
              </w:rPr>
            </w:pPr>
          </w:p>
        </w:tc>
        <w:tc>
          <w:tcPr>
            <w:tcW w:w="2133" w:type="dxa"/>
          </w:tcPr>
          <w:p w:rsidR="007C2E65" w:rsidRPr="00381A4B" w:rsidRDefault="007C2E65" w:rsidP="00CC0F45">
            <w:pPr>
              <w:spacing w:after="80"/>
              <w:jc w:val="center"/>
              <w:rPr>
                <w:rFonts w:eastAsia="Times New Roman"/>
                <w:sz w:val="24"/>
                <w:szCs w:val="24"/>
                <w:lang w:eastAsia="ja-JP"/>
              </w:rPr>
            </w:pPr>
          </w:p>
        </w:tc>
        <w:tc>
          <w:tcPr>
            <w:tcW w:w="2395" w:type="dxa"/>
            <w:noWrap/>
          </w:tcPr>
          <w:p w:rsidR="007C2E65" w:rsidRPr="00381A4B" w:rsidRDefault="007C2E65" w:rsidP="00CC0F45">
            <w:pPr>
              <w:spacing w:after="80"/>
              <w:jc w:val="center"/>
              <w:rPr>
                <w:rFonts w:eastAsia="Times New Roman"/>
                <w:sz w:val="24"/>
                <w:szCs w:val="24"/>
                <w:lang w:eastAsia="ja-JP"/>
              </w:rPr>
            </w:pPr>
          </w:p>
        </w:tc>
        <w:tc>
          <w:tcPr>
            <w:tcW w:w="920" w:type="dxa"/>
            <w:gridSpan w:val="2"/>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95"/>
        </w:trPr>
        <w:tc>
          <w:tcPr>
            <w:tcW w:w="3970" w:type="dxa"/>
            <w:vAlign w:val="center"/>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Mortality at 28 days</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w:t>
            </w:r>
          </w:p>
        </w:tc>
        <w:tc>
          <w:tcPr>
            <w:tcW w:w="2133"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36/81 (44.4%)</w:t>
            </w:r>
          </w:p>
        </w:tc>
        <w:tc>
          <w:tcPr>
            <w:tcW w:w="2133"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29/75 (38.7%)</w:t>
            </w:r>
          </w:p>
        </w:tc>
        <w:tc>
          <w:tcPr>
            <w:tcW w:w="2395"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1.15 (0.79 - 1.67)</w:t>
            </w:r>
          </w:p>
        </w:tc>
        <w:tc>
          <w:tcPr>
            <w:tcW w:w="920" w:type="dxa"/>
            <w:gridSpan w:val="2"/>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0.47</w:t>
            </w:r>
          </w:p>
        </w:tc>
      </w:tr>
      <w:tr w:rsidR="00381A4B" w:rsidRPr="00381A4B" w:rsidTr="00CC0F45">
        <w:trPr>
          <w:trHeight w:val="395"/>
        </w:trPr>
        <w:tc>
          <w:tcPr>
            <w:tcW w:w="3970" w:type="dxa"/>
            <w:vAlign w:val="center"/>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Mortality at 60 days</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w:t>
            </w:r>
          </w:p>
        </w:tc>
        <w:tc>
          <w:tcPr>
            <w:tcW w:w="2133" w:type="dxa"/>
            <w:vAlign w:val="center"/>
          </w:tcPr>
          <w:p w:rsidR="007C2E65" w:rsidRPr="00381A4B" w:rsidRDefault="007C2E65" w:rsidP="00CC0F45">
            <w:pPr>
              <w:spacing w:after="80"/>
              <w:jc w:val="center"/>
              <w:rPr>
                <w:rFonts w:eastAsia="Times New Roman"/>
                <w:sz w:val="24"/>
                <w:szCs w:val="24"/>
                <w:lang w:eastAsia="ja-JP"/>
              </w:rPr>
            </w:pPr>
          </w:p>
        </w:tc>
        <w:tc>
          <w:tcPr>
            <w:tcW w:w="2133" w:type="dxa"/>
            <w:vAlign w:val="center"/>
          </w:tcPr>
          <w:p w:rsidR="007C2E65" w:rsidRPr="00381A4B" w:rsidRDefault="007C2E65" w:rsidP="00CC0F45">
            <w:pPr>
              <w:spacing w:after="80"/>
              <w:jc w:val="center"/>
              <w:rPr>
                <w:rFonts w:eastAsia="Times New Roman"/>
                <w:sz w:val="24"/>
                <w:szCs w:val="24"/>
                <w:lang w:eastAsia="ja-JP"/>
              </w:rPr>
            </w:pPr>
          </w:p>
        </w:tc>
        <w:tc>
          <w:tcPr>
            <w:tcW w:w="2395" w:type="dxa"/>
            <w:noWrap/>
            <w:vAlign w:val="center"/>
          </w:tcPr>
          <w:p w:rsidR="007C2E65" w:rsidRPr="00381A4B" w:rsidRDefault="007C2E65" w:rsidP="00CC0F45">
            <w:pPr>
              <w:spacing w:after="80"/>
              <w:jc w:val="center"/>
              <w:rPr>
                <w:rFonts w:eastAsia="Times New Roman"/>
                <w:sz w:val="24"/>
                <w:szCs w:val="24"/>
                <w:lang w:eastAsia="ja-JP"/>
              </w:rPr>
            </w:pPr>
          </w:p>
        </w:tc>
        <w:tc>
          <w:tcPr>
            <w:tcW w:w="920" w:type="dxa"/>
            <w:gridSpan w:val="2"/>
            <w:vAlign w:val="center"/>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95"/>
        </w:trPr>
        <w:tc>
          <w:tcPr>
            <w:tcW w:w="3970" w:type="dxa"/>
            <w:vAlign w:val="center"/>
            <w:hideMark/>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Mortality at 90 days</w:t>
            </w:r>
          </w:p>
        </w:tc>
        <w:tc>
          <w:tcPr>
            <w:tcW w:w="1977"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w:t>
            </w:r>
          </w:p>
        </w:tc>
        <w:tc>
          <w:tcPr>
            <w:tcW w:w="2133" w:type="dxa"/>
            <w:vAlign w:val="center"/>
          </w:tcPr>
          <w:p w:rsidR="007C2E65" w:rsidRPr="00381A4B" w:rsidRDefault="007C2E65" w:rsidP="00CC0F45">
            <w:pPr>
              <w:spacing w:after="80"/>
              <w:jc w:val="center"/>
              <w:rPr>
                <w:rFonts w:eastAsia="Times New Roman"/>
                <w:sz w:val="24"/>
                <w:szCs w:val="24"/>
                <w:lang w:eastAsia="ja-JP"/>
              </w:rPr>
            </w:pPr>
          </w:p>
        </w:tc>
        <w:tc>
          <w:tcPr>
            <w:tcW w:w="2133" w:type="dxa"/>
            <w:vAlign w:val="center"/>
          </w:tcPr>
          <w:p w:rsidR="007C2E65" w:rsidRPr="00381A4B" w:rsidRDefault="007C2E65" w:rsidP="00CC0F45">
            <w:pPr>
              <w:spacing w:after="80"/>
              <w:jc w:val="center"/>
              <w:rPr>
                <w:rFonts w:eastAsia="Times New Roman"/>
                <w:sz w:val="24"/>
                <w:szCs w:val="24"/>
                <w:lang w:eastAsia="ja-JP"/>
              </w:rPr>
            </w:pPr>
          </w:p>
        </w:tc>
        <w:tc>
          <w:tcPr>
            <w:tcW w:w="2395" w:type="dxa"/>
            <w:noWrap/>
            <w:vAlign w:val="center"/>
          </w:tcPr>
          <w:p w:rsidR="007C2E65" w:rsidRPr="00381A4B" w:rsidRDefault="007C2E65" w:rsidP="00CC0F45">
            <w:pPr>
              <w:spacing w:after="80"/>
              <w:jc w:val="center"/>
              <w:rPr>
                <w:rFonts w:eastAsia="Times New Roman"/>
                <w:sz w:val="24"/>
                <w:szCs w:val="24"/>
                <w:lang w:eastAsia="ja-JP"/>
              </w:rPr>
            </w:pPr>
          </w:p>
        </w:tc>
        <w:tc>
          <w:tcPr>
            <w:tcW w:w="920" w:type="dxa"/>
            <w:gridSpan w:val="2"/>
            <w:vAlign w:val="center"/>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95"/>
        </w:trPr>
        <w:tc>
          <w:tcPr>
            <w:tcW w:w="3970" w:type="dxa"/>
            <w:tcBorders>
              <w:top w:val="nil"/>
              <w:left w:val="nil"/>
              <w:bottom w:val="single" w:sz="4" w:space="0" w:color="auto"/>
              <w:right w:val="nil"/>
            </w:tcBorders>
            <w:vAlign w:val="center"/>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Death in ICU</w:t>
            </w:r>
          </w:p>
        </w:tc>
        <w:tc>
          <w:tcPr>
            <w:tcW w:w="1977" w:type="dxa"/>
            <w:tcBorders>
              <w:top w:val="nil"/>
              <w:left w:val="nil"/>
              <w:bottom w:val="single" w:sz="4" w:space="0" w:color="auto"/>
              <w:right w:val="nil"/>
            </w:tcBorders>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w:t>
            </w:r>
          </w:p>
        </w:tc>
        <w:tc>
          <w:tcPr>
            <w:tcW w:w="2133" w:type="dxa"/>
            <w:tcBorders>
              <w:top w:val="nil"/>
              <w:left w:val="nil"/>
              <w:bottom w:val="single" w:sz="4" w:space="0" w:color="auto"/>
              <w:right w:val="nil"/>
            </w:tcBorders>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24/81 (29.6%)</w:t>
            </w:r>
          </w:p>
        </w:tc>
        <w:tc>
          <w:tcPr>
            <w:tcW w:w="2133" w:type="dxa"/>
            <w:tcBorders>
              <w:top w:val="nil"/>
              <w:left w:val="nil"/>
              <w:bottom w:val="single" w:sz="4" w:space="0" w:color="auto"/>
              <w:right w:val="nil"/>
            </w:tcBorders>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22/75 (29.3%)</w:t>
            </w:r>
          </w:p>
        </w:tc>
        <w:tc>
          <w:tcPr>
            <w:tcW w:w="2395" w:type="dxa"/>
            <w:tcBorders>
              <w:top w:val="nil"/>
              <w:left w:val="nil"/>
              <w:bottom w:val="single" w:sz="4" w:space="0" w:color="auto"/>
              <w:right w:val="nil"/>
            </w:tcBorders>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1.01 (0.62 - 1.64)</w:t>
            </w:r>
          </w:p>
        </w:tc>
        <w:tc>
          <w:tcPr>
            <w:tcW w:w="920" w:type="dxa"/>
            <w:gridSpan w:val="2"/>
            <w:tcBorders>
              <w:top w:val="nil"/>
              <w:left w:val="nil"/>
              <w:bottom w:val="single" w:sz="4" w:space="0" w:color="auto"/>
              <w:right w:val="nil"/>
            </w:tcBorders>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0.97</w:t>
            </w:r>
          </w:p>
        </w:tc>
      </w:tr>
    </w:tbl>
    <w:p w:rsidR="007C2E65" w:rsidRDefault="007C2E65" w:rsidP="007C2E65">
      <w:pPr>
        <w:rPr>
          <w:rFonts w:eastAsia="Times New Roman"/>
          <w:color w:val="FF0000"/>
        </w:rPr>
      </w:pPr>
    </w:p>
    <w:p w:rsidR="007C2E65" w:rsidRDefault="007C2E65" w:rsidP="007C2E65">
      <w:pPr>
        <w:rPr>
          <w:rFonts w:eastAsia="Times New Roman"/>
          <w:color w:val="FF0000"/>
        </w:rPr>
      </w:pPr>
    </w:p>
    <w:p w:rsidR="007C2E65" w:rsidRDefault="007C2E65" w:rsidP="007C2E65">
      <w:pPr>
        <w:rPr>
          <w:rFonts w:eastAsia="Times New Roman"/>
          <w:color w:val="FF0000"/>
        </w:rPr>
      </w:pPr>
      <w:r>
        <w:rPr>
          <w:rFonts w:eastAsia="Times New Roman"/>
          <w:color w:val="FF0000"/>
        </w:rPr>
        <w:br w:type="page"/>
      </w:r>
    </w:p>
    <w:p w:rsidR="007C2E65" w:rsidRPr="00381A4B" w:rsidRDefault="007C2E65" w:rsidP="007C2E65">
      <w:pPr>
        <w:spacing w:after="80"/>
        <w:rPr>
          <w:rFonts w:eastAsia="Times New Roman"/>
          <w:b/>
          <w:sz w:val="24"/>
          <w:szCs w:val="24"/>
          <w:lang w:eastAsia="ja-JP"/>
        </w:rPr>
      </w:pPr>
      <w:r w:rsidRPr="00381A4B">
        <w:rPr>
          <w:rFonts w:eastAsia="Times New Roman"/>
          <w:b/>
          <w:sz w:val="24"/>
          <w:szCs w:val="24"/>
          <w:lang w:eastAsia="ja-JP"/>
        </w:rPr>
        <w:t xml:space="preserve">Supplementary Table 7: Proportion of RRT dependence among survivals between higher intensity and standard intensity IRRT group (Fixed effect model) </w:t>
      </w:r>
    </w:p>
    <w:tbl>
      <w:tblPr>
        <w:tblpPr w:leftFromText="180" w:rightFromText="180" w:bottomFromText="200" w:vertAnchor="text" w:tblpY="188"/>
        <w:tblW w:w="13969" w:type="dxa"/>
        <w:tblLook w:val="04A0" w:firstRow="1" w:lastRow="0" w:firstColumn="1" w:lastColumn="0" w:noHBand="0" w:noVBand="1"/>
      </w:tblPr>
      <w:tblGrid>
        <w:gridCol w:w="3510"/>
        <w:gridCol w:w="1701"/>
        <w:gridCol w:w="2977"/>
        <w:gridCol w:w="2268"/>
        <w:gridCol w:w="2069"/>
        <w:gridCol w:w="447"/>
        <w:gridCol w:w="997"/>
      </w:tblGrid>
      <w:tr w:rsidR="00381A4B" w:rsidRPr="00381A4B" w:rsidTr="00CC0F45">
        <w:trPr>
          <w:gridAfter w:val="1"/>
          <w:wAfter w:w="997" w:type="dxa"/>
          <w:trHeight w:val="395"/>
        </w:trPr>
        <w:tc>
          <w:tcPr>
            <w:tcW w:w="3510" w:type="dxa"/>
            <w:vMerge w:val="restart"/>
            <w:tcBorders>
              <w:top w:val="single" w:sz="4" w:space="0" w:color="auto"/>
              <w:left w:val="nil"/>
              <w:bottom w:val="single" w:sz="4" w:space="0" w:color="000000"/>
              <w:right w:val="nil"/>
            </w:tcBorders>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Outcomes</w:t>
            </w:r>
          </w:p>
        </w:tc>
        <w:tc>
          <w:tcPr>
            <w:tcW w:w="1701" w:type="dxa"/>
            <w:vMerge w:val="restart"/>
            <w:tcBorders>
              <w:top w:val="single" w:sz="4" w:space="0" w:color="auto"/>
              <w:left w:val="nil"/>
              <w:bottom w:val="single" w:sz="4" w:space="0" w:color="000000"/>
              <w:right w:val="nil"/>
            </w:tcBorders>
            <w:noWrap/>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Trial numbers</w:t>
            </w:r>
          </w:p>
        </w:tc>
        <w:tc>
          <w:tcPr>
            <w:tcW w:w="2977" w:type="dxa"/>
            <w:tcBorders>
              <w:top w:val="single" w:sz="4" w:space="0" w:color="auto"/>
              <w:left w:val="nil"/>
              <w:bottom w:val="nil"/>
              <w:right w:val="nil"/>
            </w:tcBorders>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Higher intensity RRT</w:t>
            </w:r>
          </w:p>
        </w:tc>
        <w:tc>
          <w:tcPr>
            <w:tcW w:w="2268" w:type="dxa"/>
            <w:vMerge w:val="restart"/>
            <w:tcBorders>
              <w:top w:val="single" w:sz="4" w:space="0" w:color="auto"/>
              <w:left w:val="nil"/>
              <w:bottom w:val="single" w:sz="4" w:space="0" w:color="auto"/>
              <w:right w:val="nil"/>
            </w:tcBorders>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Standard intensity RRT</w:t>
            </w:r>
          </w:p>
        </w:tc>
        <w:tc>
          <w:tcPr>
            <w:tcW w:w="2516" w:type="dxa"/>
            <w:gridSpan w:val="2"/>
            <w:tcBorders>
              <w:top w:val="single" w:sz="4" w:space="0" w:color="auto"/>
              <w:left w:val="nil"/>
              <w:bottom w:val="single" w:sz="4" w:space="0" w:color="auto"/>
              <w:right w:val="nil"/>
            </w:tcBorders>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 xml:space="preserve">           Pooled estimate</w:t>
            </w:r>
          </w:p>
        </w:tc>
      </w:tr>
      <w:tr w:rsidR="00381A4B" w:rsidRPr="00381A4B" w:rsidTr="00CC0F45">
        <w:trPr>
          <w:trHeight w:val="395"/>
        </w:trPr>
        <w:tc>
          <w:tcPr>
            <w:tcW w:w="3510" w:type="dxa"/>
            <w:vMerge/>
            <w:tcBorders>
              <w:top w:val="single" w:sz="4" w:space="0" w:color="auto"/>
              <w:left w:val="nil"/>
              <w:bottom w:val="single" w:sz="4" w:space="0" w:color="000000"/>
              <w:right w:val="nil"/>
            </w:tcBorders>
            <w:vAlign w:val="center"/>
            <w:hideMark/>
          </w:tcPr>
          <w:p w:rsidR="007C2E65" w:rsidRPr="00381A4B" w:rsidRDefault="007C2E65" w:rsidP="00CC0F45">
            <w:pPr>
              <w:spacing w:after="80"/>
              <w:jc w:val="center"/>
              <w:rPr>
                <w:rFonts w:eastAsia="Times New Roman"/>
                <w:sz w:val="24"/>
                <w:szCs w:val="24"/>
                <w:lang w:eastAsia="ja-JP"/>
              </w:rPr>
            </w:pPr>
          </w:p>
        </w:tc>
        <w:tc>
          <w:tcPr>
            <w:tcW w:w="1701" w:type="dxa"/>
            <w:vMerge/>
            <w:tcBorders>
              <w:top w:val="single" w:sz="4" w:space="0" w:color="auto"/>
              <w:left w:val="nil"/>
              <w:bottom w:val="single" w:sz="4" w:space="0" w:color="000000"/>
              <w:right w:val="nil"/>
            </w:tcBorders>
            <w:vAlign w:val="center"/>
            <w:hideMark/>
          </w:tcPr>
          <w:p w:rsidR="007C2E65" w:rsidRPr="00381A4B" w:rsidRDefault="007C2E65" w:rsidP="00CC0F45">
            <w:pPr>
              <w:spacing w:after="80"/>
              <w:jc w:val="center"/>
              <w:rPr>
                <w:rFonts w:eastAsia="Times New Roman"/>
                <w:sz w:val="24"/>
                <w:szCs w:val="24"/>
                <w:lang w:eastAsia="ja-JP"/>
              </w:rPr>
            </w:pPr>
          </w:p>
        </w:tc>
        <w:tc>
          <w:tcPr>
            <w:tcW w:w="2977" w:type="dxa"/>
            <w:tcBorders>
              <w:top w:val="nil"/>
              <w:left w:val="nil"/>
              <w:bottom w:val="single" w:sz="4" w:space="0" w:color="auto"/>
              <w:right w:val="nil"/>
            </w:tcBorders>
          </w:tcPr>
          <w:p w:rsidR="007C2E65" w:rsidRPr="00381A4B" w:rsidRDefault="007C2E65" w:rsidP="00CC0F45">
            <w:pPr>
              <w:spacing w:after="80"/>
              <w:jc w:val="center"/>
              <w:rPr>
                <w:rFonts w:eastAsia="Times New Roman"/>
                <w:sz w:val="24"/>
                <w:szCs w:val="24"/>
                <w:lang w:eastAsia="ja-JP"/>
              </w:rPr>
            </w:pPr>
          </w:p>
        </w:tc>
        <w:tc>
          <w:tcPr>
            <w:tcW w:w="0" w:type="auto"/>
            <w:vMerge/>
            <w:tcBorders>
              <w:top w:val="single" w:sz="4" w:space="0" w:color="auto"/>
              <w:left w:val="nil"/>
              <w:bottom w:val="single" w:sz="4" w:space="0" w:color="auto"/>
              <w:right w:val="nil"/>
            </w:tcBorders>
            <w:vAlign w:val="center"/>
            <w:hideMark/>
          </w:tcPr>
          <w:p w:rsidR="007C2E65" w:rsidRPr="00381A4B" w:rsidRDefault="007C2E65" w:rsidP="00CC0F45">
            <w:pPr>
              <w:spacing w:after="80"/>
              <w:jc w:val="center"/>
              <w:rPr>
                <w:rFonts w:eastAsia="Times New Roman"/>
                <w:sz w:val="24"/>
                <w:szCs w:val="24"/>
                <w:lang w:eastAsia="ja-JP"/>
              </w:rPr>
            </w:pPr>
          </w:p>
        </w:tc>
        <w:tc>
          <w:tcPr>
            <w:tcW w:w="2069" w:type="dxa"/>
            <w:tcBorders>
              <w:top w:val="nil"/>
              <w:left w:val="nil"/>
              <w:bottom w:val="single" w:sz="4" w:space="0" w:color="auto"/>
              <w:right w:val="nil"/>
            </w:tcBorders>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RR (95% CI)</w:t>
            </w:r>
          </w:p>
        </w:tc>
        <w:tc>
          <w:tcPr>
            <w:tcW w:w="1444" w:type="dxa"/>
            <w:gridSpan w:val="2"/>
            <w:tcBorders>
              <w:top w:val="nil"/>
              <w:left w:val="nil"/>
              <w:bottom w:val="single" w:sz="4" w:space="0" w:color="auto"/>
              <w:right w:val="nil"/>
            </w:tcBorders>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P value</w:t>
            </w:r>
          </w:p>
        </w:tc>
      </w:tr>
      <w:tr w:rsidR="00381A4B" w:rsidRPr="00381A4B" w:rsidTr="00CC0F45">
        <w:trPr>
          <w:trHeight w:val="395"/>
        </w:trPr>
        <w:tc>
          <w:tcPr>
            <w:tcW w:w="3510" w:type="dxa"/>
            <w:noWrap/>
            <w:vAlign w:val="center"/>
          </w:tcPr>
          <w:p w:rsidR="007C2E65" w:rsidRPr="00381A4B" w:rsidRDefault="007C2E65" w:rsidP="00CC0F45">
            <w:pPr>
              <w:spacing w:after="80"/>
              <w:jc w:val="center"/>
              <w:rPr>
                <w:rFonts w:eastAsia="Times New Roman"/>
                <w:sz w:val="24"/>
                <w:szCs w:val="24"/>
                <w:lang w:eastAsia="ja-JP"/>
              </w:rPr>
            </w:pPr>
          </w:p>
        </w:tc>
        <w:tc>
          <w:tcPr>
            <w:tcW w:w="1701" w:type="dxa"/>
            <w:noWrap/>
            <w:vAlign w:val="center"/>
          </w:tcPr>
          <w:p w:rsidR="007C2E65" w:rsidRPr="00381A4B" w:rsidRDefault="007C2E65" w:rsidP="00CC0F45">
            <w:pPr>
              <w:spacing w:after="80"/>
              <w:jc w:val="center"/>
              <w:rPr>
                <w:rFonts w:eastAsia="Times New Roman"/>
                <w:sz w:val="24"/>
                <w:szCs w:val="24"/>
                <w:lang w:eastAsia="ja-JP"/>
              </w:rPr>
            </w:pPr>
          </w:p>
        </w:tc>
        <w:tc>
          <w:tcPr>
            <w:tcW w:w="2977" w:type="dxa"/>
          </w:tcPr>
          <w:p w:rsidR="007C2E65" w:rsidRPr="00381A4B" w:rsidRDefault="007C2E65" w:rsidP="00CC0F45">
            <w:pPr>
              <w:spacing w:after="80"/>
              <w:jc w:val="center"/>
              <w:rPr>
                <w:rFonts w:eastAsia="Times New Roman"/>
                <w:sz w:val="24"/>
                <w:szCs w:val="24"/>
                <w:lang w:eastAsia="ja-JP"/>
              </w:rPr>
            </w:pPr>
          </w:p>
        </w:tc>
        <w:tc>
          <w:tcPr>
            <w:tcW w:w="2268" w:type="dxa"/>
          </w:tcPr>
          <w:p w:rsidR="007C2E65" w:rsidRPr="00381A4B" w:rsidRDefault="007C2E65" w:rsidP="00CC0F45">
            <w:pPr>
              <w:spacing w:after="80"/>
              <w:jc w:val="center"/>
              <w:rPr>
                <w:rFonts w:eastAsia="Times New Roman"/>
                <w:sz w:val="24"/>
                <w:szCs w:val="24"/>
                <w:lang w:eastAsia="ja-JP"/>
              </w:rPr>
            </w:pPr>
          </w:p>
        </w:tc>
        <w:tc>
          <w:tcPr>
            <w:tcW w:w="2069" w:type="dxa"/>
            <w:noWrap/>
            <w:vAlign w:val="center"/>
          </w:tcPr>
          <w:p w:rsidR="007C2E65" w:rsidRPr="00381A4B" w:rsidRDefault="007C2E65" w:rsidP="00CC0F45">
            <w:pPr>
              <w:spacing w:after="80"/>
              <w:jc w:val="center"/>
              <w:rPr>
                <w:rFonts w:eastAsia="Times New Roman"/>
                <w:sz w:val="24"/>
                <w:szCs w:val="24"/>
                <w:lang w:eastAsia="ja-JP"/>
              </w:rPr>
            </w:pPr>
          </w:p>
        </w:tc>
        <w:tc>
          <w:tcPr>
            <w:tcW w:w="1444" w:type="dxa"/>
            <w:gridSpan w:val="2"/>
            <w:vAlign w:val="center"/>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95"/>
        </w:trPr>
        <w:tc>
          <w:tcPr>
            <w:tcW w:w="3510" w:type="dxa"/>
            <w:noWrap/>
            <w:vAlign w:val="center"/>
          </w:tcPr>
          <w:p w:rsidR="007C2E65" w:rsidRPr="00E0268F" w:rsidRDefault="007C2E65" w:rsidP="00E0268F">
            <w:pPr>
              <w:spacing w:after="80"/>
              <w:rPr>
                <w:rFonts w:eastAsia="Times New Roman"/>
                <w:b/>
                <w:sz w:val="24"/>
                <w:szCs w:val="24"/>
                <w:lang w:eastAsia="ja-JP"/>
              </w:rPr>
            </w:pPr>
            <w:r w:rsidRPr="00E0268F">
              <w:rPr>
                <w:rFonts w:eastAsia="Times New Roman"/>
                <w:b/>
                <w:sz w:val="24"/>
                <w:szCs w:val="24"/>
                <w:lang w:eastAsia="ja-JP"/>
              </w:rPr>
              <w:t>ATN</w:t>
            </w:r>
            <w:r w:rsidR="00E0268F">
              <w:rPr>
                <w:rFonts w:eastAsia="Times New Roman"/>
                <w:b/>
                <w:sz w:val="24"/>
                <w:szCs w:val="24"/>
                <w:lang w:eastAsia="ja-JP"/>
              </w:rPr>
              <w:t xml:space="preserve"> trial</w:t>
            </w:r>
            <w:bookmarkStart w:id="7" w:name="_GoBack"/>
            <w:bookmarkEnd w:id="7"/>
          </w:p>
        </w:tc>
        <w:tc>
          <w:tcPr>
            <w:tcW w:w="1701" w:type="dxa"/>
            <w:noWrap/>
            <w:vAlign w:val="center"/>
          </w:tcPr>
          <w:p w:rsidR="007C2E65" w:rsidRPr="00381A4B" w:rsidRDefault="007C2E65" w:rsidP="00CC0F45">
            <w:pPr>
              <w:spacing w:after="80"/>
              <w:jc w:val="center"/>
              <w:rPr>
                <w:rFonts w:eastAsia="Times New Roman"/>
                <w:sz w:val="24"/>
                <w:szCs w:val="24"/>
                <w:lang w:eastAsia="ja-JP"/>
              </w:rPr>
            </w:pPr>
          </w:p>
        </w:tc>
        <w:tc>
          <w:tcPr>
            <w:tcW w:w="2977" w:type="dxa"/>
            <w:vAlign w:val="center"/>
          </w:tcPr>
          <w:p w:rsidR="007C2E65" w:rsidRPr="00381A4B" w:rsidRDefault="007C2E65" w:rsidP="00CC0F45">
            <w:pPr>
              <w:spacing w:after="80"/>
              <w:jc w:val="center"/>
              <w:rPr>
                <w:rFonts w:eastAsia="Times New Roman"/>
                <w:sz w:val="24"/>
                <w:szCs w:val="24"/>
                <w:lang w:eastAsia="ja-JP"/>
              </w:rPr>
            </w:pPr>
          </w:p>
        </w:tc>
        <w:tc>
          <w:tcPr>
            <w:tcW w:w="2268" w:type="dxa"/>
            <w:vAlign w:val="center"/>
          </w:tcPr>
          <w:p w:rsidR="007C2E65" w:rsidRPr="00381A4B" w:rsidRDefault="007C2E65" w:rsidP="00CC0F45">
            <w:pPr>
              <w:spacing w:after="80"/>
              <w:jc w:val="center"/>
              <w:rPr>
                <w:rFonts w:eastAsia="Times New Roman"/>
                <w:sz w:val="24"/>
                <w:szCs w:val="24"/>
                <w:lang w:eastAsia="ja-JP"/>
              </w:rPr>
            </w:pPr>
          </w:p>
        </w:tc>
        <w:tc>
          <w:tcPr>
            <w:tcW w:w="2069" w:type="dxa"/>
            <w:noWrap/>
            <w:vAlign w:val="center"/>
          </w:tcPr>
          <w:p w:rsidR="007C2E65" w:rsidRPr="00381A4B" w:rsidRDefault="007C2E65" w:rsidP="00CC0F45">
            <w:pPr>
              <w:spacing w:after="80"/>
              <w:jc w:val="center"/>
              <w:rPr>
                <w:rFonts w:eastAsia="Times New Roman"/>
                <w:sz w:val="24"/>
                <w:szCs w:val="24"/>
                <w:lang w:eastAsia="ja-JP"/>
              </w:rPr>
            </w:pPr>
          </w:p>
        </w:tc>
        <w:tc>
          <w:tcPr>
            <w:tcW w:w="1444" w:type="dxa"/>
            <w:gridSpan w:val="2"/>
            <w:vAlign w:val="center"/>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95"/>
        </w:trPr>
        <w:tc>
          <w:tcPr>
            <w:tcW w:w="3510" w:type="dxa"/>
            <w:vAlign w:val="center"/>
            <w:hideMark/>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RRT dependence at day 28</w:t>
            </w:r>
          </w:p>
        </w:tc>
        <w:tc>
          <w:tcPr>
            <w:tcW w:w="1701"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w:t>
            </w:r>
          </w:p>
        </w:tc>
        <w:tc>
          <w:tcPr>
            <w:tcW w:w="2977"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132/305 (43.3%)</w:t>
            </w:r>
          </w:p>
        </w:tc>
        <w:tc>
          <w:tcPr>
            <w:tcW w:w="2268"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116/316 (36.7%)</w:t>
            </w:r>
          </w:p>
        </w:tc>
        <w:tc>
          <w:tcPr>
            <w:tcW w:w="2069"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1.18 (0.97-1.43)</w:t>
            </w:r>
          </w:p>
        </w:tc>
        <w:tc>
          <w:tcPr>
            <w:tcW w:w="1444" w:type="dxa"/>
            <w:gridSpan w:val="2"/>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0.10</w:t>
            </w:r>
          </w:p>
        </w:tc>
      </w:tr>
      <w:tr w:rsidR="00381A4B" w:rsidRPr="00381A4B" w:rsidTr="00CC0F45">
        <w:trPr>
          <w:trHeight w:val="395"/>
        </w:trPr>
        <w:tc>
          <w:tcPr>
            <w:tcW w:w="3510" w:type="dxa"/>
            <w:vAlign w:val="center"/>
            <w:hideMark/>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RRT dependence at day 60</w:t>
            </w:r>
          </w:p>
        </w:tc>
        <w:tc>
          <w:tcPr>
            <w:tcW w:w="1701"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w:t>
            </w:r>
          </w:p>
        </w:tc>
        <w:tc>
          <w:tcPr>
            <w:tcW w:w="2977"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56/245 (22.9%)</w:t>
            </w:r>
          </w:p>
        </w:tc>
        <w:tc>
          <w:tcPr>
            <w:tcW w:w="2268"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60/263 (22.8%)</w:t>
            </w:r>
          </w:p>
        </w:tc>
        <w:tc>
          <w:tcPr>
            <w:tcW w:w="2069"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1.00 (0.73-1.38)</w:t>
            </w:r>
          </w:p>
        </w:tc>
        <w:tc>
          <w:tcPr>
            <w:tcW w:w="1444" w:type="dxa"/>
            <w:gridSpan w:val="2"/>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0.99</w:t>
            </w:r>
          </w:p>
        </w:tc>
      </w:tr>
      <w:tr w:rsidR="00381A4B" w:rsidRPr="00381A4B" w:rsidTr="00CC0F45">
        <w:trPr>
          <w:trHeight w:val="395"/>
        </w:trPr>
        <w:tc>
          <w:tcPr>
            <w:tcW w:w="3510" w:type="dxa"/>
            <w:vAlign w:val="center"/>
            <w:hideMark/>
          </w:tcPr>
          <w:p w:rsidR="007C2E65" w:rsidRPr="00E0268F" w:rsidRDefault="007C2E65" w:rsidP="00E0268F">
            <w:pPr>
              <w:spacing w:after="80"/>
              <w:rPr>
                <w:rFonts w:eastAsia="Times New Roman"/>
                <w:b/>
                <w:sz w:val="24"/>
                <w:szCs w:val="24"/>
                <w:lang w:eastAsia="ja-JP"/>
              </w:rPr>
            </w:pPr>
            <w:r w:rsidRPr="00E0268F">
              <w:rPr>
                <w:rFonts w:eastAsia="Times New Roman"/>
                <w:b/>
                <w:sz w:val="24"/>
                <w:szCs w:val="24"/>
                <w:lang w:eastAsia="ja-JP"/>
              </w:rPr>
              <w:t>HAN</w:t>
            </w:r>
            <w:r w:rsidRPr="00E0268F">
              <w:rPr>
                <w:rFonts w:eastAsia="Times New Roman" w:hint="eastAsia"/>
                <w:b/>
                <w:sz w:val="24"/>
                <w:szCs w:val="24"/>
                <w:lang w:eastAsia="ja-JP"/>
              </w:rPr>
              <w:t>N</w:t>
            </w:r>
            <w:r w:rsidRPr="00E0268F">
              <w:rPr>
                <w:rFonts w:eastAsia="Times New Roman"/>
                <w:b/>
                <w:sz w:val="24"/>
                <w:szCs w:val="24"/>
                <w:lang w:eastAsia="ja-JP"/>
              </w:rPr>
              <w:t>OVER trial</w:t>
            </w:r>
          </w:p>
        </w:tc>
        <w:tc>
          <w:tcPr>
            <w:tcW w:w="1701" w:type="dxa"/>
            <w:noWrap/>
            <w:vAlign w:val="center"/>
          </w:tcPr>
          <w:p w:rsidR="007C2E65" w:rsidRPr="00381A4B" w:rsidRDefault="007C2E65" w:rsidP="00CC0F45">
            <w:pPr>
              <w:spacing w:after="80"/>
              <w:jc w:val="center"/>
              <w:rPr>
                <w:rFonts w:eastAsia="Times New Roman"/>
                <w:sz w:val="24"/>
                <w:szCs w:val="24"/>
                <w:lang w:eastAsia="ja-JP"/>
              </w:rPr>
            </w:pPr>
          </w:p>
        </w:tc>
        <w:tc>
          <w:tcPr>
            <w:tcW w:w="2977" w:type="dxa"/>
            <w:vAlign w:val="center"/>
          </w:tcPr>
          <w:p w:rsidR="007C2E65" w:rsidRPr="00381A4B" w:rsidRDefault="007C2E65" w:rsidP="00CC0F45">
            <w:pPr>
              <w:spacing w:after="80"/>
              <w:jc w:val="center"/>
              <w:rPr>
                <w:rFonts w:eastAsia="Times New Roman"/>
                <w:sz w:val="24"/>
                <w:szCs w:val="24"/>
                <w:lang w:eastAsia="ja-JP"/>
              </w:rPr>
            </w:pPr>
          </w:p>
        </w:tc>
        <w:tc>
          <w:tcPr>
            <w:tcW w:w="2268" w:type="dxa"/>
            <w:vAlign w:val="center"/>
          </w:tcPr>
          <w:p w:rsidR="007C2E65" w:rsidRPr="00381A4B" w:rsidRDefault="007C2E65" w:rsidP="00CC0F45">
            <w:pPr>
              <w:spacing w:after="80"/>
              <w:jc w:val="center"/>
              <w:rPr>
                <w:rFonts w:eastAsia="Times New Roman"/>
                <w:sz w:val="24"/>
                <w:szCs w:val="24"/>
                <w:lang w:eastAsia="ja-JP"/>
              </w:rPr>
            </w:pPr>
          </w:p>
        </w:tc>
        <w:tc>
          <w:tcPr>
            <w:tcW w:w="2069" w:type="dxa"/>
            <w:noWrap/>
            <w:vAlign w:val="center"/>
          </w:tcPr>
          <w:p w:rsidR="007C2E65" w:rsidRPr="00381A4B" w:rsidRDefault="007C2E65" w:rsidP="00CC0F45">
            <w:pPr>
              <w:spacing w:after="80"/>
              <w:jc w:val="center"/>
              <w:rPr>
                <w:rFonts w:eastAsia="Times New Roman"/>
                <w:sz w:val="24"/>
                <w:szCs w:val="24"/>
                <w:lang w:eastAsia="ja-JP"/>
              </w:rPr>
            </w:pPr>
          </w:p>
        </w:tc>
        <w:tc>
          <w:tcPr>
            <w:tcW w:w="1444" w:type="dxa"/>
            <w:gridSpan w:val="2"/>
            <w:vAlign w:val="center"/>
          </w:tcPr>
          <w:p w:rsidR="007C2E65" w:rsidRPr="00381A4B" w:rsidRDefault="007C2E65" w:rsidP="00CC0F45">
            <w:pPr>
              <w:spacing w:after="80"/>
              <w:jc w:val="center"/>
              <w:rPr>
                <w:rFonts w:eastAsia="Times New Roman"/>
                <w:sz w:val="24"/>
                <w:szCs w:val="24"/>
                <w:lang w:eastAsia="ja-JP"/>
              </w:rPr>
            </w:pPr>
          </w:p>
        </w:tc>
      </w:tr>
      <w:tr w:rsidR="00381A4B" w:rsidRPr="00381A4B" w:rsidTr="00CC0F45">
        <w:trPr>
          <w:trHeight w:val="395"/>
        </w:trPr>
        <w:tc>
          <w:tcPr>
            <w:tcW w:w="3510" w:type="dxa"/>
            <w:vAlign w:val="center"/>
            <w:hideMark/>
          </w:tcPr>
          <w:p w:rsidR="007C2E65" w:rsidRPr="00381A4B" w:rsidRDefault="007C2E65" w:rsidP="00E0268F">
            <w:pPr>
              <w:spacing w:after="80"/>
              <w:rPr>
                <w:rFonts w:eastAsia="Times New Roman"/>
                <w:sz w:val="24"/>
                <w:szCs w:val="24"/>
                <w:lang w:eastAsia="ja-JP"/>
              </w:rPr>
            </w:pPr>
            <w:r w:rsidRPr="00381A4B">
              <w:rPr>
                <w:rFonts w:eastAsia="Times New Roman"/>
                <w:sz w:val="24"/>
                <w:szCs w:val="24"/>
                <w:lang w:eastAsia="ja-JP"/>
              </w:rPr>
              <w:t>RRT dependence at day 28</w:t>
            </w:r>
          </w:p>
        </w:tc>
        <w:tc>
          <w:tcPr>
            <w:tcW w:w="1701" w:type="dxa"/>
            <w:noWrap/>
            <w:vAlign w:val="center"/>
            <w:hideMark/>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w:t>
            </w:r>
          </w:p>
        </w:tc>
        <w:tc>
          <w:tcPr>
            <w:tcW w:w="2977"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19/45 (42.2%)</w:t>
            </w:r>
          </w:p>
        </w:tc>
        <w:tc>
          <w:tcPr>
            <w:tcW w:w="2268" w:type="dxa"/>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17/46 (37.0%)</w:t>
            </w:r>
          </w:p>
        </w:tc>
        <w:tc>
          <w:tcPr>
            <w:tcW w:w="2069" w:type="dxa"/>
            <w:noWrap/>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1.14 (0.69-1.90)</w:t>
            </w:r>
          </w:p>
        </w:tc>
        <w:tc>
          <w:tcPr>
            <w:tcW w:w="1444" w:type="dxa"/>
            <w:gridSpan w:val="2"/>
            <w:vAlign w:val="center"/>
          </w:tcPr>
          <w:p w:rsidR="007C2E65" w:rsidRPr="00381A4B" w:rsidRDefault="007C2E65" w:rsidP="00CC0F45">
            <w:pPr>
              <w:spacing w:after="80"/>
              <w:jc w:val="center"/>
              <w:rPr>
                <w:rFonts w:eastAsia="Times New Roman"/>
                <w:sz w:val="24"/>
                <w:szCs w:val="24"/>
                <w:lang w:eastAsia="ja-JP"/>
              </w:rPr>
            </w:pPr>
            <w:r w:rsidRPr="00381A4B">
              <w:rPr>
                <w:rFonts w:eastAsia="Times New Roman"/>
                <w:sz w:val="24"/>
                <w:szCs w:val="24"/>
                <w:lang w:eastAsia="ja-JP"/>
              </w:rPr>
              <w:t>0.61</w:t>
            </w:r>
          </w:p>
        </w:tc>
      </w:tr>
      <w:tr w:rsidR="007C2E65" w:rsidRPr="00002F45" w:rsidTr="00CC0F45">
        <w:trPr>
          <w:trHeight w:val="395"/>
        </w:trPr>
        <w:tc>
          <w:tcPr>
            <w:tcW w:w="3510" w:type="dxa"/>
            <w:tcBorders>
              <w:bottom w:val="single" w:sz="4" w:space="0" w:color="auto"/>
            </w:tcBorders>
            <w:vAlign w:val="center"/>
          </w:tcPr>
          <w:p w:rsidR="007C2E65" w:rsidRPr="00002F45" w:rsidRDefault="007C2E65" w:rsidP="00CC0F45">
            <w:pPr>
              <w:spacing w:after="80"/>
              <w:jc w:val="center"/>
              <w:rPr>
                <w:rFonts w:eastAsia="Times New Roman"/>
                <w:color w:val="FF0000"/>
                <w:sz w:val="24"/>
                <w:szCs w:val="24"/>
                <w:lang w:eastAsia="ja-JP"/>
              </w:rPr>
            </w:pPr>
          </w:p>
        </w:tc>
        <w:tc>
          <w:tcPr>
            <w:tcW w:w="1701" w:type="dxa"/>
            <w:tcBorders>
              <w:bottom w:val="single" w:sz="4" w:space="0" w:color="auto"/>
            </w:tcBorders>
            <w:noWrap/>
            <w:vAlign w:val="center"/>
          </w:tcPr>
          <w:p w:rsidR="007C2E65" w:rsidRPr="00002F45" w:rsidRDefault="007C2E65" w:rsidP="00CC0F45">
            <w:pPr>
              <w:spacing w:after="80"/>
              <w:jc w:val="center"/>
              <w:rPr>
                <w:rFonts w:eastAsia="Times New Roman"/>
                <w:color w:val="FF0000"/>
                <w:sz w:val="24"/>
                <w:szCs w:val="24"/>
                <w:lang w:eastAsia="ja-JP"/>
              </w:rPr>
            </w:pPr>
          </w:p>
        </w:tc>
        <w:tc>
          <w:tcPr>
            <w:tcW w:w="2977" w:type="dxa"/>
            <w:tcBorders>
              <w:bottom w:val="single" w:sz="4" w:space="0" w:color="auto"/>
            </w:tcBorders>
            <w:vAlign w:val="center"/>
          </w:tcPr>
          <w:p w:rsidR="007C2E65" w:rsidRPr="00002F45" w:rsidRDefault="007C2E65" w:rsidP="00CC0F45">
            <w:pPr>
              <w:spacing w:after="80"/>
              <w:jc w:val="center"/>
              <w:rPr>
                <w:rFonts w:eastAsia="Times New Roman"/>
                <w:color w:val="FF0000"/>
                <w:sz w:val="24"/>
                <w:szCs w:val="24"/>
                <w:lang w:eastAsia="ja-JP"/>
              </w:rPr>
            </w:pPr>
          </w:p>
        </w:tc>
        <w:tc>
          <w:tcPr>
            <w:tcW w:w="2268" w:type="dxa"/>
            <w:tcBorders>
              <w:bottom w:val="single" w:sz="4" w:space="0" w:color="auto"/>
            </w:tcBorders>
            <w:vAlign w:val="center"/>
          </w:tcPr>
          <w:p w:rsidR="007C2E65" w:rsidRPr="00002F45" w:rsidRDefault="007C2E65" w:rsidP="00CC0F45">
            <w:pPr>
              <w:spacing w:after="80"/>
              <w:jc w:val="center"/>
              <w:rPr>
                <w:rFonts w:eastAsia="Times New Roman"/>
                <w:color w:val="FF0000"/>
                <w:sz w:val="24"/>
                <w:szCs w:val="24"/>
                <w:lang w:eastAsia="ja-JP"/>
              </w:rPr>
            </w:pPr>
          </w:p>
        </w:tc>
        <w:tc>
          <w:tcPr>
            <w:tcW w:w="2069" w:type="dxa"/>
            <w:tcBorders>
              <w:bottom w:val="single" w:sz="4" w:space="0" w:color="auto"/>
            </w:tcBorders>
            <w:noWrap/>
            <w:vAlign w:val="center"/>
          </w:tcPr>
          <w:p w:rsidR="007C2E65" w:rsidRPr="00002F45" w:rsidRDefault="007C2E65" w:rsidP="00CC0F45">
            <w:pPr>
              <w:spacing w:after="80"/>
              <w:jc w:val="center"/>
              <w:rPr>
                <w:rFonts w:eastAsia="Times New Roman"/>
                <w:color w:val="FF0000"/>
                <w:sz w:val="24"/>
                <w:szCs w:val="24"/>
                <w:lang w:eastAsia="ja-JP"/>
              </w:rPr>
            </w:pPr>
          </w:p>
        </w:tc>
        <w:tc>
          <w:tcPr>
            <w:tcW w:w="1444" w:type="dxa"/>
            <w:gridSpan w:val="2"/>
            <w:tcBorders>
              <w:bottom w:val="single" w:sz="4" w:space="0" w:color="auto"/>
            </w:tcBorders>
            <w:vAlign w:val="center"/>
          </w:tcPr>
          <w:p w:rsidR="007C2E65" w:rsidRPr="00002F45" w:rsidRDefault="007C2E65" w:rsidP="00CC0F45">
            <w:pPr>
              <w:spacing w:after="80"/>
              <w:jc w:val="center"/>
              <w:rPr>
                <w:rFonts w:eastAsia="Times New Roman"/>
                <w:color w:val="FF0000"/>
                <w:sz w:val="24"/>
                <w:szCs w:val="24"/>
                <w:lang w:eastAsia="ja-JP"/>
              </w:rPr>
            </w:pPr>
          </w:p>
        </w:tc>
      </w:tr>
    </w:tbl>
    <w:p w:rsidR="007C2E65" w:rsidRDefault="007C2E65" w:rsidP="007C2E65">
      <w:pPr>
        <w:sectPr w:rsidR="007C2E65" w:rsidSect="00D73817">
          <w:pgSz w:w="16838" w:h="11906" w:orient="landscape"/>
          <w:pgMar w:top="1797" w:right="1440" w:bottom="1797" w:left="1440" w:header="709" w:footer="709" w:gutter="0"/>
          <w:cols w:space="708"/>
          <w:docGrid w:linePitch="360"/>
        </w:sectPr>
      </w:pPr>
    </w:p>
    <w:p w:rsidR="007C2E65" w:rsidRPr="007C2E65" w:rsidRDefault="005F3825" w:rsidP="007C2E65">
      <w:pPr>
        <w:rPr>
          <w:rFonts w:ascii="Calibri" w:eastAsia="Times New Roman" w:hAnsi="Calibri" w:cs="Avenir-Book"/>
          <w:b/>
          <w:sz w:val="24"/>
          <w:szCs w:val="24"/>
          <w:lang w:eastAsia="en-US"/>
        </w:rPr>
      </w:pPr>
      <w:r>
        <w:rPr>
          <w:rFonts w:ascii="Calibri" w:eastAsia="Times New Roman" w:hAnsi="Calibri" w:cs="Avenir-Book"/>
          <w:b/>
          <w:sz w:val="24"/>
          <w:szCs w:val="24"/>
          <w:lang w:eastAsia="en-US"/>
        </w:rPr>
        <w:t xml:space="preserve">Supplementary </w:t>
      </w:r>
      <w:r w:rsidR="002D1AC9">
        <w:rPr>
          <w:rFonts w:ascii="Calibri" w:eastAsia="Times New Roman" w:hAnsi="Calibri" w:cs="Avenir-Book"/>
          <w:b/>
          <w:sz w:val="24"/>
          <w:szCs w:val="24"/>
          <w:lang w:eastAsia="en-US"/>
        </w:rPr>
        <w:t>F</w:t>
      </w:r>
      <w:r>
        <w:rPr>
          <w:rFonts w:ascii="Calibri" w:eastAsia="Times New Roman" w:hAnsi="Calibri" w:cs="Avenir-Book"/>
          <w:b/>
          <w:sz w:val="24"/>
          <w:szCs w:val="24"/>
          <w:lang w:eastAsia="en-US"/>
        </w:rPr>
        <w:t>igure 4</w:t>
      </w:r>
      <w:r w:rsidR="007C2E65" w:rsidRPr="007C2E65">
        <w:rPr>
          <w:rFonts w:ascii="Calibri" w:eastAsia="Times New Roman" w:hAnsi="Calibri" w:cs="Avenir-Book"/>
          <w:b/>
          <w:sz w:val="24"/>
          <w:szCs w:val="24"/>
          <w:lang w:eastAsia="en-US"/>
        </w:rPr>
        <w:t>: Violin plot for RRT independence</w:t>
      </w:r>
    </w:p>
    <w:p w:rsidR="007C2E65" w:rsidRPr="007C2E65" w:rsidRDefault="007C2E65" w:rsidP="007C2E65">
      <w:pPr>
        <w:rPr>
          <w:rFonts w:ascii="Calibri" w:eastAsia="Times New Roman" w:hAnsi="Calibri" w:cs="Avenir-Book"/>
          <w:b/>
          <w:sz w:val="24"/>
          <w:szCs w:val="24"/>
          <w:lang w:eastAsia="en-US"/>
        </w:rPr>
      </w:pPr>
      <w:r w:rsidRPr="007C2E65">
        <w:rPr>
          <w:rFonts w:ascii="Calibri" w:eastAsia="Times New Roman" w:hAnsi="Calibri" w:cs="Avenir-Book"/>
          <w:b/>
          <w:sz w:val="24"/>
          <w:szCs w:val="24"/>
          <w:lang w:eastAsia="en-US"/>
        </w:rPr>
        <w:t>Violin plot for RRT independence at day 28:</w:t>
      </w:r>
    </w:p>
    <w:p w:rsidR="007C2E65" w:rsidRDefault="007C2E65" w:rsidP="007C2E65"/>
    <w:p w:rsidR="007C2E65" w:rsidRDefault="007C2E65" w:rsidP="007C2E65">
      <w:r>
        <w:rPr>
          <w:rFonts w:ascii="Courier New" w:hAnsi="Courier New" w:cs="Courier New"/>
          <w:color w:val="800080"/>
          <w:shd w:val="clear" w:color="auto" w:fill="FFFFFF"/>
        </w:rPr>
        <w:t>Violin Plot of time to stop RRT by treatment</w:t>
      </w:r>
    </w:p>
    <w:p w:rsidR="007C2E65" w:rsidRDefault="007C2E65" w:rsidP="007C2E65">
      <w:r>
        <w:rPr>
          <w:rFonts w:ascii="Arial" w:hAnsi="Arial" w:cs="Arial"/>
          <w:noProof/>
          <w:color w:val="000000"/>
          <w:sz w:val="20"/>
        </w:rPr>
        <w:drawing>
          <wp:inline distT="0" distB="0" distL="0" distR="0" wp14:anchorId="66F380C2" wp14:editId="269F748F">
            <wp:extent cx="4181475" cy="3136106"/>
            <wp:effectExtent l="0" t="0" r="0" b="7620"/>
            <wp:docPr id="7" name="Picture 7"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9286" cy="3141964"/>
                    </a:xfrm>
                    <a:prstGeom prst="rect">
                      <a:avLst/>
                    </a:prstGeom>
                    <a:noFill/>
                    <a:ln>
                      <a:noFill/>
                    </a:ln>
                  </pic:spPr>
                </pic:pic>
              </a:graphicData>
            </a:graphic>
          </wp:inline>
        </w:drawing>
      </w:r>
    </w:p>
    <w:p w:rsidR="007C2E65" w:rsidRDefault="007C2E65" w:rsidP="007C2E65"/>
    <w:p w:rsidR="007C2E65" w:rsidRPr="00402040" w:rsidRDefault="007C2E65" w:rsidP="007C2E65">
      <w:pPr>
        <w:rPr>
          <w:b/>
        </w:rPr>
      </w:pPr>
      <w:r>
        <w:rPr>
          <w:b/>
        </w:rPr>
        <w:br w:type="page"/>
      </w:r>
      <w:r w:rsidRPr="007C2E65">
        <w:rPr>
          <w:rFonts w:ascii="Calibri" w:eastAsia="Times New Roman" w:hAnsi="Calibri" w:cs="Avenir-Book"/>
          <w:b/>
          <w:sz w:val="24"/>
          <w:szCs w:val="24"/>
          <w:lang w:eastAsia="en-US"/>
        </w:rPr>
        <w:t>Violin plot for RRT independence at day 60:</w:t>
      </w:r>
    </w:p>
    <w:p w:rsidR="007C2E65" w:rsidRDefault="007C2E65" w:rsidP="007C2E65">
      <w:r>
        <w:rPr>
          <w:rFonts w:ascii="Courier New" w:hAnsi="Courier New" w:cs="Courier New"/>
          <w:color w:val="800080"/>
          <w:shd w:val="clear" w:color="auto" w:fill="FFFFFF"/>
        </w:rPr>
        <w:t>Violin Plot of time to stop RRT by treatment</w:t>
      </w:r>
    </w:p>
    <w:p w:rsidR="007C2E65" w:rsidRDefault="007C2E65" w:rsidP="007C2E65">
      <w:r>
        <w:rPr>
          <w:rFonts w:ascii="Arial" w:hAnsi="Arial" w:cs="Arial"/>
          <w:noProof/>
          <w:color w:val="000000"/>
          <w:sz w:val="20"/>
        </w:rPr>
        <w:drawing>
          <wp:inline distT="0" distB="0" distL="0" distR="0" wp14:anchorId="4E4762DF" wp14:editId="23A8E572">
            <wp:extent cx="3838575" cy="2878931"/>
            <wp:effectExtent l="0" t="0" r="0" b="0"/>
            <wp:docPr id="3" name="Picture 3"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140" cy="2883855"/>
                    </a:xfrm>
                    <a:prstGeom prst="rect">
                      <a:avLst/>
                    </a:prstGeom>
                    <a:noFill/>
                    <a:ln>
                      <a:noFill/>
                    </a:ln>
                  </pic:spPr>
                </pic:pic>
              </a:graphicData>
            </a:graphic>
          </wp:inline>
        </w:drawing>
      </w:r>
    </w:p>
    <w:p w:rsidR="007C2E65" w:rsidRDefault="007C2E65" w:rsidP="007C2E65">
      <w:pPr>
        <w:rPr>
          <w:b/>
        </w:rPr>
      </w:pPr>
    </w:p>
    <w:p w:rsidR="007C2E65" w:rsidRDefault="007C2E65" w:rsidP="007C2E65">
      <w:pPr>
        <w:rPr>
          <w:b/>
        </w:rPr>
      </w:pPr>
    </w:p>
    <w:p w:rsidR="007C2E65" w:rsidRPr="007C2E65" w:rsidRDefault="007C2E65" w:rsidP="007C2E65">
      <w:pPr>
        <w:rPr>
          <w:rFonts w:ascii="Calibri" w:eastAsia="Times New Roman" w:hAnsi="Calibri" w:cs="Avenir-Book"/>
          <w:b/>
          <w:sz w:val="24"/>
          <w:szCs w:val="24"/>
          <w:lang w:eastAsia="en-US"/>
        </w:rPr>
      </w:pPr>
      <w:r w:rsidRPr="007C2E65">
        <w:rPr>
          <w:rFonts w:ascii="Calibri" w:eastAsia="Times New Roman" w:hAnsi="Calibri" w:cs="Avenir-Book"/>
          <w:b/>
          <w:sz w:val="24"/>
          <w:szCs w:val="24"/>
          <w:lang w:eastAsia="en-US"/>
        </w:rPr>
        <w:t>Violin plot for RRT independence at day 90:</w:t>
      </w:r>
    </w:p>
    <w:p w:rsidR="007C2E65" w:rsidRDefault="007C2E65" w:rsidP="007C2E65">
      <w:r>
        <w:rPr>
          <w:rFonts w:ascii="Courier New" w:hAnsi="Courier New" w:cs="Courier New"/>
          <w:color w:val="800080"/>
          <w:shd w:val="clear" w:color="auto" w:fill="FFFFFF"/>
        </w:rPr>
        <w:t>Violin Plot of time to stop RRT by treatment</w:t>
      </w:r>
    </w:p>
    <w:p w:rsidR="007C2E65" w:rsidRDefault="007C2E65" w:rsidP="007C2E65">
      <w:r>
        <w:rPr>
          <w:rFonts w:ascii="Arial" w:hAnsi="Arial" w:cs="Arial"/>
          <w:noProof/>
          <w:color w:val="000000"/>
          <w:sz w:val="20"/>
        </w:rPr>
        <w:drawing>
          <wp:inline distT="0" distB="0" distL="0" distR="0" wp14:anchorId="2177177D" wp14:editId="70CCDE6A">
            <wp:extent cx="4105275" cy="3078956"/>
            <wp:effectExtent l="0" t="0" r="0" b="7620"/>
            <wp:docPr id="8" name="Picture 8"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1076" cy="3083307"/>
                    </a:xfrm>
                    <a:prstGeom prst="rect">
                      <a:avLst/>
                    </a:prstGeom>
                    <a:noFill/>
                    <a:ln>
                      <a:noFill/>
                    </a:ln>
                  </pic:spPr>
                </pic:pic>
              </a:graphicData>
            </a:graphic>
          </wp:inline>
        </w:drawing>
      </w:r>
    </w:p>
    <w:p w:rsidR="007C2E65" w:rsidRDefault="007C2E65" w:rsidP="007C2E65">
      <w:pPr>
        <w:pStyle w:val="PlainText"/>
        <w:spacing w:line="360" w:lineRule="auto"/>
        <w:ind w:left="426" w:hanging="1"/>
        <w:rPr>
          <w:rFonts w:asciiTheme="minorHAnsi" w:hAnsiTheme="minorHAnsi"/>
          <w:i/>
          <w:color w:val="002060"/>
          <w:sz w:val="24"/>
          <w:szCs w:val="24"/>
        </w:rPr>
      </w:pPr>
    </w:p>
    <w:p w:rsidR="007C2E65" w:rsidRDefault="007C2E65" w:rsidP="007C2E65">
      <w:pPr>
        <w:spacing w:line="360" w:lineRule="auto"/>
        <w:ind w:left="709" w:hanging="284"/>
        <w:rPr>
          <w:rFonts w:eastAsia="Calibri"/>
          <w:i/>
          <w:color w:val="002060"/>
          <w:sz w:val="24"/>
          <w:szCs w:val="24"/>
        </w:rPr>
      </w:pPr>
    </w:p>
    <w:p w:rsidR="00863B8B" w:rsidRDefault="00E0268F"/>
    <w:sectPr w:rsidR="00863B8B" w:rsidSect="00D73817">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MS Mincho"/>
    <w:panose1 w:val="02010600030101010101"/>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65"/>
    <w:rsid w:val="002B61A4"/>
    <w:rsid w:val="002D1AC9"/>
    <w:rsid w:val="00381A4B"/>
    <w:rsid w:val="003E0AE8"/>
    <w:rsid w:val="004D0959"/>
    <w:rsid w:val="005F3825"/>
    <w:rsid w:val="007C2E65"/>
    <w:rsid w:val="009047A2"/>
    <w:rsid w:val="00A07C48"/>
    <w:rsid w:val="00E0268F"/>
    <w:rsid w:val="00ED43E4"/>
    <w:rsid w:val="00FB6D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6807"/>
  <w15:chartTrackingRefBased/>
  <w15:docId w15:val="{5CB6FCE5-DFD5-4898-9C21-94CB825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2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2E65"/>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7C2E65"/>
    <w:rPr>
      <w:rFonts w:ascii="Calibri" w:eastAsia="Calibri" w:hAnsi="Calibri" w:cs="Times New Roman"/>
      <w:szCs w:val="21"/>
      <w:lang w:eastAsia="en-US"/>
    </w:rPr>
  </w:style>
  <w:style w:type="paragraph" w:customStyle="1" w:styleId="EndNoteBibliography">
    <w:name w:val="EndNote Bibliography"/>
    <w:basedOn w:val="Normal"/>
    <w:link w:val="EndNoteBibliographyChar"/>
    <w:rsid w:val="003E0AE8"/>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E0AE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7033</Words>
  <Characters>40093</Characters>
  <Application>Microsoft Office Word</Application>
  <DocSecurity>0</DocSecurity>
  <Lines>334</Lines>
  <Paragraphs>94</Paragraphs>
  <ScaleCrop>false</ScaleCrop>
  <Company/>
  <LinksUpToDate>false</LinksUpToDate>
  <CharactersWithSpaces>47032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Wang</dc:creator>
  <cp:keywords/>
  <dc:description/>
  <cp:lastModifiedBy>Amanda Wang</cp:lastModifiedBy>
  <cp:revision>8</cp:revision>
  <dcterms:created xsi:type="dcterms:W3CDTF">2017-08-29T09:58:00Z</dcterms:created>
  <dcterms:modified xsi:type="dcterms:W3CDTF">2017-09-01T02:29:00Z</dcterms:modified>
</cp:coreProperties>
</file>