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72" w:rsidRPr="00B66872" w:rsidRDefault="00B66872" w:rsidP="00A96735">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Figure Legends – Supplementary Figures</w:t>
      </w:r>
    </w:p>
    <w:p w:rsidR="00B66872" w:rsidRDefault="00B66872" w:rsidP="00A96735">
      <w:pPr>
        <w:pStyle w:val="NoSpacing"/>
        <w:spacing w:line="360" w:lineRule="auto"/>
        <w:jc w:val="both"/>
        <w:rPr>
          <w:rFonts w:ascii="Times New Roman" w:hAnsi="Times New Roman" w:cs="Times New Roman"/>
          <w:b/>
          <w:szCs w:val="24"/>
        </w:rPr>
      </w:pPr>
    </w:p>
    <w:p w:rsidR="006352F2" w:rsidRPr="00353E76" w:rsidRDefault="00C160EB" w:rsidP="00A96735">
      <w:pPr>
        <w:pStyle w:val="NoSpacing"/>
        <w:spacing w:line="360" w:lineRule="auto"/>
        <w:jc w:val="both"/>
        <w:rPr>
          <w:rFonts w:ascii="Times New Roman" w:hAnsi="Times New Roman" w:cs="Times New Roman"/>
        </w:rPr>
      </w:pPr>
      <w:r w:rsidRPr="00353E76">
        <w:rPr>
          <w:rFonts w:ascii="Times New Roman" w:hAnsi="Times New Roman" w:cs="Times New Roman"/>
          <w:b/>
        </w:rPr>
        <w:t xml:space="preserve">Supplementary </w:t>
      </w:r>
      <w:r w:rsidR="004765A4" w:rsidRPr="00353E76">
        <w:rPr>
          <w:rFonts w:ascii="Times New Roman" w:hAnsi="Times New Roman" w:cs="Times New Roman"/>
          <w:b/>
        </w:rPr>
        <w:t>Fig.</w:t>
      </w:r>
      <w:r w:rsidR="0007231E" w:rsidRPr="00353E76">
        <w:rPr>
          <w:rFonts w:ascii="Times New Roman" w:hAnsi="Times New Roman" w:cs="Times New Roman"/>
          <w:b/>
        </w:rPr>
        <w:t xml:space="preserve"> S1. Histology and immunohistochemistry identify the xenograft model BT183 and the new PDX model NCH3602 as ETMR tumors.</w:t>
      </w:r>
      <w:r w:rsidR="0007231E" w:rsidRPr="00353E76">
        <w:rPr>
          <w:rFonts w:ascii="Times New Roman" w:hAnsi="Times New Roman" w:cs="Times New Roman"/>
        </w:rPr>
        <w:t xml:space="preserve"> </w:t>
      </w:r>
      <w:r w:rsidR="0007231E" w:rsidRPr="00353E76">
        <w:rPr>
          <w:rFonts w:ascii="Times New Roman" w:hAnsi="Times New Roman" w:cs="Times New Roman"/>
          <w:color w:val="000000"/>
        </w:rPr>
        <w:t xml:space="preserve">Whole-mount sagittal brain section of </w:t>
      </w:r>
      <w:r w:rsidR="0007231E" w:rsidRPr="00353E76">
        <w:rPr>
          <w:rFonts w:ascii="Times New Roman" w:hAnsi="Times New Roman" w:cs="Times New Roman"/>
        </w:rPr>
        <w:t>H&amp;E immunohistochemistry of the ETMR xenograft model BT183 (</w:t>
      </w:r>
      <w:r w:rsidR="00A96735" w:rsidRPr="00353E76">
        <w:rPr>
          <w:rFonts w:ascii="Times New Roman" w:hAnsi="Times New Roman" w:cs="Times New Roman"/>
          <w:b/>
        </w:rPr>
        <w:t>A</w:t>
      </w:r>
      <w:r w:rsidR="0007231E" w:rsidRPr="00353E76">
        <w:rPr>
          <w:rFonts w:ascii="Times New Roman" w:hAnsi="Times New Roman" w:cs="Times New Roman"/>
        </w:rPr>
        <w:t>) and the ETMR PDX model NCH3602 (</w:t>
      </w:r>
      <w:r w:rsidR="00A96735" w:rsidRPr="00353E76">
        <w:rPr>
          <w:rFonts w:ascii="Times New Roman" w:hAnsi="Times New Roman" w:cs="Times New Roman"/>
          <w:b/>
        </w:rPr>
        <w:t>B</w:t>
      </w:r>
      <w:r w:rsidR="0007231E" w:rsidRPr="00353E76">
        <w:rPr>
          <w:rFonts w:ascii="Times New Roman" w:hAnsi="Times New Roman" w:cs="Times New Roman"/>
        </w:rPr>
        <w:t>). Higher magnification of H&amp;E immunohistochemistry of the primary tumor BT183 (</w:t>
      </w:r>
      <w:r w:rsidR="00A96735" w:rsidRPr="00353E76">
        <w:rPr>
          <w:rFonts w:ascii="Times New Roman" w:hAnsi="Times New Roman" w:cs="Times New Roman"/>
          <w:b/>
        </w:rPr>
        <w:t>C</w:t>
      </w:r>
      <w:r w:rsidR="0007231E" w:rsidRPr="00353E76">
        <w:rPr>
          <w:rFonts w:ascii="Times New Roman" w:hAnsi="Times New Roman" w:cs="Times New Roman"/>
        </w:rPr>
        <w:t>) and its xenograft tumor (</w:t>
      </w:r>
      <w:r w:rsidR="00A96735" w:rsidRPr="00353E76">
        <w:rPr>
          <w:rFonts w:ascii="Times New Roman" w:hAnsi="Times New Roman" w:cs="Times New Roman"/>
          <w:b/>
        </w:rPr>
        <w:t>D</w:t>
      </w:r>
      <w:r w:rsidR="0007231E" w:rsidRPr="00353E76">
        <w:rPr>
          <w:rFonts w:ascii="Times New Roman" w:hAnsi="Times New Roman" w:cs="Times New Roman"/>
        </w:rPr>
        <w:t>), and of the primary tumor NCH3602 (</w:t>
      </w:r>
      <w:r w:rsidR="00A96735" w:rsidRPr="00353E76">
        <w:rPr>
          <w:rFonts w:ascii="Times New Roman" w:hAnsi="Times New Roman" w:cs="Times New Roman"/>
          <w:b/>
        </w:rPr>
        <w:t>E</w:t>
      </w:r>
      <w:r w:rsidR="0007231E" w:rsidRPr="00353E76">
        <w:rPr>
          <w:rFonts w:ascii="Times New Roman" w:hAnsi="Times New Roman" w:cs="Times New Roman"/>
        </w:rPr>
        <w:t>) and its PDX tumor (</w:t>
      </w:r>
      <w:r w:rsidR="00A96735" w:rsidRPr="00353E76">
        <w:rPr>
          <w:rFonts w:ascii="Times New Roman" w:hAnsi="Times New Roman" w:cs="Times New Roman"/>
          <w:b/>
        </w:rPr>
        <w:t>F</w:t>
      </w:r>
      <w:r w:rsidR="0007231E" w:rsidRPr="00353E76">
        <w:rPr>
          <w:rFonts w:ascii="Times New Roman" w:hAnsi="Times New Roman" w:cs="Times New Roman"/>
        </w:rPr>
        <w:t>). LIN28A immunohistochemistry of the primary tumor BT183 (</w:t>
      </w:r>
      <w:r w:rsidR="00A96735" w:rsidRPr="00353E76">
        <w:rPr>
          <w:rFonts w:ascii="Times New Roman" w:hAnsi="Times New Roman" w:cs="Times New Roman"/>
          <w:b/>
        </w:rPr>
        <w:t>G</w:t>
      </w:r>
      <w:r w:rsidR="0007231E" w:rsidRPr="00353E76">
        <w:rPr>
          <w:rFonts w:ascii="Times New Roman" w:hAnsi="Times New Roman" w:cs="Times New Roman"/>
        </w:rPr>
        <w:t>) and its xenograft tumor (</w:t>
      </w:r>
      <w:r w:rsidR="00A96735" w:rsidRPr="00353E76">
        <w:rPr>
          <w:rFonts w:ascii="Times New Roman" w:hAnsi="Times New Roman" w:cs="Times New Roman"/>
          <w:b/>
        </w:rPr>
        <w:t>H</w:t>
      </w:r>
      <w:r w:rsidR="0007231E" w:rsidRPr="00353E76">
        <w:rPr>
          <w:rFonts w:ascii="Times New Roman" w:hAnsi="Times New Roman" w:cs="Times New Roman"/>
        </w:rPr>
        <w:t>), and of the primary tumor NCH3602 (</w:t>
      </w:r>
      <w:r w:rsidR="00A96735" w:rsidRPr="00353E76">
        <w:rPr>
          <w:rFonts w:ascii="Times New Roman" w:hAnsi="Times New Roman" w:cs="Times New Roman"/>
          <w:b/>
        </w:rPr>
        <w:t>I</w:t>
      </w:r>
      <w:r w:rsidR="0007231E" w:rsidRPr="00353E76">
        <w:rPr>
          <w:rFonts w:ascii="Times New Roman" w:hAnsi="Times New Roman" w:cs="Times New Roman"/>
        </w:rPr>
        <w:t>) and its PDX tumor (</w:t>
      </w:r>
      <w:r w:rsidR="00A96735" w:rsidRPr="00353E76">
        <w:rPr>
          <w:rFonts w:ascii="Times New Roman" w:hAnsi="Times New Roman" w:cs="Times New Roman"/>
        </w:rPr>
        <w:t>J</w:t>
      </w:r>
      <w:r w:rsidR="0007231E" w:rsidRPr="00353E76">
        <w:rPr>
          <w:rFonts w:ascii="Times New Roman" w:hAnsi="Times New Roman" w:cs="Times New Roman"/>
        </w:rPr>
        <w:t>). C19MC FISH of the primary tumor BT183 (</w:t>
      </w:r>
      <w:r w:rsidR="00A96735" w:rsidRPr="00353E76">
        <w:rPr>
          <w:rFonts w:ascii="Times New Roman" w:hAnsi="Times New Roman" w:cs="Times New Roman"/>
          <w:b/>
        </w:rPr>
        <w:t>K</w:t>
      </w:r>
      <w:r w:rsidR="0007231E" w:rsidRPr="00353E76">
        <w:rPr>
          <w:rFonts w:ascii="Times New Roman" w:hAnsi="Times New Roman" w:cs="Times New Roman"/>
        </w:rPr>
        <w:t>) and its xenograft tumor (</w:t>
      </w:r>
      <w:r w:rsidR="00A96735" w:rsidRPr="00353E76">
        <w:rPr>
          <w:rFonts w:ascii="Times New Roman" w:hAnsi="Times New Roman" w:cs="Times New Roman"/>
          <w:b/>
        </w:rPr>
        <w:t>L</w:t>
      </w:r>
      <w:r w:rsidR="0007231E" w:rsidRPr="00353E76">
        <w:rPr>
          <w:rFonts w:ascii="Times New Roman" w:hAnsi="Times New Roman" w:cs="Times New Roman"/>
        </w:rPr>
        <w:t>), and of the primary tumor NCH3602 (</w:t>
      </w:r>
      <w:r w:rsidR="00A96735" w:rsidRPr="00353E76">
        <w:rPr>
          <w:rFonts w:ascii="Times New Roman" w:hAnsi="Times New Roman" w:cs="Times New Roman"/>
          <w:b/>
        </w:rPr>
        <w:t>M</w:t>
      </w:r>
      <w:r w:rsidR="0007231E" w:rsidRPr="00353E76">
        <w:rPr>
          <w:rFonts w:ascii="Times New Roman" w:hAnsi="Times New Roman" w:cs="Times New Roman"/>
        </w:rPr>
        <w:t>) and its PDX tumor (</w:t>
      </w:r>
      <w:r w:rsidR="00A96735" w:rsidRPr="00353E76">
        <w:rPr>
          <w:rFonts w:ascii="Times New Roman" w:hAnsi="Times New Roman" w:cs="Times New Roman"/>
          <w:b/>
        </w:rPr>
        <w:t>N</w:t>
      </w:r>
      <w:r w:rsidR="0007231E" w:rsidRPr="00353E76">
        <w:rPr>
          <w:rFonts w:ascii="Times New Roman" w:hAnsi="Times New Roman" w:cs="Times New Roman"/>
        </w:rPr>
        <w:t>).</w:t>
      </w:r>
      <w:r w:rsidR="001D45A9" w:rsidRPr="00353E76">
        <w:rPr>
          <w:rFonts w:ascii="Times New Roman" w:hAnsi="Times New Roman" w:cs="Times New Roman"/>
        </w:rPr>
        <w:t xml:space="preserve"> Scale bars: 1 mm (</w:t>
      </w:r>
      <w:r w:rsidR="001D45A9" w:rsidRPr="00353E76">
        <w:rPr>
          <w:rFonts w:ascii="Times New Roman" w:hAnsi="Times New Roman" w:cs="Times New Roman"/>
          <w:b/>
        </w:rPr>
        <w:t>A</w:t>
      </w:r>
      <w:r w:rsidR="001D45A9" w:rsidRPr="00353E76">
        <w:rPr>
          <w:rFonts w:ascii="Times New Roman" w:hAnsi="Times New Roman" w:cs="Times New Roman"/>
        </w:rPr>
        <w:t>,</w:t>
      </w:r>
      <w:r w:rsidR="001D45A9" w:rsidRPr="00353E76">
        <w:rPr>
          <w:rFonts w:ascii="Times New Roman" w:hAnsi="Times New Roman" w:cs="Times New Roman"/>
          <w:b/>
        </w:rPr>
        <w:t>B</w:t>
      </w:r>
      <w:r w:rsidR="001D45A9" w:rsidRPr="00353E76">
        <w:rPr>
          <w:rFonts w:ascii="Times New Roman" w:hAnsi="Times New Roman" w:cs="Times New Roman"/>
        </w:rPr>
        <w:t>), 100 µm (</w:t>
      </w:r>
      <w:r w:rsidR="001D45A9" w:rsidRPr="00353E76">
        <w:rPr>
          <w:rFonts w:ascii="Times New Roman" w:hAnsi="Times New Roman" w:cs="Times New Roman"/>
          <w:b/>
        </w:rPr>
        <w:t>C</w:t>
      </w:r>
      <w:r w:rsidR="001D45A9" w:rsidRPr="00353E76">
        <w:rPr>
          <w:rFonts w:ascii="Times New Roman" w:hAnsi="Times New Roman" w:cs="Times New Roman"/>
        </w:rPr>
        <w:t>-</w:t>
      </w:r>
      <w:r w:rsidR="001D45A9" w:rsidRPr="00353E76">
        <w:rPr>
          <w:rFonts w:ascii="Times New Roman" w:hAnsi="Times New Roman" w:cs="Times New Roman"/>
          <w:b/>
        </w:rPr>
        <w:t>J</w:t>
      </w:r>
      <w:r w:rsidR="001D45A9" w:rsidRPr="00353E76">
        <w:rPr>
          <w:rFonts w:ascii="Times New Roman" w:hAnsi="Times New Roman" w:cs="Times New Roman"/>
        </w:rPr>
        <w:t>), 5 µm (</w:t>
      </w:r>
      <w:r w:rsidR="001D45A9" w:rsidRPr="00353E76">
        <w:rPr>
          <w:rFonts w:ascii="Times New Roman" w:hAnsi="Times New Roman" w:cs="Times New Roman"/>
          <w:b/>
        </w:rPr>
        <w:t>K</w:t>
      </w:r>
      <w:r w:rsidR="001D45A9" w:rsidRPr="00353E76">
        <w:rPr>
          <w:rFonts w:ascii="Times New Roman" w:hAnsi="Times New Roman" w:cs="Times New Roman"/>
        </w:rPr>
        <w:t>-</w:t>
      </w:r>
      <w:r w:rsidR="001D45A9" w:rsidRPr="00353E76">
        <w:rPr>
          <w:rFonts w:ascii="Times New Roman" w:hAnsi="Times New Roman" w:cs="Times New Roman"/>
          <w:b/>
        </w:rPr>
        <w:t>N</w:t>
      </w:r>
      <w:r w:rsidR="001D45A9" w:rsidRPr="00353E76">
        <w:rPr>
          <w:rFonts w:ascii="Times New Roman" w:hAnsi="Times New Roman" w:cs="Times New Roman"/>
        </w:rPr>
        <w:t>).</w:t>
      </w:r>
    </w:p>
    <w:p w:rsidR="00B66872" w:rsidRPr="00353E76" w:rsidRDefault="00B66872" w:rsidP="00A96735">
      <w:pPr>
        <w:pStyle w:val="NoSpacing"/>
        <w:spacing w:line="360" w:lineRule="auto"/>
        <w:jc w:val="both"/>
        <w:rPr>
          <w:rFonts w:ascii="Times New Roman" w:hAnsi="Times New Roman" w:cs="Times New Roman"/>
        </w:rPr>
      </w:pPr>
    </w:p>
    <w:p w:rsidR="00B66872" w:rsidRPr="00353E76" w:rsidRDefault="00B66872" w:rsidP="00A96735">
      <w:pPr>
        <w:pStyle w:val="NoSpacing"/>
        <w:spacing w:line="360" w:lineRule="auto"/>
        <w:jc w:val="both"/>
        <w:rPr>
          <w:rFonts w:ascii="Times New Roman" w:hAnsi="Times New Roman" w:cs="Times New Roman"/>
        </w:rPr>
      </w:pPr>
      <w:bookmarkStart w:id="0" w:name="_Toc464454738"/>
      <w:r w:rsidRPr="00353E76">
        <w:rPr>
          <w:rFonts w:ascii="Times New Roman" w:hAnsi="Times New Roman" w:cs="Times New Roman"/>
          <w:b/>
        </w:rPr>
        <w:t>Supplementary Fig. S2. Gene expression profiling of drug target genes in pediatric brain tumor entities, normal embryonal and infant brain and the ETMR cell line BT183.</w:t>
      </w:r>
      <w:bookmarkEnd w:id="0"/>
      <w:r w:rsidRPr="00353E76">
        <w:rPr>
          <w:rFonts w:ascii="Times New Roman" w:hAnsi="Times New Roman" w:cs="Times New Roman"/>
        </w:rPr>
        <w:t xml:space="preserve"> Dot plots of gene expression in human pediatric brain tumor samples. Comparison of gene expression across various pediatric brain tumor subgroups, the ETMR cell line BT183 (red dot within the ETMR group) and normal brain tissue (‘Normal Brain’) is shown for MYCN (</w:t>
      </w:r>
      <w:r w:rsidRPr="00353E76">
        <w:rPr>
          <w:rFonts w:ascii="Times New Roman" w:hAnsi="Times New Roman" w:cs="Times New Roman"/>
          <w:b/>
        </w:rPr>
        <w:t>A</w:t>
      </w:r>
      <w:r w:rsidRPr="00353E76">
        <w:rPr>
          <w:rFonts w:ascii="Times New Roman" w:hAnsi="Times New Roman" w:cs="Times New Roman"/>
        </w:rPr>
        <w:t>), DNMT3B (</w:t>
      </w:r>
      <w:r w:rsidRPr="00353E76">
        <w:rPr>
          <w:rFonts w:ascii="Times New Roman" w:hAnsi="Times New Roman" w:cs="Times New Roman"/>
          <w:b/>
        </w:rPr>
        <w:t>B</w:t>
      </w:r>
      <w:r w:rsidRPr="00353E76">
        <w:rPr>
          <w:rFonts w:ascii="Times New Roman" w:hAnsi="Times New Roman" w:cs="Times New Roman"/>
        </w:rPr>
        <w:t>), EZH2 (</w:t>
      </w:r>
      <w:r w:rsidRPr="00353E76">
        <w:rPr>
          <w:rFonts w:ascii="Times New Roman" w:hAnsi="Times New Roman" w:cs="Times New Roman"/>
          <w:b/>
        </w:rPr>
        <w:t>C</w:t>
      </w:r>
      <w:r w:rsidRPr="00353E76">
        <w:rPr>
          <w:rFonts w:ascii="Times New Roman" w:hAnsi="Times New Roman" w:cs="Times New Roman"/>
        </w:rPr>
        <w:t>), 4EBP1 (</w:t>
      </w:r>
      <w:r w:rsidRPr="00353E76">
        <w:rPr>
          <w:rFonts w:ascii="Times New Roman" w:hAnsi="Times New Roman" w:cs="Times New Roman"/>
          <w:b/>
        </w:rPr>
        <w:t>D</w:t>
      </w:r>
      <w:r w:rsidRPr="00353E76">
        <w:rPr>
          <w:rFonts w:ascii="Times New Roman" w:hAnsi="Times New Roman" w:cs="Times New Roman"/>
        </w:rPr>
        <w:t>), HES5 (</w:t>
      </w:r>
      <w:r w:rsidRPr="00353E76">
        <w:rPr>
          <w:rFonts w:ascii="Times New Roman" w:hAnsi="Times New Roman" w:cs="Times New Roman"/>
          <w:b/>
        </w:rPr>
        <w:t>E</w:t>
      </w:r>
      <w:r w:rsidRPr="00353E76">
        <w:rPr>
          <w:rFonts w:ascii="Times New Roman" w:hAnsi="Times New Roman" w:cs="Times New Roman"/>
        </w:rPr>
        <w:t>), NOTCH1 (</w:t>
      </w:r>
      <w:r w:rsidRPr="00353E76">
        <w:rPr>
          <w:rFonts w:ascii="Times New Roman" w:hAnsi="Times New Roman" w:cs="Times New Roman"/>
          <w:b/>
        </w:rPr>
        <w:t>F</w:t>
      </w:r>
      <w:r w:rsidRPr="00353E76">
        <w:rPr>
          <w:rFonts w:ascii="Times New Roman" w:hAnsi="Times New Roman" w:cs="Times New Roman"/>
        </w:rPr>
        <w:t>) and PTCH1 (</w:t>
      </w:r>
      <w:r w:rsidRPr="00353E76">
        <w:rPr>
          <w:rFonts w:ascii="Times New Roman" w:hAnsi="Times New Roman" w:cs="Times New Roman"/>
          <w:b/>
        </w:rPr>
        <w:t>G</w:t>
      </w:r>
      <w:r w:rsidRPr="00353E76">
        <w:rPr>
          <w:rFonts w:ascii="Times New Roman" w:hAnsi="Times New Roman" w:cs="Times New Roman"/>
        </w:rPr>
        <w:t>). Data are shown in log scale and were extracted from the r2 database (http://hgserver1.amc.nl/cgi-bin/r2/main.cgi) using the published ‘brain tumor’ and ‘normal brain’ dataset (see GEO reference numbers) representing the subgroups for CNS-PNETs: NB-FOXR2 (n = 10), EFT-CIC (n = 4), HGNET-MN1 (n = 7), HGNET-BCOR (n = 15); the subgroups for medulloblastoma: MB</w:t>
      </w:r>
      <w:r w:rsidRPr="00353E76">
        <w:rPr>
          <w:rFonts w:ascii="Times New Roman" w:hAnsi="Times New Roman" w:cs="Times New Roman"/>
          <w:vertAlign w:val="subscript"/>
        </w:rPr>
        <w:t>WNT</w:t>
      </w:r>
      <w:r w:rsidRPr="00353E76">
        <w:rPr>
          <w:rFonts w:ascii="Times New Roman" w:hAnsi="Times New Roman" w:cs="Times New Roman"/>
        </w:rPr>
        <w:t xml:space="preserve"> (n = 30), MB</w:t>
      </w:r>
      <w:r w:rsidRPr="00353E76">
        <w:rPr>
          <w:rFonts w:ascii="Times New Roman" w:hAnsi="Times New Roman" w:cs="Times New Roman"/>
          <w:vertAlign w:val="subscript"/>
        </w:rPr>
        <w:t>SHH</w:t>
      </w:r>
      <w:r w:rsidRPr="00353E76">
        <w:rPr>
          <w:rFonts w:ascii="Times New Roman" w:hAnsi="Times New Roman" w:cs="Times New Roman"/>
        </w:rPr>
        <w:t xml:space="preserve"> (n = 30), MB</w:t>
      </w:r>
      <w:r w:rsidRPr="00353E76">
        <w:rPr>
          <w:rFonts w:ascii="Times New Roman" w:hAnsi="Times New Roman" w:cs="Times New Roman"/>
          <w:vertAlign w:val="subscript"/>
        </w:rPr>
        <w:t>GRP3</w:t>
      </w:r>
      <w:r w:rsidRPr="00353E76">
        <w:rPr>
          <w:rFonts w:ascii="Times New Roman" w:hAnsi="Times New Roman" w:cs="Times New Roman"/>
        </w:rPr>
        <w:t xml:space="preserve"> (n = 30), MB</w:t>
      </w:r>
      <w:r w:rsidRPr="00353E76">
        <w:rPr>
          <w:rFonts w:ascii="Times New Roman" w:hAnsi="Times New Roman" w:cs="Times New Roman"/>
          <w:vertAlign w:val="subscript"/>
        </w:rPr>
        <w:t>GRP4</w:t>
      </w:r>
      <w:r w:rsidRPr="00353E76">
        <w:rPr>
          <w:rFonts w:ascii="Times New Roman" w:hAnsi="Times New Roman" w:cs="Times New Roman"/>
        </w:rPr>
        <w:t xml:space="preserve"> (n = 30); the subgroups for AT/RTs: AT/RT</w:t>
      </w:r>
      <w:r w:rsidRPr="00353E76">
        <w:rPr>
          <w:rFonts w:ascii="Times New Roman" w:hAnsi="Times New Roman" w:cs="Times New Roman"/>
          <w:vertAlign w:val="subscript"/>
        </w:rPr>
        <w:t>TYR</w:t>
      </w:r>
      <w:r w:rsidRPr="00353E76">
        <w:rPr>
          <w:rFonts w:ascii="Times New Roman" w:hAnsi="Times New Roman" w:cs="Times New Roman"/>
        </w:rPr>
        <w:t xml:space="preserve"> (n = 25), AT/RT</w:t>
      </w:r>
      <w:r w:rsidRPr="00353E76">
        <w:rPr>
          <w:rFonts w:ascii="Times New Roman" w:hAnsi="Times New Roman" w:cs="Times New Roman"/>
          <w:vertAlign w:val="subscript"/>
        </w:rPr>
        <w:t>SHH</w:t>
      </w:r>
      <w:r w:rsidRPr="00353E76">
        <w:rPr>
          <w:rFonts w:ascii="Times New Roman" w:hAnsi="Times New Roman" w:cs="Times New Roman"/>
        </w:rPr>
        <w:t xml:space="preserve"> (n = 20), AT/RT</w:t>
      </w:r>
      <w:r w:rsidRPr="00353E76">
        <w:rPr>
          <w:rFonts w:ascii="Times New Roman" w:hAnsi="Times New Roman" w:cs="Times New Roman"/>
          <w:vertAlign w:val="subscript"/>
        </w:rPr>
        <w:t>MYC</w:t>
      </w:r>
      <w:r w:rsidRPr="00353E76">
        <w:rPr>
          <w:rFonts w:ascii="Times New Roman" w:hAnsi="Times New Roman" w:cs="Times New Roman"/>
        </w:rPr>
        <w:t xml:space="preserve"> (n = 17) and ETMRs; the ETMR cell line BT183 is indicated in </w:t>
      </w:r>
      <w:r w:rsidRPr="00353E76">
        <w:rPr>
          <w:rFonts w:ascii="Times New Roman" w:hAnsi="Times New Roman" w:cs="Times New Roman"/>
          <w:i/>
        </w:rPr>
        <w:t>red</w:t>
      </w:r>
      <w:r w:rsidRPr="00353E76">
        <w:rPr>
          <w:rFonts w:ascii="Times New Roman" w:hAnsi="Times New Roman" w:cs="Times New Roman"/>
        </w:rPr>
        <w:t xml:space="preserve"> within the ETMR group; for ‘Normal Brain’ a dataset of adult brain tissue was used with overall 169 samples composing of neural tissue of various brain regions.</w:t>
      </w:r>
    </w:p>
    <w:p w:rsidR="00B66872" w:rsidRPr="00353E76" w:rsidRDefault="00B66872" w:rsidP="00A96735">
      <w:pPr>
        <w:pStyle w:val="NoSpacing"/>
        <w:spacing w:line="360" w:lineRule="auto"/>
        <w:jc w:val="both"/>
        <w:rPr>
          <w:rFonts w:ascii="Times New Roman" w:hAnsi="Times New Roman" w:cs="Times New Roman"/>
        </w:rPr>
      </w:pPr>
    </w:p>
    <w:p w:rsidR="00B66872" w:rsidRPr="00353E76" w:rsidRDefault="00B66872" w:rsidP="00B66872">
      <w:pPr>
        <w:pStyle w:val="NoSpacing"/>
        <w:tabs>
          <w:tab w:val="left" w:pos="7680"/>
        </w:tabs>
        <w:spacing w:line="360" w:lineRule="auto"/>
        <w:jc w:val="both"/>
        <w:rPr>
          <w:rFonts w:ascii="Times New Roman" w:hAnsi="Times New Roman" w:cs="Times New Roman"/>
        </w:rPr>
      </w:pPr>
      <w:r w:rsidRPr="00353E76">
        <w:rPr>
          <w:rFonts w:ascii="Times New Roman" w:hAnsi="Times New Roman" w:cs="Times New Roman"/>
          <w:b/>
        </w:rPr>
        <w:t xml:space="preserve">Supplementary Fig. S3. </w:t>
      </w:r>
      <w:r w:rsidRPr="00353E76">
        <w:rPr>
          <w:rFonts w:ascii="Times New Roman" w:hAnsi="Times New Roman" w:cs="Times New Roman"/>
        </w:rPr>
        <w:t>IC</w:t>
      </w:r>
      <w:r w:rsidRPr="00353E76">
        <w:rPr>
          <w:rFonts w:ascii="Times New Roman" w:hAnsi="Times New Roman" w:cs="Times New Roman"/>
          <w:vertAlign w:val="subscript"/>
        </w:rPr>
        <w:t>50</w:t>
      </w:r>
      <w:r w:rsidRPr="00353E76">
        <w:rPr>
          <w:rFonts w:ascii="Times New Roman" w:hAnsi="Times New Roman" w:cs="Times New Roman"/>
        </w:rPr>
        <w:t xml:space="preserve"> curves of all 35 drugs in the screen sorted by their target mechanism or pathway, presenting topoisomerase inhibitors (</w:t>
      </w:r>
      <w:r w:rsidRPr="00353E76">
        <w:rPr>
          <w:rFonts w:ascii="Times New Roman" w:hAnsi="Times New Roman" w:cs="Times New Roman"/>
          <w:b/>
        </w:rPr>
        <w:t>A</w:t>
      </w:r>
      <w:r w:rsidRPr="00353E76">
        <w:rPr>
          <w:rFonts w:ascii="Times New Roman" w:hAnsi="Times New Roman" w:cs="Times New Roman"/>
        </w:rPr>
        <w:t>), pathway specific compounds (</w:t>
      </w:r>
      <w:r w:rsidRPr="00353E76">
        <w:rPr>
          <w:rFonts w:ascii="Times New Roman" w:hAnsi="Times New Roman" w:cs="Times New Roman"/>
          <w:b/>
        </w:rPr>
        <w:t>B</w:t>
      </w:r>
      <w:r w:rsidRPr="00353E76">
        <w:rPr>
          <w:rFonts w:ascii="Times New Roman" w:hAnsi="Times New Roman" w:cs="Times New Roman"/>
        </w:rPr>
        <w:t>), epigenetic compounds (</w:t>
      </w:r>
      <w:r w:rsidRPr="00353E76">
        <w:rPr>
          <w:rFonts w:ascii="Times New Roman" w:hAnsi="Times New Roman" w:cs="Times New Roman"/>
          <w:b/>
        </w:rPr>
        <w:t>C</w:t>
      </w:r>
      <w:r w:rsidRPr="00353E76">
        <w:rPr>
          <w:rFonts w:ascii="Times New Roman" w:hAnsi="Times New Roman" w:cs="Times New Roman"/>
        </w:rPr>
        <w:t>), cell cycle and proteasome inhibitors (</w:t>
      </w:r>
      <w:r w:rsidRPr="00353E76">
        <w:rPr>
          <w:rFonts w:ascii="Times New Roman" w:hAnsi="Times New Roman" w:cs="Times New Roman"/>
          <w:b/>
        </w:rPr>
        <w:t>D</w:t>
      </w:r>
      <w:r w:rsidRPr="00353E76">
        <w:rPr>
          <w:rFonts w:ascii="Times New Roman" w:hAnsi="Times New Roman" w:cs="Times New Roman"/>
        </w:rPr>
        <w:t>) and DNA synthesis and replication inhibitors (</w:t>
      </w:r>
      <w:r w:rsidRPr="00353E76">
        <w:rPr>
          <w:rFonts w:ascii="Times New Roman" w:hAnsi="Times New Roman" w:cs="Times New Roman"/>
          <w:b/>
        </w:rPr>
        <w:t>E</w:t>
      </w:r>
      <w:r w:rsidRPr="00353E76">
        <w:rPr>
          <w:rFonts w:ascii="Times New Roman" w:hAnsi="Times New Roman" w:cs="Times New Roman"/>
        </w:rPr>
        <w:t>). Compounds and their respective IC</w:t>
      </w:r>
      <w:r w:rsidRPr="00353E76">
        <w:rPr>
          <w:rFonts w:ascii="Times New Roman" w:hAnsi="Times New Roman" w:cs="Times New Roman"/>
          <w:vertAlign w:val="subscript"/>
        </w:rPr>
        <w:t>50</w:t>
      </w:r>
      <w:r w:rsidRPr="00353E76">
        <w:rPr>
          <w:rFonts w:ascii="Times New Roman" w:hAnsi="Times New Roman" w:cs="Times New Roman"/>
        </w:rPr>
        <w:t xml:space="preserve"> values are listed on the right of each graph. IC</w:t>
      </w:r>
      <w:r w:rsidRPr="00353E76">
        <w:rPr>
          <w:rFonts w:ascii="Times New Roman" w:hAnsi="Times New Roman" w:cs="Times New Roman"/>
          <w:vertAlign w:val="subscript"/>
        </w:rPr>
        <w:t>50</w:t>
      </w:r>
      <w:r w:rsidRPr="00353E76">
        <w:rPr>
          <w:rFonts w:ascii="Times New Roman" w:hAnsi="Times New Roman" w:cs="Times New Roman"/>
        </w:rPr>
        <w:t xml:space="preserve"> values were calculated with </w:t>
      </w:r>
      <w:proofErr w:type="spellStart"/>
      <w:r w:rsidRPr="00353E76">
        <w:rPr>
          <w:rFonts w:ascii="Times New Roman" w:hAnsi="Times New Roman" w:cs="Times New Roman"/>
        </w:rPr>
        <w:t>Graphpad</w:t>
      </w:r>
      <w:proofErr w:type="spellEnd"/>
      <w:r w:rsidRPr="00353E76">
        <w:rPr>
          <w:rFonts w:ascii="Times New Roman" w:hAnsi="Times New Roman" w:cs="Times New Roman"/>
        </w:rPr>
        <w:t xml:space="preserve"> Prism Software; n/a indicates that the IC</w:t>
      </w:r>
      <w:r w:rsidRPr="00353E76">
        <w:rPr>
          <w:rFonts w:ascii="Times New Roman" w:hAnsi="Times New Roman" w:cs="Times New Roman"/>
          <w:vertAlign w:val="subscript"/>
        </w:rPr>
        <w:t>50</w:t>
      </w:r>
      <w:r w:rsidRPr="00353E76">
        <w:rPr>
          <w:rFonts w:ascii="Times New Roman" w:hAnsi="Times New Roman" w:cs="Times New Roman"/>
        </w:rPr>
        <w:t xml:space="preserve"> could not be determined; error bars represent the mean ±SD. </w:t>
      </w:r>
    </w:p>
    <w:p w:rsidR="00B66872" w:rsidRDefault="00B66872" w:rsidP="00B66872">
      <w:pPr>
        <w:pStyle w:val="NoSpacing"/>
        <w:tabs>
          <w:tab w:val="left" w:pos="7680"/>
        </w:tabs>
        <w:spacing w:line="360" w:lineRule="auto"/>
        <w:jc w:val="both"/>
        <w:rPr>
          <w:rFonts w:ascii="Times New Roman" w:hAnsi="Times New Roman" w:cs="Times New Roman"/>
        </w:rPr>
      </w:pPr>
    </w:p>
    <w:p w:rsidR="007D7753" w:rsidRDefault="007D7753" w:rsidP="00B66872">
      <w:pPr>
        <w:pStyle w:val="NoSpacing"/>
        <w:tabs>
          <w:tab w:val="left" w:pos="7680"/>
        </w:tabs>
        <w:spacing w:line="360" w:lineRule="auto"/>
        <w:jc w:val="both"/>
        <w:rPr>
          <w:rFonts w:ascii="Times New Roman" w:hAnsi="Times New Roman" w:cs="Times New Roman"/>
        </w:rPr>
      </w:pPr>
    </w:p>
    <w:p w:rsidR="007D7753" w:rsidRDefault="007D7753" w:rsidP="00B66872">
      <w:pPr>
        <w:pStyle w:val="NoSpacing"/>
        <w:tabs>
          <w:tab w:val="left" w:pos="7680"/>
        </w:tabs>
        <w:spacing w:line="360" w:lineRule="auto"/>
        <w:jc w:val="both"/>
        <w:rPr>
          <w:rFonts w:ascii="Times New Roman" w:hAnsi="Times New Roman" w:cs="Times New Roman"/>
        </w:rPr>
      </w:pPr>
    </w:p>
    <w:p w:rsidR="007D7753" w:rsidRPr="00353E76" w:rsidRDefault="007D7753" w:rsidP="00B66872">
      <w:pPr>
        <w:pStyle w:val="NoSpacing"/>
        <w:tabs>
          <w:tab w:val="left" w:pos="7680"/>
        </w:tabs>
        <w:spacing w:line="360" w:lineRule="auto"/>
        <w:jc w:val="both"/>
        <w:rPr>
          <w:rFonts w:ascii="Times New Roman" w:hAnsi="Times New Roman" w:cs="Times New Roman"/>
        </w:rPr>
      </w:pPr>
      <w:bookmarkStart w:id="1" w:name="_GoBack"/>
      <w:bookmarkEnd w:id="1"/>
    </w:p>
    <w:p w:rsidR="00B66872" w:rsidRPr="00353E76" w:rsidRDefault="00B66872" w:rsidP="00B66872">
      <w:pPr>
        <w:pStyle w:val="NoSpacing"/>
        <w:tabs>
          <w:tab w:val="left" w:pos="7680"/>
        </w:tabs>
        <w:spacing w:line="360" w:lineRule="auto"/>
        <w:jc w:val="both"/>
        <w:rPr>
          <w:rFonts w:ascii="Times New Roman" w:hAnsi="Times New Roman" w:cs="Times New Roman"/>
        </w:rPr>
      </w:pPr>
      <w:r w:rsidRPr="00353E76">
        <w:rPr>
          <w:rFonts w:ascii="Times New Roman" w:hAnsi="Times New Roman" w:cs="Times New Roman"/>
          <w:b/>
        </w:rPr>
        <w:lastRenderedPageBreak/>
        <w:t>Supplementary Fig. S4. Apoptosis and cell cycle arrest are induced in BT183 cells by treatment with the top drug candidates. A-F</w:t>
      </w:r>
      <w:r w:rsidRPr="00353E76">
        <w:rPr>
          <w:rFonts w:ascii="Times New Roman" w:hAnsi="Times New Roman" w:cs="Times New Roman"/>
        </w:rPr>
        <w:t xml:space="preserve"> 7AAD/</w:t>
      </w:r>
      <w:proofErr w:type="spellStart"/>
      <w:r w:rsidRPr="00353E76">
        <w:rPr>
          <w:rFonts w:ascii="Times New Roman" w:hAnsi="Times New Roman" w:cs="Times New Roman"/>
        </w:rPr>
        <w:t>Annexin</w:t>
      </w:r>
      <w:proofErr w:type="spellEnd"/>
      <w:r w:rsidRPr="00353E76">
        <w:rPr>
          <w:rFonts w:ascii="Times New Roman" w:hAnsi="Times New Roman" w:cs="Times New Roman"/>
        </w:rPr>
        <w:t xml:space="preserve"> flow cytometry assay of BT183 cells treated with the different inhibitors in four increasing concentrations respectively. </w:t>
      </w:r>
      <w:r w:rsidRPr="00353E76">
        <w:rPr>
          <w:rFonts w:ascii="Times New Roman" w:hAnsi="Times New Roman" w:cs="Times New Roman"/>
          <w:b/>
        </w:rPr>
        <w:t>G-L</w:t>
      </w:r>
      <w:r w:rsidRPr="00353E76">
        <w:rPr>
          <w:rFonts w:ascii="Times New Roman" w:hAnsi="Times New Roman" w:cs="Times New Roman"/>
        </w:rPr>
        <w:t xml:space="preserve"> Western blot of BT183 cells treated with the different inhibitors in four increasing concentrations for either 48 hours (for </w:t>
      </w:r>
      <w:proofErr w:type="spellStart"/>
      <w:r w:rsidRPr="00353E76">
        <w:rPr>
          <w:rFonts w:ascii="Times New Roman" w:hAnsi="Times New Roman" w:cs="Times New Roman"/>
        </w:rPr>
        <w:t>topotecan</w:t>
      </w:r>
      <w:proofErr w:type="spellEnd"/>
      <w:r w:rsidRPr="00353E76">
        <w:rPr>
          <w:rFonts w:ascii="Times New Roman" w:hAnsi="Times New Roman" w:cs="Times New Roman"/>
        </w:rPr>
        <w:t xml:space="preserve">, doxorubicin, </w:t>
      </w:r>
      <w:proofErr w:type="spellStart"/>
      <w:r w:rsidRPr="00353E76">
        <w:rPr>
          <w:rFonts w:ascii="Times New Roman" w:hAnsi="Times New Roman" w:cs="Times New Roman"/>
        </w:rPr>
        <w:t>panobinostat</w:t>
      </w:r>
      <w:proofErr w:type="spellEnd"/>
      <w:r w:rsidRPr="00353E76">
        <w:rPr>
          <w:rFonts w:ascii="Times New Roman" w:hAnsi="Times New Roman" w:cs="Times New Roman"/>
        </w:rPr>
        <w:t xml:space="preserve"> and </w:t>
      </w:r>
      <w:proofErr w:type="spellStart"/>
      <w:r w:rsidRPr="00353E76">
        <w:rPr>
          <w:rFonts w:ascii="Times New Roman" w:hAnsi="Times New Roman" w:cs="Times New Roman"/>
        </w:rPr>
        <w:t>decitabine</w:t>
      </w:r>
      <w:proofErr w:type="spellEnd"/>
      <w:r w:rsidRPr="00353E76">
        <w:rPr>
          <w:rFonts w:ascii="Times New Roman" w:hAnsi="Times New Roman" w:cs="Times New Roman"/>
        </w:rPr>
        <w:t xml:space="preserve">) or for 72 hours (for </w:t>
      </w:r>
      <w:proofErr w:type="spellStart"/>
      <w:r w:rsidRPr="00353E76">
        <w:rPr>
          <w:rFonts w:ascii="Times New Roman" w:hAnsi="Times New Roman" w:cs="Times New Roman"/>
        </w:rPr>
        <w:t>volasertib</w:t>
      </w:r>
      <w:proofErr w:type="spellEnd"/>
      <w:r w:rsidRPr="00353E76">
        <w:rPr>
          <w:rFonts w:ascii="Times New Roman" w:hAnsi="Times New Roman" w:cs="Times New Roman"/>
        </w:rPr>
        <w:t xml:space="preserve">, alisertib and MLN0128). Protein levels for PARP, BAX and for GAPDH as loading control are shown. </w:t>
      </w:r>
      <w:r w:rsidRPr="00353E76">
        <w:rPr>
          <w:rFonts w:ascii="Times New Roman" w:hAnsi="Times New Roman" w:cs="Times New Roman"/>
          <w:b/>
        </w:rPr>
        <w:t>M,N</w:t>
      </w:r>
      <w:r w:rsidRPr="00353E76">
        <w:rPr>
          <w:rFonts w:ascii="Times New Roman" w:hAnsi="Times New Roman" w:cs="Times New Roman"/>
        </w:rPr>
        <w:t xml:space="preserve"> Cell cycle analysis with flow cytometry for BT183 cells treated with alisertib and </w:t>
      </w:r>
      <w:proofErr w:type="spellStart"/>
      <w:r w:rsidRPr="00353E76">
        <w:rPr>
          <w:rFonts w:ascii="Times New Roman" w:hAnsi="Times New Roman" w:cs="Times New Roman"/>
        </w:rPr>
        <w:t>volasertib</w:t>
      </w:r>
      <w:proofErr w:type="spellEnd"/>
      <w:r w:rsidRPr="00353E76">
        <w:rPr>
          <w:rFonts w:ascii="Times New Roman" w:hAnsi="Times New Roman" w:cs="Times New Roman"/>
        </w:rPr>
        <w:t xml:space="preserve"> for 72 hours. Experiments were performed in triplicate, error bars represent the mean ±SD and p values were calculated using an unpaired, one-tailed t test; p values are shown as follows: * signifies p &lt; 0.05, ** signifies p &lt; 0.01, *** signifies p &lt; 0.001 and **** signifies p &lt; 0.0001.</w:t>
      </w:r>
    </w:p>
    <w:p w:rsidR="00B66872" w:rsidRPr="00353E76" w:rsidRDefault="00B66872" w:rsidP="00B66872">
      <w:pPr>
        <w:pStyle w:val="NoSpacing"/>
        <w:tabs>
          <w:tab w:val="left" w:pos="7680"/>
        </w:tabs>
        <w:spacing w:line="360" w:lineRule="auto"/>
        <w:jc w:val="both"/>
        <w:rPr>
          <w:rFonts w:ascii="Times New Roman" w:hAnsi="Times New Roman" w:cs="Times New Roman"/>
        </w:rPr>
      </w:pPr>
    </w:p>
    <w:p w:rsidR="00B66872" w:rsidRPr="00353E76" w:rsidRDefault="00B66872" w:rsidP="00B66872">
      <w:pPr>
        <w:pStyle w:val="NoSpacing"/>
        <w:spacing w:line="360" w:lineRule="auto"/>
        <w:jc w:val="both"/>
        <w:rPr>
          <w:rFonts w:ascii="Times New Roman" w:hAnsi="Times New Roman" w:cs="Times New Roman"/>
          <w:b/>
        </w:rPr>
      </w:pPr>
      <w:r w:rsidRPr="00353E76">
        <w:rPr>
          <w:rFonts w:ascii="Times New Roman" w:hAnsi="Times New Roman" w:cs="Times New Roman"/>
          <w:b/>
        </w:rPr>
        <w:t xml:space="preserve">Supplementary Fig. S5. Validation of mode of action of </w:t>
      </w:r>
      <w:proofErr w:type="spellStart"/>
      <w:r w:rsidRPr="00353E76">
        <w:rPr>
          <w:rFonts w:ascii="Times New Roman" w:hAnsi="Times New Roman" w:cs="Times New Roman"/>
          <w:b/>
        </w:rPr>
        <w:t>topotecan</w:t>
      </w:r>
      <w:proofErr w:type="spellEnd"/>
      <w:r w:rsidRPr="00353E76">
        <w:rPr>
          <w:rFonts w:ascii="Times New Roman" w:hAnsi="Times New Roman" w:cs="Times New Roman"/>
          <w:b/>
        </w:rPr>
        <w:t xml:space="preserve">, doxorubicin, alisertib, </w:t>
      </w:r>
      <w:proofErr w:type="spellStart"/>
      <w:r w:rsidRPr="00353E76">
        <w:rPr>
          <w:rFonts w:ascii="Times New Roman" w:hAnsi="Times New Roman" w:cs="Times New Roman"/>
          <w:b/>
        </w:rPr>
        <w:t>volasertib</w:t>
      </w:r>
      <w:proofErr w:type="spellEnd"/>
      <w:r w:rsidRPr="00353E76">
        <w:rPr>
          <w:rFonts w:ascii="Times New Roman" w:hAnsi="Times New Roman" w:cs="Times New Roman"/>
          <w:b/>
        </w:rPr>
        <w:t xml:space="preserve"> and MLN0128 treatment in BT183 cells.</w:t>
      </w:r>
      <w:r w:rsidRPr="00353E76">
        <w:rPr>
          <w:rFonts w:ascii="Times New Roman" w:hAnsi="Times New Roman" w:cs="Times New Roman"/>
          <w:color w:val="808080"/>
        </w:rPr>
        <w:t xml:space="preserve"> </w:t>
      </w:r>
      <w:r w:rsidRPr="00353E76">
        <w:rPr>
          <w:rFonts w:ascii="Times New Roman" w:hAnsi="Times New Roman" w:cs="Times New Roman"/>
          <w:b/>
        </w:rPr>
        <w:t>A,B</w:t>
      </w:r>
      <w:r w:rsidRPr="00353E76">
        <w:rPr>
          <w:rFonts w:ascii="Times New Roman" w:hAnsi="Times New Roman" w:cs="Times New Roman"/>
        </w:rPr>
        <w:t xml:space="preserve"> Western blot analysis of TOP1, H2A.X and p-H2A.X in </w:t>
      </w:r>
      <w:proofErr w:type="spellStart"/>
      <w:r w:rsidRPr="00353E76">
        <w:rPr>
          <w:rFonts w:ascii="Times New Roman" w:hAnsi="Times New Roman" w:cs="Times New Roman"/>
        </w:rPr>
        <w:t>topotecan</w:t>
      </w:r>
      <w:proofErr w:type="spellEnd"/>
      <w:r w:rsidRPr="00353E76">
        <w:rPr>
          <w:rFonts w:ascii="Times New Roman" w:hAnsi="Times New Roman" w:cs="Times New Roman"/>
        </w:rPr>
        <w:t xml:space="preserve"> treated BT183 cells and quantification of protein levels. </w:t>
      </w:r>
      <w:r w:rsidRPr="00353E76">
        <w:rPr>
          <w:rFonts w:ascii="Times New Roman" w:hAnsi="Times New Roman" w:cs="Times New Roman"/>
          <w:b/>
        </w:rPr>
        <w:t>C,D</w:t>
      </w:r>
      <w:r w:rsidRPr="00353E76">
        <w:rPr>
          <w:rFonts w:ascii="Times New Roman" w:hAnsi="Times New Roman" w:cs="Times New Roman"/>
        </w:rPr>
        <w:t xml:space="preserve"> Western blot analysis of TOP1, H2A.X and p-H2A.X in doxorubicin treated BT183 cells and quantification of protein levels. </w:t>
      </w:r>
      <w:r w:rsidRPr="00353E76">
        <w:rPr>
          <w:rFonts w:ascii="Times New Roman" w:hAnsi="Times New Roman" w:cs="Times New Roman"/>
          <w:b/>
        </w:rPr>
        <w:t>E-H</w:t>
      </w:r>
      <w:r w:rsidRPr="00353E76">
        <w:rPr>
          <w:rFonts w:ascii="Times New Roman" w:hAnsi="Times New Roman" w:cs="Times New Roman"/>
        </w:rPr>
        <w:t xml:space="preserve"> Western blot analysis of PLK1-3 in </w:t>
      </w:r>
      <w:proofErr w:type="spellStart"/>
      <w:r w:rsidRPr="00353E76">
        <w:rPr>
          <w:rFonts w:ascii="Times New Roman" w:hAnsi="Times New Roman" w:cs="Times New Roman"/>
        </w:rPr>
        <w:t>volasertib</w:t>
      </w:r>
      <w:proofErr w:type="spellEnd"/>
      <w:r w:rsidRPr="00353E76">
        <w:rPr>
          <w:rFonts w:ascii="Times New Roman" w:hAnsi="Times New Roman" w:cs="Times New Roman"/>
        </w:rPr>
        <w:t xml:space="preserve"> treated BT183 cells and quantification of protein levels. </w:t>
      </w:r>
      <w:r w:rsidRPr="00353E76">
        <w:rPr>
          <w:rFonts w:ascii="Times New Roman" w:hAnsi="Times New Roman" w:cs="Times New Roman"/>
          <w:b/>
        </w:rPr>
        <w:t>I-L</w:t>
      </w:r>
      <w:r w:rsidRPr="00353E76">
        <w:rPr>
          <w:rFonts w:ascii="Times New Roman" w:hAnsi="Times New Roman" w:cs="Times New Roman"/>
        </w:rPr>
        <w:t xml:space="preserve"> Western blot analysis of AURKA, p-AURKA and MYCN in alisertib treated BT183 cells and quantification of protein levels. </w:t>
      </w:r>
      <w:r w:rsidRPr="00353E76">
        <w:rPr>
          <w:rFonts w:ascii="Times New Roman" w:hAnsi="Times New Roman" w:cs="Times New Roman"/>
          <w:b/>
        </w:rPr>
        <w:t>M-O</w:t>
      </w:r>
      <w:r w:rsidRPr="00353E76">
        <w:rPr>
          <w:rFonts w:ascii="Times New Roman" w:hAnsi="Times New Roman" w:cs="Times New Roman"/>
        </w:rPr>
        <w:t xml:space="preserve"> Western blot analysis of 4E-BP1 and p-4E-BP1 in MLN0128 treated BT183 cells and quantification of protein levels.</w:t>
      </w:r>
    </w:p>
    <w:p w:rsidR="00B66872" w:rsidRPr="00353E76" w:rsidRDefault="00B66872" w:rsidP="00A96735">
      <w:pPr>
        <w:pStyle w:val="NoSpacing"/>
        <w:spacing w:line="360" w:lineRule="auto"/>
        <w:jc w:val="both"/>
        <w:rPr>
          <w:rFonts w:ascii="Times New Roman" w:hAnsi="Times New Roman" w:cs="Times New Roman"/>
        </w:rPr>
      </w:pPr>
    </w:p>
    <w:p w:rsidR="00B66872" w:rsidRPr="00353E76" w:rsidRDefault="00B66872" w:rsidP="00B66872">
      <w:pPr>
        <w:pStyle w:val="NoSpacing"/>
        <w:spacing w:line="360" w:lineRule="auto"/>
        <w:jc w:val="both"/>
        <w:rPr>
          <w:rFonts w:ascii="Times New Roman" w:hAnsi="Times New Roman" w:cs="Times New Roman"/>
        </w:rPr>
      </w:pPr>
      <w:r w:rsidRPr="00353E76">
        <w:rPr>
          <w:rFonts w:ascii="Times New Roman" w:hAnsi="Times New Roman" w:cs="Times New Roman"/>
          <w:b/>
        </w:rPr>
        <w:t xml:space="preserve">Supplementary Fig. S6. </w:t>
      </w:r>
      <w:r w:rsidRPr="00353E76">
        <w:rPr>
          <w:rFonts w:ascii="Times New Roman" w:hAnsi="Times New Roman" w:cs="Times New Roman"/>
        </w:rPr>
        <w:t>IC</w:t>
      </w:r>
      <w:r w:rsidRPr="00353E76">
        <w:rPr>
          <w:rFonts w:ascii="Times New Roman" w:hAnsi="Times New Roman" w:cs="Times New Roman"/>
          <w:vertAlign w:val="subscript"/>
        </w:rPr>
        <w:t>50</w:t>
      </w:r>
      <w:r w:rsidRPr="00353E76">
        <w:rPr>
          <w:rFonts w:ascii="Times New Roman" w:hAnsi="Times New Roman" w:cs="Times New Roman"/>
        </w:rPr>
        <w:t xml:space="preserve"> curves for </w:t>
      </w:r>
      <w:proofErr w:type="spellStart"/>
      <w:r w:rsidRPr="00353E76">
        <w:rPr>
          <w:rFonts w:ascii="Times New Roman" w:hAnsi="Times New Roman" w:cs="Times New Roman"/>
        </w:rPr>
        <w:t>topotecan</w:t>
      </w:r>
      <w:proofErr w:type="spellEnd"/>
      <w:r w:rsidRPr="00353E76">
        <w:rPr>
          <w:rFonts w:ascii="Times New Roman" w:hAnsi="Times New Roman" w:cs="Times New Roman"/>
        </w:rPr>
        <w:t xml:space="preserve">, doxorubicin, </w:t>
      </w:r>
      <w:proofErr w:type="spellStart"/>
      <w:r w:rsidRPr="00353E76">
        <w:rPr>
          <w:rFonts w:ascii="Times New Roman" w:hAnsi="Times New Roman" w:cs="Times New Roman"/>
        </w:rPr>
        <w:t>volasertib</w:t>
      </w:r>
      <w:proofErr w:type="spellEnd"/>
      <w:r w:rsidRPr="00353E76">
        <w:rPr>
          <w:rFonts w:ascii="Times New Roman" w:hAnsi="Times New Roman" w:cs="Times New Roman"/>
        </w:rPr>
        <w:t xml:space="preserve">, MLN0128, alisertib and </w:t>
      </w:r>
      <w:proofErr w:type="spellStart"/>
      <w:r w:rsidRPr="00353E76">
        <w:rPr>
          <w:rFonts w:ascii="Times New Roman" w:hAnsi="Times New Roman" w:cs="Times New Roman"/>
        </w:rPr>
        <w:t>decitabine</w:t>
      </w:r>
      <w:proofErr w:type="spellEnd"/>
      <w:r w:rsidRPr="00353E76">
        <w:rPr>
          <w:rFonts w:ascii="Times New Roman" w:hAnsi="Times New Roman" w:cs="Times New Roman"/>
        </w:rPr>
        <w:t xml:space="preserve"> (</w:t>
      </w:r>
      <w:r w:rsidRPr="00353E76">
        <w:rPr>
          <w:rFonts w:ascii="Times New Roman" w:hAnsi="Times New Roman" w:cs="Times New Roman"/>
          <w:b/>
        </w:rPr>
        <w:t>A</w:t>
      </w:r>
      <w:r w:rsidRPr="00353E76">
        <w:rPr>
          <w:rFonts w:ascii="Times New Roman" w:hAnsi="Times New Roman" w:cs="Times New Roman"/>
        </w:rPr>
        <w:t xml:space="preserve">) and for </w:t>
      </w:r>
      <w:proofErr w:type="spellStart"/>
      <w:r w:rsidRPr="00353E76">
        <w:rPr>
          <w:rFonts w:ascii="Times New Roman" w:hAnsi="Times New Roman" w:cs="Times New Roman"/>
        </w:rPr>
        <w:t>panobinostat</w:t>
      </w:r>
      <w:proofErr w:type="spellEnd"/>
      <w:r w:rsidRPr="00353E76">
        <w:rPr>
          <w:rFonts w:ascii="Times New Roman" w:hAnsi="Times New Roman" w:cs="Times New Roman"/>
        </w:rPr>
        <w:t>, carboplatin, irinotecan, vincristine, methotrexate and etoposide (</w:t>
      </w:r>
      <w:r w:rsidRPr="00353E76">
        <w:rPr>
          <w:rFonts w:ascii="Times New Roman" w:hAnsi="Times New Roman" w:cs="Times New Roman"/>
          <w:b/>
        </w:rPr>
        <w:t>B</w:t>
      </w:r>
      <w:r w:rsidRPr="00353E76">
        <w:rPr>
          <w:rFonts w:ascii="Times New Roman" w:hAnsi="Times New Roman" w:cs="Times New Roman"/>
        </w:rPr>
        <w:t>) in NCH360 cells (2 NCH3602 PDX animals, animal #231 and #233). Inhibitors and their respective IC</w:t>
      </w:r>
      <w:r w:rsidRPr="00353E76">
        <w:rPr>
          <w:rFonts w:ascii="Times New Roman" w:hAnsi="Times New Roman" w:cs="Times New Roman"/>
          <w:vertAlign w:val="subscript"/>
        </w:rPr>
        <w:t>50</w:t>
      </w:r>
      <w:r w:rsidRPr="00353E76">
        <w:rPr>
          <w:rFonts w:ascii="Times New Roman" w:hAnsi="Times New Roman" w:cs="Times New Roman"/>
        </w:rPr>
        <w:t xml:space="preserve"> values are listed on the right. IC</w:t>
      </w:r>
      <w:r w:rsidRPr="00353E76">
        <w:rPr>
          <w:rFonts w:ascii="Times New Roman" w:hAnsi="Times New Roman" w:cs="Times New Roman"/>
          <w:vertAlign w:val="subscript"/>
        </w:rPr>
        <w:t>50</w:t>
      </w:r>
      <w:r w:rsidRPr="00353E76">
        <w:rPr>
          <w:rFonts w:ascii="Times New Roman" w:hAnsi="Times New Roman" w:cs="Times New Roman"/>
        </w:rPr>
        <w:t xml:space="preserve"> values were calculated with </w:t>
      </w:r>
      <w:proofErr w:type="spellStart"/>
      <w:r w:rsidRPr="00353E76">
        <w:rPr>
          <w:rFonts w:ascii="Times New Roman" w:hAnsi="Times New Roman" w:cs="Times New Roman"/>
        </w:rPr>
        <w:t>Graphpad</w:t>
      </w:r>
      <w:proofErr w:type="spellEnd"/>
      <w:r w:rsidRPr="00353E76">
        <w:rPr>
          <w:rFonts w:ascii="Times New Roman" w:hAnsi="Times New Roman" w:cs="Times New Roman"/>
        </w:rPr>
        <w:t xml:space="preserve"> Prism Software; n/a indicates that the IC</w:t>
      </w:r>
      <w:r w:rsidRPr="00353E76">
        <w:rPr>
          <w:rFonts w:ascii="Times New Roman" w:hAnsi="Times New Roman" w:cs="Times New Roman"/>
          <w:vertAlign w:val="subscript"/>
        </w:rPr>
        <w:t>50</w:t>
      </w:r>
      <w:r w:rsidRPr="00353E76">
        <w:rPr>
          <w:rFonts w:ascii="Times New Roman" w:hAnsi="Times New Roman" w:cs="Times New Roman"/>
        </w:rPr>
        <w:t xml:space="preserve"> could not be determined; error bars represent the mean ±SD.</w:t>
      </w:r>
    </w:p>
    <w:p w:rsidR="00B66872" w:rsidRPr="00353E76" w:rsidRDefault="00B66872" w:rsidP="00A96735">
      <w:pPr>
        <w:pStyle w:val="NoSpacing"/>
        <w:spacing w:line="360" w:lineRule="auto"/>
        <w:jc w:val="both"/>
        <w:rPr>
          <w:rFonts w:ascii="Times New Roman" w:hAnsi="Times New Roman" w:cs="Times New Roman"/>
        </w:rPr>
      </w:pPr>
    </w:p>
    <w:p w:rsidR="00B66872" w:rsidRPr="00353E76" w:rsidRDefault="00B66872" w:rsidP="00A96735">
      <w:pPr>
        <w:pStyle w:val="NoSpacing"/>
        <w:spacing w:line="360" w:lineRule="auto"/>
        <w:jc w:val="both"/>
        <w:rPr>
          <w:rFonts w:ascii="Times New Roman" w:hAnsi="Times New Roman" w:cs="Times New Roman"/>
        </w:rPr>
      </w:pPr>
    </w:p>
    <w:p w:rsidR="00B66872" w:rsidRPr="00353E76" w:rsidRDefault="00B66872" w:rsidP="00A96735">
      <w:pPr>
        <w:pStyle w:val="NoSpacing"/>
        <w:spacing w:line="360" w:lineRule="auto"/>
        <w:jc w:val="both"/>
        <w:rPr>
          <w:rFonts w:ascii="Times New Roman" w:hAnsi="Times New Roman" w:cs="Times New Roman"/>
        </w:rPr>
      </w:pPr>
    </w:p>
    <w:sectPr w:rsidR="00B66872" w:rsidRPr="00353E76" w:rsidSect="007D7753">
      <w:pgSz w:w="12240" w:h="15840"/>
      <w:pgMar w:top="1276" w:right="1041"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1E"/>
    <w:rsid w:val="0007231E"/>
    <w:rsid w:val="000E2C96"/>
    <w:rsid w:val="001D45A9"/>
    <w:rsid w:val="00353E76"/>
    <w:rsid w:val="004765A4"/>
    <w:rsid w:val="006352F2"/>
    <w:rsid w:val="006E5991"/>
    <w:rsid w:val="007D7753"/>
    <w:rsid w:val="00A96735"/>
    <w:rsid w:val="00B57DC1"/>
    <w:rsid w:val="00B66872"/>
    <w:rsid w:val="00C1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07231E"/>
  </w:style>
  <w:style w:type="paragraph" w:styleId="NoSpacing">
    <w:name w:val="No Spacing"/>
    <w:link w:val="NoSpacingChar"/>
    <w:uiPriority w:val="1"/>
    <w:qFormat/>
    <w:rsid w:val="0007231E"/>
    <w:pPr>
      <w:spacing w:after="0" w:line="240" w:lineRule="auto"/>
    </w:pPr>
  </w:style>
  <w:style w:type="paragraph" w:styleId="BalloonText">
    <w:name w:val="Balloon Text"/>
    <w:basedOn w:val="Normal"/>
    <w:link w:val="BalloonTextChar"/>
    <w:uiPriority w:val="99"/>
    <w:semiHidden/>
    <w:unhideWhenUsed/>
    <w:rsid w:val="00C16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07231E"/>
  </w:style>
  <w:style w:type="paragraph" w:styleId="NoSpacing">
    <w:name w:val="No Spacing"/>
    <w:link w:val="NoSpacingChar"/>
    <w:uiPriority w:val="1"/>
    <w:qFormat/>
    <w:rsid w:val="0007231E"/>
    <w:pPr>
      <w:spacing w:after="0" w:line="240" w:lineRule="auto"/>
    </w:pPr>
  </w:style>
  <w:style w:type="paragraph" w:styleId="BalloonText">
    <w:name w:val="Balloon Text"/>
    <w:basedOn w:val="Normal"/>
    <w:link w:val="BalloonTextChar"/>
    <w:uiPriority w:val="99"/>
    <w:semiHidden/>
    <w:unhideWhenUsed/>
    <w:rsid w:val="00C16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4112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Schmidt</dc:creator>
  <cp:keywords/>
  <dc:description/>
  <cp:lastModifiedBy>Schmidt, Christin</cp:lastModifiedBy>
  <cp:revision>4</cp:revision>
  <cp:lastPrinted>2016-11-30T15:21:00Z</cp:lastPrinted>
  <dcterms:created xsi:type="dcterms:W3CDTF">2017-03-31T15:08:00Z</dcterms:created>
  <dcterms:modified xsi:type="dcterms:W3CDTF">2017-04-03T14:40:00Z</dcterms:modified>
</cp:coreProperties>
</file>