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85" w:rsidRPr="00E64308" w:rsidRDefault="00400C85" w:rsidP="00E64308">
      <w:pPr>
        <w:spacing w:line="480" w:lineRule="auto"/>
        <w:rPr>
          <w:b/>
          <w:i/>
          <w:sz w:val="24"/>
          <w:szCs w:val="24"/>
        </w:rPr>
      </w:pPr>
      <w:r w:rsidRPr="00E64308">
        <w:rPr>
          <w:b/>
          <w:i/>
          <w:sz w:val="24"/>
          <w:szCs w:val="24"/>
        </w:rPr>
        <w:t>Supplementary Figure legends</w:t>
      </w:r>
    </w:p>
    <w:p w:rsidR="00400C85" w:rsidRPr="00E64308" w:rsidRDefault="00400C85" w:rsidP="00E64308">
      <w:pPr>
        <w:spacing w:line="480" w:lineRule="auto"/>
        <w:rPr>
          <w:b/>
          <w:i/>
          <w:sz w:val="24"/>
          <w:szCs w:val="24"/>
        </w:rPr>
      </w:pPr>
    </w:p>
    <w:p w:rsidR="00B936CB" w:rsidRPr="00E64308" w:rsidRDefault="00400C85" w:rsidP="00E64308">
      <w:pPr>
        <w:spacing w:line="480" w:lineRule="auto"/>
        <w:rPr>
          <w:sz w:val="24"/>
          <w:szCs w:val="24"/>
        </w:rPr>
      </w:pPr>
      <w:r w:rsidRPr="00E64308">
        <w:rPr>
          <w:b/>
          <w:sz w:val="24"/>
          <w:szCs w:val="24"/>
        </w:rPr>
        <w:t xml:space="preserve">Supplementary Figure 1. </w:t>
      </w:r>
      <w:r w:rsidRPr="00E64308">
        <w:rPr>
          <w:sz w:val="24"/>
          <w:szCs w:val="24"/>
        </w:rPr>
        <w:t xml:space="preserve">Immunohistochemical (IHC) analysis </w:t>
      </w:r>
      <w:r w:rsidR="00080B6C">
        <w:rPr>
          <w:sz w:val="24"/>
          <w:szCs w:val="24"/>
        </w:rPr>
        <w:t xml:space="preserve">was </w:t>
      </w:r>
      <w:r w:rsidRPr="00E64308">
        <w:rPr>
          <w:sz w:val="24"/>
          <w:szCs w:val="24"/>
        </w:rPr>
        <w:t xml:space="preserve">performed </w:t>
      </w:r>
      <w:r w:rsidR="00080B6C">
        <w:rPr>
          <w:sz w:val="24"/>
          <w:szCs w:val="24"/>
        </w:rPr>
        <w:t>on</w:t>
      </w:r>
      <w:r w:rsidRPr="00E64308">
        <w:rPr>
          <w:sz w:val="24"/>
          <w:szCs w:val="24"/>
        </w:rPr>
        <w:t xml:space="preserve"> tissue sections from paraffin-embedded 85 GBM spe</w:t>
      </w:r>
      <w:r w:rsidR="00080B6C">
        <w:rPr>
          <w:sz w:val="24"/>
          <w:szCs w:val="24"/>
        </w:rPr>
        <w:t>cimens with anti-FOXM1 antibody and</w:t>
      </w:r>
      <w:r w:rsidRPr="00E64308">
        <w:rPr>
          <w:sz w:val="24"/>
          <w:szCs w:val="24"/>
        </w:rPr>
        <w:t xml:space="preserve"> anti-MTDH antibody. The representative pictures of FOXM1 and MTDH’s distribution and abundance were shown. 5 Normal Brain (NB) were used as negative control. </w:t>
      </w:r>
      <w:r w:rsidR="00F9713E" w:rsidRPr="00E64308">
        <w:rPr>
          <w:sz w:val="24"/>
          <w:szCs w:val="24"/>
        </w:rPr>
        <w:t>Pictures were all taken by 200X magnification</w:t>
      </w:r>
      <w:r w:rsidRPr="00E64308">
        <w:rPr>
          <w:sz w:val="24"/>
          <w:szCs w:val="24"/>
        </w:rPr>
        <w:t>.</w:t>
      </w:r>
    </w:p>
    <w:p w:rsidR="00400C85" w:rsidRDefault="00400C85" w:rsidP="00E64308">
      <w:pPr>
        <w:spacing w:line="480" w:lineRule="auto"/>
        <w:rPr>
          <w:sz w:val="24"/>
          <w:szCs w:val="24"/>
        </w:rPr>
      </w:pPr>
      <w:r w:rsidRPr="00E64308">
        <w:rPr>
          <w:b/>
          <w:sz w:val="24"/>
          <w:szCs w:val="24"/>
        </w:rPr>
        <w:t>Supplementary Figure 2</w:t>
      </w:r>
      <w:r w:rsidRPr="00E64308">
        <w:rPr>
          <w:sz w:val="24"/>
          <w:szCs w:val="24"/>
        </w:rPr>
        <w:t xml:space="preserve">. The FOXM1 and MTDH protein expression in </w:t>
      </w:r>
      <w:r w:rsidR="009004E5" w:rsidRPr="00E64308">
        <w:rPr>
          <w:sz w:val="24"/>
          <w:szCs w:val="24"/>
        </w:rPr>
        <w:t xml:space="preserve">the same </w:t>
      </w:r>
      <w:r w:rsidRPr="00E64308">
        <w:rPr>
          <w:sz w:val="24"/>
          <w:szCs w:val="24"/>
        </w:rPr>
        <w:t xml:space="preserve">normal brain and four glioblastoma frozen tissues </w:t>
      </w:r>
      <w:r w:rsidR="009004E5" w:rsidRPr="00E64308">
        <w:rPr>
          <w:sz w:val="24"/>
          <w:szCs w:val="24"/>
        </w:rPr>
        <w:t xml:space="preserve">as Supplementary Figure 1 </w:t>
      </w:r>
      <w:r w:rsidRPr="00E64308">
        <w:rPr>
          <w:sz w:val="24"/>
          <w:szCs w:val="24"/>
        </w:rPr>
        <w:t xml:space="preserve">were detected by Western blotting. </w:t>
      </w:r>
    </w:p>
    <w:p w:rsidR="00D908CC" w:rsidRPr="00E64308" w:rsidRDefault="00D908CC" w:rsidP="00E64308">
      <w:pPr>
        <w:spacing w:line="480" w:lineRule="auto"/>
        <w:rPr>
          <w:sz w:val="24"/>
          <w:szCs w:val="24"/>
        </w:rPr>
      </w:pPr>
      <w:r w:rsidRPr="00E64308">
        <w:rPr>
          <w:b/>
          <w:sz w:val="24"/>
          <w:szCs w:val="24"/>
        </w:rPr>
        <w:t>Supplementary Figure 3</w:t>
      </w:r>
      <w:r>
        <w:rPr>
          <w:b/>
          <w:sz w:val="24"/>
          <w:szCs w:val="24"/>
        </w:rPr>
        <w:t xml:space="preserve">. </w:t>
      </w:r>
      <w:r w:rsidRPr="00E64308">
        <w:rPr>
          <w:sz w:val="24"/>
          <w:szCs w:val="24"/>
        </w:rPr>
        <w:t xml:space="preserve">The FOXM1 and MTDH protein expression in </w:t>
      </w:r>
      <w:r>
        <w:rPr>
          <w:sz w:val="24"/>
          <w:szCs w:val="24"/>
        </w:rPr>
        <w:t xml:space="preserve">several gliomas frozen samples </w:t>
      </w:r>
      <w:r w:rsidRPr="00E64308">
        <w:rPr>
          <w:sz w:val="24"/>
          <w:szCs w:val="24"/>
        </w:rPr>
        <w:t xml:space="preserve">were detected by </w:t>
      </w:r>
      <w:r>
        <w:rPr>
          <w:sz w:val="24"/>
          <w:szCs w:val="24"/>
        </w:rPr>
        <w:t xml:space="preserve">immuno-florescence double </w:t>
      </w:r>
      <w:r w:rsidR="00B94081">
        <w:rPr>
          <w:sz w:val="24"/>
          <w:szCs w:val="24"/>
        </w:rPr>
        <w:t>staining</w:t>
      </w:r>
      <w:r w:rsidRPr="00E64308">
        <w:rPr>
          <w:sz w:val="24"/>
          <w:szCs w:val="24"/>
        </w:rPr>
        <w:t>.</w:t>
      </w:r>
      <w:r>
        <w:rPr>
          <w:sz w:val="24"/>
          <w:szCs w:val="24"/>
        </w:rPr>
        <w:t xml:space="preserve"> Scale bars, 20</w:t>
      </w:r>
      <w:r>
        <w:rPr>
          <w:rFonts w:ascii="宋体" w:hAnsi="宋体" w:hint="eastAsia"/>
          <w:sz w:val="24"/>
          <w:szCs w:val="24"/>
        </w:rPr>
        <w:t>μ</w:t>
      </w:r>
      <w:r>
        <w:rPr>
          <w:sz w:val="24"/>
          <w:szCs w:val="24"/>
        </w:rPr>
        <w:t xml:space="preserve">m. The co-localized cells in every 100 cells were calculated. </w:t>
      </w:r>
    </w:p>
    <w:p w:rsidR="009004E5" w:rsidRPr="00E64308" w:rsidRDefault="009004E5" w:rsidP="00E64308">
      <w:pPr>
        <w:spacing w:line="480" w:lineRule="auto"/>
        <w:rPr>
          <w:sz w:val="24"/>
          <w:szCs w:val="24"/>
        </w:rPr>
      </w:pPr>
      <w:r w:rsidRPr="00E64308">
        <w:rPr>
          <w:b/>
          <w:sz w:val="24"/>
          <w:szCs w:val="24"/>
        </w:rPr>
        <w:t xml:space="preserve">Supplementary Figure </w:t>
      </w:r>
      <w:r w:rsidR="00D908CC">
        <w:rPr>
          <w:b/>
          <w:sz w:val="24"/>
          <w:szCs w:val="24"/>
        </w:rPr>
        <w:t>4</w:t>
      </w:r>
      <w:r w:rsidRPr="00E64308">
        <w:rPr>
          <w:b/>
          <w:sz w:val="24"/>
          <w:szCs w:val="24"/>
        </w:rPr>
        <w:t>.</w:t>
      </w:r>
      <w:r w:rsidRPr="00E64308">
        <w:rPr>
          <w:sz w:val="24"/>
          <w:szCs w:val="24"/>
        </w:rPr>
        <w:t xml:space="preserve"> Mascot analysis showed that MTDH peptides were identified in the FOXM1 IP complex.</w:t>
      </w:r>
    </w:p>
    <w:p w:rsidR="009004E5" w:rsidRPr="00E64308" w:rsidRDefault="009004E5" w:rsidP="00E64308">
      <w:pPr>
        <w:spacing w:line="480" w:lineRule="auto"/>
        <w:rPr>
          <w:sz w:val="24"/>
          <w:szCs w:val="24"/>
        </w:rPr>
      </w:pPr>
      <w:r w:rsidRPr="00E64308">
        <w:rPr>
          <w:b/>
          <w:sz w:val="24"/>
          <w:szCs w:val="24"/>
        </w:rPr>
        <w:t xml:space="preserve">Supplementary Figure </w:t>
      </w:r>
      <w:r w:rsidR="00D908CC">
        <w:rPr>
          <w:b/>
          <w:sz w:val="24"/>
          <w:szCs w:val="24"/>
        </w:rPr>
        <w:t>5</w:t>
      </w:r>
      <w:r w:rsidRPr="00E64308">
        <w:rPr>
          <w:b/>
          <w:sz w:val="24"/>
          <w:szCs w:val="24"/>
        </w:rPr>
        <w:t>.</w:t>
      </w:r>
      <w:r w:rsidRPr="00E64308">
        <w:rPr>
          <w:sz w:val="24"/>
          <w:szCs w:val="24"/>
        </w:rPr>
        <w:t xml:space="preserve"> </w:t>
      </w:r>
      <w:r w:rsidRPr="00E64308">
        <w:rPr>
          <w:b/>
          <w:bCs/>
          <w:sz w:val="24"/>
          <w:szCs w:val="24"/>
        </w:rPr>
        <w:t>a.</w:t>
      </w:r>
      <w:r w:rsidRPr="00E64308">
        <w:rPr>
          <w:sz w:val="24"/>
          <w:szCs w:val="24"/>
        </w:rPr>
        <w:t xml:space="preserve"> 293T cells were transfected with Flag-tagged FOXM1 or HA-tagged MTDH. Cell extracts were subjected to IP using an anti-Flag antibody, followed by IB with an anti-HA or anti-Flag antibody. </w:t>
      </w:r>
      <w:r w:rsidRPr="00E64308">
        <w:rPr>
          <w:b/>
          <w:bCs/>
          <w:sz w:val="24"/>
          <w:szCs w:val="24"/>
        </w:rPr>
        <w:t xml:space="preserve">b. </w:t>
      </w:r>
      <w:r w:rsidRPr="00E64308">
        <w:rPr>
          <w:sz w:val="24"/>
          <w:szCs w:val="24"/>
        </w:rPr>
        <w:t>Left panel, total cell ext</w:t>
      </w:r>
      <w:r w:rsidR="00080B6C">
        <w:rPr>
          <w:sz w:val="24"/>
          <w:szCs w:val="24"/>
        </w:rPr>
        <w:t xml:space="preserve">racts of T98G, </w:t>
      </w:r>
      <w:r w:rsidRPr="00E64308">
        <w:rPr>
          <w:sz w:val="24"/>
          <w:szCs w:val="24"/>
        </w:rPr>
        <w:t>U87</w:t>
      </w:r>
      <w:r w:rsidR="00080B6C">
        <w:rPr>
          <w:sz w:val="24"/>
          <w:szCs w:val="24"/>
        </w:rPr>
        <w:t xml:space="preserve"> and MD11</w:t>
      </w:r>
      <w:r w:rsidRPr="00E64308">
        <w:rPr>
          <w:sz w:val="24"/>
          <w:szCs w:val="24"/>
        </w:rPr>
        <w:t xml:space="preserve"> were subjected to IP by using an anti-FOXM1 antibody followed by IB with an anti-MTDH or anti-FOXM1antibody. Right panel, total cell extracts of </w:t>
      </w:r>
      <w:r w:rsidR="00080B6C">
        <w:rPr>
          <w:sz w:val="24"/>
          <w:szCs w:val="24"/>
        </w:rPr>
        <w:t xml:space="preserve">T98G, </w:t>
      </w:r>
      <w:r w:rsidR="00080B6C" w:rsidRPr="00E64308">
        <w:rPr>
          <w:sz w:val="24"/>
          <w:szCs w:val="24"/>
        </w:rPr>
        <w:t>U87</w:t>
      </w:r>
      <w:r w:rsidR="00080B6C">
        <w:rPr>
          <w:sz w:val="24"/>
          <w:szCs w:val="24"/>
        </w:rPr>
        <w:t xml:space="preserve"> and MD11</w:t>
      </w:r>
      <w:r w:rsidRPr="00E64308">
        <w:rPr>
          <w:sz w:val="24"/>
          <w:szCs w:val="24"/>
        </w:rPr>
        <w:t xml:space="preserve"> were subjected to IP by using an anti-MTDH antibody followed by IB with an anti-FOXM1 or anti-MTDH antibody.</w:t>
      </w:r>
    </w:p>
    <w:p w:rsidR="009004E5" w:rsidRPr="00E64308" w:rsidRDefault="009004E5" w:rsidP="00E64308">
      <w:pPr>
        <w:spacing w:line="480" w:lineRule="auto"/>
        <w:rPr>
          <w:sz w:val="24"/>
          <w:szCs w:val="24"/>
        </w:rPr>
      </w:pPr>
    </w:p>
    <w:p w:rsidR="009004E5" w:rsidRPr="00E64308" w:rsidRDefault="009004E5" w:rsidP="00E64308">
      <w:pPr>
        <w:spacing w:line="480" w:lineRule="auto"/>
        <w:rPr>
          <w:sz w:val="24"/>
          <w:szCs w:val="24"/>
        </w:rPr>
      </w:pPr>
      <w:r w:rsidRPr="00E64308">
        <w:rPr>
          <w:b/>
          <w:sz w:val="24"/>
          <w:szCs w:val="24"/>
        </w:rPr>
        <w:t xml:space="preserve">Supplementary Figure </w:t>
      </w:r>
      <w:r w:rsidR="00D908CC">
        <w:rPr>
          <w:b/>
          <w:sz w:val="24"/>
          <w:szCs w:val="24"/>
        </w:rPr>
        <w:t>6</w:t>
      </w:r>
      <w:r w:rsidRPr="00E64308">
        <w:rPr>
          <w:b/>
          <w:sz w:val="24"/>
          <w:szCs w:val="24"/>
        </w:rPr>
        <w:t xml:space="preserve">. </w:t>
      </w:r>
      <w:r w:rsidRPr="00E64308">
        <w:rPr>
          <w:sz w:val="24"/>
          <w:szCs w:val="24"/>
        </w:rPr>
        <w:t xml:space="preserve">Protein level of </w:t>
      </w:r>
      <w:r w:rsidR="00080B6C">
        <w:rPr>
          <w:sz w:val="24"/>
          <w:szCs w:val="24"/>
        </w:rPr>
        <w:t>C</w:t>
      </w:r>
      <w:r w:rsidRPr="00E64308">
        <w:rPr>
          <w:sz w:val="24"/>
          <w:szCs w:val="24"/>
        </w:rPr>
        <w:t>dh1 and APC were detected by Western blotting in T98G and U87 cells that stably expressing 2 independent MTDH shRNA or control shRNA.</w:t>
      </w:r>
    </w:p>
    <w:p w:rsidR="00400C85" w:rsidRPr="00E64308" w:rsidRDefault="009004E5" w:rsidP="00E64308">
      <w:pPr>
        <w:spacing w:line="480" w:lineRule="auto"/>
        <w:rPr>
          <w:sz w:val="24"/>
          <w:szCs w:val="24"/>
        </w:rPr>
      </w:pPr>
      <w:r w:rsidRPr="00E64308">
        <w:rPr>
          <w:b/>
          <w:sz w:val="24"/>
          <w:szCs w:val="24"/>
        </w:rPr>
        <w:t xml:space="preserve">Supplementary Figure </w:t>
      </w:r>
      <w:r w:rsidR="00D908CC">
        <w:rPr>
          <w:b/>
          <w:sz w:val="24"/>
          <w:szCs w:val="24"/>
        </w:rPr>
        <w:t>7</w:t>
      </w:r>
      <w:r w:rsidRPr="00E64308">
        <w:rPr>
          <w:b/>
          <w:sz w:val="24"/>
          <w:szCs w:val="24"/>
        </w:rPr>
        <w:t xml:space="preserve">. </w:t>
      </w:r>
      <w:r w:rsidRPr="00E64308">
        <w:rPr>
          <w:sz w:val="24"/>
          <w:szCs w:val="24"/>
        </w:rPr>
        <w:t>Immunofluorescence staining for MTDH (Alexa 596), FOXM1 (Alexa 488) and nuclei (DAPI, blue) was performed in NHA cells that were transfected with HA-tagged-ubiquitin together with the indicating plasmids. Scale bar represents 20μM.</w:t>
      </w:r>
    </w:p>
    <w:p w:rsidR="009004E5" w:rsidRPr="00E64308" w:rsidRDefault="009004E5" w:rsidP="00E64308">
      <w:pPr>
        <w:spacing w:line="480" w:lineRule="auto"/>
        <w:rPr>
          <w:sz w:val="24"/>
          <w:szCs w:val="24"/>
        </w:rPr>
      </w:pPr>
      <w:r w:rsidRPr="00E64308">
        <w:rPr>
          <w:b/>
          <w:sz w:val="24"/>
          <w:szCs w:val="24"/>
        </w:rPr>
        <w:t xml:space="preserve">Supplementary Figure </w:t>
      </w:r>
      <w:r w:rsidR="00D908CC">
        <w:rPr>
          <w:b/>
          <w:sz w:val="24"/>
          <w:szCs w:val="24"/>
        </w:rPr>
        <w:t>8</w:t>
      </w:r>
      <w:r w:rsidRPr="00E64308">
        <w:rPr>
          <w:b/>
          <w:sz w:val="24"/>
          <w:szCs w:val="24"/>
        </w:rPr>
        <w:t xml:space="preserve">. </w:t>
      </w:r>
      <w:r w:rsidRPr="00E64308">
        <w:rPr>
          <w:sz w:val="24"/>
          <w:szCs w:val="24"/>
        </w:rPr>
        <w:t>The nucleus extracts of T98G and U87 cells were subjected to IP by using an anti-FOXM1 antibody(left)</w:t>
      </w:r>
      <w:r w:rsidR="00A926F6">
        <w:rPr>
          <w:sz w:val="24"/>
          <w:szCs w:val="24"/>
        </w:rPr>
        <w:t xml:space="preserve"> or anti-MTDH antibody(right)</w:t>
      </w:r>
      <w:r w:rsidRPr="00E64308">
        <w:rPr>
          <w:sz w:val="24"/>
          <w:szCs w:val="24"/>
        </w:rPr>
        <w:t xml:space="preserve">, followed by IB with an anti-MTDH antibody or anti-FOXM1 antibody. IP with IgG was used as negative control. </w:t>
      </w:r>
    </w:p>
    <w:p w:rsidR="009004E5" w:rsidRPr="00E64308" w:rsidRDefault="009004E5" w:rsidP="00E64308">
      <w:pPr>
        <w:spacing w:line="480" w:lineRule="auto"/>
        <w:rPr>
          <w:sz w:val="24"/>
          <w:szCs w:val="24"/>
        </w:rPr>
      </w:pPr>
      <w:r w:rsidRPr="00E64308">
        <w:rPr>
          <w:b/>
          <w:sz w:val="24"/>
          <w:szCs w:val="24"/>
        </w:rPr>
        <w:t xml:space="preserve">Supplementary Figure </w:t>
      </w:r>
      <w:r w:rsidR="00D908CC">
        <w:rPr>
          <w:b/>
          <w:sz w:val="24"/>
          <w:szCs w:val="24"/>
        </w:rPr>
        <w:t>9</w:t>
      </w:r>
      <w:r w:rsidRPr="00E64308">
        <w:rPr>
          <w:b/>
          <w:sz w:val="24"/>
          <w:szCs w:val="24"/>
        </w:rPr>
        <w:t xml:space="preserve">. </w:t>
      </w:r>
      <w:r w:rsidRPr="00E64308">
        <w:rPr>
          <w:b/>
          <w:bCs/>
          <w:sz w:val="24"/>
          <w:szCs w:val="24"/>
        </w:rPr>
        <w:t>a</w:t>
      </w:r>
      <w:r w:rsidRPr="00E64308">
        <w:rPr>
          <w:bCs/>
          <w:sz w:val="24"/>
          <w:szCs w:val="24"/>
        </w:rPr>
        <w:t>.</w:t>
      </w:r>
      <w:r w:rsidRPr="00E64308">
        <w:rPr>
          <w:sz w:val="24"/>
          <w:szCs w:val="24"/>
        </w:rPr>
        <w:t xml:space="preserve"> Protein level of VEGF, MMP-2, skp2 and cdc25B were compared in </w:t>
      </w:r>
      <w:r w:rsidR="00080B6C">
        <w:rPr>
          <w:sz w:val="24"/>
          <w:szCs w:val="24"/>
        </w:rPr>
        <w:t xml:space="preserve">T98G, </w:t>
      </w:r>
      <w:r w:rsidR="00080B6C" w:rsidRPr="00E64308">
        <w:rPr>
          <w:sz w:val="24"/>
          <w:szCs w:val="24"/>
        </w:rPr>
        <w:t>U87</w:t>
      </w:r>
      <w:r w:rsidR="00080B6C">
        <w:rPr>
          <w:sz w:val="24"/>
          <w:szCs w:val="24"/>
        </w:rPr>
        <w:t xml:space="preserve"> and MD11</w:t>
      </w:r>
      <w:r w:rsidRPr="00E64308">
        <w:rPr>
          <w:sz w:val="24"/>
          <w:szCs w:val="24"/>
        </w:rPr>
        <w:t xml:space="preserve"> cells stably knocking down MTDH or FOXM1 and their control cells by Western blotting. </w:t>
      </w:r>
      <w:r w:rsidRPr="00E64308">
        <w:rPr>
          <w:b/>
          <w:bCs/>
          <w:sz w:val="24"/>
          <w:szCs w:val="24"/>
        </w:rPr>
        <w:t>b</w:t>
      </w:r>
      <w:r w:rsidRPr="00E64308">
        <w:rPr>
          <w:bCs/>
          <w:sz w:val="24"/>
          <w:szCs w:val="24"/>
        </w:rPr>
        <w:t>.</w:t>
      </w:r>
      <w:r w:rsidRPr="00E64308">
        <w:rPr>
          <w:sz w:val="24"/>
          <w:szCs w:val="24"/>
        </w:rPr>
        <w:t xml:space="preserve"> Cell cycle changes were determined by Flow cytometry analysis in </w:t>
      </w:r>
      <w:r w:rsidR="00080B6C">
        <w:rPr>
          <w:sz w:val="24"/>
          <w:szCs w:val="24"/>
        </w:rPr>
        <w:t xml:space="preserve">T98G, </w:t>
      </w:r>
      <w:r w:rsidR="00080B6C" w:rsidRPr="00E64308">
        <w:rPr>
          <w:sz w:val="24"/>
          <w:szCs w:val="24"/>
        </w:rPr>
        <w:t>U87</w:t>
      </w:r>
      <w:r w:rsidR="00080B6C">
        <w:rPr>
          <w:sz w:val="24"/>
          <w:szCs w:val="24"/>
        </w:rPr>
        <w:t xml:space="preserve"> and MD11</w:t>
      </w:r>
      <w:r w:rsidRPr="00E64308">
        <w:rPr>
          <w:sz w:val="24"/>
          <w:szCs w:val="24"/>
        </w:rPr>
        <w:t xml:space="preserve"> cells that stably knocking down MTDH or FOXM1 and the control cells. </w:t>
      </w:r>
      <w:r w:rsidRPr="00E64308">
        <w:rPr>
          <w:b/>
          <w:bCs/>
          <w:sz w:val="24"/>
          <w:szCs w:val="24"/>
        </w:rPr>
        <w:t>c</w:t>
      </w:r>
      <w:r w:rsidRPr="00E64308">
        <w:rPr>
          <w:bCs/>
          <w:sz w:val="24"/>
          <w:szCs w:val="24"/>
        </w:rPr>
        <w:t>.</w:t>
      </w:r>
      <w:r w:rsidRPr="00E64308">
        <w:rPr>
          <w:sz w:val="24"/>
          <w:szCs w:val="24"/>
        </w:rPr>
        <w:t xml:space="preserve"> Left panel, the angiogenesis and invasive ability of </w:t>
      </w:r>
      <w:r w:rsidR="00080B6C">
        <w:rPr>
          <w:sz w:val="24"/>
          <w:szCs w:val="24"/>
        </w:rPr>
        <w:t xml:space="preserve">T98G, </w:t>
      </w:r>
      <w:r w:rsidR="00080B6C" w:rsidRPr="00E64308">
        <w:rPr>
          <w:sz w:val="24"/>
          <w:szCs w:val="24"/>
        </w:rPr>
        <w:t>U87</w:t>
      </w:r>
      <w:r w:rsidR="00080B6C">
        <w:rPr>
          <w:sz w:val="24"/>
          <w:szCs w:val="24"/>
        </w:rPr>
        <w:t xml:space="preserve"> and MD11</w:t>
      </w:r>
      <w:r w:rsidRPr="00E64308">
        <w:rPr>
          <w:sz w:val="24"/>
          <w:szCs w:val="24"/>
        </w:rPr>
        <w:t xml:space="preserve"> cells that stably knocking down MTDH or FOXM1 and the control cells were compared by HUVEC tube formation assay and Transwell invasion assay.</w:t>
      </w:r>
      <w:r w:rsidR="00A926F6" w:rsidRPr="00A926F6">
        <w:rPr>
          <w:sz w:val="24"/>
          <w:szCs w:val="24"/>
        </w:rPr>
        <w:t xml:space="preserve"> </w:t>
      </w:r>
      <w:r w:rsidR="00A926F6" w:rsidRPr="00E64308">
        <w:rPr>
          <w:sz w:val="24"/>
          <w:szCs w:val="24"/>
        </w:rPr>
        <w:t>Scale bar represents 20μM.</w:t>
      </w:r>
      <w:r w:rsidRPr="00E64308">
        <w:rPr>
          <w:sz w:val="24"/>
          <w:szCs w:val="24"/>
        </w:rPr>
        <w:t xml:space="preserve"> Right panel, quantification data of HUVEC tube formation assay and Transwell invasion assay shown in the left, Error bars±s.d.</w:t>
      </w:r>
    </w:p>
    <w:p w:rsidR="006977A7" w:rsidRPr="00E64308" w:rsidRDefault="006977A7" w:rsidP="00E64308">
      <w:pPr>
        <w:spacing w:line="480" w:lineRule="auto"/>
        <w:rPr>
          <w:sz w:val="24"/>
          <w:szCs w:val="24"/>
        </w:rPr>
      </w:pPr>
      <w:r w:rsidRPr="00E64308">
        <w:rPr>
          <w:b/>
          <w:sz w:val="24"/>
          <w:szCs w:val="24"/>
        </w:rPr>
        <w:lastRenderedPageBreak/>
        <w:t xml:space="preserve">Supplementary Figure </w:t>
      </w:r>
      <w:r w:rsidR="00D908CC">
        <w:rPr>
          <w:b/>
          <w:sz w:val="24"/>
          <w:szCs w:val="24"/>
        </w:rPr>
        <w:t>10</w:t>
      </w:r>
      <w:r w:rsidRPr="00E64308">
        <w:rPr>
          <w:sz w:val="24"/>
          <w:szCs w:val="24"/>
        </w:rPr>
        <w:t xml:space="preserve">. MTDH inhibition abolished tumorigenesis in vivo by destabilizing FOXM1. </w:t>
      </w:r>
    </w:p>
    <w:p w:rsidR="00A926F6" w:rsidRPr="00E64308" w:rsidRDefault="006977A7" w:rsidP="00A926F6">
      <w:pPr>
        <w:spacing w:line="480" w:lineRule="auto"/>
        <w:rPr>
          <w:sz w:val="24"/>
          <w:szCs w:val="24"/>
        </w:rPr>
      </w:pPr>
      <w:r w:rsidRPr="00E64308">
        <w:rPr>
          <w:b/>
          <w:sz w:val="24"/>
          <w:szCs w:val="24"/>
        </w:rPr>
        <w:t>a.</w:t>
      </w:r>
      <w:r w:rsidRPr="00E64308">
        <w:rPr>
          <w:sz w:val="24"/>
          <w:szCs w:val="24"/>
        </w:rPr>
        <w:t xml:space="preserve"> </w:t>
      </w:r>
      <w:r w:rsidR="00080B6C" w:rsidRPr="00E64308">
        <w:rPr>
          <w:sz w:val="24"/>
          <w:szCs w:val="24"/>
        </w:rPr>
        <w:t xml:space="preserve">the angiogenesis and invasive ability of </w:t>
      </w:r>
      <w:r w:rsidR="00080B6C">
        <w:rPr>
          <w:sz w:val="24"/>
          <w:szCs w:val="24"/>
        </w:rPr>
        <w:t xml:space="preserve">T98G, </w:t>
      </w:r>
      <w:r w:rsidR="00080B6C" w:rsidRPr="00E64308">
        <w:rPr>
          <w:sz w:val="24"/>
          <w:szCs w:val="24"/>
        </w:rPr>
        <w:t>U87</w:t>
      </w:r>
      <w:r w:rsidR="00080B6C">
        <w:rPr>
          <w:sz w:val="24"/>
          <w:szCs w:val="24"/>
        </w:rPr>
        <w:t xml:space="preserve"> and MD11</w:t>
      </w:r>
      <w:r w:rsidR="00080B6C" w:rsidRPr="00E64308">
        <w:rPr>
          <w:sz w:val="24"/>
          <w:szCs w:val="24"/>
        </w:rPr>
        <w:t xml:space="preserve"> cells that stably </w:t>
      </w:r>
      <w:r w:rsidR="00080B6C">
        <w:rPr>
          <w:sz w:val="24"/>
          <w:szCs w:val="24"/>
        </w:rPr>
        <w:t>expressed the indicated plasmids</w:t>
      </w:r>
      <w:r w:rsidR="00080B6C" w:rsidRPr="00E64308">
        <w:rPr>
          <w:sz w:val="24"/>
          <w:szCs w:val="24"/>
        </w:rPr>
        <w:t xml:space="preserve"> and the control cells were compared by HUVEC tube formation assay and Transwell invasion assay.</w:t>
      </w:r>
      <w:r w:rsidR="00A926F6" w:rsidRPr="00A926F6">
        <w:rPr>
          <w:sz w:val="24"/>
          <w:szCs w:val="24"/>
        </w:rPr>
        <w:t xml:space="preserve"> </w:t>
      </w:r>
      <w:r w:rsidR="00A926F6" w:rsidRPr="00E64308">
        <w:rPr>
          <w:sz w:val="24"/>
          <w:szCs w:val="24"/>
        </w:rPr>
        <w:t>Scale bar represents 20μM.</w:t>
      </w:r>
    </w:p>
    <w:p w:rsidR="009004E5" w:rsidRDefault="00080B6C" w:rsidP="00080B6C">
      <w:pPr>
        <w:spacing w:line="480" w:lineRule="auto"/>
        <w:rPr>
          <w:sz w:val="24"/>
          <w:szCs w:val="24"/>
        </w:rPr>
      </w:pPr>
      <w:r w:rsidRPr="00E64308">
        <w:rPr>
          <w:sz w:val="24"/>
          <w:szCs w:val="24"/>
        </w:rPr>
        <w:t xml:space="preserve"> </w:t>
      </w:r>
      <w:r w:rsidR="006977A7" w:rsidRPr="00E64308">
        <w:rPr>
          <w:b/>
          <w:sz w:val="24"/>
          <w:szCs w:val="24"/>
        </w:rPr>
        <w:t>b.</w:t>
      </w:r>
      <w:r w:rsidR="006977A7" w:rsidRPr="00E64308">
        <w:rPr>
          <w:sz w:val="24"/>
          <w:szCs w:val="24"/>
        </w:rPr>
        <w:t xml:space="preserve"> Module of MTDH stabilizes FOXM1 and enhances FOXM1 transcriptional activity. Left, in normal cells which has little or none MTDH expression, most of cytoplasmic FOXM1 were recognized by cdh1 and quickly subjected to the APC/C induced proteasome degradation. Limited amount of nuclear FOXM1 were required for driving G2/M transition, indicating that directly targeting FOXM1 in cancer therapy may lead to the cytotoxic effect of normal cells. Right, in cancer cells, excessive MTDH interacts with FOXM1 by competing cdh1 away, leading FOXM1 aberrantly accumulated in the cells. Also, MTDH enhances the transcriptional activity of FOXM1 in the nucleus. Both events boosted the amount and activity of FOXM1, which promotes the downstream oncogenic events.</w:t>
      </w:r>
    </w:p>
    <w:p w:rsidR="00800808" w:rsidRDefault="00800808" w:rsidP="00080B6C">
      <w:pPr>
        <w:spacing w:line="480" w:lineRule="auto"/>
        <w:rPr>
          <w:sz w:val="24"/>
          <w:szCs w:val="24"/>
        </w:rPr>
      </w:pPr>
      <w:r>
        <w:rPr>
          <w:b/>
          <w:sz w:val="24"/>
          <w:szCs w:val="24"/>
        </w:rPr>
        <w:t xml:space="preserve">Supplementary Figure </w:t>
      </w:r>
      <w:r w:rsidR="00D908CC">
        <w:rPr>
          <w:rFonts w:hint="eastAsia"/>
          <w:b/>
          <w:sz w:val="24"/>
          <w:szCs w:val="24"/>
          <w:lang w:eastAsia="zh-CN"/>
        </w:rPr>
        <w:t>11</w:t>
      </w:r>
      <w:r>
        <w:rPr>
          <w:rFonts w:hint="eastAsia"/>
          <w:b/>
          <w:sz w:val="24"/>
          <w:szCs w:val="24"/>
          <w:lang w:eastAsia="zh-CN"/>
        </w:rPr>
        <w:t>.</w:t>
      </w:r>
      <w:r>
        <w:rPr>
          <w:b/>
          <w:sz w:val="24"/>
          <w:szCs w:val="24"/>
        </w:rPr>
        <w:t xml:space="preserve"> </w:t>
      </w:r>
      <w:r>
        <w:rPr>
          <w:sz w:val="24"/>
          <w:szCs w:val="24"/>
        </w:rPr>
        <w:t>MTDH inhibition induced increased sensitivity of glioma cells to TMZ.</w:t>
      </w:r>
    </w:p>
    <w:p w:rsidR="00800808" w:rsidRDefault="00800808" w:rsidP="00800808">
      <w:pPr>
        <w:numPr>
          <w:ilvl w:val="0"/>
          <w:numId w:val="2"/>
        </w:numPr>
        <w:spacing w:line="480" w:lineRule="auto"/>
        <w:rPr>
          <w:sz w:val="24"/>
          <w:szCs w:val="24"/>
        </w:rPr>
      </w:pPr>
      <w:r>
        <w:rPr>
          <w:sz w:val="24"/>
          <w:szCs w:val="24"/>
        </w:rPr>
        <w:t>MTDH stably knocked down U87 and MD11 cells and their parental cells were</w:t>
      </w:r>
    </w:p>
    <w:p w:rsidR="00800808" w:rsidRPr="00E64308" w:rsidRDefault="00800808" w:rsidP="00800808">
      <w:pPr>
        <w:spacing w:line="480" w:lineRule="auto"/>
        <w:rPr>
          <w:sz w:val="24"/>
          <w:szCs w:val="24"/>
        </w:rPr>
      </w:pPr>
      <w:r>
        <w:rPr>
          <w:sz w:val="24"/>
          <w:szCs w:val="24"/>
        </w:rPr>
        <w:t>treated with 20</w:t>
      </w:r>
      <w:r w:rsidRPr="00800808">
        <w:rPr>
          <w:rFonts w:hint="eastAsia"/>
          <w:sz w:val="24"/>
          <w:szCs w:val="24"/>
        </w:rPr>
        <w:t>μ</w:t>
      </w:r>
      <w:r>
        <w:rPr>
          <w:sz w:val="24"/>
          <w:szCs w:val="24"/>
        </w:rPr>
        <w:t>M</w:t>
      </w:r>
      <w:r>
        <w:rPr>
          <w:rFonts w:hint="eastAsia"/>
          <w:sz w:val="24"/>
          <w:szCs w:val="24"/>
        </w:rPr>
        <w:t xml:space="preserve"> TMZ or DMSO for 5 days. Cell viability were tested as each indicated time point. </w:t>
      </w:r>
      <w:r w:rsidRPr="00E64308">
        <w:rPr>
          <w:sz w:val="24"/>
          <w:szCs w:val="24"/>
        </w:rPr>
        <w:t>Error bars±s.d.</w:t>
      </w:r>
      <w:r>
        <w:rPr>
          <w:sz w:val="24"/>
          <w:szCs w:val="24"/>
        </w:rPr>
        <w:t xml:space="preserve"> </w:t>
      </w:r>
    </w:p>
    <w:p w:rsidR="00800808" w:rsidRDefault="00800808" w:rsidP="00800808">
      <w:pPr>
        <w:numPr>
          <w:ilvl w:val="0"/>
          <w:numId w:val="2"/>
        </w:numPr>
        <w:spacing w:line="480" w:lineRule="auto"/>
        <w:rPr>
          <w:sz w:val="24"/>
          <w:szCs w:val="24"/>
        </w:rPr>
      </w:pPr>
      <w:r>
        <w:rPr>
          <w:sz w:val="24"/>
          <w:szCs w:val="24"/>
        </w:rPr>
        <w:t>MTDH stably knocked down U87 and MD11 cells and their parental cells were</w:t>
      </w:r>
    </w:p>
    <w:p w:rsidR="00800808" w:rsidRDefault="00800808" w:rsidP="00800808">
      <w:pPr>
        <w:spacing w:line="480" w:lineRule="auto"/>
        <w:rPr>
          <w:sz w:val="24"/>
          <w:szCs w:val="24"/>
        </w:rPr>
      </w:pPr>
      <w:r>
        <w:rPr>
          <w:sz w:val="24"/>
          <w:szCs w:val="24"/>
        </w:rPr>
        <w:lastRenderedPageBreak/>
        <w:t xml:space="preserve">treated with indicated concentrations of TMZ for 24 hours and survival fraction were tested. </w:t>
      </w:r>
      <w:r w:rsidRPr="00E64308">
        <w:rPr>
          <w:sz w:val="24"/>
          <w:szCs w:val="24"/>
        </w:rPr>
        <w:t>Error bars±s.d.</w:t>
      </w:r>
    </w:p>
    <w:p w:rsidR="00D908CC" w:rsidRDefault="00D908CC" w:rsidP="00D908CC">
      <w:pPr>
        <w:numPr>
          <w:ilvl w:val="0"/>
          <w:numId w:val="2"/>
        </w:numPr>
        <w:spacing w:line="480" w:lineRule="auto"/>
        <w:rPr>
          <w:sz w:val="24"/>
          <w:szCs w:val="24"/>
        </w:rPr>
      </w:pPr>
      <w:r>
        <w:rPr>
          <w:sz w:val="24"/>
          <w:szCs w:val="24"/>
        </w:rPr>
        <w:t xml:space="preserve">Indicated MD 11 cells were treated with different concentrations of TMZ for 8 hours. Rad51 and Chk2 level was determined by western blot. </w:t>
      </w:r>
    </w:p>
    <w:p w:rsidR="00800808" w:rsidRDefault="00800808" w:rsidP="00800808">
      <w:pPr>
        <w:spacing w:line="480" w:lineRule="auto"/>
        <w:rPr>
          <w:sz w:val="24"/>
          <w:szCs w:val="24"/>
        </w:rPr>
      </w:pPr>
      <w:r>
        <w:rPr>
          <w:b/>
          <w:sz w:val="24"/>
          <w:szCs w:val="24"/>
        </w:rPr>
        <w:t xml:space="preserve">Supplementary Figure </w:t>
      </w:r>
      <w:r>
        <w:rPr>
          <w:rFonts w:hint="eastAsia"/>
          <w:b/>
          <w:sz w:val="24"/>
          <w:szCs w:val="24"/>
          <w:lang w:eastAsia="zh-CN"/>
        </w:rPr>
        <w:t>1</w:t>
      </w:r>
      <w:r w:rsidR="00D908CC">
        <w:rPr>
          <w:b/>
          <w:sz w:val="24"/>
          <w:szCs w:val="24"/>
          <w:lang w:eastAsia="zh-CN"/>
        </w:rPr>
        <w:t>2</w:t>
      </w:r>
      <w:r>
        <w:rPr>
          <w:rFonts w:hint="eastAsia"/>
          <w:b/>
          <w:sz w:val="24"/>
          <w:szCs w:val="24"/>
          <w:lang w:eastAsia="zh-CN"/>
        </w:rPr>
        <w:t xml:space="preserve">. </w:t>
      </w:r>
      <w:r w:rsidRPr="00E64308">
        <w:rPr>
          <w:sz w:val="24"/>
          <w:szCs w:val="24"/>
        </w:rPr>
        <w:t xml:space="preserve">Immunohistochemical (IHC) analysis </w:t>
      </w:r>
      <w:r>
        <w:rPr>
          <w:sz w:val="24"/>
          <w:szCs w:val="24"/>
        </w:rPr>
        <w:t xml:space="preserve">was </w:t>
      </w:r>
      <w:r w:rsidRPr="00E64308">
        <w:rPr>
          <w:sz w:val="24"/>
          <w:szCs w:val="24"/>
        </w:rPr>
        <w:t xml:space="preserve">performed </w:t>
      </w:r>
      <w:r>
        <w:rPr>
          <w:sz w:val="24"/>
          <w:szCs w:val="24"/>
        </w:rPr>
        <w:t>on</w:t>
      </w:r>
      <w:r w:rsidRPr="00E64308">
        <w:rPr>
          <w:sz w:val="24"/>
          <w:szCs w:val="24"/>
        </w:rPr>
        <w:t xml:space="preserve"> tissue sections from paraffin-embedded </w:t>
      </w:r>
      <w:r>
        <w:rPr>
          <w:sz w:val="24"/>
          <w:szCs w:val="24"/>
        </w:rPr>
        <w:t>mouse in vivo tumor</w:t>
      </w:r>
      <w:r w:rsidRPr="00E64308">
        <w:rPr>
          <w:sz w:val="24"/>
          <w:szCs w:val="24"/>
        </w:rPr>
        <w:t xml:space="preserve"> spe</w:t>
      </w:r>
      <w:r>
        <w:rPr>
          <w:sz w:val="24"/>
          <w:szCs w:val="24"/>
        </w:rPr>
        <w:t>cimens with anti-MMP-2 antibody and anti-CD31</w:t>
      </w:r>
      <w:r w:rsidRPr="00E64308">
        <w:rPr>
          <w:sz w:val="24"/>
          <w:szCs w:val="24"/>
        </w:rPr>
        <w:t xml:space="preserve"> antibody. The </w:t>
      </w:r>
      <w:r>
        <w:rPr>
          <w:sz w:val="24"/>
          <w:szCs w:val="24"/>
        </w:rPr>
        <w:t>representative pictures of MMP-2 and CD31</w:t>
      </w:r>
      <w:r w:rsidRPr="00E64308">
        <w:rPr>
          <w:sz w:val="24"/>
          <w:szCs w:val="24"/>
        </w:rPr>
        <w:t>’s distri</w:t>
      </w:r>
      <w:r>
        <w:rPr>
          <w:sz w:val="24"/>
          <w:szCs w:val="24"/>
        </w:rPr>
        <w:t>bution and abundance were shown</w:t>
      </w:r>
      <w:r w:rsidRPr="00E64308">
        <w:rPr>
          <w:sz w:val="24"/>
          <w:szCs w:val="24"/>
        </w:rPr>
        <w:t xml:space="preserve">. Pictures were all taken by 200X </w:t>
      </w:r>
      <w:r>
        <w:rPr>
          <w:sz w:val="24"/>
          <w:szCs w:val="24"/>
        </w:rPr>
        <w:t xml:space="preserve">or 400X </w:t>
      </w:r>
      <w:r w:rsidRPr="00E64308">
        <w:rPr>
          <w:sz w:val="24"/>
          <w:szCs w:val="24"/>
        </w:rPr>
        <w:t>magnification.</w:t>
      </w:r>
    </w:p>
    <w:p w:rsidR="00986219" w:rsidRDefault="00800808" w:rsidP="00800808">
      <w:pPr>
        <w:spacing w:line="480" w:lineRule="auto"/>
        <w:rPr>
          <w:sz w:val="24"/>
          <w:szCs w:val="24"/>
        </w:rPr>
      </w:pPr>
      <w:r>
        <w:rPr>
          <w:b/>
          <w:sz w:val="24"/>
          <w:szCs w:val="24"/>
        </w:rPr>
        <w:t xml:space="preserve">Supplementary Figure </w:t>
      </w:r>
      <w:r>
        <w:rPr>
          <w:rFonts w:hint="eastAsia"/>
          <w:b/>
          <w:sz w:val="24"/>
          <w:szCs w:val="24"/>
          <w:lang w:eastAsia="zh-CN"/>
        </w:rPr>
        <w:t>1</w:t>
      </w:r>
      <w:r w:rsidR="00D908CC">
        <w:rPr>
          <w:b/>
          <w:sz w:val="24"/>
          <w:szCs w:val="24"/>
          <w:lang w:eastAsia="zh-CN"/>
        </w:rPr>
        <w:t>3</w:t>
      </w:r>
      <w:r>
        <w:rPr>
          <w:rFonts w:hint="eastAsia"/>
          <w:b/>
          <w:sz w:val="24"/>
          <w:szCs w:val="24"/>
          <w:lang w:eastAsia="zh-CN"/>
        </w:rPr>
        <w:t xml:space="preserve">. </w:t>
      </w:r>
      <w:r>
        <w:rPr>
          <w:sz w:val="24"/>
          <w:szCs w:val="24"/>
          <w:lang w:eastAsia="zh-CN"/>
        </w:rPr>
        <w:t>a. 293T cells were transfected with indi</w:t>
      </w:r>
      <w:r w:rsidR="00986219">
        <w:rPr>
          <w:sz w:val="24"/>
          <w:szCs w:val="24"/>
          <w:lang w:eastAsia="zh-CN"/>
        </w:rPr>
        <w:t xml:space="preserve">cated plasmids and promoters for 24 hours and the luciferase activity were tested. </w:t>
      </w:r>
      <w:r w:rsidR="00986219" w:rsidRPr="00E64308">
        <w:rPr>
          <w:sz w:val="24"/>
          <w:szCs w:val="24"/>
        </w:rPr>
        <w:t>Scale bar represents 20μM.</w:t>
      </w:r>
      <w:r w:rsidR="00986219">
        <w:rPr>
          <w:sz w:val="24"/>
          <w:szCs w:val="24"/>
        </w:rPr>
        <w:t xml:space="preserve"> b. U87 and MD11 cells were transfected with indicated plasmids and after 24 hours the expression of VEGF, MMP-2, Skp</w:t>
      </w:r>
      <w:r w:rsidR="00986219">
        <w:rPr>
          <w:rFonts w:hint="eastAsia"/>
          <w:sz w:val="24"/>
          <w:szCs w:val="24"/>
          <w:lang w:eastAsia="zh-CN"/>
        </w:rPr>
        <w:t xml:space="preserve">-2, cdc25B were </w:t>
      </w:r>
      <w:r w:rsidR="00986219">
        <w:rPr>
          <w:sz w:val="24"/>
          <w:szCs w:val="24"/>
          <w:lang w:eastAsia="zh-CN"/>
        </w:rPr>
        <w:t>tested</w:t>
      </w:r>
      <w:r w:rsidR="00986219">
        <w:rPr>
          <w:rFonts w:hint="eastAsia"/>
          <w:sz w:val="24"/>
          <w:szCs w:val="24"/>
          <w:lang w:eastAsia="zh-CN"/>
        </w:rPr>
        <w:t xml:space="preserve">. </w:t>
      </w:r>
      <w:r w:rsidR="00986219">
        <w:rPr>
          <w:sz w:val="24"/>
          <w:szCs w:val="24"/>
          <w:lang w:eastAsia="zh-CN"/>
        </w:rPr>
        <w:t xml:space="preserve">c. Cell cycle of U87 and MD11 transfected with indicated plasmids and their parental cells were tested. d. The </w:t>
      </w:r>
      <w:r w:rsidR="00986219" w:rsidRPr="00986219">
        <w:rPr>
          <w:i/>
          <w:sz w:val="24"/>
          <w:szCs w:val="24"/>
          <w:lang w:eastAsia="zh-CN"/>
        </w:rPr>
        <w:t>in vitro</w:t>
      </w:r>
      <w:r w:rsidR="00986219">
        <w:rPr>
          <w:sz w:val="24"/>
          <w:szCs w:val="24"/>
          <w:lang w:eastAsia="zh-CN"/>
        </w:rPr>
        <w:t xml:space="preserve"> tube formation capacity of U87 and MD11 transfected with indicated plasmids and their parental cells were calculated. </w:t>
      </w:r>
      <w:r w:rsidR="00986219" w:rsidRPr="00E64308">
        <w:rPr>
          <w:sz w:val="24"/>
          <w:szCs w:val="24"/>
        </w:rPr>
        <w:t>Error bars±s.d.</w:t>
      </w:r>
    </w:p>
    <w:p w:rsidR="00D908CC" w:rsidRPr="00800808" w:rsidRDefault="00D908CC" w:rsidP="00D908CC">
      <w:pPr>
        <w:spacing w:line="480" w:lineRule="auto"/>
        <w:rPr>
          <w:sz w:val="24"/>
          <w:szCs w:val="24"/>
          <w:lang w:eastAsia="zh-CN"/>
        </w:rPr>
      </w:pPr>
      <w:r>
        <w:rPr>
          <w:b/>
          <w:sz w:val="24"/>
          <w:szCs w:val="24"/>
        </w:rPr>
        <w:t xml:space="preserve">Supplementary Figure </w:t>
      </w:r>
      <w:r>
        <w:rPr>
          <w:rFonts w:hint="eastAsia"/>
          <w:b/>
          <w:sz w:val="24"/>
          <w:szCs w:val="24"/>
          <w:lang w:eastAsia="zh-CN"/>
        </w:rPr>
        <w:t>1</w:t>
      </w:r>
      <w:r>
        <w:rPr>
          <w:b/>
          <w:sz w:val="24"/>
          <w:szCs w:val="24"/>
          <w:lang w:eastAsia="zh-CN"/>
        </w:rPr>
        <w:t>4</w:t>
      </w:r>
      <w:r>
        <w:rPr>
          <w:rFonts w:hint="eastAsia"/>
          <w:b/>
          <w:sz w:val="24"/>
          <w:szCs w:val="24"/>
          <w:lang w:eastAsia="zh-CN"/>
        </w:rPr>
        <w:t xml:space="preserve">. </w:t>
      </w:r>
      <w:r>
        <w:rPr>
          <w:sz w:val="24"/>
          <w:szCs w:val="24"/>
          <w:lang w:eastAsia="zh-CN"/>
        </w:rPr>
        <w:t xml:space="preserve">a. </w:t>
      </w:r>
      <w:r w:rsidR="00161947" w:rsidRPr="003D4E05">
        <w:rPr>
          <w:sz w:val="24"/>
          <w:szCs w:val="24"/>
        </w:rPr>
        <w:t xml:space="preserve">The </w:t>
      </w:r>
      <w:r w:rsidR="00161947" w:rsidRPr="003D4E05">
        <w:rPr>
          <w:bCs/>
          <w:sz w:val="24"/>
          <w:szCs w:val="24"/>
        </w:rPr>
        <w:t xml:space="preserve">VEGF, MMP-2, Skp2 and Cdc25B protein </w:t>
      </w:r>
      <w:r w:rsidR="00161947" w:rsidRPr="003D4E05">
        <w:rPr>
          <w:sz w:val="24"/>
          <w:szCs w:val="24"/>
        </w:rPr>
        <w:t xml:space="preserve">levels </w:t>
      </w:r>
      <w:r w:rsidR="00161947" w:rsidRPr="003D4E05">
        <w:rPr>
          <w:bCs/>
          <w:sz w:val="24"/>
          <w:szCs w:val="24"/>
        </w:rPr>
        <w:t>were compared among the indicated plasmid-transfected and control cells.</w:t>
      </w:r>
      <w:r w:rsidR="00161947">
        <w:rPr>
          <w:bCs/>
          <w:sz w:val="24"/>
          <w:szCs w:val="24"/>
        </w:rPr>
        <w:t xml:space="preserve"> b.</w:t>
      </w:r>
      <w:r w:rsidR="00161947" w:rsidRPr="00161947">
        <w:rPr>
          <w:sz w:val="24"/>
          <w:szCs w:val="24"/>
        </w:rPr>
        <w:t xml:space="preserve"> </w:t>
      </w:r>
      <w:r w:rsidR="00161947" w:rsidRPr="003D4E05">
        <w:rPr>
          <w:sz w:val="24"/>
          <w:szCs w:val="24"/>
        </w:rPr>
        <w:t xml:space="preserve">The </w:t>
      </w:r>
      <w:r w:rsidR="00161947" w:rsidRPr="003D4E05">
        <w:rPr>
          <w:bCs/>
          <w:sz w:val="24"/>
          <w:szCs w:val="24"/>
        </w:rPr>
        <w:t xml:space="preserve">VEGF, MMP-2, Skp2 and Cdc25B </w:t>
      </w:r>
      <w:r w:rsidR="00161947">
        <w:rPr>
          <w:bCs/>
          <w:sz w:val="24"/>
          <w:szCs w:val="24"/>
        </w:rPr>
        <w:t>mRNA</w:t>
      </w:r>
      <w:r w:rsidR="00161947" w:rsidRPr="003D4E05">
        <w:rPr>
          <w:bCs/>
          <w:sz w:val="24"/>
          <w:szCs w:val="24"/>
        </w:rPr>
        <w:t xml:space="preserve"> </w:t>
      </w:r>
      <w:r w:rsidR="00161947" w:rsidRPr="003D4E05">
        <w:rPr>
          <w:sz w:val="24"/>
          <w:szCs w:val="24"/>
        </w:rPr>
        <w:t xml:space="preserve">levels </w:t>
      </w:r>
      <w:r w:rsidR="00161947" w:rsidRPr="003D4E05">
        <w:rPr>
          <w:bCs/>
          <w:sz w:val="24"/>
          <w:szCs w:val="24"/>
        </w:rPr>
        <w:t>were compared among the indicated plasmid-transfected and control cells.</w:t>
      </w:r>
      <w:r w:rsidR="00161947">
        <w:rPr>
          <w:bCs/>
          <w:sz w:val="24"/>
          <w:szCs w:val="24"/>
        </w:rPr>
        <w:t xml:space="preserve"> </w:t>
      </w:r>
      <w:r w:rsidR="00161947">
        <w:rPr>
          <w:rStyle w:val="a8"/>
          <w:bCs/>
          <w:color w:val="000000"/>
          <w:sz w:val="24"/>
          <w:szCs w:val="24"/>
        </w:rPr>
        <w:t>c.</w:t>
      </w:r>
      <w:r w:rsidR="00161947" w:rsidRPr="003D4E05">
        <w:rPr>
          <w:rStyle w:val="a8"/>
          <w:bCs/>
          <w:color w:val="000000"/>
          <w:sz w:val="24"/>
          <w:szCs w:val="24"/>
        </w:rPr>
        <w:t xml:space="preserve"> </w:t>
      </w:r>
      <w:r w:rsidR="00161947">
        <w:rPr>
          <w:sz w:val="24"/>
          <w:szCs w:val="24"/>
          <w:lang w:eastAsia="zh-CN"/>
        </w:rPr>
        <w:t>Cell cycle of MD11 cells transfected with indicated plasmids and their parental cells were tested</w:t>
      </w:r>
      <w:r w:rsidR="00161947" w:rsidRPr="003D4E05">
        <w:rPr>
          <w:rStyle w:val="a8"/>
          <w:bCs/>
          <w:color w:val="000000"/>
          <w:sz w:val="24"/>
          <w:szCs w:val="24"/>
        </w:rPr>
        <w:t xml:space="preserve"> </w:t>
      </w:r>
      <w:r w:rsidR="00161947">
        <w:rPr>
          <w:rStyle w:val="a8"/>
          <w:bCs/>
          <w:color w:val="000000"/>
          <w:sz w:val="24"/>
          <w:szCs w:val="24"/>
        </w:rPr>
        <w:t xml:space="preserve">d. </w:t>
      </w:r>
      <w:r w:rsidR="00161947" w:rsidRPr="003D4E05">
        <w:rPr>
          <w:rStyle w:val="a8"/>
          <w:bCs/>
          <w:color w:val="000000"/>
          <w:sz w:val="24"/>
          <w:szCs w:val="24"/>
        </w:rPr>
        <w:t xml:space="preserve">Changes in </w:t>
      </w:r>
      <w:r w:rsidR="00161947" w:rsidRPr="003D4E05">
        <w:rPr>
          <w:bCs/>
          <w:iCs/>
          <w:color w:val="000000"/>
          <w:sz w:val="24"/>
          <w:szCs w:val="24"/>
        </w:rPr>
        <w:t xml:space="preserve">tube formation, </w:t>
      </w:r>
      <w:r w:rsidR="00161947" w:rsidRPr="003D4E05">
        <w:rPr>
          <w:bCs/>
          <w:iCs/>
          <w:color w:val="000000"/>
          <w:sz w:val="24"/>
          <w:szCs w:val="24"/>
        </w:rPr>
        <w:lastRenderedPageBreak/>
        <w:t xml:space="preserve">and cell invasion </w:t>
      </w:r>
      <w:r w:rsidR="00161947" w:rsidRPr="003D4E05">
        <w:rPr>
          <w:rStyle w:val="a8"/>
          <w:bCs/>
          <w:color w:val="000000"/>
          <w:sz w:val="24"/>
          <w:szCs w:val="24"/>
        </w:rPr>
        <w:t>among</w:t>
      </w:r>
      <w:r w:rsidR="00161947" w:rsidRPr="003D4E05">
        <w:rPr>
          <w:bCs/>
          <w:color w:val="000000"/>
          <w:sz w:val="24"/>
          <w:szCs w:val="24"/>
        </w:rPr>
        <w:t xml:space="preserve"> the cells indicated above were compared. </w:t>
      </w:r>
      <w:r w:rsidR="00161947" w:rsidRPr="003D4E05">
        <w:rPr>
          <w:bCs/>
          <w:sz w:val="24"/>
          <w:szCs w:val="24"/>
        </w:rPr>
        <w:t xml:space="preserve">Values are presented as means±s.d for triplicate samples. </w:t>
      </w:r>
    </w:p>
    <w:p w:rsidR="00B94081" w:rsidRPr="00E64308" w:rsidRDefault="00B94081" w:rsidP="00B94081">
      <w:pPr>
        <w:spacing w:line="480" w:lineRule="auto"/>
        <w:rPr>
          <w:sz w:val="24"/>
          <w:szCs w:val="24"/>
        </w:rPr>
      </w:pPr>
      <w:r w:rsidRPr="00E64308">
        <w:rPr>
          <w:b/>
          <w:sz w:val="24"/>
          <w:szCs w:val="24"/>
        </w:rPr>
        <w:t xml:space="preserve">Supplementary Figure </w:t>
      </w:r>
      <w:r>
        <w:rPr>
          <w:b/>
          <w:sz w:val="24"/>
          <w:szCs w:val="24"/>
        </w:rPr>
        <w:t>15</w:t>
      </w:r>
      <w:r>
        <w:rPr>
          <w:b/>
          <w:sz w:val="24"/>
          <w:szCs w:val="24"/>
        </w:rPr>
        <w:t xml:space="preserve">. </w:t>
      </w:r>
      <w:r w:rsidRPr="00E64308">
        <w:rPr>
          <w:sz w:val="24"/>
          <w:szCs w:val="24"/>
        </w:rPr>
        <w:t xml:space="preserve">The FOXM1 and MTDH </w:t>
      </w:r>
      <w:r>
        <w:rPr>
          <w:sz w:val="24"/>
          <w:szCs w:val="24"/>
        </w:rPr>
        <w:t>co-localization in MD11 cells induced xenograft was</w:t>
      </w:r>
      <w:r w:rsidRPr="00E64308">
        <w:rPr>
          <w:sz w:val="24"/>
          <w:szCs w:val="24"/>
        </w:rPr>
        <w:t xml:space="preserve"> detected by </w:t>
      </w:r>
      <w:r>
        <w:rPr>
          <w:sz w:val="24"/>
          <w:szCs w:val="24"/>
        </w:rPr>
        <w:t xml:space="preserve">immuno-florescence double </w:t>
      </w:r>
      <w:r>
        <w:rPr>
          <w:sz w:val="24"/>
          <w:szCs w:val="24"/>
        </w:rPr>
        <w:t>staining</w:t>
      </w:r>
      <w:r w:rsidRPr="00E64308">
        <w:rPr>
          <w:sz w:val="24"/>
          <w:szCs w:val="24"/>
        </w:rPr>
        <w:t>.</w:t>
      </w:r>
      <w:r>
        <w:rPr>
          <w:sz w:val="24"/>
          <w:szCs w:val="24"/>
        </w:rPr>
        <w:t xml:space="preserve"> Scale bars, 2</w:t>
      </w:r>
      <w:r>
        <w:rPr>
          <w:sz w:val="24"/>
          <w:szCs w:val="24"/>
        </w:rPr>
        <w:t>0</w:t>
      </w:r>
      <w:r>
        <w:rPr>
          <w:sz w:val="24"/>
          <w:szCs w:val="24"/>
        </w:rPr>
        <w:t>0</w:t>
      </w:r>
      <w:r>
        <w:rPr>
          <w:rFonts w:ascii="宋体" w:hAnsi="宋体" w:hint="eastAsia"/>
          <w:sz w:val="24"/>
          <w:szCs w:val="24"/>
        </w:rPr>
        <w:t>μ</w:t>
      </w:r>
      <w:r>
        <w:rPr>
          <w:sz w:val="24"/>
          <w:szCs w:val="24"/>
        </w:rPr>
        <w:t xml:space="preserve">m. </w:t>
      </w:r>
    </w:p>
    <w:p w:rsidR="00D908CC" w:rsidRPr="00800808" w:rsidRDefault="00D908CC" w:rsidP="00800808">
      <w:pPr>
        <w:spacing w:line="480" w:lineRule="auto"/>
        <w:rPr>
          <w:sz w:val="24"/>
          <w:szCs w:val="24"/>
          <w:lang w:eastAsia="zh-CN"/>
        </w:rPr>
      </w:pPr>
      <w:bookmarkStart w:id="0" w:name="_GoBack"/>
      <w:bookmarkEnd w:id="0"/>
    </w:p>
    <w:sectPr w:rsidR="00D908CC" w:rsidRPr="008008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FD" w:rsidRDefault="009746FD" w:rsidP="00F9713E">
      <w:r>
        <w:separator/>
      </w:r>
    </w:p>
  </w:endnote>
  <w:endnote w:type="continuationSeparator" w:id="0">
    <w:p w:rsidR="009746FD" w:rsidRDefault="009746FD" w:rsidP="00F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FD" w:rsidRDefault="009746FD" w:rsidP="00F9713E">
      <w:r>
        <w:separator/>
      </w:r>
    </w:p>
  </w:footnote>
  <w:footnote w:type="continuationSeparator" w:id="0">
    <w:p w:rsidR="009746FD" w:rsidRDefault="009746FD" w:rsidP="00F9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CEF"/>
    <w:multiLevelType w:val="hybridMultilevel"/>
    <w:tmpl w:val="EF4CC7F8"/>
    <w:lvl w:ilvl="0" w:tplc="50EA91C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F03B20"/>
    <w:multiLevelType w:val="hybridMultilevel"/>
    <w:tmpl w:val="B1A21C7C"/>
    <w:lvl w:ilvl="0" w:tplc="28687792">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85"/>
    <w:rsid w:val="00080B6C"/>
    <w:rsid w:val="00161947"/>
    <w:rsid w:val="002A028A"/>
    <w:rsid w:val="00400C85"/>
    <w:rsid w:val="00463898"/>
    <w:rsid w:val="006977A7"/>
    <w:rsid w:val="006A524C"/>
    <w:rsid w:val="00800808"/>
    <w:rsid w:val="008C5849"/>
    <w:rsid w:val="009004E5"/>
    <w:rsid w:val="009746FD"/>
    <w:rsid w:val="00986219"/>
    <w:rsid w:val="00A174AC"/>
    <w:rsid w:val="00A926F6"/>
    <w:rsid w:val="00AC4FAD"/>
    <w:rsid w:val="00B936CB"/>
    <w:rsid w:val="00B94081"/>
    <w:rsid w:val="00CC1743"/>
    <w:rsid w:val="00D908CC"/>
    <w:rsid w:val="00DF0783"/>
    <w:rsid w:val="00E64308"/>
    <w:rsid w:val="00F9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B8AF532"/>
  <w15:chartTrackingRefBased/>
  <w15:docId w15:val="{A797D8F1-3907-4266-B529-7B88DB60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00C85"/>
    <w:pPr>
      <w:jc w:val="both"/>
    </w:pPr>
    <w:rPr>
      <w:rFonts w:ascii="Times New Roman" w:hAnsi="Times New Roman"/>
      <w:sz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C85"/>
    <w:pPr>
      <w:spacing w:before="100" w:beforeAutospacing="1" w:after="100" w:afterAutospacing="1"/>
      <w:jc w:val="left"/>
    </w:pPr>
    <w:rPr>
      <w:rFonts w:ascii="宋体" w:hAnsi="宋体" w:cs="宋体"/>
      <w:sz w:val="24"/>
      <w:szCs w:val="24"/>
      <w:lang w:eastAsia="zh-CN"/>
    </w:rPr>
  </w:style>
  <w:style w:type="paragraph" w:styleId="a4">
    <w:name w:val="header"/>
    <w:basedOn w:val="a"/>
    <w:link w:val="a5"/>
    <w:uiPriority w:val="99"/>
    <w:unhideWhenUsed/>
    <w:rsid w:val="00F9713E"/>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F9713E"/>
    <w:rPr>
      <w:rFonts w:ascii="Times New Roman" w:hAnsi="Times New Roman" w:cs="Times New Roman"/>
      <w:kern w:val="0"/>
      <w:sz w:val="18"/>
      <w:szCs w:val="18"/>
      <w:lang w:eastAsia="en-US"/>
    </w:rPr>
  </w:style>
  <w:style w:type="paragraph" w:styleId="a6">
    <w:name w:val="footer"/>
    <w:basedOn w:val="a"/>
    <w:link w:val="a7"/>
    <w:uiPriority w:val="99"/>
    <w:unhideWhenUsed/>
    <w:rsid w:val="00F9713E"/>
    <w:pPr>
      <w:tabs>
        <w:tab w:val="center" w:pos="4153"/>
        <w:tab w:val="right" w:pos="8306"/>
      </w:tabs>
      <w:snapToGrid w:val="0"/>
      <w:jc w:val="left"/>
    </w:pPr>
    <w:rPr>
      <w:sz w:val="18"/>
      <w:szCs w:val="18"/>
    </w:rPr>
  </w:style>
  <w:style w:type="character" w:customStyle="1" w:styleId="a7">
    <w:name w:val="页脚 字符"/>
    <w:link w:val="a6"/>
    <w:uiPriority w:val="99"/>
    <w:rsid w:val="00F9713E"/>
    <w:rPr>
      <w:rFonts w:ascii="Times New Roman" w:hAnsi="Times New Roman" w:cs="Times New Roman"/>
      <w:kern w:val="0"/>
      <w:sz w:val="18"/>
      <w:szCs w:val="18"/>
      <w:lang w:eastAsia="en-US"/>
    </w:rPr>
  </w:style>
  <w:style w:type="character" w:styleId="a8">
    <w:name w:val="Emphasis"/>
    <w:uiPriority w:val="20"/>
    <w:qFormat/>
    <w:rsid w:val="00161947"/>
    <w:rPr>
      <w:i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01086">
      <w:bodyDiv w:val="1"/>
      <w:marLeft w:val="0"/>
      <w:marRight w:val="0"/>
      <w:marTop w:val="0"/>
      <w:marBottom w:val="0"/>
      <w:divBdr>
        <w:top w:val="none" w:sz="0" w:space="0" w:color="auto"/>
        <w:left w:val="none" w:sz="0" w:space="0" w:color="auto"/>
        <w:bottom w:val="none" w:sz="0" w:space="0" w:color="auto"/>
        <w:right w:val="none" w:sz="0" w:space="0" w:color="auto"/>
      </w:divBdr>
    </w:div>
    <w:div w:id="376930181">
      <w:bodyDiv w:val="1"/>
      <w:marLeft w:val="0"/>
      <w:marRight w:val="0"/>
      <w:marTop w:val="0"/>
      <w:marBottom w:val="0"/>
      <w:divBdr>
        <w:top w:val="none" w:sz="0" w:space="0" w:color="auto"/>
        <w:left w:val="none" w:sz="0" w:space="0" w:color="auto"/>
        <w:bottom w:val="none" w:sz="0" w:space="0" w:color="auto"/>
        <w:right w:val="none" w:sz="0" w:space="0" w:color="auto"/>
      </w:divBdr>
    </w:div>
    <w:div w:id="431439225">
      <w:bodyDiv w:val="1"/>
      <w:marLeft w:val="0"/>
      <w:marRight w:val="0"/>
      <w:marTop w:val="0"/>
      <w:marBottom w:val="0"/>
      <w:divBdr>
        <w:top w:val="none" w:sz="0" w:space="0" w:color="auto"/>
        <w:left w:val="none" w:sz="0" w:space="0" w:color="auto"/>
        <w:bottom w:val="none" w:sz="0" w:space="0" w:color="auto"/>
        <w:right w:val="none" w:sz="0" w:space="0" w:color="auto"/>
      </w:divBdr>
    </w:div>
    <w:div w:id="477264725">
      <w:bodyDiv w:val="1"/>
      <w:marLeft w:val="0"/>
      <w:marRight w:val="0"/>
      <w:marTop w:val="0"/>
      <w:marBottom w:val="0"/>
      <w:divBdr>
        <w:top w:val="none" w:sz="0" w:space="0" w:color="auto"/>
        <w:left w:val="none" w:sz="0" w:space="0" w:color="auto"/>
        <w:bottom w:val="none" w:sz="0" w:space="0" w:color="auto"/>
        <w:right w:val="none" w:sz="0" w:space="0" w:color="auto"/>
      </w:divBdr>
    </w:div>
    <w:div w:id="610015705">
      <w:bodyDiv w:val="1"/>
      <w:marLeft w:val="0"/>
      <w:marRight w:val="0"/>
      <w:marTop w:val="0"/>
      <w:marBottom w:val="0"/>
      <w:divBdr>
        <w:top w:val="none" w:sz="0" w:space="0" w:color="auto"/>
        <w:left w:val="none" w:sz="0" w:space="0" w:color="auto"/>
        <w:bottom w:val="none" w:sz="0" w:space="0" w:color="auto"/>
        <w:right w:val="none" w:sz="0" w:space="0" w:color="auto"/>
      </w:divBdr>
    </w:div>
    <w:div w:id="794450472">
      <w:bodyDiv w:val="1"/>
      <w:marLeft w:val="0"/>
      <w:marRight w:val="0"/>
      <w:marTop w:val="0"/>
      <w:marBottom w:val="0"/>
      <w:divBdr>
        <w:top w:val="none" w:sz="0" w:space="0" w:color="auto"/>
        <w:left w:val="none" w:sz="0" w:space="0" w:color="auto"/>
        <w:bottom w:val="none" w:sz="0" w:space="0" w:color="auto"/>
        <w:right w:val="none" w:sz="0" w:space="0" w:color="auto"/>
      </w:divBdr>
    </w:div>
    <w:div w:id="988901863">
      <w:bodyDiv w:val="1"/>
      <w:marLeft w:val="0"/>
      <w:marRight w:val="0"/>
      <w:marTop w:val="0"/>
      <w:marBottom w:val="0"/>
      <w:divBdr>
        <w:top w:val="none" w:sz="0" w:space="0" w:color="auto"/>
        <w:left w:val="none" w:sz="0" w:space="0" w:color="auto"/>
        <w:bottom w:val="none" w:sz="0" w:space="0" w:color="auto"/>
        <w:right w:val="none" w:sz="0" w:space="0" w:color="auto"/>
      </w:divBdr>
    </w:div>
    <w:div w:id="1012336206">
      <w:bodyDiv w:val="1"/>
      <w:marLeft w:val="0"/>
      <w:marRight w:val="0"/>
      <w:marTop w:val="0"/>
      <w:marBottom w:val="0"/>
      <w:divBdr>
        <w:top w:val="none" w:sz="0" w:space="0" w:color="auto"/>
        <w:left w:val="none" w:sz="0" w:space="0" w:color="auto"/>
        <w:bottom w:val="none" w:sz="0" w:space="0" w:color="auto"/>
        <w:right w:val="none" w:sz="0" w:space="0" w:color="auto"/>
      </w:divBdr>
    </w:div>
    <w:div w:id="1333877817">
      <w:bodyDiv w:val="1"/>
      <w:marLeft w:val="0"/>
      <w:marRight w:val="0"/>
      <w:marTop w:val="0"/>
      <w:marBottom w:val="0"/>
      <w:divBdr>
        <w:top w:val="none" w:sz="0" w:space="0" w:color="auto"/>
        <w:left w:val="none" w:sz="0" w:space="0" w:color="auto"/>
        <w:bottom w:val="none" w:sz="0" w:space="0" w:color="auto"/>
        <w:right w:val="none" w:sz="0" w:space="0" w:color="auto"/>
      </w:divBdr>
    </w:div>
    <w:div w:id="1508593995">
      <w:bodyDiv w:val="1"/>
      <w:marLeft w:val="0"/>
      <w:marRight w:val="0"/>
      <w:marTop w:val="0"/>
      <w:marBottom w:val="0"/>
      <w:divBdr>
        <w:top w:val="none" w:sz="0" w:space="0" w:color="auto"/>
        <w:left w:val="none" w:sz="0" w:space="0" w:color="auto"/>
        <w:bottom w:val="none" w:sz="0" w:space="0" w:color="auto"/>
        <w:right w:val="none" w:sz="0" w:space="0" w:color="auto"/>
      </w:divBdr>
    </w:div>
    <w:div w:id="1516338761">
      <w:bodyDiv w:val="1"/>
      <w:marLeft w:val="0"/>
      <w:marRight w:val="0"/>
      <w:marTop w:val="0"/>
      <w:marBottom w:val="0"/>
      <w:divBdr>
        <w:top w:val="none" w:sz="0" w:space="0" w:color="auto"/>
        <w:left w:val="none" w:sz="0" w:space="0" w:color="auto"/>
        <w:bottom w:val="none" w:sz="0" w:space="0" w:color="auto"/>
        <w:right w:val="none" w:sz="0" w:space="0" w:color="auto"/>
      </w:divBdr>
    </w:div>
    <w:div w:id="1771313647">
      <w:bodyDiv w:val="1"/>
      <w:marLeft w:val="0"/>
      <w:marRight w:val="0"/>
      <w:marTop w:val="0"/>
      <w:marBottom w:val="0"/>
      <w:divBdr>
        <w:top w:val="none" w:sz="0" w:space="0" w:color="auto"/>
        <w:left w:val="none" w:sz="0" w:space="0" w:color="auto"/>
        <w:bottom w:val="none" w:sz="0" w:space="0" w:color="auto"/>
        <w:right w:val="none" w:sz="0" w:space="0" w:color="auto"/>
      </w:divBdr>
    </w:div>
    <w:div w:id="1838492080">
      <w:bodyDiv w:val="1"/>
      <w:marLeft w:val="0"/>
      <w:marRight w:val="0"/>
      <w:marTop w:val="0"/>
      <w:marBottom w:val="0"/>
      <w:divBdr>
        <w:top w:val="none" w:sz="0" w:space="0" w:color="auto"/>
        <w:left w:val="none" w:sz="0" w:space="0" w:color="auto"/>
        <w:bottom w:val="none" w:sz="0" w:space="0" w:color="auto"/>
        <w:right w:val="none" w:sz="0" w:space="0" w:color="auto"/>
      </w:divBdr>
    </w:div>
    <w:div w:id="1841196884">
      <w:bodyDiv w:val="1"/>
      <w:marLeft w:val="0"/>
      <w:marRight w:val="0"/>
      <w:marTop w:val="0"/>
      <w:marBottom w:val="0"/>
      <w:divBdr>
        <w:top w:val="none" w:sz="0" w:space="0" w:color="auto"/>
        <w:left w:val="none" w:sz="0" w:space="0" w:color="auto"/>
        <w:bottom w:val="none" w:sz="0" w:space="0" w:color="auto"/>
        <w:right w:val="none" w:sz="0" w:space="0" w:color="auto"/>
      </w:divBdr>
    </w:div>
    <w:div w:id="18709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老张老张</dc:creator>
  <cp:keywords/>
  <dc:description/>
  <cp:lastModifiedBy>老张老张</cp:lastModifiedBy>
  <cp:revision>3</cp:revision>
  <dcterms:created xsi:type="dcterms:W3CDTF">2016-06-19T14:50:00Z</dcterms:created>
  <dcterms:modified xsi:type="dcterms:W3CDTF">2016-06-19T15:13:00Z</dcterms:modified>
</cp:coreProperties>
</file>