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3F4E5" w14:textId="77777777" w:rsidR="00A02C7C" w:rsidRPr="00671B6A" w:rsidRDefault="00A02C7C" w:rsidP="00A02C7C">
      <w:pPr>
        <w:spacing w:line="480" w:lineRule="auto"/>
        <w:jc w:val="center"/>
        <w:rPr>
          <w:b/>
        </w:rPr>
      </w:pPr>
      <w:bookmarkStart w:id="0" w:name="_GoBack"/>
      <w:bookmarkEnd w:id="0"/>
      <w:r w:rsidRPr="00637E07">
        <w:rPr>
          <w:b/>
        </w:rPr>
        <w:t>SUPPL</w:t>
      </w:r>
      <w:r w:rsidRPr="00056683">
        <w:rPr>
          <w:b/>
        </w:rPr>
        <w:t xml:space="preserve">EMENTARY </w:t>
      </w:r>
      <w:r>
        <w:rPr>
          <w:b/>
        </w:rPr>
        <w:t>MATERIAL</w:t>
      </w:r>
      <w:r w:rsidRPr="00671B6A">
        <w:rPr>
          <w:b/>
        </w:rPr>
        <w:t xml:space="preserve"> (online only)</w:t>
      </w:r>
    </w:p>
    <w:p w14:paraId="0AD6CA2A" w14:textId="77777777" w:rsidR="00A02C7C" w:rsidRPr="00403AD7" w:rsidRDefault="00A02C7C" w:rsidP="00A02C7C">
      <w:pPr>
        <w:spacing w:line="480" w:lineRule="auto"/>
        <w:jc w:val="center"/>
        <w:rPr>
          <w:b/>
          <w:sz w:val="28"/>
          <w:szCs w:val="28"/>
        </w:rPr>
      </w:pPr>
      <w:r w:rsidRPr="00403AD7">
        <w:rPr>
          <w:b/>
          <w:sz w:val="28"/>
          <w:szCs w:val="28"/>
        </w:rPr>
        <w:t>Discussion of the Study Design and Amendments to the Protocol</w:t>
      </w:r>
    </w:p>
    <w:p w14:paraId="6D165FFB" w14:textId="77777777" w:rsidR="00A02C7C" w:rsidRPr="00163936" w:rsidRDefault="00A02C7C" w:rsidP="00A02C7C">
      <w:pPr>
        <w:spacing w:line="480" w:lineRule="auto"/>
        <w:rPr>
          <w:b/>
          <w:u w:val="single"/>
        </w:rPr>
      </w:pPr>
      <w:r w:rsidRPr="00163936">
        <w:rPr>
          <w:b/>
          <w:u w:val="single"/>
        </w:rPr>
        <w:t xml:space="preserve">Patient </w:t>
      </w:r>
      <w:r w:rsidR="00A431A4">
        <w:rPr>
          <w:b/>
          <w:u w:val="single"/>
        </w:rPr>
        <w:t>g</w:t>
      </w:r>
      <w:r w:rsidRPr="00163936">
        <w:rPr>
          <w:b/>
          <w:u w:val="single"/>
        </w:rPr>
        <w:t>roups and efficacy endpoints</w:t>
      </w:r>
    </w:p>
    <w:p w14:paraId="0E6D1F44" w14:textId="5D0D3A7B" w:rsidR="00A02C7C" w:rsidRDefault="00A02C7C" w:rsidP="004D456F">
      <w:pPr>
        <w:spacing w:line="480" w:lineRule="auto"/>
        <w:ind w:firstLine="720"/>
        <w:jc w:val="both"/>
      </w:pPr>
      <w:r w:rsidRPr="004A2FE8">
        <w:t xml:space="preserve">The </w:t>
      </w:r>
      <w:r w:rsidR="00A431A4">
        <w:t xml:space="preserve">protocol for the </w:t>
      </w:r>
      <w:r w:rsidRPr="004A2FE8">
        <w:t xml:space="preserve">study </w:t>
      </w:r>
      <w:r w:rsidR="00A431A4">
        <w:t xml:space="preserve">described in Wen et al and Cloughesy et al </w:t>
      </w:r>
      <w:r>
        <w:t xml:space="preserve">specified </w:t>
      </w:r>
      <w:r w:rsidRPr="004A2FE8">
        <w:t xml:space="preserve">three separate groups of </w:t>
      </w:r>
      <w:r>
        <w:t>patient</w:t>
      </w:r>
      <w:r w:rsidRPr="004A2FE8">
        <w:t>s</w:t>
      </w:r>
      <w:r>
        <w:t xml:space="preserve"> (A, B, and C)</w:t>
      </w:r>
      <w:r w:rsidR="0071675A" w:rsidRPr="004D6D80">
        <w:t>,</w:t>
      </w:r>
      <w:r w:rsidRPr="004A2FE8">
        <w:t xml:space="preserve"> </w:t>
      </w:r>
      <w:r>
        <w:t xml:space="preserve">which were added sequentially under different versions of the protocol. </w:t>
      </w:r>
      <w:r w:rsidRPr="004A2FE8">
        <w:t>Group A</w:t>
      </w:r>
      <w:r>
        <w:t xml:space="preserve"> </w:t>
      </w:r>
      <w:r w:rsidR="00F72E67">
        <w:t>(</w:t>
      </w:r>
      <w:r w:rsidR="00837FF6">
        <w:t>46</w:t>
      </w:r>
      <w:r w:rsidR="00F72E67">
        <w:t xml:space="preserve"> planned; </w:t>
      </w:r>
      <w:r w:rsidR="00837FF6">
        <w:t>46</w:t>
      </w:r>
      <w:r w:rsidR="00F72E67">
        <w:t xml:space="preserve"> enrolled) </w:t>
      </w:r>
      <w:r w:rsidRPr="004A2FE8">
        <w:t>had a starting dose of 140</w:t>
      </w:r>
      <w:r>
        <w:t xml:space="preserve"> </w:t>
      </w:r>
      <w:r w:rsidRPr="004A2FE8">
        <w:t>mg/day</w:t>
      </w:r>
      <w:r w:rsidR="00837FF6">
        <w:t xml:space="preserve"> (all cabozantinib doses are expressed as the freebase equivalent)</w:t>
      </w:r>
      <w:r w:rsidRPr="004A2FE8">
        <w:t xml:space="preserve">. </w:t>
      </w:r>
      <w:r w:rsidR="00C86A53">
        <w:t xml:space="preserve">The planned sample size of 46 was to evaluate PFS based on the following hypotheses </w:t>
      </w:r>
      <w:r w:rsidR="00C86A53" w:rsidRPr="00537910">
        <w:t>(1-sided nominal alpha of 0.05 and power of 85%) H</w:t>
      </w:r>
      <w:r w:rsidR="00C86A53" w:rsidRPr="001F054E">
        <w:rPr>
          <w:vertAlign w:val="subscript"/>
        </w:rPr>
        <w:t>0</w:t>
      </w:r>
      <w:r w:rsidR="00C86A53" w:rsidRPr="00537910">
        <w:t>: Proportion with PFS at 6 months = 25% and H</w:t>
      </w:r>
      <w:r w:rsidR="00C86A53" w:rsidRPr="001F054E">
        <w:rPr>
          <w:vertAlign w:val="subscript"/>
        </w:rPr>
        <w:t>A</w:t>
      </w:r>
      <w:r w:rsidR="00C86A53" w:rsidRPr="00537910">
        <w:t xml:space="preserve">: proportion of with PFS at 6 months = 45 %. </w:t>
      </w:r>
      <w:r w:rsidRPr="004A2FE8">
        <w:t>Due to a high rate of dose reductions due to adverse events, the protocol was subsequently amended to enroll subjects at a lower starting dose of 100</w:t>
      </w:r>
      <w:r>
        <w:t xml:space="preserve"> </w:t>
      </w:r>
      <w:r w:rsidRPr="004A2FE8">
        <w:t xml:space="preserve">mg/day (Group B). Treatment Group B consisted of two subgroups: those </w:t>
      </w:r>
      <w:r>
        <w:t>naive</w:t>
      </w:r>
      <w:r w:rsidRPr="004A2FE8">
        <w:t xml:space="preserve"> to antiangiogenic therapy (B1</w:t>
      </w:r>
      <w:r w:rsidR="00F72E67">
        <w:t>; 80 planned</w:t>
      </w:r>
      <w:r w:rsidRPr="004A2FE8">
        <w:t>) and those that ha</w:t>
      </w:r>
      <w:r>
        <w:t>d</w:t>
      </w:r>
      <w:r w:rsidRPr="004A2FE8">
        <w:t xml:space="preserve"> received prior antiangiogenic therapy (B2</w:t>
      </w:r>
      <w:r w:rsidR="00F72E67">
        <w:t>; 20 planned</w:t>
      </w:r>
      <w:r w:rsidR="0071675A">
        <w:t xml:space="preserve">). </w:t>
      </w:r>
      <w:r w:rsidRPr="004A2FE8">
        <w:t xml:space="preserve">In addition, the </w:t>
      </w:r>
      <w:r w:rsidR="00F72E67">
        <w:t xml:space="preserve">study </w:t>
      </w:r>
      <w:r w:rsidRPr="004A2FE8">
        <w:t xml:space="preserve">primary endpoint was changed from </w:t>
      </w:r>
      <w:r>
        <w:t>progression-free survival (</w:t>
      </w:r>
      <w:r w:rsidRPr="004A2FE8">
        <w:t>PFS</w:t>
      </w:r>
      <w:r>
        <w:t>)</w:t>
      </w:r>
      <w:r w:rsidRPr="004A2FE8">
        <w:t xml:space="preserve"> at 6 months assessed </w:t>
      </w:r>
      <w:r w:rsidR="00F72E67">
        <w:t xml:space="preserve">in </w:t>
      </w:r>
      <w:r w:rsidRPr="004A2FE8">
        <w:t xml:space="preserve">Group A to </w:t>
      </w:r>
      <w:r>
        <w:t>objective response rate (</w:t>
      </w:r>
      <w:r w:rsidRPr="004A2FE8">
        <w:t>ORR</w:t>
      </w:r>
      <w:r>
        <w:t>)</w:t>
      </w:r>
      <w:r w:rsidRPr="004A2FE8">
        <w:t xml:space="preserve"> assessed in Group B1. The protocol was later amended to add Group C, which also consisted of </w:t>
      </w:r>
      <w:r>
        <w:t xml:space="preserve">a </w:t>
      </w:r>
      <w:r w:rsidRPr="004A2FE8">
        <w:t>subgroup</w:t>
      </w:r>
      <w:r>
        <w:t xml:space="preserve"> naive</w:t>
      </w:r>
      <w:r w:rsidRPr="004A2FE8">
        <w:t xml:space="preserve"> to antiangiogenic therapy (C1</w:t>
      </w:r>
      <w:r>
        <w:t>; 80 patients planned</w:t>
      </w:r>
      <w:r w:rsidR="00F72E67">
        <w:t xml:space="preserve">; </w:t>
      </w:r>
      <w:r w:rsidR="00837FF6">
        <w:t>81</w:t>
      </w:r>
      <w:r w:rsidR="00F72E67">
        <w:t xml:space="preserve"> enrolled</w:t>
      </w:r>
      <w:r w:rsidRPr="004A2FE8">
        <w:t xml:space="preserve">) and </w:t>
      </w:r>
      <w:r>
        <w:t>a subgroup</w:t>
      </w:r>
      <w:r w:rsidRPr="004A2FE8">
        <w:t xml:space="preserve"> </w:t>
      </w:r>
      <w:r>
        <w:t>that</w:t>
      </w:r>
      <w:r w:rsidRPr="004A2FE8">
        <w:t xml:space="preserve"> had received prior antiangiogenic therapy (C2</w:t>
      </w:r>
      <w:r>
        <w:t>; 45 patients planned</w:t>
      </w:r>
      <w:r w:rsidR="00F72E67">
        <w:t xml:space="preserve">; </w:t>
      </w:r>
      <w:r w:rsidR="00837FF6">
        <w:t>36</w:t>
      </w:r>
      <w:r w:rsidR="00F72E67">
        <w:t xml:space="preserve"> </w:t>
      </w:r>
      <w:r w:rsidR="00837FF6">
        <w:t>enrolled</w:t>
      </w:r>
      <w:r w:rsidRPr="004A2FE8">
        <w:t>)</w:t>
      </w:r>
      <w:r>
        <w:t>, and the planned enrollment for Group B was reduced to 15 patients in each subgroup to evaluate the initial safety and tolerability of the 100-mg/day dose</w:t>
      </w:r>
      <w:r w:rsidR="00837FF6">
        <w:t xml:space="preserve"> (37 were enrolled in B1 and 22 were enrolled in B2)</w:t>
      </w:r>
      <w:r w:rsidRPr="004A2FE8">
        <w:t xml:space="preserve">. The primary endpoint of ORR was now to be assessed in Group C1. </w:t>
      </w:r>
    </w:p>
    <w:p w14:paraId="0B552995" w14:textId="74C67637" w:rsidR="00A02C7C" w:rsidRDefault="00A02C7C" w:rsidP="004D456F">
      <w:pPr>
        <w:spacing w:line="480" w:lineRule="auto"/>
        <w:ind w:firstLine="720"/>
        <w:jc w:val="both"/>
      </w:pPr>
      <w:r>
        <w:t xml:space="preserve">The protocol also specified a modified intent-to-treat population for efficacy analyses </w:t>
      </w:r>
      <w:r w:rsidR="00F72E67">
        <w:t xml:space="preserve">that </w:t>
      </w:r>
      <w:r>
        <w:t>would consist of the group of patients confirmed to have glioblastoma multiforme</w:t>
      </w:r>
      <w:r w:rsidR="00BF07B1">
        <w:t xml:space="preserve"> (GBM)</w:t>
      </w:r>
      <w:r>
        <w:t xml:space="preserve"> per </w:t>
      </w:r>
      <w:r>
        <w:lastRenderedPageBreak/>
        <w:t xml:space="preserve">retrospective pathology review. However, the modified intent-to-treat population was redefined to remove this specification. </w:t>
      </w:r>
      <w:r w:rsidR="00F72E67">
        <w:t>All analyses of safety and efficacy include all treated subjects unless otherwise specified.</w:t>
      </w:r>
    </w:p>
    <w:p w14:paraId="783DCD10" w14:textId="3A9286D0" w:rsidR="00C86A53" w:rsidRPr="004A2FE8" w:rsidRDefault="00FC5D4B" w:rsidP="00C86A53">
      <w:pPr>
        <w:spacing w:line="480" w:lineRule="auto"/>
        <w:ind w:firstLine="720"/>
        <w:jc w:val="both"/>
      </w:pPr>
      <w:r>
        <w:t xml:space="preserve">These groups also had differences, discussed below, in </w:t>
      </w:r>
      <w:r w:rsidR="00837FF6">
        <w:t>entry</w:t>
      </w:r>
      <w:r w:rsidRPr="004A2FE8">
        <w:t xml:space="preserve"> criteria</w:t>
      </w:r>
      <w:r w:rsidR="00837FF6">
        <w:t xml:space="preserve"> and</w:t>
      </w:r>
      <w:r w:rsidRPr="004A2FE8">
        <w:t xml:space="preserve"> </w:t>
      </w:r>
      <w:r w:rsidR="0056769A">
        <w:t>tumor</w:t>
      </w:r>
      <w:r w:rsidRPr="004A2FE8">
        <w:t xml:space="preserve"> assessment schedule</w:t>
      </w:r>
      <w:r w:rsidR="009F36B3">
        <w:t xml:space="preserve"> </w:t>
      </w:r>
      <w:r w:rsidRPr="004A2FE8">
        <w:t>and criteria.</w:t>
      </w:r>
    </w:p>
    <w:p w14:paraId="03BC827F" w14:textId="77777777" w:rsidR="00A02C7C" w:rsidRPr="00163936" w:rsidRDefault="00A02C7C" w:rsidP="00794A5D">
      <w:pPr>
        <w:keepNext/>
        <w:widowControl w:val="0"/>
        <w:spacing w:line="480" w:lineRule="auto"/>
        <w:rPr>
          <w:b/>
          <w:u w:val="single"/>
        </w:rPr>
      </w:pPr>
      <w:r w:rsidRPr="00163936">
        <w:rPr>
          <w:b/>
          <w:u w:val="single"/>
        </w:rPr>
        <w:t>Combination of groups for analyses</w:t>
      </w:r>
    </w:p>
    <w:p w14:paraId="71E6F5FC" w14:textId="0C96D50E" w:rsidR="00A02C7C" w:rsidRDefault="00A02C7C" w:rsidP="004D456F">
      <w:pPr>
        <w:spacing w:line="480" w:lineRule="auto"/>
        <w:ind w:firstLine="720"/>
        <w:jc w:val="both"/>
      </w:pPr>
      <w:r w:rsidRPr="004A2FE8">
        <w:t xml:space="preserve">For regulatory purposes, the protocol specified that these groups would not be combined for efficacy analyses due to differences </w:t>
      </w:r>
      <w:r w:rsidR="00837FF6">
        <w:t>described herein</w:t>
      </w:r>
      <w:r w:rsidRPr="004A2FE8">
        <w:t xml:space="preserve">. </w:t>
      </w:r>
      <w:r>
        <w:t>However, for the purpose</w:t>
      </w:r>
      <w:r w:rsidRPr="004A2FE8">
        <w:t xml:space="preserve"> of simplifying the data for publication, groups were analyzed as follows. Group A (starting dose of 140</w:t>
      </w:r>
      <w:r>
        <w:t xml:space="preserve"> </w:t>
      </w:r>
      <w:r w:rsidRPr="004A2FE8">
        <w:t xml:space="preserve">mg/day) was retrospectively divided into subgroups of </w:t>
      </w:r>
      <w:r>
        <w:t>antiangiogenic-naive</w:t>
      </w:r>
      <w:r w:rsidRPr="004A2FE8">
        <w:t xml:space="preserve"> and </w:t>
      </w:r>
      <w:r>
        <w:noBreakHyphen/>
      </w:r>
      <w:r w:rsidRPr="004A2FE8">
        <w:t xml:space="preserve">pretreated </w:t>
      </w:r>
      <w:r>
        <w:t>patients for consistency with Groups B and C</w:t>
      </w:r>
      <w:r w:rsidRPr="004A2FE8">
        <w:t>. For patients with a starting dose of 100</w:t>
      </w:r>
      <w:r>
        <w:t xml:space="preserve"> </w:t>
      </w:r>
      <w:r w:rsidRPr="004A2FE8">
        <w:t xml:space="preserve">mg/day, </w:t>
      </w:r>
      <w:r w:rsidR="001819E4">
        <w:t>G</w:t>
      </w:r>
      <w:r w:rsidRPr="004A2FE8">
        <w:t xml:space="preserve">roups B1 and C1 were combined into </w:t>
      </w:r>
      <w:r w:rsidR="001D5998">
        <w:t>1</w:t>
      </w:r>
      <w:r w:rsidR="001D5998" w:rsidRPr="004A2FE8">
        <w:t xml:space="preserve"> </w:t>
      </w:r>
      <w:r w:rsidRPr="004A2FE8">
        <w:t xml:space="preserve">group </w:t>
      </w:r>
      <w:r>
        <w:t>naive</w:t>
      </w:r>
      <w:r w:rsidRPr="004A2FE8">
        <w:t xml:space="preserve"> to antiangiogenic therapy and </w:t>
      </w:r>
      <w:r w:rsidR="001819E4">
        <w:t>G</w:t>
      </w:r>
      <w:r w:rsidR="001819E4" w:rsidRPr="004A2FE8">
        <w:t xml:space="preserve">roups </w:t>
      </w:r>
      <w:r w:rsidRPr="004A2FE8">
        <w:t xml:space="preserve">B2 and C2 were combined into </w:t>
      </w:r>
      <w:r w:rsidR="001D5998">
        <w:t>1</w:t>
      </w:r>
      <w:r w:rsidR="001D5998" w:rsidRPr="004A2FE8">
        <w:t xml:space="preserve"> </w:t>
      </w:r>
      <w:r w:rsidRPr="004A2FE8">
        <w:t xml:space="preserve">group pretreated with antiangiogenic therapy. Efficacy and safety were analyzed for each of these groups and are discussed in two separate papers, one on </w:t>
      </w:r>
      <w:r>
        <w:t>patients</w:t>
      </w:r>
      <w:r w:rsidRPr="004A2FE8">
        <w:t xml:space="preserve"> </w:t>
      </w:r>
      <w:r>
        <w:t>naive</w:t>
      </w:r>
      <w:r w:rsidRPr="004A2FE8">
        <w:t xml:space="preserve"> </w:t>
      </w:r>
      <w:r>
        <w:t>to antiangiogenic therapy</w:t>
      </w:r>
      <w:r w:rsidR="00403AD7">
        <w:t xml:space="preserve"> (Wen et al)</w:t>
      </w:r>
      <w:r>
        <w:t xml:space="preserve"> </w:t>
      </w:r>
      <w:r w:rsidRPr="004A2FE8">
        <w:t xml:space="preserve">and the other on </w:t>
      </w:r>
      <w:r>
        <w:t>patients who had received</w:t>
      </w:r>
      <w:r w:rsidRPr="004A2FE8">
        <w:t xml:space="preserve"> antiangiogenic therapy</w:t>
      </w:r>
      <w:r w:rsidR="00403AD7">
        <w:t xml:space="preserve"> (Cloughesy et al)</w:t>
      </w:r>
      <w:r w:rsidRPr="004A2FE8">
        <w:t xml:space="preserve">. </w:t>
      </w:r>
    </w:p>
    <w:p w14:paraId="4477B90F" w14:textId="1CE55273" w:rsidR="00A02C7C" w:rsidRDefault="00A02C7C" w:rsidP="004D456F">
      <w:pPr>
        <w:spacing w:line="480" w:lineRule="auto"/>
        <w:ind w:firstLine="720"/>
        <w:jc w:val="both"/>
      </w:pPr>
      <w:r>
        <w:t xml:space="preserve">Therefore, the </w:t>
      </w:r>
      <w:r w:rsidRPr="00C1399F">
        <w:t xml:space="preserve">total sample size of 152 </w:t>
      </w:r>
      <w:r>
        <w:t>antiangiogenic-naive</w:t>
      </w:r>
      <w:r w:rsidRPr="00C1399F">
        <w:t xml:space="preserve"> patients summarized in </w:t>
      </w:r>
      <w:r>
        <w:t>Wen et al</w:t>
      </w:r>
      <w:r w:rsidRPr="00C1399F">
        <w:t xml:space="preserve"> arose from the following 3 groups: </w:t>
      </w:r>
      <w:r w:rsidR="00AB6ABA">
        <w:t>(</w:t>
      </w:r>
      <w:r w:rsidRPr="00C1399F">
        <w:t xml:space="preserve">1) 34 </w:t>
      </w:r>
      <w:r>
        <w:t>antiangiogenic-naive</w:t>
      </w:r>
      <w:r w:rsidRPr="00C1399F">
        <w:t xml:space="preserve"> patients</w:t>
      </w:r>
      <w:r w:rsidR="00511A12">
        <w:t xml:space="preserve"> (retrospectively defined Group A1)</w:t>
      </w:r>
      <w:r w:rsidRPr="00C1399F">
        <w:t xml:space="preserve"> from among 46 total patients planned, enrolled, and treated </w:t>
      </w:r>
      <w:r w:rsidR="00511A12">
        <w:t xml:space="preserve">in Group A </w:t>
      </w:r>
      <w:r w:rsidRPr="00C1399F">
        <w:t>at 1</w:t>
      </w:r>
      <w:r w:rsidR="00AB6ABA">
        <w:t>40 mg to initially evaluate PFS</w:t>
      </w:r>
      <w:r w:rsidR="00AB6ABA" w:rsidRPr="004D6D80">
        <w:t>;</w:t>
      </w:r>
      <w:r w:rsidRPr="00C1399F">
        <w:t xml:space="preserve"> </w:t>
      </w:r>
      <w:r w:rsidR="00AB6ABA">
        <w:t>(2) a</w:t>
      </w:r>
      <w:r w:rsidRPr="00C1399F">
        <w:t xml:space="preserve">ll 37 from a planned cohort of 15 </w:t>
      </w:r>
      <w:r>
        <w:t>antiangiogenic-naive</w:t>
      </w:r>
      <w:r w:rsidRPr="00C1399F">
        <w:t xml:space="preserve"> </w:t>
      </w:r>
      <w:r w:rsidR="00837FF6">
        <w:t xml:space="preserve">(Group B1) </w:t>
      </w:r>
      <w:r w:rsidRPr="00DB146E">
        <w:t>patients that allowed preliminary qualitative evaluation of safety and tolerability at th</w:t>
      </w:r>
      <w:r>
        <w:t>e 100-mg/day</w:t>
      </w:r>
      <w:r w:rsidR="00AB6ABA">
        <w:t xml:space="preserve"> dose</w:t>
      </w:r>
      <w:r w:rsidR="00AB6ABA" w:rsidRPr="004D6D80">
        <w:t>;</w:t>
      </w:r>
      <w:r w:rsidRPr="00DB146E">
        <w:t xml:space="preserve"> and </w:t>
      </w:r>
      <w:r w:rsidR="00AB6ABA">
        <w:t>(3) a</w:t>
      </w:r>
      <w:r w:rsidRPr="00DB146E">
        <w:t>ll 81 patien</w:t>
      </w:r>
      <w:r>
        <w:t>ts from a planned cohort of 80 antiangiogenic-naive</w:t>
      </w:r>
      <w:r w:rsidRPr="00DB146E">
        <w:t xml:space="preserve"> patients </w:t>
      </w:r>
      <w:r w:rsidR="00837FF6">
        <w:t xml:space="preserve">(Group C1) </w:t>
      </w:r>
      <w:r>
        <w:t xml:space="preserve">at the 100-mg/day dose </w:t>
      </w:r>
      <w:r w:rsidRPr="00DB146E">
        <w:t xml:space="preserve">to evaluate ORR. </w:t>
      </w:r>
    </w:p>
    <w:p w14:paraId="40035FAC" w14:textId="0D07123D" w:rsidR="00A02C7C" w:rsidRDefault="00A02C7C" w:rsidP="004D456F">
      <w:pPr>
        <w:spacing w:line="480" w:lineRule="auto"/>
        <w:ind w:firstLine="720"/>
        <w:jc w:val="both"/>
      </w:pPr>
      <w:r>
        <w:lastRenderedPageBreak/>
        <w:t xml:space="preserve">The total sample size of 70 patients </w:t>
      </w:r>
      <w:r w:rsidRPr="00B42E59">
        <w:t>who had received previous antiangiogenic therapy</w:t>
      </w:r>
      <w:r>
        <w:t xml:space="preserve"> summarized in Cloughesy et al arose from the following 3 groups: </w:t>
      </w:r>
      <w:r w:rsidR="00AB6ABA">
        <w:t>(</w:t>
      </w:r>
      <w:r>
        <w:t>1) 12 patients who had received previous antiangiogenic therapy (</w:t>
      </w:r>
      <w:r w:rsidR="00511A12">
        <w:t xml:space="preserve">retrospectively defined </w:t>
      </w:r>
      <w:r>
        <w:t xml:space="preserve">Group A2) </w:t>
      </w:r>
      <w:r w:rsidRPr="00537910">
        <w:t xml:space="preserve">from among 46 total patients planned, enrolled, and treated </w:t>
      </w:r>
      <w:r w:rsidR="00511A12">
        <w:t xml:space="preserve">in Group A </w:t>
      </w:r>
      <w:r w:rsidRPr="00537910">
        <w:t>at 1</w:t>
      </w:r>
      <w:r w:rsidR="00AB6ABA">
        <w:t>40 mg to initially evaluate PFS</w:t>
      </w:r>
      <w:r w:rsidR="00AB6ABA" w:rsidRPr="004D6D80">
        <w:t>;</w:t>
      </w:r>
      <w:r w:rsidRPr="00537910">
        <w:t xml:space="preserve"> </w:t>
      </w:r>
      <w:r w:rsidR="00AB6ABA">
        <w:t>(2) a</w:t>
      </w:r>
      <w:r w:rsidRPr="00537910">
        <w:t xml:space="preserve">ll </w:t>
      </w:r>
      <w:r>
        <w:t>22</w:t>
      </w:r>
      <w:r w:rsidRPr="00537910">
        <w:t xml:space="preserve"> from a planned cohort of 15 patients</w:t>
      </w:r>
      <w:r>
        <w:t xml:space="preserve"> (Group B2)</w:t>
      </w:r>
      <w:r w:rsidRPr="00537910">
        <w:t xml:space="preserve"> defined in a protocol amendment that allowed preliminary qualitative evaluation of safety and tolerability at </w:t>
      </w:r>
      <w:r>
        <w:t>the 100-mg/day</w:t>
      </w:r>
      <w:r w:rsidR="00AB6ABA">
        <w:t xml:space="preserve"> dose</w:t>
      </w:r>
      <w:r w:rsidR="00AB6ABA" w:rsidRPr="004D6D80">
        <w:t>;</w:t>
      </w:r>
      <w:r w:rsidRPr="00537910">
        <w:t xml:space="preserve"> and </w:t>
      </w:r>
      <w:r w:rsidR="00AB6ABA">
        <w:t>(3) a</w:t>
      </w:r>
      <w:r w:rsidRPr="00537910">
        <w:t xml:space="preserve">ll </w:t>
      </w:r>
      <w:r>
        <w:t>36</w:t>
      </w:r>
      <w:r w:rsidRPr="00537910">
        <w:t xml:space="preserve"> patients from a planned cohort of </w:t>
      </w:r>
      <w:r>
        <w:t>45</w:t>
      </w:r>
      <w:r w:rsidRPr="00537910">
        <w:t xml:space="preserve"> patients</w:t>
      </w:r>
      <w:r>
        <w:t xml:space="preserve"> (Group C2)</w:t>
      </w:r>
      <w:r w:rsidRPr="00537910">
        <w:t xml:space="preserve"> </w:t>
      </w:r>
      <w:r>
        <w:t>at the 100-mg/day dose to evaluate ORR.</w:t>
      </w:r>
      <w:r w:rsidRPr="00B42E59">
        <w:t xml:space="preserve"> </w:t>
      </w:r>
    </w:p>
    <w:p w14:paraId="5C7A208D" w14:textId="77777777" w:rsidR="00A02C7C" w:rsidRPr="00403AD7" w:rsidRDefault="00A02C7C" w:rsidP="00A02C7C">
      <w:pPr>
        <w:spacing w:line="480" w:lineRule="auto"/>
        <w:rPr>
          <w:b/>
          <w:u w:val="single"/>
        </w:rPr>
      </w:pPr>
      <w:r w:rsidRPr="00403AD7">
        <w:rPr>
          <w:b/>
          <w:u w:val="single"/>
        </w:rPr>
        <w:t>Entry criteria</w:t>
      </w:r>
    </w:p>
    <w:p w14:paraId="543F9D9C" w14:textId="568E012A" w:rsidR="00A02C7C" w:rsidRDefault="00A02C7C" w:rsidP="004D456F">
      <w:pPr>
        <w:spacing w:line="480" w:lineRule="auto"/>
        <w:jc w:val="both"/>
      </w:pPr>
      <w:r>
        <w:t>Some entry criteria differed between the three treatment groups. Highlights of entry criteria that differed a</w:t>
      </w:r>
      <w:r w:rsidR="00733C90">
        <w:t xml:space="preserve">re shown in </w:t>
      </w:r>
      <w:r w:rsidR="009C02DE" w:rsidRPr="004D6D80">
        <w:t xml:space="preserve">Supplementary </w:t>
      </w:r>
      <w:r w:rsidR="00733C90" w:rsidRPr="004D6D80">
        <w:t>T</w:t>
      </w:r>
      <w:r w:rsidRPr="004D6D80">
        <w:t xml:space="preserve">able </w:t>
      </w:r>
      <w:r w:rsidR="00733C90" w:rsidRPr="004D6D80">
        <w:t>1</w:t>
      </w:r>
      <w:r w:rsidR="00733C90">
        <w:t xml:space="preserve"> </w:t>
      </w:r>
      <w:r>
        <w:t xml:space="preserve">below. Group C had updated entry criteria based on those proposed by the </w:t>
      </w:r>
      <w:r w:rsidRPr="00B42E59">
        <w:t xml:space="preserve">Response Assessment in Neuro-Oncology </w:t>
      </w:r>
      <w:r>
        <w:t>(RANO) guidelines</w:t>
      </w:r>
      <w:r w:rsidR="00733C90">
        <w:t xml:space="preserve"> (Supplementary Table </w:t>
      </w:r>
      <w:r w:rsidR="00733C90" w:rsidRPr="004D6D80">
        <w:t>2</w:t>
      </w:r>
      <w:r w:rsidR="00A431A4">
        <w:t>)</w:t>
      </w:r>
      <w:r>
        <w:t>.</w:t>
      </w:r>
    </w:p>
    <w:p w14:paraId="0AA69896" w14:textId="77777777" w:rsidR="007F6215" w:rsidRDefault="007F6215" w:rsidP="004D456F">
      <w:pPr>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4040C" w14:paraId="66BB059C" w14:textId="77777777" w:rsidTr="004D6D80">
        <w:tc>
          <w:tcPr>
            <w:tcW w:w="9576" w:type="dxa"/>
            <w:gridSpan w:val="3"/>
            <w:tcBorders>
              <w:bottom w:val="single" w:sz="4" w:space="0" w:color="auto"/>
            </w:tcBorders>
            <w:shd w:val="clear" w:color="auto" w:fill="auto"/>
          </w:tcPr>
          <w:p w14:paraId="44C578E0" w14:textId="756DFE75" w:rsidR="0044040C" w:rsidRPr="00E84D0A" w:rsidRDefault="009C02DE" w:rsidP="001811ED">
            <w:pPr>
              <w:rPr>
                <w:b/>
                <w:sz w:val="22"/>
                <w:szCs w:val="22"/>
              </w:rPr>
            </w:pPr>
            <w:r w:rsidRPr="004D6D80">
              <w:rPr>
                <w:b/>
              </w:rPr>
              <w:t xml:space="preserve">Supplementary </w:t>
            </w:r>
            <w:r w:rsidR="00765E33" w:rsidRPr="004D6D80">
              <w:rPr>
                <w:b/>
              </w:rPr>
              <w:t xml:space="preserve">Table 1. Entry Criteria Differences </w:t>
            </w:r>
            <w:r w:rsidR="00F7205B">
              <w:rPr>
                <w:b/>
              </w:rPr>
              <w:t>Among</w:t>
            </w:r>
            <w:r w:rsidR="00F7205B" w:rsidRPr="004D6D80">
              <w:rPr>
                <w:b/>
              </w:rPr>
              <w:t xml:space="preserve"> </w:t>
            </w:r>
            <w:r w:rsidR="00765E33" w:rsidRPr="004D6D80">
              <w:rPr>
                <w:b/>
              </w:rPr>
              <w:t>Treatment Groups</w:t>
            </w:r>
          </w:p>
        </w:tc>
      </w:tr>
      <w:tr w:rsidR="00A02C7C" w14:paraId="4B01F14E" w14:textId="77777777" w:rsidTr="007F6215">
        <w:tc>
          <w:tcPr>
            <w:tcW w:w="3192" w:type="dxa"/>
            <w:tcBorders>
              <w:top w:val="single" w:sz="4" w:space="0" w:color="auto"/>
              <w:bottom w:val="single" w:sz="4" w:space="0" w:color="auto"/>
            </w:tcBorders>
          </w:tcPr>
          <w:p w14:paraId="278E4217" w14:textId="77777777" w:rsidR="00A02C7C" w:rsidRPr="00E84D0A" w:rsidRDefault="00A02C7C" w:rsidP="007F6215">
            <w:pPr>
              <w:jc w:val="center"/>
              <w:rPr>
                <w:b/>
                <w:sz w:val="22"/>
                <w:szCs w:val="22"/>
              </w:rPr>
            </w:pPr>
            <w:r w:rsidRPr="00E84D0A">
              <w:rPr>
                <w:b/>
                <w:sz w:val="22"/>
                <w:szCs w:val="22"/>
              </w:rPr>
              <w:t>Group A</w:t>
            </w:r>
          </w:p>
        </w:tc>
        <w:tc>
          <w:tcPr>
            <w:tcW w:w="3192" w:type="dxa"/>
            <w:tcBorders>
              <w:top w:val="single" w:sz="4" w:space="0" w:color="auto"/>
              <w:bottom w:val="single" w:sz="4" w:space="0" w:color="auto"/>
            </w:tcBorders>
          </w:tcPr>
          <w:p w14:paraId="178A2CB9" w14:textId="77777777" w:rsidR="00A02C7C" w:rsidRPr="00E84D0A" w:rsidRDefault="00A02C7C" w:rsidP="007F6215">
            <w:pPr>
              <w:jc w:val="center"/>
              <w:rPr>
                <w:b/>
                <w:sz w:val="22"/>
                <w:szCs w:val="22"/>
              </w:rPr>
            </w:pPr>
            <w:r w:rsidRPr="00E84D0A">
              <w:rPr>
                <w:b/>
                <w:sz w:val="22"/>
                <w:szCs w:val="22"/>
              </w:rPr>
              <w:t>Group B</w:t>
            </w:r>
          </w:p>
        </w:tc>
        <w:tc>
          <w:tcPr>
            <w:tcW w:w="3192" w:type="dxa"/>
            <w:tcBorders>
              <w:top w:val="single" w:sz="4" w:space="0" w:color="auto"/>
              <w:bottom w:val="single" w:sz="4" w:space="0" w:color="auto"/>
            </w:tcBorders>
          </w:tcPr>
          <w:p w14:paraId="2AE269CF" w14:textId="77777777" w:rsidR="00A02C7C" w:rsidRPr="00E84D0A" w:rsidRDefault="00A02C7C" w:rsidP="007F6215">
            <w:pPr>
              <w:jc w:val="center"/>
              <w:rPr>
                <w:b/>
                <w:sz w:val="22"/>
                <w:szCs w:val="22"/>
              </w:rPr>
            </w:pPr>
            <w:r w:rsidRPr="00E84D0A">
              <w:rPr>
                <w:b/>
                <w:sz w:val="22"/>
                <w:szCs w:val="22"/>
              </w:rPr>
              <w:t>Group C</w:t>
            </w:r>
          </w:p>
        </w:tc>
      </w:tr>
      <w:tr w:rsidR="00A02C7C" w14:paraId="7B533522" w14:textId="77777777" w:rsidTr="007F6215">
        <w:trPr>
          <w:trHeight w:val="1620"/>
        </w:trPr>
        <w:tc>
          <w:tcPr>
            <w:tcW w:w="3192" w:type="dxa"/>
            <w:tcBorders>
              <w:top w:val="single" w:sz="4" w:space="0" w:color="auto"/>
              <w:bottom w:val="single" w:sz="4" w:space="0" w:color="auto"/>
            </w:tcBorders>
          </w:tcPr>
          <w:p w14:paraId="249325A3" w14:textId="553FBE32" w:rsidR="00A02C7C" w:rsidRPr="00E84D0A" w:rsidRDefault="00A02C7C" w:rsidP="00A02C7C">
            <w:pPr>
              <w:pStyle w:val="ListParagraph"/>
              <w:numPr>
                <w:ilvl w:val="0"/>
                <w:numId w:val="15"/>
              </w:numPr>
              <w:ind w:left="144" w:hanging="144"/>
              <w:rPr>
                <w:sz w:val="22"/>
                <w:szCs w:val="22"/>
              </w:rPr>
            </w:pPr>
            <w:r w:rsidRPr="00E84D0A">
              <w:rPr>
                <w:sz w:val="22"/>
                <w:szCs w:val="22"/>
              </w:rPr>
              <w:t xml:space="preserve">Patient must have progressive or recurrent </w:t>
            </w:r>
            <w:r w:rsidR="00186AB9">
              <w:rPr>
                <w:sz w:val="22"/>
                <w:szCs w:val="22"/>
              </w:rPr>
              <w:t>glioblastoma multiforme (</w:t>
            </w:r>
            <w:r w:rsidR="00BF07B1">
              <w:rPr>
                <w:sz w:val="22"/>
                <w:szCs w:val="22"/>
              </w:rPr>
              <w:t>GBM</w:t>
            </w:r>
            <w:r w:rsidR="00186AB9">
              <w:rPr>
                <w:sz w:val="22"/>
                <w:szCs w:val="22"/>
              </w:rPr>
              <w:t>)</w:t>
            </w:r>
            <w:r>
              <w:rPr>
                <w:sz w:val="22"/>
                <w:szCs w:val="22"/>
              </w:rPr>
              <w:t xml:space="preserve"> </w:t>
            </w:r>
            <w:r w:rsidRPr="00E84D0A">
              <w:rPr>
                <w:sz w:val="22"/>
                <w:szCs w:val="22"/>
              </w:rPr>
              <w:t>in the first or second relapse</w:t>
            </w:r>
          </w:p>
          <w:p w14:paraId="3C17B20F" w14:textId="34163E43" w:rsidR="00A02C7C" w:rsidRPr="00E84D0A" w:rsidRDefault="00A02C7C" w:rsidP="00A02C7C">
            <w:pPr>
              <w:pStyle w:val="ListParagraph"/>
              <w:numPr>
                <w:ilvl w:val="0"/>
                <w:numId w:val="15"/>
              </w:numPr>
              <w:ind w:left="144" w:hanging="144"/>
              <w:rPr>
                <w:sz w:val="22"/>
                <w:szCs w:val="22"/>
              </w:rPr>
            </w:pPr>
            <w:r w:rsidRPr="00E84D0A">
              <w:rPr>
                <w:sz w:val="22"/>
                <w:szCs w:val="22"/>
              </w:rPr>
              <w:t>K</w:t>
            </w:r>
            <w:r>
              <w:rPr>
                <w:sz w:val="22"/>
                <w:szCs w:val="22"/>
              </w:rPr>
              <w:t>arnofsky performance status</w:t>
            </w:r>
            <w:r w:rsidRPr="00E84D0A">
              <w:rPr>
                <w:sz w:val="22"/>
                <w:szCs w:val="22"/>
              </w:rPr>
              <w:t xml:space="preserve"> of ≥60%</w:t>
            </w:r>
          </w:p>
          <w:p w14:paraId="5E3E364F" w14:textId="77777777" w:rsidR="00A02C7C" w:rsidRDefault="00A02C7C" w:rsidP="00A02C7C">
            <w:pPr>
              <w:pStyle w:val="ListParagraph"/>
              <w:numPr>
                <w:ilvl w:val="0"/>
                <w:numId w:val="15"/>
              </w:numPr>
              <w:ind w:left="144" w:hanging="144"/>
              <w:rPr>
                <w:sz w:val="22"/>
                <w:szCs w:val="22"/>
              </w:rPr>
            </w:pPr>
            <w:r w:rsidRPr="00E84D0A">
              <w:rPr>
                <w:sz w:val="22"/>
                <w:szCs w:val="22"/>
              </w:rPr>
              <w:t xml:space="preserve">Must not have received </w:t>
            </w:r>
            <w:r>
              <w:rPr>
                <w:sz w:val="22"/>
                <w:szCs w:val="22"/>
              </w:rPr>
              <w:t>&gt;</w:t>
            </w:r>
            <w:r w:rsidRPr="00E84D0A">
              <w:rPr>
                <w:sz w:val="22"/>
                <w:szCs w:val="22"/>
              </w:rPr>
              <w:t>2 prior systemic antitumor therapies</w:t>
            </w:r>
          </w:p>
          <w:p w14:paraId="7416CD1A" w14:textId="6923AB96" w:rsidR="00C86A53" w:rsidRPr="00E84D0A" w:rsidRDefault="005C4B0D" w:rsidP="00A02C7C">
            <w:pPr>
              <w:pStyle w:val="ListParagraph"/>
              <w:numPr>
                <w:ilvl w:val="0"/>
                <w:numId w:val="15"/>
              </w:numPr>
              <w:ind w:left="144" w:hanging="144"/>
              <w:rPr>
                <w:sz w:val="22"/>
                <w:szCs w:val="22"/>
              </w:rPr>
            </w:pPr>
            <w:r>
              <w:rPr>
                <w:sz w:val="22"/>
                <w:szCs w:val="22"/>
              </w:rPr>
              <w:t>Must not have received</w:t>
            </w:r>
            <w:r w:rsidR="00C86A53">
              <w:rPr>
                <w:sz w:val="22"/>
                <w:szCs w:val="22"/>
              </w:rPr>
              <w:t xml:space="preserve"> nitrosoureas within 42 days of the first dose of cabozantinib</w:t>
            </w:r>
          </w:p>
        </w:tc>
        <w:tc>
          <w:tcPr>
            <w:tcW w:w="3192" w:type="dxa"/>
            <w:tcBorders>
              <w:top w:val="single" w:sz="4" w:space="0" w:color="auto"/>
              <w:bottom w:val="single" w:sz="4" w:space="0" w:color="auto"/>
            </w:tcBorders>
          </w:tcPr>
          <w:p w14:paraId="29C74E9D" w14:textId="5C3EA408" w:rsidR="00A02C7C" w:rsidRPr="00E84D0A" w:rsidRDefault="00A02C7C" w:rsidP="00A02C7C">
            <w:pPr>
              <w:pStyle w:val="ListParagraph"/>
              <w:numPr>
                <w:ilvl w:val="0"/>
                <w:numId w:val="15"/>
              </w:numPr>
              <w:ind w:left="144" w:hanging="144"/>
              <w:rPr>
                <w:sz w:val="22"/>
                <w:szCs w:val="22"/>
              </w:rPr>
            </w:pPr>
            <w:r w:rsidRPr="00E84D0A">
              <w:rPr>
                <w:sz w:val="22"/>
                <w:szCs w:val="22"/>
              </w:rPr>
              <w:t xml:space="preserve">Patient must have progressive or recurrent </w:t>
            </w:r>
            <w:r w:rsidR="00BF07B1">
              <w:rPr>
                <w:sz w:val="22"/>
                <w:szCs w:val="22"/>
              </w:rPr>
              <w:t>GBM</w:t>
            </w:r>
            <w:r>
              <w:rPr>
                <w:sz w:val="22"/>
                <w:szCs w:val="22"/>
              </w:rPr>
              <w:t xml:space="preserve"> </w:t>
            </w:r>
            <w:r w:rsidRPr="00E84D0A">
              <w:rPr>
                <w:sz w:val="22"/>
                <w:szCs w:val="22"/>
              </w:rPr>
              <w:t>in the first or second relapse</w:t>
            </w:r>
          </w:p>
          <w:p w14:paraId="5E1FB3BA" w14:textId="77777777" w:rsidR="00A02C7C" w:rsidRPr="00E84D0A" w:rsidRDefault="00A02C7C" w:rsidP="00A02C7C">
            <w:pPr>
              <w:pStyle w:val="ListParagraph"/>
              <w:numPr>
                <w:ilvl w:val="0"/>
                <w:numId w:val="15"/>
              </w:numPr>
              <w:ind w:left="144" w:hanging="144"/>
              <w:rPr>
                <w:sz w:val="22"/>
                <w:szCs w:val="22"/>
              </w:rPr>
            </w:pPr>
            <w:r w:rsidRPr="00E84D0A">
              <w:rPr>
                <w:sz w:val="22"/>
                <w:szCs w:val="22"/>
              </w:rPr>
              <w:t xml:space="preserve">Measurable disease was required </w:t>
            </w:r>
          </w:p>
          <w:p w14:paraId="013EC67C" w14:textId="77777777" w:rsidR="00A02C7C" w:rsidRPr="00E84D0A" w:rsidRDefault="00A02C7C" w:rsidP="00A02C7C">
            <w:pPr>
              <w:pStyle w:val="ListParagraph"/>
              <w:numPr>
                <w:ilvl w:val="0"/>
                <w:numId w:val="15"/>
              </w:numPr>
              <w:ind w:left="144" w:hanging="144"/>
              <w:rPr>
                <w:sz w:val="22"/>
                <w:szCs w:val="22"/>
              </w:rPr>
            </w:pPr>
            <w:r w:rsidRPr="00E84D0A">
              <w:rPr>
                <w:sz w:val="22"/>
                <w:szCs w:val="22"/>
              </w:rPr>
              <w:t>Prior radiation therapy and temozolomide required</w:t>
            </w:r>
          </w:p>
          <w:p w14:paraId="60512357" w14:textId="545F5619" w:rsidR="00A02C7C" w:rsidRPr="00E84D0A" w:rsidRDefault="00A02C7C" w:rsidP="00A02C7C">
            <w:pPr>
              <w:pStyle w:val="ListParagraph"/>
              <w:numPr>
                <w:ilvl w:val="0"/>
                <w:numId w:val="15"/>
              </w:numPr>
              <w:ind w:left="144" w:hanging="144"/>
              <w:rPr>
                <w:sz w:val="22"/>
                <w:szCs w:val="22"/>
              </w:rPr>
            </w:pPr>
            <w:r w:rsidRPr="00E84D0A">
              <w:rPr>
                <w:sz w:val="22"/>
                <w:szCs w:val="22"/>
              </w:rPr>
              <w:t>K</w:t>
            </w:r>
            <w:r>
              <w:rPr>
                <w:sz w:val="22"/>
                <w:szCs w:val="22"/>
              </w:rPr>
              <w:t>arnofsky performance status</w:t>
            </w:r>
            <w:r w:rsidRPr="00E84D0A">
              <w:rPr>
                <w:sz w:val="22"/>
                <w:szCs w:val="22"/>
              </w:rPr>
              <w:t xml:space="preserve"> of ≥60%</w:t>
            </w:r>
          </w:p>
          <w:p w14:paraId="094366F4" w14:textId="77777777" w:rsidR="00A02C7C" w:rsidRDefault="00A02C7C" w:rsidP="00A02C7C">
            <w:pPr>
              <w:pStyle w:val="ListParagraph"/>
              <w:numPr>
                <w:ilvl w:val="0"/>
                <w:numId w:val="15"/>
              </w:numPr>
              <w:ind w:left="144" w:hanging="144"/>
              <w:rPr>
                <w:sz w:val="22"/>
                <w:szCs w:val="22"/>
              </w:rPr>
            </w:pPr>
            <w:r w:rsidRPr="00E84D0A">
              <w:rPr>
                <w:sz w:val="22"/>
                <w:szCs w:val="22"/>
              </w:rPr>
              <w:t xml:space="preserve">Must not have received </w:t>
            </w:r>
            <w:r>
              <w:rPr>
                <w:sz w:val="22"/>
                <w:szCs w:val="22"/>
              </w:rPr>
              <w:t>&gt;</w:t>
            </w:r>
            <w:r w:rsidRPr="00E84D0A">
              <w:rPr>
                <w:sz w:val="22"/>
                <w:szCs w:val="22"/>
              </w:rPr>
              <w:t>2 prior systemic antitumor therapies</w:t>
            </w:r>
          </w:p>
          <w:p w14:paraId="23C5A576" w14:textId="30973BD4" w:rsidR="00C86A53" w:rsidRPr="00E84D0A" w:rsidRDefault="005C4B0D" w:rsidP="00A02C7C">
            <w:pPr>
              <w:pStyle w:val="ListParagraph"/>
              <w:numPr>
                <w:ilvl w:val="0"/>
                <w:numId w:val="15"/>
              </w:numPr>
              <w:ind w:left="144" w:hanging="144"/>
              <w:rPr>
                <w:sz w:val="22"/>
                <w:szCs w:val="22"/>
              </w:rPr>
            </w:pPr>
            <w:r>
              <w:rPr>
                <w:sz w:val="22"/>
                <w:szCs w:val="22"/>
              </w:rPr>
              <w:t>Must not have received</w:t>
            </w:r>
            <w:r w:rsidR="00C86A53">
              <w:rPr>
                <w:sz w:val="22"/>
                <w:szCs w:val="22"/>
              </w:rPr>
              <w:t xml:space="preserve"> nitrosoureas within 42 days of the first dose of cabozantinib</w:t>
            </w:r>
          </w:p>
        </w:tc>
        <w:tc>
          <w:tcPr>
            <w:tcW w:w="3192" w:type="dxa"/>
            <w:tcBorders>
              <w:top w:val="single" w:sz="4" w:space="0" w:color="auto"/>
              <w:bottom w:val="single" w:sz="4" w:space="0" w:color="auto"/>
            </w:tcBorders>
          </w:tcPr>
          <w:p w14:paraId="70697189" w14:textId="77777777" w:rsidR="00A02C7C" w:rsidRPr="00E84D0A" w:rsidRDefault="00A02C7C" w:rsidP="00A02C7C">
            <w:pPr>
              <w:pStyle w:val="ListParagraph"/>
              <w:numPr>
                <w:ilvl w:val="0"/>
                <w:numId w:val="15"/>
              </w:numPr>
              <w:ind w:left="144" w:hanging="144"/>
              <w:rPr>
                <w:sz w:val="22"/>
                <w:szCs w:val="22"/>
              </w:rPr>
            </w:pPr>
            <w:r w:rsidRPr="00E84D0A">
              <w:rPr>
                <w:sz w:val="22"/>
                <w:szCs w:val="22"/>
              </w:rPr>
              <w:t xml:space="preserve">Patients must have a Grade 4 astrocytic tumor and be in the first or second relapse  </w:t>
            </w:r>
          </w:p>
          <w:p w14:paraId="18359486" w14:textId="77777777" w:rsidR="00A02C7C" w:rsidRPr="00E84D0A" w:rsidRDefault="00A02C7C" w:rsidP="00A02C7C">
            <w:pPr>
              <w:pStyle w:val="ListParagraph"/>
              <w:numPr>
                <w:ilvl w:val="0"/>
                <w:numId w:val="15"/>
              </w:numPr>
              <w:ind w:left="144" w:hanging="144"/>
              <w:rPr>
                <w:sz w:val="22"/>
                <w:szCs w:val="22"/>
              </w:rPr>
            </w:pPr>
            <w:r w:rsidRPr="00E84D0A">
              <w:rPr>
                <w:sz w:val="22"/>
                <w:szCs w:val="22"/>
              </w:rPr>
              <w:t xml:space="preserve">Measurable disease was required </w:t>
            </w:r>
          </w:p>
          <w:p w14:paraId="5A8FA6FA" w14:textId="77777777" w:rsidR="00A02C7C" w:rsidRPr="00E84D0A" w:rsidRDefault="00A02C7C" w:rsidP="00A02C7C">
            <w:pPr>
              <w:pStyle w:val="ListParagraph"/>
              <w:numPr>
                <w:ilvl w:val="0"/>
                <w:numId w:val="15"/>
              </w:numPr>
              <w:ind w:left="144" w:hanging="144"/>
              <w:rPr>
                <w:sz w:val="22"/>
                <w:szCs w:val="22"/>
              </w:rPr>
            </w:pPr>
            <w:r w:rsidRPr="00E84D0A">
              <w:rPr>
                <w:sz w:val="22"/>
                <w:szCs w:val="22"/>
              </w:rPr>
              <w:t>Prior radiation therapy and temozolomide required.</w:t>
            </w:r>
          </w:p>
          <w:p w14:paraId="3997E1EF" w14:textId="77777777" w:rsidR="00A02C7C" w:rsidRPr="00D14AA4" w:rsidRDefault="00A02C7C" w:rsidP="00794A5D">
            <w:pPr>
              <w:pStyle w:val="ListParagraph"/>
              <w:numPr>
                <w:ilvl w:val="0"/>
                <w:numId w:val="15"/>
              </w:numPr>
              <w:ind w:left="144" w:hanging="144"/>
              <w:rPr>
                <w:b/>
                <w:sz w:val="22"/>
                <w:szCs w:val="22"/>
              </w:rPr>
            </w:pPr>
            <w:r w:rsidRPr="00E84D0A">
              <w:rPr>
                <w:sz w:val="22"/>
                <w:szCs w:val="22"/>
              </w:rPr>
              <w:t>K</w:t>
            </w:r>
            <w:r>
              <w:rPr>
                <w:sz w:val="22"/>
                <w:szCs w:val="22"/>
              </w:rPr>
              <w:t>arnofsky performance status</w:t>
            </w:r>
            <w:r w:rsidRPr="00E84D0A">
              <w:rPr>
                <w:sz w:val="22"/>
                <w:szCs w:val="22"/>
              </w:rPr>
              <w:t xml:space="preserve"> of ≥70%</w:t>
            </w:r>
          </w:p>
          <w:p w14:paraId="5405BDE7" w14:textId="348F65DB" w:rsidR="00C86A53" w:rsidRPr="00794A5D" w:rsidRDefault="00C86A53" w:rsidP="00794A5D">
            <w:pPr>
              <w:pStyle w:val="ListParagraph"/>
              <w:numPr>
                <w:ilvl w:val="0"/>
                <w:numId w:val="15"/>
              </w:numPr>
              <w:ind w:left="144" w:hanging="144"/>
              <w:rPr>
                <w:b/>
                <w:sz w:val="22"/>
                <w:szCs w:val="22"/>
              </w:rPr>
            </w:pPr>
            <w:r>
              <w:rPr>
                <w:sz w:val="22"/>
                <w:szCs w:val="22"/>
              </w:rPr>
              <w:t>Prior treatment with nitrosoureas at any time were prohibited</w:t>
            </w:r>
          </w:p>
        </w:tc>
      </w:tr>
    </w:tbl>
    <w:p w14:paraId="0E81374F" w14:textId="77777777" w:rsidR="00A02C7C" w:rsidRDefault="00A02C7C" w:rsidP="00A02C7C">
      <w:pPr>
        <w:spacing w:after="200" w:line="276" w:lineRule="auto"/>
        <w:sectPr w:rsidR="00A02C7C" w:rsidSect="00C67418">
          <w:headerReference w:type="default" r:id="rId8"/>
          <w:footerReference w:type="default" r:id="rId9"/>
          <w:headerReference w:type="first" r:id="rId10"/>
          <w:footerReference w:type="first" r:id="rId11"/>
          <w:pgSz w:w="12240" w:h="15840" w:code="1"/>
          <w:pgMar w:top="1440" w:right="1440" w:bottom="1440" w:left="1440" w:header="720" w:footer="720" w:gutter="0"/>
          <w:lnNumType w:countBy="1"/>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668"/>
      </w:tblGrid>
      <w:tr w:rsidR="009C02DE" w:rsidRPr="00671B6A" w14:paraId="1B550D10" w14:textId="77777777" w:rsidTr="00C67418">
        <w:tc>
          <w:tcPr>
            <w:tcW w:w="9576" w:type="dxa"/>
            <w:gridSpan w:val="2"/>
            <w:tcBorders>
              <w:bottom w:val="single" w:sz="4" w:space="0" w:color="auto"/>
            </w:tcBorders>
            <w:vAlign w:val="bottom"/>
          </w:tcPr>
          <w:p w14:paraId="7C386A5B" w14:textId="0A1F1963" w:rsidR="009C02DE" w:rsidRPr="007F6215" w:rsidRDefault="009C02DE" w:rsidP="00C67418">
            <w:pPr>
              <w:rPr>
                <w:b/>
              </w:rPr>
            </w:pPr>
            <w:r>
              <w:rPr>
                <w:b/>
              </w:rPr>
              <w:lastRenderedPageBreak/>
              <w:t xml:space="preserve">Supplementary Table </w:t>
            </w:r>
            <w:r w:rsidRPr="004D6D80">
              <w:rPr>
                <w:b/>
              </w:rPr>
              <w:t>2</w:t>
            </w:r>
            <w:r w:rsidRPr="007F6215">
              <w:rPr>
                <w:b/>
              </w:rPr>
              <w:t>. Modified RANO tumor response criteria per IRF</w:t>
            </w:r>
          </w:p>
        </w:tc>
      </w:tr>
      <w:tr w:rsidR="009C02DE" w:rsidRPr="00671B6A" w14:paraId="14E31C6B" w14:textId="77777777" w:rsidTr="00C67418">
        <w:tc>
          <w:tcPr>
            <w:tcW w:w="1908" w:type="dxa"/>
            <w:tcBorders>
              <w:top w:val="single" w:sz="4" w:space="0" w:color="auto"/>
              <w:bottom w:val="single" w:sz="4" w:space="0" w:color="auto"/>
            </w:tcBorders>
          </w:tcPr>
          <w:p w14:paraId="28E2D6C9" w14:textId="77777777" w:rsidR="009C02DE" w:rsidRPr="009C02DE" w:rsidRDefault="009C02DE" w:rsidP="00C67418">
            <w:pPr>
              <w:jc w:val="both"/>
              <w:rPr>
                <w:b/>
                <w:sz w:val="18"/>
                <w:szCs w:val="18"/>
              </w:rPr>
            </w:pPr>
            <w:r w:rsidRPr="009C02DE">
              <w:rPr>
                <w:b/>
                <w:sz w:val="18"/>
                <w:szCs w:val="18"/>
              </w:rPr>
              <w:t>Tumor Response</w:t>
            </w:r>
          </w:p>
        </w:tc>
        <w:tc>
          <w:tcPr>
            <w:tcW w:w="7668" w:type="dxa"/>
            <w:tcBorders>
              <w:top w:val="single" w:sz="4" w:space="0" w:color="auto"/>
              <w:bottom w:val="single" w:sz="4" w:space="0" w:color="auto"/>
            </w:tcBorders>
          </w:tcPr>
          <w:p w14:paraId="2156AACC" w14:textId="77777777" w:rsidR="009C02DE" w:rsidRPr="009C02DE" w:rsidRDefault="009C02DE" w:rsidP="00C67418">
            <w:pPr>
              <w:jc w:val="center"/>
              <w:rPr>
                <w:b/>
                <w:sz w:val="18"/>
                <w:szCs w:val="18"/>
              </w:rPr>
            </w:pPr>
            <w:r w:rsidRPr="009C02DE">
              <w:rPr>
                <w:b/>
                <w:sz w:val="18"/>
                <w:szCs w:val="18"/>
              </w:rPr>
              <w:t>Criteria</w:t>
            </w:r>
          </w:p>
        </w:tc>
      </w:tr>
      <w:tr w:rsidR="009C02DE" w:rsidRPr="00671B6A" w14:paraId="032DB3FA" w14:textId="77777777" w:rsidTr="00C67418">
        <w:tc>
          <w:tcPr>
            <w:tcW w:w="1908" w:type="dxa"/>
            <w:tcBorders>
              <w:top w:val="single" w:sz="4" w:space="0" w:color="auto"/>
              <w:bottom w:val="single" w:sz="4" w:space="0" w:color="auto"/>
            </w:tcBorders>
          </w:tcPr>
          <w:p w14:paraId="67C5F336" w14:textId="77777777" w:rsidR="009C02DE" w:rsidRPr="009C02DE" w:rsidRDefault="009C02DE" w:rsidP="00C67418">
            <w:pPr>
              <w:rPr>
                <w:sz w:val="18"/>
                <w:szCs w:val="18"/>
              </w:rPr>
            </w:pPr>
            <w:r w:rsidRPr="009C02DE">
              <w:rPr>
                <w:sz w:val="18"/>
                <w:szCs w:val="18"/>
              </w:rPr>
              <w:t>Progressive disease</w:t>
            </w:r>
            <w:r w:rsidRPr="009C02DE">
              <w:rPr>
                <w:sz w:val="18"/>
                <w:szCs w:val="18"/>
              </w:rPr>
              <w:br/>
              <w:t>(PD)</w:t>
            </w:r>
          </w:p>
        </w:tc>
        <w:tc>
          <w:tcPr>
            <w:tcW w:w="7668" w:type="dxa"/>
            <w:tcBorders>
              <w:top w:val="single" w:sz="4" w:space="0" w:color="auto"/>
              <w:bottom w:val="single" w:sz="4" w:space="0" w:color="auto"/>
            </w:tcBorders>
          </w:tcPr>
          <w:p w14:paraId="30103D41" w14:textId="23433AC3" w:rsidR="009C02DE" w:rsidRPr="009C02DE" w:rsidRDefault="009C02DE" w:rsidP="00C67418">
            <w:pPr>
              <w:rPr>
                <w:sz w:val="18"/>
                <w:szCs w:val="18"/>
              </w:rPr>
            </w:pPr>
            <w:r w:rsidRPr="009C02DE">
              <w:rPr>
                <w:sz w:val="18"/>
                <w:szCs w:val="18"/>
              </w:rPr>
              <w:t>MRI:</w:t>
            </w:r>
          </w:p>
          <w:p w14:paraId="7A0AA9E5" w14:textId="28D97818" w:rsidR="009C02DE" w:rsidRPr="009C02DE" w:rsidRDefault="009C02DE" w:rsidP="00C67418">
            <w:pPr>
              <w:pStyle w:val="ListParagraph"/>
              <w:numPr>
                <w:ilvl w:val="0"/>
                <w:numId w:val="1"/>
              </w:numPr>
              <w:rPr>
                <w:sz w:val="18"/>
                <w:szCs w:val="18"/>
              </w:rPr>
            </w:pPr>
            <w:r w:rsidRPr="009C02DE">
              <w:rPr>
                <w:sz w:val="18"/>
                <w:szCs w:val="18"/>
              </w:rPr>
              <w:t>≥25% increase in SPD of the target lesions compared with the prior MRI nadir SPD for the target lesions (since and including baseline); or</w:t>
            </w:r>
          </w:p>
          <w:p w14:paraId="0624BABE" w14:textId="04690213" w:rsidR="009C02DE" w:rsidRPr="009C02DE" w:rsidRDefault="009C02DE" w:rsidP="00C67418">
            <w:pPr>
              <w:pStyle w:val="ListParagraph"/>
              <w:numPr>
                <w:ilvl w:val="0"/>
                <w:numId w:val="1"/>
              </w:numPr>
              <w:rPr>
                <w:sz w:val="18"/>
                <w:szCs w:val="18"/>
              </w:rPr>
            </w:pPr>
            <w:r w:rsidRPr="009C02DE">
              <w:rPr>
                <w:sz w:val="18"/>
                <w:szCs w:val="18"/>
              </w:rPr>
              <w:t>Unequivocal progression of one or more non-target lesions compared with the prior MRI nadir SPD for the non-target lesions (since and including baseline); or</w:t>
            </w:r>
          </w:p>
          <w:p w14:paraId="4A1CCAF0" w14:textId="3B9AD036" w:rsidR="009C02DE" w:rsidRPr="009C02DE" w:rsidRDefault="009C02DE" w:rsidP="00C67418">
            <w:pPr>
              <w:pStyle w:val="ListParagraph"/>
              <w:numPr>
                <w:ilvl w:val="0"/>
                <w:numId w:val="1"/>
              </w:numPr>
              <w:rPr>
                <w:sz w:val="18"/>
                <w:szCs w:val="18"/>
              </w:rPr>
            </w:pPr>
            <w:r w:rsidRPr="009C02DE">
              <w:rPr>
                <w:sz w:val="18"/>
                <w:szCs w:val="18"/>
              </w:rPr>
              <w:t>One or more new lesions compared with baseline</w:t>
            </w:r>
          </w:p>
          <w:p w14:paraId="4DA230B4" w14:textId="77777777" w:rsidR="009C02DE" w:rsidRPr="009C02DE" w:rsidRDefault="009C02DE" w:rsidP="00C67418">
            <w:pPr>
              <w:rPr>
                <w:sz w:val="18"/>
                <w:szCs w:val="18"/>
              </w:rPr>
            </w:pPr>
            <w:r w:rsidRPr="009C02DE">
              <w:rPr>
                <w:sz w:val="18"/>
                <w:szCs w:val="18"/>
              </w:rPr>
              <w:t>And</w:t>
            </w:r>
          </w:p>
          <w:p w14:paraId="62334939" w14:textId="77777777" w:rsidR="009C02DE" w:rsidRPr="009C02DE" w:rsidRDefault="009C02DE" w:rsidP="00C67418">
            <w:pPr>
              <w:rPr>
                <w:sz w:val="18"/>
                <w:szCs w:val="18"/>
              </w:rPr>
            </w:pPr>
            <w:r w:rsidRPr="009C02DE">
              <w:rPr>
                <w:sz w:val="18"/>
                <w:szCs w:val="18"/>
              </w:rPr>
              <w:t>Glucocorticoids*:</w:t>
            </w:r>
          </w:p>
          <w:p w14:paraId="648CF5C2" w14:textId="77777777" w:rsidR="009C02DE" w:rsidRPr="009C02DE" w:rsidRDefault="009C02DE" w:rsidP="00C67418">
            <w:pPr>
              <w:pStyle w:val="ListParagraph"/>
              <w:numPr>
                <w:ilvl w:val="0"/>
                <w:numId w:val="2"/>
              </w:numPr>
              <w:rPr>
                <w:sz w:val="18"/>
                <w:szCs w:val="18"/>
              </w:rPr>
            </w:pPr>
            <w:r w:rsidRPr="009C02DE">
              <w:rPr>
                <w:sz w:val="18"/>
                <w:szCs w:val="18"/>
              </w:rPr>
              <w:t>Glucocorticoids stable or increased; or</w:t>
            </w:r>
          </w:p>
          <w:p w14:paraId="0EBCFC74" w14:textId="77777777" w:rsidR="009C02DE" w:rsidRPr="009C02DE" w:rsidRDefault="009C02DE" w:rsidP="00C67418">
            <w:pPr>
              <w:pStyle w:val="ListParagraph"/>
              <w:numPr>
                <w:ilvl w:val="0"/>
                <w:numId w:val="2"/>
              </w:numPr>
              <w:rPr>
                <w:sz w:val="18"/>
                <w:szCs w:val="18"/>
              </w:rPr>
            </w:pPr>
            <w:r w:rsidRPr="009C02DE">
              <w:rPr>
                <w:sz w:val="18"/>
                <w:szCs w:val="18"/>
              </w:rPr>
              <w:t>Off glucocorticoids at both current and baseline MRI dates</w:t>
            </w:r>
          </w:p>
        </w:tc>
      </w:tr>
      <w:tr w:rsidR="009C02DE" w:rsidRPr="00671B6A" w14:paraId="5EC62933" w14:textId="77777777" w:rsidTr="00C67418">
        <w:tc>
          <w:tcPr>
            <w:tcW w:w="1908" w:type="dxa"/>
            <w:tcBorders>
              <w:top w:val="single" w:sz="4" w:space="0" w:color="auto"/>
              <w:bottom w:val="single" w:sz="4" w:space="0" w:color="auto"/>
            </w:tcBorders>
          </w:tcPr>
          <w:p w14:paraId="0B5E3C64" w14:textId="77777777" w:rsidR="009C02DE" w:rsidRPr="009C02DE" w:rsidRDefault="009C02DE" w:rsidP="00C67418">
            <w:pPr>
              <w:rPr>
                <w:sz w:val="18"/>
                <w:szCs w:val="18"/>
              </w:rPr>
            </w:pPr>
            <w:r w:rsidRPr="009C02DE">
              <w:rPr>
                <w:sz w:val="18"/>
                <w:szCs w:val="18"/>
              </w:rPr>
              <w:t xml:space="preserve">Unable to evaluate </w:t>
            </w:r>
            <w:r w:rsidRPr="009C02DE">
              <w:rPr>
                <w:sz w:val="18"/>
                <w:szCs w:val="18"/>
              </w:rPr>
              <w:br/>
              <w:t>(UE)</w:t>
            </w:r>
          </w:p>
        </w:tc>
        <w:tc>
          <w:tcPr>
            <w:tcW w:w="7668" w:type="dxa"/>
            <w:tcBorders>
              <w:top w:val="single" w:sz="4" w:space="0" w:color="auto"/>
              <w:bottom w:val="single" w:sz="4" w:space="0" w:color="auto"/>
            </w:tcBorders>
          </w:tcPr>
          <w:p w14:paraId="393F6F25" w14:textId="77777777" w:rsidR="009C02DE" w:rsidRPr="009C02DE" w:rsidRDefault="009C02DE" w:rsidP="00C67418">
            <w:pPr>
              <w:rPr>
                <w:sz w:val="18"/>
                <w:szCs w:val="18"/>
              </w:rPr>
            </w:pPr>
            <w:r w:rsidRPr="009C02DE">
              <w:rPr>
                <w:sz w:val="18"/>
                <w:szCs w:val="18"/>
              </w:rPr>
              <w:t>MRI:</w:t>
            </w:r>
          </w:p>
          <w:p w14:paraId="5197AC5B" w14:textId="52923A39" w:rsidR="009C02DE" w:rsidRPr="009C02DE" w:rsidRDefault="009C02DE" w:rsidP="00C67418">
            <w:pPr>
              <w:pStyle w:val="ListParagraph"/>
              <w:numPr>
                <w:ilvl w:val="0"/>
                <w:numId w:val="3"/>
              </w:numPr>
              <w:rPr>
                <w:sz w:val="18"/>
                <w:szCs w:val="18"/>
              </w:rPr>
            </w:pPr>
            <w:r w:rsidRPr="009C02DE">
              <w:rPr>
                <w:sz w:val="18"/>
                <w:szCs w:val="18"/>
              </w:rPr>
              <w:t>One or more lesions were not assessed</w:t>
            </w:r>
          </w:p>
          <w:p w14:paraId="42BC0C61" w14:textId="77777777" w:rsidR="009C02DE" w:rsidRPr="009C02DE" w:rsidRDefault="009C02DE" w:rsidP="00C67418">
            <w:pPr>
              <w:rPr>
                <w:sz w:val="18"/>
                <w:szCs w:val="18"/>
              </w:rPr>
            </w:pPr>
            <w:r w:rsidRPr="009C02DE">
              <w:rPr>
                <w:sz w:val="18"/>
                <w:szCs w:val="18"/>
              </w:rPr>
              <w:t>Or</w:t>
            </w:r>
          </w:p>
          <w:p w14:paraId="4333BF9A" w14:textId="77777777" w:rsidR="009C02DE" w:rsidRPr="009C02DE" w:rsidRDefault="009C02DE" w:rsidP="00C67418">
            <w:pPr>
              <w:rPr>
                <w:sz w:val="18"/>
                <w:szCs w:val="18"/>
              </w:rPr>
            </w:pPr>
            <w:r w:rsidRPr="009C02DE">
              <w:rPr>
                <w:sz w:val="18"/>
                <w:szCs w:val="18"/>
              </w:rPr>
              <w:t>Glucocorticoids*:</w:t>
            </w:r>
          </w:p>
          <w:p w14:paraId="334A5309" w14:textId="77777777" w:rsidR="009C02DE" w:rsidRPr="009C02DE" w:rsidRDefault="009C02DE" w:rsidP="00C67418">
            <w:pPr>
              <w:pStyle w:val="ListParagraph"/>
              <w:numPr>
                <w:ilvl w:val="0"/>
                <w:numId w:val="4"/>
              </w:numPr>
              <w:rPr>
                <w:sz w:val="18"/>
                <w:szCs w:val="18"/>
              </w:rPr>
            </w:pPr>
            <w:r w:rsidRPr="009C02DE">
              <w:rPr>
                <w:sz w:val="18"/>
                <w:szCs w:val="18"/>
              </w:rPr>
              <w:t>Change in glucocorticoid dose could not be assessed</w:t>
            </w:r>
          </w:p>
          <w:p w14:paraId="45603CD0" w14:textId="77777777" w:rsidR="009C02DE" w:rsidRPr="009C02DE" w:rsidRDefault="009C02DE" w:rsidP="00C67418">
            <w:pPr>
              <w:rPr>
                <w:sz w:val="18"/>
                <w:szCs w:val="18"/>
              </w:rPr>
            </w:pPr>
            <w:r w:rsidRPr="009C02DE">
              <w:rPr>
                <w:sz w:val="18"/>
                <w:szCs w:val="18"/>
              </w:rPr>
              <w:t>Or</w:t>
            </w:r>
          </w:p>
          <w:p w14:paraId="1809C86A" w14:textId="77777777" w:rsidR="009C02DE" w:rsidRPr="009C02DE" w:rsidRDefault="009C02DE" w:rsidP="00C67418">
            <w:pPr>
              <w:rPr>
                <w:sz w:val="18"/>
                <w:szCs w:val="18"/>
              </w:rPr>
            </w:pPr>
            <w:r w:rsidRPr="009C02DE">
              <w:rPr>
                <w:sz w:val="18"/>
                <w:szCs w:val="18"/>
              </w:rPr>
              <w:t>MRI:</w:t>
            </w:r>
          </w:p>
          <w:p w14:paraId="4A5A3D9C" w14:textId="77777777" w:rsidR="009C02DE" w:rsidRPr="009C02DE" w:rsidRDefault="009C02DE" w:rsidP="00C67418">
            <w:pPr>
              <w:pStyle w:val="ListParagraph"/>
              <w:numPr>
                <w:ilvl w:val="0"/>
                <w:numId w:val="5"/>
              </w:numPr>
              <w:rPr>
                <w:sz w:val="18"/>
                <w:szCs w:val="18"/>
              </w:rPr>
            </w:pPr>
            <w:r w:rsidRPr="009C02DE">
              <w:rPr>
                <w:sz w:val="18"/>
                <w:szCs w:val="18"/>
              </w:rPr>
              <w:t>CR, PR, or SD</w:t>
            </w:r>
          </w:p>
          <w:p w14:paraId="02FA5EDF" w14:textId="77777777" w:rsidR="009C02DE" w:rsidRPr="009C02DE" w:rsidRDefault="009C02DE" w:rsidP="00C67418">
            <w:pPr>
              <w:rPr>
                <w:sz w:val="18"/>
                <w:szCs w:val="18"/>
              </w:rPr>
            </w:pPr>
            <w:r w:rsidRPr="009C02DE">
              <w:rPr>
                <w:sz w:val="18"/>
                <w:szCs w:val="18"/>
              </w:rPr>
              <w:t>Glucocorticoids*:</w:t>
            </w:r>
          </w:p>
          <w:p w14:paraId="5A163247" w14:textId="77777777" w:rsidR="009C02DE" w:rsidRPr="009C02DE" w:rsidRDefault="009C02DE" w:rsidP="00C67418">
            <w:pPr>
              <w:pStyle w:val="ListParagraph"/>
              <w:numPr>
                <w:ilvl w:val="0"/>
                <w:numId w:val="6"/>
              </w:numPr>
              <w:rPr>
                <w:sz w:val="18"/>
                <w:szCs w:val="18"/>
              </w:rPr>
            </w:pPr>
            <w:r w:rsidRPr="009C02DE">
              <w:rPr>
                <w:sz w:val="18"/>
                <w:szCs w:val="18"/>
              </w:rPr>
              <w:t>Glucocorticoids increased</w:t>
            </w:r>
          </w:p>
          <w:p w14:paraId="2093C083" w14:textId="77777777" w:rsidR="009C02DE" w:rsidRPr="009C02DE" w:rsidRDefault="009C02DE" w:rsidP="00C67418">
            <w:pPr>
              <w:rPr>
                <w:sz w:val="18"/>
                <w:szCs w:val="18"/>
              </w:rPr>
            </w:pPr>
            <w:r w:rsidRPr="009C02DE">
              <w:rPr>
                <w:sz w:val="18"/>
                <w:szCs w:val="18"/>
              </w:rPr>
              <w:t>Or</w:t>
            </w:r>
          </w:p>
          <w:p w14:paraId="5F4D2F97" w14:textId="77777777" w:rsidR="009C02DE" w:rsidRPr="009C02DE" w:rsidRDefault="009C02DE" w:rsidP="00C67418">
            <w:pPr>
              <w:rPr>
                <w:sz w:val="18"/>
                <w:szCs w:val="18"/>
              </w:rPr>
            </w:pPr>
            <w:r w:rsidRPr="009C02DE">
              <w:rPr>
                <w:sz w:val="18"/>
                <w:szCs w:val="18"/>
              </w:rPr>
              <w:t>MRI:</w:t>
            </w:r>
          </w:p>
          <w:p w14:paraId="2F279111" w14:textId="77777777" w:rsidR="009C02DE" w:rsidRPr="009C02DE" w:rsidRDefault="009C02DE" w:rsidP="00C67418">
            <w:pPr>
              <w:pStyle w:val="ListParagraph"/>
              <w:numPr>
                <w:ilvl w:val="0"/>
                <w:numId w:val="7"/>
              </w:numPr>
              <w:rPr>
                <w:sz w:val="18"/>
                <w:szCs w:val="18"/>
              </w:rPr>
            </w:pPr>
            <w:r w:rsidRPr="009C02DE">
              <w:rPr>
                <w:sz w:val="18"/>
                <w:szCs w:val="18"/>
              </w:rPr>
              <w:t>PD</w:t>
            </w:r>
          </w:p>
          <w:p w14:paraId="1BF51185" w14:textId="77777777" w:rsidR="009C02DE" w:rsidRPr="009C02DE" w:rsidRDefault="009C02DE" w:rsidP="00C67418">
            <w:pPr>
              <w:rPr>
                <w:sz w:val="18"/>
                <w:szCs w:val="18"/>
              </w:rPr>
            </w:pPr>
            <w:r w:rsidRPr="009C02DE">
              <w:rPr>
                <w:sz w:val="18"/>
                <w:szCs w:val="18"/>
              </w:rPr>
              <w:t>Glucocorticoids*:</w:t>
            </w:r>
          </w:p>
          <w:p w14:paraId="23ADD4B7" w14:textId="77777777" w:rsidR="009C02DE" w:rsidRPr="009C02DE" w:rsidRDefault="009C02DE" w:rsidP="00C67418">
            <w:pPr>
              <w:pStyle w:val="ListParagraph"/>
              <w:numPr>
                <w:ilvl w:val="0"/>
                <w:numId w:val="8"/>
              </w:numPr>
              <w:rPr>
                <w:sz w:val="18"/>
                <w:szCs w:val="18"/>
              </w:rPr>
            </w:pPr>
            <w:r w:rsidRPr="009C02DE">
              <w:rPr>
                <w:sz w:val="18"/>
                <w:szCs w:val="18"/>
              </w:rPr>
              <w:t>Glucocorticoids decreased</w:t>
            </w:r>
          </w:p>
        </w:tc>
      </w:tr>
      <w:tr w:rsidR="009C02DE" w:rsidRPr="00671B6A" w14:paraId="0D2653DD" w14:textId="77777777" w:rsidTr="00C67418">
        <w:tc>
          <w:tcPr>
            <w:tcW w:w="1908" w:type="dxa"/>
            <w:tcBorders>
              <w:top w:val="single" w:sz="4" w:space="0" w:color="auto"/>
              <w:bottom w:val="single" w:sz="4" w:space="0" w:color="auto"/>
            </w:tcBorders>
          </w:tcPr>
          <w:p w14:paraId="7327769F" w14:textId="77777777" w:rsidR="009C02DE" w:rsidRPr="009C02DE" w:rsidRDefault="009C02DE" w:rsidP="00C67418">
            <w:pPr>
              <w:keepNext/>
              <w:keepLines/>
              <w:rPr>
                <w:sz w:val="18"/>
                <w:szCs w:val="18"/>
              </w:rPr>
            </w:pPr>
            <w:r w:rsidRPr="009C02DE">
              <w:rPr>
                <w:sz w:val="18"/>
                <w:szCs w:val="18"/>
              </w:rPr>
              <w:t>Complete response (CR)</w:t>
            </w:r>
          </w:p>
        </w:tc>
        <w:tc>
          <w:tcPr>
            <w:tcW w:w="7668" w:type="dxa"/>
            <w:tcBorders>
              <w:top w:val="single" w:sz="4" w:space="0" w:color="auto"/>
              <w:bottom w:val="single" w:sz="4" w:space="0" w:color="auto"/>
            </w:tcBorders>
          </w:tcPr>
          <w:p w14:paraId="4BFE9D95" w14:textId="77777777" w:rsidR="009C02DE" w:rsidRPr="009C02DE" w:rsidRDefault="009C02DE" w:rsidP="00C67418">
            <w:pPr>
              <w:keepNext/>
              <w:keepLines/>
              <w:rPr>
                <w:sz w:val="18"/>
                <w:szCs w:val="18"/>
              </w:rPr>
            </w:pPr>
            <w:r w:rsidRPr="009C02DE">
              <w:rPr>
                <w:sz w:val="18"/>
                <w:szCs w:val="18"/>
              </w:rPr>
              <w:t>MRI:</w:t>
            </w:r>
          </w:p>
          <w:p w14:paraId="01F045A8" w14:textId="77777777" w:rsidR="009C02DE" w:rsidRPr="009C02DE" w:rsidRDefault="009C02DE" w:rsidP="00C67418">
            <w:pPr>
              <w:pStyle w:val="ListParagraph"/>
              <w:keepNext/>
              <w:keepLines/>
              <w:numPr>
                <w:ilvl w:val="0"/>
                <w:numId w:val="9"/>
              </w:numPr>
              <w:rPr>
                <w:sz w:val="18"/>
                <w:szCs w:val="18"/>
              </w:rPr>
            </w:pPr>
            <w:r w:rsidRPr="009C02DE">
              <w:rPr>
                <w:sz w:val="18"/>
                <w:szCs w:val="18"/>
              </w:rPr>
              <w:t>Disappearance of all target and non-target lesions and no new lesions</w:t>
            </w:r>
          </w:p>
          <w:p w14:paraId="79AD006A" w14:textId="77777777" w:rsidR="009C02DE" w:rsidRPr="009C02DE" w:rsidRDefault="009C02DE" w:rsidP="00C67418">
            <w:pPr>
              <w:keepNext/>
              <w:keepLines/>
              <w:rPr>
                <w:sz w:val="18"/>
                <w:szCs w:val="18"/>
              </w:rPr>
            </w:pPr>
            <w:r w:rsidRPr="009C02DE">
              <w:rPr>
                <w:sz w:val="18"/>
                <w:szCs w:val="18"/>
              </w:rPr>
              <w:t>And</w:t>
            </w:r>
          </w:p>
          <w:p w14:paraId="7CF5E029" w14:textId="77777777" w:rsidR="009C02DE" w:rsidRPr="009C02DE" w:rsidRDefault="009C02DE" w:rsidP="00C67418">
            <w:pPr>
              <w:keepNext/>
              <w:keepLines/>
              <w:rPr>
                <w:sz w:val="18"/>
                <w:szCs w:val="18"/>
              </w:rPr>
            </w:pPr>
            <w:r w:rsidRPr="009C02DE">
              <w:rPr>
                <w:sz w:val="18"/>
                <w:szCs w:val="18"/>
              </w:rPr>
              <w:t>Glucocorticoids*:</w:t>
            </w:r>
          </w:p>
          <w:p w14:paraId="7FA58D2F" w14:textId="77777777" w:rsidR="009C02DE" w:rsidRPr="009C02DE" w:rsidRDefault="009C02DE" w:rsidP="00C67418">
            <w:pPr>
              <w:pStyle w:val="ListParagraph"/>
              <w:keepNext/>
              <w:keepLines/>
              <w:numPr>
                <w:ilvl w:val="0"/>
                <w:numId w:val="10"/>
              </w:numPr>
              <w:rPr>
                <w:sz w:val="18"/>
                <w:szCs w:val="18"/>
              </w:rPr>
            </w:pPr>
            <w:r w:rsidRPr="009C02DE">
              <w:rPr>
                <w:sz w:val="18"/>
                <w:szCs w:val="18"/>
              </w:rPr>
              <w:t>Off glucocorticoids</w:t>
            </w:r>
          </w:p>
        </w:tc>
      </w:tr>
      <w:tr w:rsidR="009C02DE" w:rsidRPr="00671B6A" w14:paraId="722A961E" w14:textId="77777777" w:rsidTr="00C67418">
        <w:tc>
          <w:tcPr>
            <w:tcW w:w="1908" w:type="dxa"/>
            <w:tcBorders>
              <w:top w:val="single" w:sz="4" w:space="0" w:color="auto"/>
              <w:bottom w:val="single" w:sz="4" w:space="0" w:color="auto"/>
            </w:tcBorders>
          </w:tcPr>
          <w:p w14:paraId="126C0EA5" w14:textId="77777777" w:rsidR="009C02DE" w:rsidRPr="009C02DE" w:rsidRDefault="009C02DE" w:rsidP="00C67418">
            <w:pPr>
              <w:rPr>
                <w:sz w:val="18"/>
                <w:szCs w:val="18"/>
              </w:rPr>
            </w:pPr>
            <w:r w:rsidRPr="009C02DE">
              <w:rPr>
                <w:sz w:val="18"/>
                <w:szCs w:val="18"/>
              </w:rPr>
              <w:t xml:space="preserve">Partial response </w:t>
            </w:r>
            <w:r w:rsidRPr="009C02DE">
              <w:rPr>
                <w:sz w:val="18"/>
                <w:szCs w:val="18"/>
              </w:rPr>
              <w:br/>
              <w:t>(PR)</w:t>
            </w:r>
          </w:p>
        </w:tc>
        <w:tc>
          <w:tcPr>
            <w:tcW w:w="7668" w:type="dxa"/>
            <w:tcBorders>
              <w:top w:val="single" w:sz="4" w:space="0" w:color="auto"/>
              <w:bottom w:val="single" w:sz="4" w:space="0" w:color="auto"/>
            </w:tcBorders>
          </w:tcPr>
          <w:p w14:paraId="567A7CBF" w14:textId="77777777" w:rsidR="009C02DE" w:rsidRPr="009C02DE" w:rsidRDefault="009C02DE" w:rsidP="00C67418">
            <w:pPr>
              <w:rPr>
                <w:sz w:val="18"/>
                <w:szCs w:val="18"/>
              </w:rPr>
            </w:pPr>
            <w:r w:rsidRPr="009C02DE">
              <w:rPr>
                <w:sz w:val="18"/>
                <w:szCs w:val="18"/>
              </w:rPr>
              <w:t>MRI:</w:t>
            </w:r>
          </w:p>
          <w:p w14:paraId="34109D0E" w14:textId="236336BB" w:rsidR="009C02DE" w:rsidRPr="009C02DE" w:rsidRDefault="009C02DE" w:rsidP="00C67418">
            <w:pPr>
              <w:pStyle w:val="ListParagraph"/>
              <w:numPr>
                <w:ilvl w:val="0"/>
                <w:numId w:val="12"/>
              </w:numPr>
              <w:rPr>
                <w:sz w:val="18"/>
                <w:szCs w:val="18"/>
              </w:rPr>
            </w:pPr>
            <w:r w:rsidRPr="009C02DE">
              <w:rPr>
                <w:sz w:val="18"/>
                <w:szCs w:val="18"/>
              </w:rPr>
              <w:t>≥50% decrease in the SPD of all target lesions compared with the baseline SPD and no new lesion; or</w:t>
            </w:r>
          </w:p>
          <w:p w14:paraId="7C65EA9D" w14:textId="77777777" w:rsidR="009C02DE" w:rsidRPr="009C02DE" w:rsidRDefault="009C02DE" w:rsidP="00C67418">
            <w:pPr>
              <w:pStyle w:val="ListParagraph"/>
              <w:numPr>
                <w:ilvl w:val="0"/>
                <w:numId w:val="12"/>
              </w:numPr>
              <w:rPr>
                <w:sz w:val="18"/>
                <w:szCs w:val="18"/>
              </w:rPr>
            </w:pPr>
            <w:r w:rsidRPr="009C02DE">
              <w:rPr>
                <w:sz w:val="18"/>
                <w:szCs w:val="18"/>
              </w:rPr>
              <w:t>Disappearance of all target lesion(s) and the non-target lesion(s) (if any) are stable at current MRI and no new lesion</w:t>
            </w:r>
          </w:p>
          <w:p w14:paraId="6CE682A4" w14:textId="77777777" w:rsidR="009C02DE" w:rsidRPr="009C02DE" w:rsidRDefault="009C02DE" w:rsidP="00C67418">
            <w:pPr>
              <w:rPr>
                <w:sz w:val="18"/>
                <w:szCs w:val="18"/>
              </w:rPr>
            </w:pPr>
            <w:r w:rsidRPr="009C02DE">
              <w:rPr>
                <w:sz w:val="18"/>
                <w:szCs w:val="18"/>
              </w:rPr>
              <w:t>And</w:t>
            </w:r>
          </w:p>
          <w:p w14:paraId="622EC649" w14:textId="77777777" w:rsidR="009C02DE" w:rsidRPr="009C02DE" w:rsidRDefault="009C02DE" w:rsidP="00C67418">
            <w:pPr>
              <w:rPr>
                <w:sz w:val="18"/>
                <w:szCs w:val="18"/>
              </w:rPr>
            </w:pPr>
            <w:r w:rsidRPr="009C02DE">
              <w:rPr>
                <w:sz w:val="18"/>
                <w:szCs w:val="18"/>
              </w:rPr>
              <w:t>Glucocorticoids*:</w:t>
            </w:r>
          </w:p>
          <w:p w14:paraId="3779D056" w14:textId="77777777" w:rsidR="009C02DE" w:rsidRPr="009C02DE" w:rsidRDefault="009C02DE" w:rsidP="00C67418">
            <w:pPr>
              <w:pStyle w:val="ListParagraph"/>
              <w:numPr>
                <w:ilvl w:val="0"/>
                <w:numId w:val="11"/>
              </w:numPr>
              <w:rPr>
                <w:sz w:val="18"/>
                <w:szCs w:val="18"/>
              </w:rPr>
            </w:pPr>
            <w:r w:rsidRPr="009C02DE">
              <w:rPr>
                <w:sz w:val="18"/>
                <w:szCs w:val="18"/>
              </w:rPr>
              <w:t>Off glucocorticoids; or</w:t>
            </w:r>
          </w:p>
          <w:p w14:paraId="573A49B5" w14:textId="77777777" w:rsidR="009C02DE" w:rsidRPr="009C02DE" w:rsidRDefault="009C02DE" w:rsidP="00C67418">
            <w:pPr>
              <w:pStyle w:val="ListParagraph"/>
              <w:numPr>
                <w:ilvl w:val="0"/>
                <w:numId w:val="11"/>
              </w:numPr>
              <w:rPr>
                <w:sz w:val="18"/>
                <w:szCs w:val="18"/>
              </w:rPr>
            </w:pPr>
            <w:r w:rsidRPr="009C02DE">
              <w:rPr>
                <w:sz w:val="18"/>
                <w:szCs w:val="18"/>
              </w:rPr>
              <w:t>Glucocorticoids stable or decreased</w:t>
            </w:r>
          </w:p>
        </w:tc>
      </w:tr>
      <w:tr w:rsidR="009C02DE" w:rsidRPr="00671B6A" w14:paraId="625E7E89" w14:textId="77777777" w:rsidTr="00C67418">
        <w:tc>
          <w:tcPr>
            <w:tcW w:w="1908" w:type="dxa"/>
            <w:tcBorders>
              <w:top w:val="single" w:sz="4" w:space="0" w:color="auto"/>
              <w:bottom w:val="single" w:sz="4" w:space="0" w:color="auto"/>
            </w:tcBorders>
          </w:tcPr>
          <w:p w14:paraId="66CDF648" w14:textId="77777777" w:rsidR="009C02DE" w:rsidRPr="009C02DE" w:rsidRDefault="009C02DE" w:rsidP="00C67418">
            <w:pPr>
              <w:rPr>
                <w:sz w:val="18"/>
                <w:szCs w:val="18"/>
              </w:rPr>
            </w:pPr>
            <w:r w:rsidRPr="009C02DE">
              <w:rPr>
                <w:sz w:val="18"/>
                <w:szCs w:val="18"/>
              </w:rPr>
              <w:t xml:space="preserve">Stable disease </w:t>
            </w:r>
            <w:r w:rsidRPr="009C02DE">
              <w:rPr>
                <w:sz w:val="18"/>
                <w:szCs w:val="18"/>
              </w:rPr>
              <w:br/>
              <w:t>(SD)</w:t>
            </w:r>
          </w:p>
        </w:tc>
        <w:tc>
          <w:tcPr>
            <w:tcW w:w="7668" w:type="dxa"/>
            <w:tcBorders>
              <w:top w:val="single" w:sz="4" w:space="0" w:color="auto"/>
              <w:bottom w:val="single" w:sz="4" w:space="0" w:color="auto"/>
            </w:tcBorders>
          </w:tcPr>
          <w:p w14:paraId="066E0BE4" w14:textId="77777777" w:rsidR="009C02DE" w:rsidRPr="009C02DE" w:rsidRDefault="009C02DE" w:rsidP="00C67418">
            <w:pPr>
              <w:rPr>
                <w:sz w:val="18"/>
                <w:szCs w:val="18"/>
              </w:rPr>
            </w:pPr>
            <w:r w:rsidRPr="009C02DE">
              <w:rPr>
                <w:sz w:val="18"/>
                <w:szCs w:val="18"/>
              </w:rPr>
              <w:t>MRI:</w:t>
            </w:r>
          </w:p>
          <w:p w14:paraId="46CAD43D" w14:textId="77777777" w:rsidR="009C02DE" w:rsidRPr="009C02DE" w:rsidRDefault="009C02DE" w:rsidP="00C67418">
            <w:pPr>
              <w:pStyle w:val="ListParagraph"/>
              <w:numPr>
                <w:ilvl w:val="0"/>
                <w:numId w:val="13"/>
              </w:numPr>
              <w:rPr>
                <w:sz w:val="18"/>
                <w:szCs w:val="18"/>
              </w:rPr>
            </w:pPr>
            <w:r w:rsidRPr="009C02DE">
              <w:rPr>
                <w:sz w:val="18"/>
                <w:szCs w:val="18"/>
              </w:rPr>
              <w:t>Tumor response is not assessed as CR, PR, PD or UE</w:t>
            </w:r>
          </w:p>
          <w:p w14:paraId="6E3CFAA7" w14:textId="77777777" w:rsidR="009C02DE" w:rsidRPr="009C02DE" w:rsidRDefault="009C02DE" w:rsidP="00C67418">
            <w:pPr>
              <w:rPr>
                <w:sz w:val="18"/>
                <w:szCs w:val="18"/>
              </w:rPr>
            </w:pPr>
            <w:r w:rsidRPr="009C02DE">
              <w:rPr>
                <w:sz w:val="18"/>
                <w:szCs w:val="18"/>
              </w:rPr>
              <w:t>And</w:t>
            </w:r>
          </w:p>
          <w:p w14:paraId="3468D859" w14:textId="77777777" w:rsidR="009C02DE" w:rsidRPr="009C02DE" w:rsidRDefault="009C02DE" w:rsidP="00C67418">
            <w:pPr>
              <w:rPr>
                <w:sz w:val="18"/>
                <w:szCs w:val="18"/>
              </w:rPr>
            </w:pPr>
            <w:r w:rsidRPr="009C02DE">
              <w:rPr>
                <w:sz w:val="18"/>
                <w:szCs w:val="18"/>
              </w:rPr>
              <w:t>Glucocorticoids*:</w:t>
            </w:r>
          </w:p>
          <w:p w14:paraId="35409597" w14:textId="77777777" w:rsidR="009C02DE" w:rsidRPr="009C02DE" w:rsidRDefault="009C02DE" w:rsidP="00C67418">
            <w:pPr>
              <w:pStyle w:val="ListParagraph"/>
              <w:numPr>
                <w:ilvl w:val="0"/>
                <w:numId w:val="14"/>
              </w:numPr>
              <w:rPr>
                <w:sz w:val="18"/>
                <w:szCs w:val="18"/>
              </w:rPr>
            </w:pPr>
            <w:r w:rsidRPr="009C02DE">
              <w:rPr>
                <w:sz w:val="18"/>
                <w:szCs w:val="18"/>
              </w:rPr>
              <w:t>Off glucocorticoids; or</w:t>
            </w:r>
          </w:p>
          <w:p w14:paraId="09B791BC" w14:textId="77777777" w:rsidR="009C02DE" w:rsidRPr="009C02DE" w:rsidRDefault="009C02DE" w:rsidP="00C67418">
            <w:pPr>
              <w:pStyle w:val="ListParagraph"/>
              <w:numPr>
                <w:ilvl w:val="0"/>
                <w:numId w:val="14"/>
              </w:numPr>
              <w:rPr>
                <w:sz w:val="18"/>
                <w:szCs w:val="18"/>
              </w:rPr>
            </w:pPr>
            <w:r w:rsidRPr="009C02DE">
              <w:rPr>
                <w:sz w:val="18"/>
                <w:szCs w:val="18"/>
              </w:rPr>
              <w:t>Glucocorticoids stable or decreased</w:t>
            </w:r>
          </w:p>
        </w:tc>
      </w:tr>
      <w:tr w:rsidR="009C02DE" w:rsidRPr="00671B6A" w14:paraId="0776BDE4" w14:textId="77777777" w:rsidTr="00C67418">
        <w:trPr>
          <w:trHeight w:val="1718"/>
        </w:trPr>
        <w:tc>
          <w:tcPr>
            <w:tcW w:w="9576" w:type="dxa"/>
            <w:gridSpan w:val="2"/>
            <w:tcBorders>
              <w:top w:val="single" w:sz="4" w:space="0" w:color="auto"/>
            </w:tcBorders>
          </w:tcPr>
          <w:p w14:paraId="5E29322C" w14:textId="77777777" w:rsidR="009C02DE" w:rsidRPr="009C02DE" w:rsidRDefault="009C02DE" w:rsidP="00C67418">
            <w:pPr>
              <w:jc w:val="both"/>
              <w:rPr>
                <w:sz w:val="17"/>
                <w:szCs w:val="17"/>
              </w:rPr>
            </w:pPr>
            <w:r w:rsidRPr="009C02DE">
              <w:rPr>
                <w:sz w:val="17"/>
                <w:szCs w:val="17"/>
              </w:rPr>
              <w:t>*Glucocorticoids are defined to be “increased” at a timepoint if the average daily dose given during the 5 days before the current scan increases more than 20% and more than 2 mg/day (dexamethasone equivalent) than average daily dose given during the 5 days before the comparator scan (baseline scan).</w:t>
            </w:r>
          </w:p>
          <w:p w14:paraId="6D76AB1B" w14:textId="77777777" w:rsidR="009C02DE" w:rsidRPr="009C02DE" w:rsidRDefault="009C02DE" w:rsidP="00C67418">
            <w:pPr>
              <w:ind w:firstLine="270"/>
              <w:jc w:val="both"/>
              <w:rPr>
                <w:sz w:val="17"/>
                <w:szCs w:val="17"/>
              </w:rPr>
            </w:pPr>
            <w:r w:rsidRPr="009C02DE">
              <w:rPr>
                <w:sz w:val="17"/>
                <w:szCs w:val="17"/>
              </w:rPr>
              <w:t>Glucocorticoids are defined to be “decreased” at a timepoint if the average daily dose given during the 5 days before the current scan decreases more than 20% and more than 2 mg/day (dexamethasone equivalent) than average daily dose given during the 5 days before the comparator scan (baseline scan), but with more than 2 mg/day dexamethasone equivalent dose of glucocorticoid use.</w:t>
            </w:r>
          </w:p>
          <w:p w14:paraId="7C8F24F0" w14:textId="77777777" w:rsidR="009C02DE" w:rsidRPr="009C02DE" w:rsidRDefault="009C02DE" w:rsidP="00C67418">
            <w:pPr>
              <w:ind w:firstLine="270"/>
              <w:jc w:val="both"/>
              <w:rPr>
                <w:sz w:val="17"/>
                <w:szCs w:val="17"/>
              </w:rPr>
            </w:pPr>
            <w:r w:rsidRPr="009C02DE">
              <w:rPr>
                <w:sz w:val="17"/>
                <w:szCs w:val="17"/>
              </w:rPr>
              <w:t>Glucocorticoids are defined to be “stable” at a timepoint if the average daily dose given during the 5 days before the current scan is no more than 20% and no more than 2 mg/day (dexamethasone equivalent) than average daily dose given during the 5 days before the comparator scan (baseline scan), but with more than 2 mg/day dexamethasone equivalent dose of glucocorticoid use.</w:t>
            </w:r>
          </w:p>
          <w:p w14:paraId="1A890E64" w14:textId="77777777" w:rsidR="009C02DE" w:rsidRPr="009C02DE" w:rsidRDefault="009C02DE" w:rsidP="00C67418">
            <w:pPr>
              <w:pStyle w:val="Paragraph"/>
              <w:keepNext/>
              <w:spacing w:after="0" w:line="240" w:lineRule="auto"/>
              <w:ind w:firstLine="270"/>
              <w:rPr>
                <w:sz w:val="17"/>
                <w:szCs w:val="17"/>
              </w:rPr>
            </w:pPr>
            <w:r w:rsidRPr="009C02DE">
              <w:rPr>
                <w:sz w:val="17"/>
                <w:szCs w:val="17"/>
              </w:rPr>
              <w:t xml:space="preserve">“Off glucocorticoids” is defined as no glucocorticoids taken in the 5 days before the current scan, other than a physiologic replacement dose (average daily dose of no more than 2 mg/day dexamethasone equivalent). </w:t>
            </w:r>
          </w:p>
          <w:p w14:paraId="16F9C7E8" w14:textId="303765DF" w:rsidR="009C02DE" w:rsidRPr="00745065" w:rsidRDefault="009C02DE" w:rsidP="00E428BA">
            <w:pPr>
              <w:pStyle w:val="Paragraph"/>
              <w:keepNext/>
              <w:spacing w:after="0" w:line="240" w:lineRule="auto"/>
              <w:ind w:firstLine="360"/>
              <w:rPr>
                <w:sz w:val="18"/>
                <w:szCs w:val="18"/>
              </w:rPr>
            </w:pPr>
            <w:r w:rsidRPr="009C02DE">
              <w:rPr>
                <w:sz w:val="17"/>
                <w:szCs w:val="17"/>
              </w:rPr>
              <w:t>IRF, independent radiology facility; MRI, magnetic resonance imaging; RANO, Response Assessment in Neuro-Oncology; SPD, sum of the products of perpendicular diameters.</w:t>
            </w:r>
            <w:r w:rsidRPr="00745065">
              <w:rPr>
                <w:sz w:val="18"/>
                <w:szCs w:val="18"/>
              </w:rPr>
              <w:t xml:space="preserve"> </w:t>
            </w:r>
          </w:p>
        </w:tc>
      </w:tr>
    </w:tbl>
    <w:p w14:paraId="55C69A20" w14:textId="77777777" w:rsidR="00AB6ABA" w:rsidRPr="00163936" w:rsidRDefault="00AB6ABA" w:rsidP="009C02DE">
      <w:pPr>
        <w:pageBreakBefore/>
        <w:widowControl w:val="0"/>
        <w:spacing w:line="480" w:lineRule="auto"/>
        <w:rPr>
          <w:b/>
          <w:u w:val="single"/>
        </w:rPr>
      </w:pPr>
      <w:r w:rsidRPr="00163936">
        <w:rPr>
          <w:b/>
          <w:u w:val="single"/>
        </w:rPr>
        <w:lastRenderedPageBreak/>
        <w:t>Tumor Assessment</w:t>
      </w:r>
      <w:r>
        <w:rPr>
          <w:b/>
          <w:u w:val="single"/>
        </w:rPr>
        <w:t xml:space="preserve"> Schedule and Criteria</w:t>
      </w:r>
      <w:r w:rsidRPr="00163936">
        <w:rPr>
          <w:b/>
          <w:u w:val="single"/>
        </w:rPr>
        <w:t xml:space="preserve"> </w:t>
      </w:r>
    </w:p>
    <w:p w14:paraId="3F13936B" w14:textId="08F6ED31" w:rsidR="00AB6ABA" w:rsidRDefault="00AB6ABA" w:rsidP="00AB6ABA">
      <w:pPr>
        <w:spacing w:line="480" w:lineRule="auto"/>
        <w:ind w:firstLine="720"/>
        <w:jc w:val="both"/>
      </w:pPr>
      <w:r>
        <w:t>T</w:t>
      </w:r>
      <w:r w:rsidRPr="005208F8">
        <w:t xml:space="preserve">he protocol initially specified that </w:t>
      </w:r>
      <w:r>
        <w:t>the tumor assessment per independent radiology facility (IRF) for G</w:t>
      </w:r>
      <w:r w:rsidRPr="005208F8">
        <w:t xml:space="preserve">roups </w:t>
      </w:r>
      <w:r>
        <w:t>A</w:t>
      </w:r>
      <w:r w:rsidRPr="005208F8">
        <w:t xml:space="preserve"> and </w:t>
      </w:r>
      <w:r>
        <w:t>B</w:t>
      </w:r>
      <w:r w:rsidRPr="005208F8">
        <w:t xml:space="preserve"> would be analyzed by </w:t>
      </w:r>
      <w:r w:rsidR="00876B24" w:rsidRPr="005208F8">
        <w:t>Mac</w:t>
      </w:r>
      <w:r w:rsidR="00876B24">
        <w:t>d</w:t>
      </w:r>
      <w:r w:rsidR="00876B24" w:rsidRPr="005208F8">
        <w:t xml:space="preserve">onald </w:t>
      </w:r>
      <w:r>
        <w:t>criteria</w:t>
      </w:r>
      <w:r w:rsidRPr="004D6D80">
        <w:t>.</w:t>
      </w:r>
      <w:hyperlink w:anchor="_ENREF_1" w:tooltip="Macdonald, 1990 #29" w:history="1">
        <w:r w:rsidRPr="004D6D80">
          <w:fldChar w:fldCharType="begin"/>
        </w:r>
        <w:r w:rsidRPr="004D6D80">
          <w:instrText xml:space="preserve"> ADDIN EN.CITE &lt;EndNote&gt;&lt;Cite&gt;&lt;Author&gt;Macdonald&lt;/Author&gt;&lt;Year&gt;1990&lt;/Year&gt;&lt;RecNum&gt;29&lt;/RecNum&gt;&lt;DisplayText&gt;&lt;style face="superscript"&gt;1&lt;/style&gt;&lt;/DisplayText&gt;&lt;record&gt;&lt;rec-number&gt;29&lt;/rec-number&gt;&lt;foreign-keys&gt;&lt;key app="EN" db-id="padarvaf3fvazkepzzqxxx53fa0wwf9xrrza"&gt;29&lt;/key&gt;&lt;/foreign-keys&gt;&lt;ref-type name="Journal Article"&gt;17&lt;/ref-type&gt;&lt;contributors&gt;&lt;authors&gt;&lt;author&gt;Macdonald, D. R.&lt;/author&gt;&lt;author&gt;Cascino, T. L.&lt;/author&gt;&lt;author&gt;Schold, S. C., Jr.&lt;/author&gt;&lt;author&gt;Cairncross, J. G.&lt;/author&gt;&lt;/authors&gt;&lt;/contributors&gt;&lt;auth-address&gt;Department of Clinical Neurological Sciences, Western Ontario, London, Canada.&lt;/auth-address&gt;&lt;titles&gt;&lt;title&gt;Response criteria for phase II studies of supratentorial malignant glioma&lt;/title&gt;&lt;secondary-title&gt;J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Oncology&lt;/abbr-1&gt;&lt;/alt-periodical&gt;&lt;pages&gt;1277-80&lt;/pages&gt;&lt;volume&gt;8&lt;/volume&gt;&lt;number&gt;7&lt;/number&gt;&lt;keywords&gt;&lt;keyword&gt;Diagnostic Errors&lt;/keyword&gt;&lt;keyword&gt;Drug Evaluation/standards&lt;/keyword&gt;&lt;keyword&gt;Glioma/*drug therapy/pathology&lt;/keyword&gt;&lt;keyword&gt;Humans&lt;/keyword&gt;&lt;keyword&gt;Magnetic Resonance Imaging&lt;/keyword&gt;&lt;keyword&gt;Medical Oncology/standards&lt;/keyword&gt;&lt;keyword&gt;Supratentorial Neoplasms/*drug therapy/pathology&lt;/keyword&gt;&lt;keyword&gt;Tomography, X-Ray Computed&lt;/keyword&gt;&lt;/keywords&gt;&lt;dates&gt;&lt;year&gt;1990&lt;/year&gt;&lt;pub-dates&gt;&lt;date&gt;Jul&lt;/date&gt;&lt;/pub-dates&gt;&lt;/dates&gt;&lt;isbn&gt;0732-183X (Print)&amp;#xD;0732-183X (Linking)&lt;/isbn&gt;&lt;accession-num&gt;2358840&lt;/accession-num&gt;&lt;urls&gt;&lt;related-urls&gt;&lt;url&gt;http://www.ncbi.nlm.nih.gov/pubmed/2358840&lt;/url&gt;&lt;/related-urls&gt;&lt;/urls&gt;&lt;/record&gt;&lt;/Cite&gt;&lt;/EndNote&gt;</w:instrText>
        </w:r>
        <w:r w:rsidRPr="004D6D80">
          <w:fldChar w:fldCharType="separate"/>
        </w:r>
        <w:r w:rsidRPr="004D6D80">
          <w:rPr>
            <w:noProof/>
            <w:vertAlign w:val="superscript"/>
          </w:rPr>
          <w:t>1</w:t>
        </w:r>
        <w:r w:rsidRPr="004D6D80">
          <w:fldChar w:fldCharType="end"/>
        </w:r>
      </w:hyperlink>
      <w:r>
        <w:t xml:space="preserve"> For Group C, the protocol specified that tumor assessments would be analyzed using modified </w:t>
      </w:r>
      <w:r w:rsidRPr="00B42E59">
        <w:t xml:space="preserve">Response Assessment in Neuro-Oncology </w:t>
      </w:r>
      <w:r>
        <w:t xml:space="preserve">(RANO) criteria, which had been recently developed before the protocol amendment that added treatment Group C. For consistency, all tumor assessments were analyzed using the same modified RANO criteria as was prespecified for Group C. </w:t>
      </w:r>
    </w:p>
    <w:p w14:paraId="6D0B48E2" w14:textId="77777777" w:rsidR="00AB6ABA" w:rsidRDefault="00AB6ABA" w:rsidP="00AB6ABA">
      <w:pPr>
        <w:spacing w:line="480" w:lineRule="auto"/>
        <w:ind w:firstLine="720"/>
        <w:jc w:val="both"/>
      </w:pPr>
      <w:r w:rsidRPr="00784622">
        <w:t xml:space="preserve">For Group A, </w:t>
      </w:r>
      <w:r>
        <w:t>tumor assessments occurred</w:t>
      </w:r>
      <w:r w:rsidRPr="00784622">
        <w:t xml:space="preserve"> at screening, at 8 weeks (± 4 days), 16 weeks (±</w:t>
      </w:r>
      <w:r>
        <w:t xml:space="preserve"> </w:t>
      </w:r>
      <w:r w:rsidRPr="00784622">
        <w:t>4 days), 26 weeks (±</w:t>
      </w:r>
      <w:r>
        <w:t xml:space="preserve"> </w:t>
      </w:r>
      <w:r w:rsidRPr="00784622">
        <w:t>4 days), 32 weeks (±</w:t>
      </w:r>
      <w:r>
        <w:t xml:space="preserve"> </w:t>
      </w:r>
      <w:r w:rsidRPr="00784622">
        <w:t>4 days), and at 8-week (±</w:t>
      </w:r>
      <w:r>
        <w:t xml:space="preserve"> </w:t>
      </w:r>
      <w:r w:rsidRPr="00784622">
        <w:t>4 days) intervals thereafter</w:t>
      </w:r>
      <w:r>
        <w:t xml:space="preserve">. </w:t>
      </w:r>
      <w:r w:rsidRPr="00784622">
        <w:t xml:space="preserve">For Group B, </w:t>
      </w:r>
      <w:r>
        <w:t xml:space="preserve">tumor assessments occurred </w:t>
      </w:r>
      <w:r w:rsidRPr="00784622">
        <w:t>at screening, at 4 weeks (±</w:t>
      </w:r>
      <w:r>
        <w:t xml:space="preserve"> </w:t>
      </w:r>
      <w:r w:rsidRPr="00784622">
        <w:t>4 days), at 8 weeks (±</w:t>
      </w:r>
      <w:r>
        <w:t xml:space="preserve"> </w:t>
      </w:r>
      <w:r w:rsidRPr="00784622">
        <w:t>4 days), 16 weeks (±</w:t>
      </w:r>
      <w:r>
        <w:t xml:space="preserve"> </w:t>
      </w:r>
      <w:r w:rsidRPr="00784622">
        <w:t>4 days), 26 weeks (±</w:t>
      </w:r>
      <w:r>
        <w:t> </w:t>
      </w:r>
      <w:r w:rsidRPr="00784622">
        <w:t>4</w:t>
      </w:r>
      <w:r>
        <w:t> </w:t>
      </w:r>
      <w:r w:rsidRPr="00784622">
        <w:t>days), 32 weeks (±</w:t>
      </w:r>
      <w:r>
        <w:t xml:space="preserve"> </w:t>
      </w:r>
      <w:r w:rsidRPr="00784622">
        <w:t>4 days), and at 8-week (±</w:t>
      </w:r>
      <w:r>
        <w:t xml:space="preserve"> </w:t>
      </w:r>
      <w:r w:rsidRPr="00784622">
        <w:t xml:space="preserve">4 days) intervals thereafter. </w:t>
      </w:r>
      <w:r>
        <w:t>For Group C, tumor assessments occurred at screening, 4 weeks (+ 4 days), and every 6 weeks (± 7 days) thereafter.</w:t>
      </w:r>
    </w:p>
    <w:p w14:paraId="17983FB1" w14:textId="77777777" w:rsidR="00AB6ABA" w:rsidRDefault="00AB6ABA" w:rsidP="00941AAB">
      <w:pPr>
        <w:rPr>
          <w:highlight w:val="yellow"/>
        </w:rPr>
      </w:pPr>
    </w:p>
    <w:p w14:paraId="39C74623" w14:textId="77777777" w:rsidR="00AB6ABA" w:rsidRDefault="00AB6ABA" w:rsidP="00941AAB">
      <w:pPr>
        <w:rPr>
          <w:highlight w:val="yellow"/>
        </w:rPr>
      </w:pPr>
    </w:p>
    <w:p w14:paraId="18E03E0D" w14:textId="7850DF1D" w:rsidR="00AB6ABA" w:rsidRPr="004D6D80" w:rsidRDefault="00AB6ABA" w:rsidP="00AB6ABA">
      <w:pPr>
        <w:widowControl w:val="0"/>
        <w:rPr>
          <w:b/>
        </w:rPr>
      </w:pPr>
      <w:r w:rsidRPr="004D6D80">
        <w:rPr>
          <w:b/>
        </w:rPr>
        <w:t>Reference</w:t>
      </w:r>
    </w:p>
    <w:p w14:paraId="556612E5" w14:textId="77777777" w:rsidR="00AB6ABA" w:rsidRPr="004D6D80" w:rsidRDefault="00AB6ABA" w:rsidP="00941AAB"/>
    <w:p w14:paraId="64426DCE" w14:textId="03F613F2" w:rsidR="00AB6ABA" w:rsidRPr="004D6D80" w:rsidRDefault="00941AAB" w:rsidP="007F6215">
      <w:pPr>
        <w:pStyle w:val="EndNoteBibliography"/>
        <w:spacing w:line="480" w:lineRule="auto"/>
        <w:ind w:left="720" w:hanging="720"/>
      </w:pPr>
      <w:r w:rsidRPr="004D6D80">
        <w:fldChar w:fldCharType="begin"/>
      </w:r>
      <w:r w:rsidRPr="004D6D80">
        <w:instrText xml:space="preserve"> ADDIN EN.REFLIST </w:instrText>
      </w:r>
      <w:r w:rsidRPr="004D6D80">
        <w:fldChar w:fldCharType="separate"/>
      </w:r>
      <w:bookmarkStart w:id="1" w:name="_ENREF_1"/>
      <w:r w:rsidR="00AB6ABA" w:rsidRPr="004D6D80">
        <w:t>1.</w:t>
      </w:r>
      <w:r w:rsidR="00AB6ABA" w:rsidRPr="004D6D80">
        <w:tab/>
        <w:t xml:space="preserve">Macdonald DR, Cascino TL, Schold SC, Jr., Cairncross JG. Response criteria for phase II studies of supratentorial malignant glioma. </w:t>
      </w:r>
      <w:r w:rsidR="00AB6ABA" w:rsidRPr="004D6D80">
        <w:rPr>
          <w:i/>
        </w:rPr>
        <w:t xml:space="preserve">J Clin Oncol. </w:t>
      </w:r>
      <w:r w:rsidR="00AB6ABA" w:rsidRPr="004D6D80">
        <w:t>1990;8:1277</w:t>
      </w:r>
      <w:r w:rsidR="002E0E44">
        <w:rPr>
          <w:rFonts w:ascii="Arial" w:hAnsi="Arial" w:cs="Arial"/>
        </w:rPr>
        <w:t>‒</w:t>
      </w:r>
      <w:r w:rsidR="00AB6ABA" w:rsidRPr="004D6D80">
        <w:t>1280.</w:t>
      </w:r>
      <w:bookmarkEnd w:id="1"/>
    </w:p>
    <w:p w14:paraId="712FF0E1" w14:textId="7BCE2805" w:rsidR="00941AAB" w:rsidRDefault="00941AAB" w:rsidP="00941AAB">
      <w:r w:rsidRPr="004D6D80">
        <w:fldChar w:fldCharType="end"/>
      </w:r>
    </w:p>
    <w:sectPr w:rsidR="00941AA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103172" w15:done="0"/>
  <w15:commentEx w15:paraId="0DB68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01326" w14:textId="77777777" w:rsidR="00413D1D" w:rsidRDefault="00413D1D">
      <w:r>
        <w:separator/>
      </w:r>
    </w:p>
  </w:endnote>
  <w:endnote w:type="continuationSeparator" w:id="0">
    <w:p w14:paraId="03379C87" w14:textId="77777777" w:rsidR="00413D1D" w:rsidRDefault="0041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04564" w14:textId="77777777" w:rsidR="00413D1D" w:rsidRDefault="00413D1D" w:rsidP="00C67418">
    <w:pPr>
      <w:pStyle w:val="Footer"/>
      <w:jc w:val="center"/>
    </w:pPr>
    <w:r>
      <w:t>CONFIDENTIAL — Working 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048B8" w14:textId="77777777" w:rsidR="00413D1D" w:rsidRDefault="00413D1D" w:rsidP="00C67418">
    <w:pPr>
      <w:pStyle w:val="Footer"/>
      <w:jc w:val="center"/>
    </w:pPr>
    <w:r>
      <w:t>CONFIDENTIAL — Working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1F19D" w14:textId="77777777" w:rsidR="00413D1D" w:rsidRDefault="00413D1D">
      <w:r>
        <w:separator/>
      </w:r>
    </w:p>
  </w:footnote>
  <w:footnote w:type="continuationSeparator" w:id="0">
    <w:p w14:paraId="349ED947" w14:textId="77777777" w:rsidR="00413D1D" w:rsidRDefault="0041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1D00" w14:textId="5B9E9C87" w:rsidR="00413D1D" w:rsidRPr="00671B6A" w:rsidRDefault="00413D1D" w:rsidP="00C67418">
    <w:pPr>
      <w:pStyle w:val="Header"/>
      <w:tabs>
        <w:tab w:val="clear" w:pos="4320"/>
        <w:tab w:val="clear" w:pos="8640"/>
        <w:tab w:val="center" w:pos="4680"/>
        <w:tab w:val="right" w:pos="9360"/>
      </w:tabs>
      <w:rPr>
        <w:rStyle w:val="PageNumber"/>
      </w:rPr>
    </w:pPr>
    <w:r w:rsidRPr="00671B6A">
      <w:t xml:space="preserve">Wen </w:t>
    </w:r>
    <w:r>
      <w:t>et al and Cloughesy et al</w:t>
    </w:r>
    <w:r w:rsidRPr="00671B6A">
      <w:tab/>
    </w:r>
    <w:r w:rsidRPr="00671B6A">
      <w:rPr>
        <w:b/>
        <w:bCs/>
      </w:rPr>
      <w:t>DRAFT</w:t>
    </w:r>
    <w:r w:rsidRPr="00671B6A">
      <w:tab/>
      <w:t xml:space="preserve">Page </w:t>
    </w:r>
    <w:r w:rsidRPr="00671B6A">
      <w:rPr>
        <w:rStyle w:val="PageNumber"/>
      </w:rPr>
      <w:fldChar w:fldCharType="begin"/>
    </w:r>
    <w:r w:rsidRPr="00671B6A">
      <w:rPr>
        <w:rStyle w:val="PageNumber"/>
      </w:rPr>
      <w:instrText xml:space="preserve">page </w:instrText>
    </w:r>
    <w:r w:rsidRPr="00671B6A">
      <w:rPr>
        <w:rStyle w:val="PageNumber"/>
      </w:rPr>
      <w:fldChar w:fldCharType="separate"/>
    </w:r>
    <w:r w:rsidR="00010AC7">
      <w:rPr>
        <w:rStyle w:val="PageNumber"/>
        <w:noProof/>
      </w:rPr>
      <w:t>5</w:t>
    </w:r>
    <w:r w:rsidRPr="00671B6A">
      <w:rPr>
        <w:rStyle w:val="PageNumber"/>
      </w:rPr>
      <w:fldChar w:fldCharType="end"/>
    </w:r>
  </w:p>
  <w:p w14:paraId="5E377831" w14:textId="0225B761" w:rsidR="00413D1D" w:rsidRPr="00637E07" w:rsidRDefault="00413D1D" w:rsidP="00C67418">
    <w:pPr>
      <w:pStyle w:val="Header"/>
      <w:pBdr>
        <w:bottom w:val="double" w:sz="6" w:space="1" w:color="auto"/>
      </w:pBdr>
      <w:tabs>
        <w:tab w:val="clear" w:pos="4320"/>
        <w:tab w:val="clear" w:pos="8640"/>
        <w:tab w:val="center" w:pos="4680"/>
        <w:tab w:val="right" w:pos="9360"/>
      </w:tabs>
      <w:ind w:right="-90"/>
      <w:rPr>
        <w:rStyle w:val="PageNumber"/>
      </w:rPr>
    </w:pPr>
    <w:r w:rsidRPr="00671B6A">
      <w:rPr>
        <w:rStyle w:val="PageNumber"/>
      </w:rPr>
      <w:tab/>
    </w:r>
    <w:r w:rsidRPr="00671B6A">
      <w:rPr>
        <w:rStyle w:val="PageNumber"/>
      </w:rPr>
      <w:tab/>
    </w:r>
    <w:r>
      <w:rPr>
        <w:rStyle w:val="PageNumber"/>
      </w:rPr>
      <w:t>24 January 2017</w:t>
    </w:r>
  </w:p>
  <w:p w14:paraId="110ADEEC" w14:textId="77777777" w:rsidR="00413D1D" w:rsidRDefault="00413D1D" w:rsidP="00C67418">
    <w:pPr>
      <w:pStyle w:val="Header"/>
      <w:tabs>
        <w:tab w:val="clear" w:pos="8640"/>
        <w:tab w:val="center" w:pos="4680"/>
        <w:tab w:val="right" w:pos="9360"/>
      </w:tabs>
      <w:rPr>
        <w:sz w:val="18"/>
      </w:rPr>
    </w:pPr>
  </w:p>
  <w:p w14:paraId="6916C585" w14:textId="77777777" w:rsidR="00413D1D" w:rsidRPr="00AB59A2" w:rsidRDefault="00413D1D" w:rsidP="00C67418">
    <w:pPr>
      <w:pStyle w:val="Header"/>
      <w:tabs>
        <w:tab w:val="left" w:pos="8640"/>
        <w:tab w:val="right" w:pos="9405"/>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4B44" w14:textId="02A89867" w:rsidR="00413D1D" w:rsidRPr="00E51DEA" w:rsidRDefault="00413D1D" w:rsidP="00C67418">
    <w:pPr>
      <w:tabs>
        <w:tab w:val="center" w:pos="4680"/>
        <w:tab w:val="right" w:pos="9360"/>
      </w:tabs>
    </w:pPr>
    <w:r w:rsidRPr="00E51DEA">
      <w:t xml:space="preserve">Wen </w:t>
    </w:r>
    <w:r>
      <w:t>et al and Cloughesy et al</w:t>
    </w:r>
    <w:r w:rsidRPr="00E51DEA">
      <w:tab/>
    </w:r>
    <w:r w:rsidRPr="00E51DEA">
      <w:rPr>
        <w:b/>
        <w:bCs/>
      </w:rPr>
      <w:t>DRAFT</w:t>
    </w:r>
    <w:r w:rsidRPr="00E51DEA">
      <w:tab/>
      <w:t xml:space="preserve">Page </w:t>
    </w:r>
    <w:r w:rsidRPr="00E51DEA">
      <w:fldChar w:fldCharType="begin"/>
    </w:r>
    <w:r w:rsidRPr="00E51DEA">
      <w:instrText xml:space="preserve">page </w:instrText>
    </w:r>
    <w:r w:rsidRPr="00E51DEA">
      <w:fldChar w:fldCharType="separate"/>
    </w:r>
    <w:r w:rsidR="00010AC7">
      <w:rPr>
        <w:noProof/>
      </w:rPr>
      <w:t>1</w:t>
    </w:r>
    <w:r w:rsidRPr="00E51DEA">
      <w:fldChar w:fldCharType="end"/>
    </w:r>
  </w:p>
  <w:p w14:paraId="16EF2521" w14:textId="6BC37DC6" w:rsidR="00413D1D" w:rsidRPr="00E51DEA" w:rsidRDefault="00413D1D" w:rsidP="00C67418">
    <w:pPr>
      <w:pBdr>
        <w:bottom w:val="double" w:sz="6" w:space="1" w:color="auto"/>
      </w:pBdr>
      <w:tabs>
        <w:tab w:val="center" w:pos="4680"/>
        <w:tab w:val="right" w:pos="9360"/>
      </w:tabs>
      <w:ind w:right="-90"/>
    </w:pPr>
    <w:r>
      <w:tab/>
    </w:r>
    <w:r>
      <w:tab/>
      <w:t xml:space="preserve">24 January </w:t>
    </w:r>
    <w:r w:rsidRPr="00E51DEA">
      <w:t>20</w:t>
    </w:r>
    <w:r>
      <w:t>17</w:t>
    </w:r>
  </w:p>
  <w:p w14:paraId="6F702A05" w14:textId="77777777" w:rsidR="00413D1D" w:rsidRPr="00E51DEA" w:rsidRDefault="00413D1D" w:rsidP="00C67418">
    <w:pPr>
      <w:tabs>
        <w:tab w:val="center" w:pos="4320"/>
        <w:tab w:val="center" w:pos="4680"/>
        <w:tab w:val="right" w:pos="9360"/>
      </w:tabs>
      <w:rPr>
        <w:sz w:val="18"/>
        <w:szCs w:val="18"/>
      </w:rPr>
    </w:pPr>
  </w:p>
  <w:p w14:paraId="3D08E326" w14:textId="77777777" w:rsidR="00413D1D" w:rsidRPr="00E51DEA" w:rsidRDefault="00413D1D" w:rsidP="00C67418">
    <w:pPr>
      <w:tabs>
        <w:tab w:val="center" w:pos="4320"/>
        <w:tab w:val="right" w:pos="8640"/>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72B"/>
    <w:multiLevelType w:val="hybridMultilevel"/>
    <w:tmpl w:val="318071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83445"/>
    <w:multiLevelType w:val="hybridMultilevel"/>
    <w:tmpl w:val="AB74F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147C1"/>
    <w:multiLevelType w:val="hybridMultilevel"/>
    <w:tmpl w:val="80A4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2683B"/>
    <w:multiLevelType w:val="hybridMultilevel"/>
    <w:tmpl w:val="3188B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4D4CB0"/>
    <w:multiLevelType w:val="hybridMultilevel"/>
    <w:tmpl w:val="9A8A1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D04F9"/>
    <w:multiLevelType w:val="hybridMultilevel"/>
    <w:tmpl w:val="C276C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CA758BA"/>
    <w:multiLevelType w:val="hybridMultilevel"/>
    <w:tmpl w:val="5546C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F01F1"/>
    <w:multiLevelType w:val="hybridMultilevel"/>
    <w:tmpl w:val="3708B8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7265B7"/>
    <w:multiLevelType w:val="hybridMultilevel"/>
    <w:tmpl w:val="DCA08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9F6718"/>
    <w:multiLevelType w:val="hybridMultilevel"/>
    <w:tmpl w:val="5DA05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739FF"/>
    <w:multiLevelType w:val="hybridMultilevel"/>
    <w:tmpl w:val="E51E4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1566A0"/>
    <w:multiLevelType w:val="hybridMultilevel"/>
    <w:tmpl w:val="29D2E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73357B"/>
    <w:multiLevelType w:val="hybridMultilevel"/>
    <w:tmpl w:val="515CB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55E27"/>
    <w:multiLevelType w:val="hybridMultilevel"/>
    <w:tmpl w:val="001A6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2C20E0"/>
    <w:multiLevelType w:val="hybridMultilevel"/>
    <w:tmpl w:val="CBA04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2"/>
  </w:num>
  <w:num w:numId="5">
    <w:abstractNumId w:val="14"/>
  </w:num>
  <w:num w:numId="6">
    <w:abstractNumId w:val="7"/>
  </w:num>
  <w:num w:numId="7">
    <w:abstractNumId w:val="4"/>
  </w:num>
  <w:num w:numId="8">
    <w:abstractNumId w:val="1"/>
  </w:num>
  <w:num w:numId="9">
    <w:abstractNumId w:val="10"/>
  </w:num>
  <w:num w:numId="10">
    <w:abstractNumId w:val="6"/>
  </w:num>
  <w:num w:numId="11">
    <w:abstractNumId w:val="11"/>
  </w:num>
  <w:num w:numId="12">
    <w:abstractNumId w:val="13"/>
  </w:num>
  <w:num w:numId="13">
    <w:abstractNumId w:val="8"/>
  </w:num>
  <w:num w:numId="14">
    <w:abstractNumId w:val="0"/>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Daddona">
    <w15:presenceInfo w15:providerId="AD" w15:userId="S-1-5-21-843470849-2691081344-3603689924-10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On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adarvaf3fvazkepzzqxxx53fa0wwf9xrrza&quot;&gt;Wen - EXE 6018&lt;record-ids&gt;&lt;item&gt;29&lt;/item&gt;&lt;/record-ids&gt;&lt;/item&gt;&lt;/Libraries&gt;"/>
  </w:docVars>
  <w:rsids>
    <w:rsidRoot w:val="00A02C7C"/>
    <w:rsid w:val="00001264"/>
    <w:rsid w:val="00010AC7"/>
    <w:rsid w:val="000864D1"/>
    <w:rsid w:val="000A4520"/>
    <w:rsid w:val="00143415"/>
    <w:rsid w:val="0016490D"/>
    <w:rsid w:val="001811ED"/>
    <w:rsid w:val="001819E4"/>
    <w:rsid w:val="00186AB9"/>
    <w:rsid w:val="001C3101"/>
    <w:rsid w:val="001D5998"/>
    <w:rsid w:val="00272112"/>
    <w:rsid w:val="00292134"/>
    <w:rsid w:val="002A0ABB"/>
    <w:rsid w:val="002E0E44"/>
    <w:rsid w:val="002F7DDE"/>
    <w:rsid w:val="0034626D"/>
    <w:rsid w:val="003B60B9"/>
    <w:rsid w:val="00403AD7"/>
    <w:rsid w:val="00413D1D"/>
    <w:rsid w:val="0044040C"/>
    <w:rsid w:val="004B0F50"/>
    <w:rsid w:val="004D456F"/>
    <w:rsid w:val="004D6D80"/>
    <w:rsid w:val="004E42F0"/>
    <w:rsid w:val="00511A12"/>
    <w:rsid w:val="0056769A"/>
    <w:rsid w:val="005C4B0D"/>
    <w:rsid w:val="005D04AB"/>
    <w:rsid w:val="005D68E4"/>
    <w:rsid w:val="00671915"/>
    <w:rsid w:val="006A4785"/>
    <w:rsid w:val="0071675A"/>
    <w:rsid w:val="00733C90"/>
    <w:rsid w:val="00765E33"/>
    <w:rsid w:val="00794A5D"/>
    <w:rsid w:val="007B03E9"/>
    <w:rsid w:val="007C65D3"/>
    <w:rsid w:val="007F6215"/>
    <w:rsid w:val="0080033B"/>
    <w:rsid w:val="00837FF6"/>
    <w:rsid w:val="00876B24"/>
    <w:rsid w:val="008A4CEE"/>
    <w:rsid w:val="008A4D6A"/>
    <w:rsid w:val="00941AAB"/>
    <w:rsid w:val="009B0C45"/>
    <w:rsid w:val="009C02DE"/>
    <w:rsid w:val="009F36B3"/>
    <w:rsid w:val="00A02C7C"/>
    <w:rsid w:val="00A35031"/>
    <w:rsid w:val="00A431A4"/>
    <w:rsid w:val="00AB6ABA"/>
    <w:rsid w:val="00AC11B5"/>
    <w:rsid w:val="00B162D5"/>
    <w:rsid w:val="00B62DE7"/>
    <w:rsid w:val="00BF07B1"/>
    <w:rsid w:val="00C14180"/>
    <w:rsid w:val="00C67406"/>
    <w:rsid w:val="00C67418"/>
    <w:rsid w:val="00C72ED3"/>
    <w:rsid w:val="00C86A53"/>
    <w:rsid w:val="00C95434"/>
    <w:rsid w:val="00D14AA4"/>
    <w:rsid w:val="00D57C86"/>
    <w:rsid w:val="00D57F2E"/>
    <w:rsid w:val="00D96747"/>
    <w:rsid w:val="00DE63FC"/>
    <w:rsid w:val="00E40840"/>
    <w:rsid w:val="00E428BA"/>
    <w:rsid w:val="00EA786C"/>
    <w:rsid w:val="00EB3FFE"/>
    <w:rsid w:val="00EC4D94"/>
    <w:rsid w:val="00F032F5"/>
    <w:rsid w:val="00F7205B"/>
    <w:rsid w:val="00F72E67"/>
    <w:rsid w:val="00F857BF"/>
    <w:rsid w:val="00FB3F23"/>
    <w:rsid w:val="00FC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F2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C7C"/>
    <w:pPr>
      <w:tabs>
        <w:tab w:val="center" w:pos="4320"/>
        <w:tab w:val="right" w:pos="8640"/>
      </w:tabs>
    </w:pPr>
  </w:style>
  <w:style w:type="character" w:customStyle="1" w:styleId="HeaderChar">
    <w:name w:val="Header Char"/>
    <w:basedOn w:val="DefaultParagraphFont"/>
    <w:link w:val="Header"/>
    <w:rsid w:val="00A02C7C"/>
    <w:rPr>
      <w:rFonts w:ascii="Times New Roman" w:hAnsi="Times New Roman" w:cs="Times New Roman"/>
      <w:sz w:val="24"/>
      <w:szCs w:val="24"/>
    </w:rPr>
  </w:style>
  <w:style w:type="paragraph" w:styleId="Footer">
    <w:name w:val="footer"/>
    <w:basedOn w:val="Normal"/>
    <w:link w:val="FooterChar"/>
    <w:rsid w:val="00A02C7C"/>
    <w:pPr>
      <w:tabs>
        <w:tab w:val="center" w:pos="4320"/>
        <w:tab w:val="right" w:pos="8640"/>
      </w:tabs>
    </w:pPr>
  </w:style>
  <w:style w:type="character" w:customStyle="1" w:styleId="FooterChar">
    <w:name w:val="Footer Char"/>
    <w:basedOn w:val="DefaultParagraphFont"/>
    <w:link w:val="Footer"/>
    <w:rsid w:val="00A02C7C"/>
    <w:rPr>
      <w:rFonts w:ascii="Times New Roman" w:hAnsi="Times New Roman" w:cs="Times New Roman"/>
      <w:sz w:val="24"/>
      <w:szCs w:val="24"/>
    </w:rPr>
  </w:style>
  <w:style w:type="character" w:styleId="PageNumber">
    <w:name w:val="page number"/>
    <w:basedOn w:val="DefaultParagraphFont"/>
    <w:rsid w:val="00A02C7C"/>
  </w:style>
  <w:style w:type="table" w:styleId="TableGrid">
    <w:name w:val="Table Grid"/>
    <w:basedOn w:val="TableNormal"/>
    <w:rsid w:val="00A02C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02C7C"/>
    <w:rPr>
      <w:sz w:val="16"/>
      <w:szCs w:val="16"/>
    </w:rPr>
  </w:style>
  <w:style w:type="paragraph" w:styleId="CommentText">
    <w:name w:val="annotation text"/>
    <w:basedOn w:val="Normal"/>
    <w:link w:val="CommentTextChar"/>
    <w:uiPriority w:val="99"/>
    <w:unhideWhenUsed/>
    <w:rsid w:val="00A02C7C"/>
    <w:rPr>
      <w:sz w:val="20"/>
      <w:szCs w:val="20"/>
    </w:rPr>
  </w:style>
  <w:style w:type="character" w:customStyle="1" w:styleId="CommentTextChar">
    <w:name w:val="Comment Text Char"/>
    <w:basedOn w:val="DefaultParagraphFont"/>
    <w:link w:val="CommentText"/>
    <w:uiPriority w:val="99"/>
    <w:rsid w:val="00A02C7C"/>
    <w:rPr>
      <w:rFonts w:ascii="Times New Roman" w:hAnsi="Times New Roman" w:cs="Times New Roman"/>
      <w:sz w:val="20"/>
      <w:szCs w:val="20"/>
    </w:rPr>
  </w:style>
  <w:style w:type="paragraph" w:customStyle="1" w:styleId="Paragraph">
    <w:name w:val="Paragraph"/>
    <w:basedOn w:val="Normal"/>
    <w:rsid w:val="00A02C7C"/>
    <w:pPr>
      <w:spacing w:after="240" w:line="360" w:lineRule="exact"/>
    </w:pPr>
    <w:rPr>
      <w:rFonts w:eastAsia="Calibri"/>
      <w:kern w:val="24"/>
    </w:rPr>
  </w:style>
  <w:style w:type="paragraph" w:styleId="ListParagraph">
    <w:name w:val="List Paragraph"/>
    <w:basedOn w:val="Normal"/>
    <w:uiPriority w:val="34"/>
    <w:qFormat/>
    <w:rsid w:val="00A02C7C"/>
    <w:pPr>
      <w:ind w:left="720"/>
      <w:contextualSpacing/>
    </w:pPr>
  </w:style>
  <w:style w:type="paragraph" w:styleId="BalloonText">
    <w:name w:val="Balloon Text"/>
    <w:basedOn w:val="Normal"/>
    <w:link w:val="BalloonTextChar"/>
    <w:uiPriority w:val="99"/>
    <w:semiHidden/>
    <w:unhideWhenUsed/>
    <w:rsid w:val="00A02C7C"/>
    <w:rPr>
      <w:rFonts w:ascii="Tahoma" w:hAnsi="Tahoma" w:cs="Tahoma"/>
      <w:sz w:val="16"/>
      <w:szCs w:val="16"/>
    </w:rPr>
  </w:style>
  <w:style w:type="character" w:customStyle="1" w:styleId="BalloonTextChar">
    <w:name w:val="Balloon Text Char"/>
    <w:basedOn w:val="DefaultParagraphFont"/>
    <w:link w:val="BalloonText"/>
    <w:uiPriority w:val="99"/>
    <w:semiHidden/>
    <w:rsid w:val="00A02C7C"/>
    <w:rPr>
      <w:rFonts w:ascii="Tahoma" w:hAnsi="Tahoma" w:cs="Tahoma"/>
      <w:sz w:val="16"/>
      <w:szCs w:val="16"/>
    </w:rPr>
  </w:style>
  <w:style w:type="character" w:styleId="LineNumber">
    <w:name w:val="line number"/>
    <w:basedOn w:val="DefaultParagraphFont"/>
    <w:uiPriority w:val="99"/>
    <w:semiHidden/>
    <w:unhideWhenUsed/>
    <w:rsid w:val="00A02C7C"/>
  </w:style>
  <w:style w:type="paragraph" w:styleId="CommentSubject">
    <w:name w:val="annotation subject"/>
    <w:basedOn w:val="CommentText"/>
    <w:next w:val="CommentText"/>
    <w:link w:val="CommentSubjectChar"/>
    <w:uiPriority w:val="99"/>
    <w:semiHidden/>
    <w:unhideWhenUsed/>
    <w:rsid w:val="00403AD7"/>
    <w:rPr>
      <w:b/>
      <w:bCs/>
    </w:rPr>
  </w:style>
  <w:style w:type="character" w:customStyle="1" w:styleId="CommentSubjectChar">
    <w:name w:val="Comment Subject Char"/>
    <w:basedOn w:val="CommentTextChar"/>
    <w:link w:val="CommentSubject"/>
    <w:uiPriority w:val="99"/>
    <w:semiHidden/>
    <w:rsid w:val="00403AD7"/>
    <w:rPr>
      <w:rFonts w:ascii="Times New Roman" w:hAnsi="Times New Roman" w:cs="Times New Roman"/>
      <w:b/>
      <w:bCs/>
      <w:sz w:val="20"/>
      <w:szCs w:val="20"/>
    </w:rPr>
  </w:style>
  <w:style w:type="paragraph" w:customStyle="1" w:styleId="EndNoteBibliographyTitle">
    <w:name w:val="EndNote Bibliography Title"/>
    <w:basedOn w:val="Normal"/>
    <w:link w:val="EndNoteBibliographyTitleChar"/>
    <w:rsid w:val="00941AAB"/>
    <w:pPr>
      <w:jc w:val="center"/>
    </w:pPr>
    <w:rPr>
      <w:noProof/>
    </w:rPr>
  </w:style>
  <w:style w:type="character" w:customStyle="1" w:styleId="EndNoteBibliographyTitleChar">
    <w:name w:val="EndNote Bibliography Title Char"/>
    <w:basedOn w:val="DefaultParagraphFont"/>
    <w:link w:val="EndNoteBibliographyTitle"/>
    <w:rsid w:val="00941AAB"/>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41AAB"/>
    <w:rPr>
      <w:noProof/>
    </w:rPr>
  </w:style>
  <w:style w:type="character" w:customStyle="1" w:styleId="EndNoteBibliographyChar">
    <w:name w:val="EndNote Bibliography Char"/>
    <w:basedOn w:val="DefaultParagraphFont"/>
    <w:link w:val="EndNoteBibliography"/>
    <w:rsid w:val="00941AAB"/>
    <w:rPr>
      <w:rFonts w:ascii="Times New Roman" w:hAnsi="Times New Roman" w:cs="Times New Roman"/>
      <w:noProof/>
      <w:sz w:val="24"/>
      <w:szCs w:val="24"/>
    </w:rPr>
  </w:style>
  <w:style w:type="character" w:styleId="Hyperlink">
    <w:name w:val="Hyperlink"/>
    <w:basedOn w:val="DefaultParagraphFont"/>
    <w:uiPriority w:val="99"/>
    <w:unhideWhenUsed/>
    <w:rsid w:val="00941AAB"/>
    <w:rPr>
      <w:color w:val="0000FF" w:themeColor="hyperlink"/>
      <w:u w:val="single"/>
    </w:rPr>
  </w:style>
  <w:style w:type="paragraph" w:styleId="Revision">
    <w:name w:val="Revision"/>
    <w:hidden/>
    <w:uiPriority w:val="99"/>
    <w:semiHidden/>
    <w:rsid w:val="001811E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C7C"/>
    <w:pPr>
      <w:tabs>
        <w:tab w:val="center" w:pos="4320"/>
        <w:tab w:val="right" w:pos="8640"/>
      </w:tabs>
    </w:pPr>
  </w:style>
  <w:style w:type="character" w:customStyle="1" w:styleId="HeaderChar">
    <w:name w:val="Header Char"/>
    <w:basedOn w:val="DefaultParagraphFont"/>
    <w:link w:val="Header"/>
    <w:rsid w:val="00A02C7C"/>
    <w:rPr>
      <w:rFonts w:ascii="Times New Roman" w:hAnsi="Times New Roman" w:cs="Times New Roman"/>
      <w:sz w:val="24"/>
      <w:szCs w:val="24"/>
    </w:rPr>
  </w:style>
  <w:style w:type="paragraph" w:styleId="Footer">
    <w:name w:val="footer"/>
    <w:basedOn w:val="Normal"/>
    <w:link w:val="FooterChar"/>
    <w:rsid w:val="00A02C7C"/>
    <w:pPr>
      <w:tabs>
        <w:tab w:val="center" w:pos="4320"/>
        <w:tab w:val="right" w:pos="8640"/>
      </w:tabs>
    </w:pPr>
  </w:style>
  <w:style w:type="character" w:customStyle="1" w:styleId="FooterChar">
    <w:name w:val="Footer Char"/>
    <w:basedOn w:val="DefaultParagraphFont"/>
    <w:link w:val="Footer"/>
    <w:rsid w:val="00A02C7C"/>
    <w:rPr>
      <w:rFonts w:ascii="Times New Roman" w:hAnsi="Times New Roman" w:cs="Times New Roman"/>
      <w:sz w:val="24"/>
      <w:szCs w:val="24"/>
    </w:rPr>
  </w:style>
  <w:style w:type="character" w:styleId="PageNumber">
    <w:name w:val="page number"/>
    <w:basedOn w:val="DefaultParagraphFont"/>
    <w:rsid w:val="00A02C7C"/>
  </w:style>
  <w:style w:type="table" w:styleId="TableGrid">
    <w:name w:val="Table Grid"/>
    <w:basedOn w:val="TableNormal"/>
    <w:rsid w:val="00A02C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02C7C"/>
    <w:rPr>
      <w:sz w:val="16"/>
      <w:szCs w:val="16"/>
    </w:rPr>
  </w:style>
  <w:style w:type="paragraph" w:styleId="CommentText">
    <w:name w:val="annotation text"/>
    <w:basedOn w:val="Normal"/>
    <w:link w:val="CommentTextChar"/>
    <w:uiPriority w:val="99"/>
    <w:unhideWhenUsed/>
    <w:rsid w:val="00A02C7C"/>
    <w:rPr>
      <w:sz w:val="20"/>
      <w:szCs w:val="20"/>
    </w:rPr>
  </w:style>
  <w:style w:type="character" w:customStyle="1" w:styleId="CommentTextChar">
    <w:name w:val="Comment Text Char"/>
    <w:basedOn w:val="DefaultParagraphFont"/>
    <w:link w:val="CommentText"/>
    <w:uiPriority w:val="99"/>
    <w:rsid w:val="00A02C7C"/>
    <w:rPr>
      <w:rFonts w:ascii="Times New Roman" w:hAnsi="Times New Roman" w:cs="Times New Roman"/>
      <w:sz w:val="20"/>
      <w:szCs w:val="20"/>
    </w:rPr>
  </w:style>
  <w:style w:type="paragraph" w:customStyle="1" w:styleId="Paragraph">
    <w:name w:val="Paragraph"/>
    <w:basedOn w:val="Normal"/>
    <w:rsid w:val="00A02C7C"/>
    <w:pPr>
      <w:spacing w:after="240" w:line="360" w:lineRule="exact"/>
    </w:pPr>
    <w:rPr>
      <w:rFonts w:eastAsia="Calibri"/>
      <w:kern w:val="24"/>
    </w:rPr>
  </w:style>
  <w:style w:type="paragraph" w:styleId="ListParagraph">
    <w:name w:val="List Paragraph"/>
    <w:basedOn w:val="Normal"/>
    <w:uiPriority w:val="34"/>
    <w:qFormat/>
    <w:rsid w:val="00A02C7C"/>
    <w:pPr>
      <w:ind w:left="720"/>
      <w:contextualSpacing/>
    </w:pPr>
  </w:style>
  <w:style w:type="paragraph" w:styleId="BalloonText">
    <w:name w:val="Balloon Text"/>
    <w:basedOn w:val="Normal"/>
    <w:link w:val="BalloonTextChar"/>
    <w:uiPriority w:val="99"/>
    <w:semiHidden/>
    <w:unhideWhenUsed/>
    <w:rsid w:val="00A02C7C"/>
    <w:rPr>
      <w:rFonts w:ascii="Tahoma" w:hAnsi="Tahoma" w:cs="Tahoma"/>
      <w:sz w:val="16"/>
      <w:szCs w:val="16"/>
    </w:rPr>
  </w:style>
  <w:style w:type="character" w:customStyle="1" w:styleId="BalloonTextChar">
    <w:name w:val="Balloon Text Char"/>
    <w:basedOn w:val="DefaultParagraphFont"/>
    <w:link w:val="BalloonText"/>
    <w:uiPriority w:val="99"/>
    <w:semiHidden/>
    <w:rsid w:val="00A02C7C"/>
    <w:rPr>
      <w:rFonts w:ascii="Tahoma" w:hAnsi="Tahoma" w:cs="Tahoma"/>
      <w:sz w:val="16"/>
      <w:szCs w:val="16"/>
    </w:rPr>
  </w:style>
  <w:style w:type="character" w:styleId="LineNumber">
    <w:name w:val="line number"/>
    <w:basedOn w:val="DefaultParagraphFont"/>
    <w:uiPriority w:val="99"/>
    <w:semiHidden/>
    <w:unhideWhenUsed/>
    <w:rsid w:val="00A02C7C"/>
  </w:style>
  <w:style w:type="paragraph" w:styleId="CommentSubject">
    <w:name w:val="annotation subject"/>
    <w:basedOn w:val="CommentText"/>
    <w:next w:val="CommentText"/>
    <w:link w:val="CommentSubjectChar"/>
    <w:uiPriority w:val="99"/>
    <w:semiHidden/>
    <w:unhideWhenUsed/>
    <w:rsid w:val="00403AD7"/>
    <w:rPr>
      <w:b/>
      <w:bCs/>
    </w:rPr>
  </w:style>
  <w:style w:type="character" w:customStyle="1" w:styleId="CommentSubjectChar">
    <w:name w:val="Comment Subject Char"/>
    <w:basedOn w:val="CommentTextChar"/>
    <w:link w:val="CommentSubject"/>
    <w:uiPriority w:val="99"/>
    <w:semiHidden/>
    <w:rsid w:val="00403AD7"/>
    <w:rPr>
      <w:rFonts w:ascii="Times New Roman" w:hAnsi="Times New Roman" w:cs="Times New Roman"/>
      <w:b/>
      <w:bCs/>
      <w:sz w:val="20"/>
      <w:szCs w:val="20"/>
    </w:rPr>
  </w:style>
  <w:style w:type="paragraph" w:customStyle="1" w:styleId="EndNoteBibliographyTitle">
    <w:name w:val="EndNote Bibliography Title"/>
    <w:basedOn w:val="Normal"/>
    <w:link w:val="EndNoteBibliographyTitleChar"/>
    <w:rsid w:val="00941AAB"/>
    <w:pPr>
      <w:jc w:val="center"/>
    </w:pPr>
    <w:rPr>
      <w:noProof/>
    </w:rPr>
  </w:style>
  <w:style w:type="character" w:customStyle="1" w:styleId="EndNoteBibliographyTitleChar">
    <w:name w:val="EndNote Bibliography Title Char"/>
    <w:basedOn w:val="DefaultParagraphFont"/>
    <w:link w:val="EndNoteBibliographyTitle"/>
    <w:rsid w:val="00941AAB"/>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941AAB"/>
    <w:rPr>
      <w:noProof/>
    </w:rPr>
  </w:style>
  <w:style w:type="character" w:customStyle="1" w:styleId="EndNoteBibliographyChar">
    <w:name w:val="EndNote Bibliography Char"/>
    <w:basedOn w:val="DefaultParagraphFont"/>
    <w:link w:val="EndNoteBibliography"/>
    <w:rsid w:val="00941AAB"/>
    <w:rPr>
      <w:rFonts w:ascii="Times New Roman" w:hAnsi="Times New Roman" w:cs="Times New Roman"/>
      <w:noProof/>
      <w:sz w:val="24"/>
      <w:szCs w:val="24"/>
    </w:rPr>
  </w:style>
  <w:style w:type="character" w:styleId="Hyperlink">
    <w:name w:val="Hyperlink"/>
    <w:basedOn w:val="DefaultParagraphFont"/>
    <w:uiPriority w:val="99"/>
    <w:unhideWhenUsed/>
    <w:rsid w:val="00941AAB"/>
    <w:rPr>
      <w:color w:val="0000FF" w:themeColor="hyperlink"/>
      <w:u w:val="single"/>
    </w:rPr>
  </w:style>
  <w:style w:type="paragraph" w:styleId="Revision">
    <w:name w:val="Revision"/>
    <w:hidden/>
    <w:uiPriority w:val="99"/>
    <w:semiHidden/>
    <w:rsid w:val="001811E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Excelixis</Company>
  <LinksUpToDate>false</LinksUpToDate>
  <CharactersWithSpaces>11970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Lougheed</dc:creator>
  <cp:lastModifiedBy>Julie Lougheed</cp:lastModifiedBy>
  <cp:revision>4</cp:revision>
  <dcterms:created xsi:type="dcterms:W3CDTF">2017-05-17T00:40:00Z</dcterms:created>
  <dcterms:modified xsi:type="dcterms:W3CDTF">2017-05-30T16:17:00Z</dcterms:modified>
</cp:coreProperties>
</file>