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7417" w14:textId="77777777" w:rsidR="000A474D" w:rsidRDefault="00AA4AE9" w:rsidP="0022663B">
      <w:pPr>
        <w:spacing w:before="68"/>
        <w:ind w:left="119"/>
        <w:jc w:val="both"/>
        <w:rPr>
          <w:b/>
          <w:sz w:val="21"/>
        </w:rPr>
      </w:pPr>
      <w:r>
        <w:rPr>
          <w:b/>
          <w:w w:val="105"/>
          <w:sz w:val="21"/>
          <w:u w:val="single"/>
        </w:rPr>
        <w:t>Supplementary Figure Legends</w:t>
      </w:r>
    </w:p>
    <w:p w14:paraId="61774F4D" w14:textId="77777777" w:rsidR="000A474D" w:rsidRDefault="000A474D" w:rsidP="0022663B">
      <w:pPr>
        <w:pStyle w:val="BodyText"/>
        <w:spacing w:before="5"/>
        <w:jc w:val="both"/>
        <w:rPr>
          <w:b/>
          <w:sz w:val="14"/>
        </w:rPr>
      </w:pPr>
    </w:p>
    <w:p w14:paraId="392A189C" w14:textId="77777777" w:rsidR="000A474D" w:rsidRDefault="00AA4AE9" w:rsidP="0022663B">
      <w:pPr>
        <w:pStyle w:val="BodyText"/>
        <w:spacing w:before="96" w:line="506" w:lineRule="auto"/>
        <w:ind w:left="119"/>
        <w:jc w:val="both"/>
        <w:rPr>
          <w:w w:val="105"/>
        </w:rPr>
      </w:pPr>
      <w:r>
        <w:rPr>
          <w:b/>
          <w:w w:val="105"/>
        </w:rPr>
        <w:t>Figure S1</w:t>
      </w:r>
      <w:r w:rsidR="0022663B">
        <w:rPr>
          <w:b/>
          <w:w w:val="105"/>
        </w:rPr>
        <w:t>A</w:t>
      </w:r>
      <w:bookmarkStart w:id="0" w:name="_GoBack"/>
      <w:bookmarkEnd w:id="0"/>
      <w:r>
        <w:rPr>
          <w:b/>
          <w:w w:val="105"/>
        </w:rPr>
        <w:t xml:space="preserve">. </w:t>
      </w:r>
      <w:proofErr w:type="gramStart"/>
      <w:r>
        <w:rPr>
          <w:w w:val="105"/>
        </w:rPr>
        <w:t xml:space="preserve">Recurrent copy number aberrations in treatment naïve </w:t>
      </w:r>
      <w:proofErr w:type="spellStart"/>
      <w:r>
        <w:rPr>
          <w:w w:val="105"/>
        </w:rPr>
        <w:t>glioblastoma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Common chromosomal gains and losses observed in the </w:t>
      </w:r>
      <w:proofErr w:type="spellStart"/>
      <w:r>
        <w:rPr>
          <w:w w:val="105"/>
        </w:rPr>
        <w:t>glioblastoma</w:t>
      </w:r>
      <w:proofErr w:type="spellEnd"/>
      <w:r>
        <w:rPr>
          <w:w w:val="105"/>
        </w:rPr>
        <w:t xml:space="preserve"> cohort are highlighted (n =10).</w:t>
      </w:r>
    </w:p>
    <w:p w14:paraId="1EFEF822" w14:textId="77777777" w:rsidR="0022663B" w:rsidRDefault="0022663B" w:rsidP="0022663B">
      <w:pPr>
        <w:pStyle w:val="BodyText"/>
        <w:spacing w:before="96" w:line="506" w:lineRule="auto"/>
        <w:ind w:left="119"/>
        <w:jc w:val="both"/>
      </w:pPr>
      <w:r>
        <w:rPr>
          <w:b/>
          <w:w w:val="105"/>
        </w:rPr>
        <w:t>Figure S1B.</w:t>
      </w:r>
      <w:r>
        <w:t xml:space="preserve"> Comprehensive representation of all copy number events in all tumor regions sequenced for the entire study cohort (n = 10). Copy number gains and losses are highlighted in red and blue respectively. </w:t>
      </w:r>
    </w:p>
    <w:p w14:paraId="3681F390" w14:textId="77777777" w:rsidR="0022663B" w:rsidRDefault="0022663B" w:rsidP="0022663B">
      <w:pPr>
        <w:pStyle w:val="BodyText"/>
        <w:spacing w:line="504" w:lineRule="auto"/>
        <w:ind w:right="65"/>
        <w:jc w:val="both"/>
      </w:pPr>
    </w:p>
    <w:p w14:paraId="3269B288" w14:textId="77777777" w:rsidR="000A474D" w:rsidRDefault="00AA4AE9" w:rsidP="0022663B">
      <w:pPr>
        <w:pStyle w:val="BodyText"/>
        <w:spacing w:line="504" w:lineRule="auto"/>
        <w:ind w:right="65"/>
        <w:jc w:val="both"/>
      </w:pPr>
      <w:r>
        <w:rPr>
          <w:b/>
          <w:w w:val="105"/>
        </w:rPr>
        <w:t>Figure S2</w:t>
      </w:r>
      <w:r>
        <w:rPr>
          <w:w w:val="105"/>
        </w:rPr>
        <w:t xml:space="preserve">. </w:t>
      </w:r>
      <w:proofErr w:type="gramStart"/>
      <w:r>
        <w:rPr>
          <w:w w:val="105"/>
        </w:rPr>
        <w:t>Heterogeneity in mutational signatures between tumor sectors.</w:t>
      </w:r>
      <w:proofErr w:type="gramEnd"/>
      <w:r>
        <w:rPr>
          <w:w w:val="105"/>
        </w:rPr>
        <w:t xml:space="preserve"> This chart demonstrates the relative proportions of a total of 17 mutational signatures associated with each tumor sector across the 10 </w:t>
      </w:r>
      <w:proofErr w:type="spellStart"/>
      <w:r>
        <w:rPr>
          <w:w w:val="105"/>
        </w:rPr>
        <w:t>glioblastomas</w:t>
      </w:r>
      <w:proofErr w:type="spellEnd"/>
      <w:r>
        <w:rPr>
          <w:w w:val="105"/>
        </w:rPr>
        <w:t xml:space="preserve"> sequenced.</w:t>
      </w:r>
    </w:p>
    <w:p w14:paraId="1BF2CF5E" w14:textId="77777777" w:rsidR="000A474D" w:rsidRDefault="000A474D" w:rsidP="0022663B">
      <w:pPr>
        <w:pStyle w:val="BodyText"/>
        <w:jc w:val="both"/>
        <w:rPr>
          <w:sz w:val="24"/>
        </w:rPr>
      </w:pPr>
    </w:p>
    <w:p w14:paraId="4D0A1952" w14:textId="77777777" w:rsidR="000A474D" w:rsidRDefault="000A474D" w:rsidP="0022663B">
      <w:pPr>
        <w:pStyle w:val="BodyText"/>
        <w:spacing w:before="4"/>
        <w:jc w:val="both"/>
        <w:rPr>
          <w:sz w:val="20"/>
        </w:rPr>
      </w:pPr>
    </w:p>
    <w:p w14:paraId="177A4645" w14:textId="77777777" w:rsidR="000A474D" w:rsidRDefault="00AA4AE9" w:rsidP="0022663B">
      <w:pPr>
        <w:pStyle w:val="BodyText"/>
        <w:spacing w:line="504" w:lineRule="auto"/>
        <w:ind w:left="119" w:right="65"/>
        <w:jc w:val="both"/>
      </w:pPr>
      <w:r>
        <w:rPr>
          <w:b/>
          <w:w w:val="105"/>
        </w:rPr>
        <w:t>Figure S3</w:t>
      </w:r>
      <w:r>
        <w:rPr>
          <w:w w:val="105"/>
        </w:rPr>
        <w:t xml:space="preserve">. </w:t>
      </w:r>
      <w:proofErr w:type="spellStart"/>
      <w:proofErr w:type="gramStart"/>
      <w:r>
        <w:rPr>
          <w:w w:val="105"/>
        </w:rPr>
        <w:t>Subclonal</w:t>
      </w:r>
      <w:proofErr w:type="spellEnd"/>
      <w:r>
        <w:rPr>
          <w:w w:val="105"/>
        </w:rPr>
        <w:t xml:space="preserve"> architecture inference for all tumors.</w:t>
      </w:r>
      <w:proofErr w:type="gramEnd"/>
      <w:r>
        <w:rPr>
          <w:w w:val="105"/>
        </w:rPr>
        <w:t xml:space="preserve"> The top and middle panels show </w:t>
      </w:r>
      <w:proofErr w:type="spellStart"/>
      <w:r>
        <w:rPr>
          <w:w w:val="105"/>
        </w:rPr>
        <w:t>SciClone</w:t>
      </w:r>
      <w:proofErr w:type="spellEnd"/>
      <w:r>
        <w:rPr>
          <w:w w:val="105"/>
        </w:rPr>
        <w:t xml:space="preserve">-generated tumor coverage versus VAF plots based on SNVs in copy-number neutral, loss of </w:t>
      </w:r>
      <w:proofErr w:type="spellStart"/>
      <w:r>
        <w:rPr>
          <w:w w:val="105"/>
        </w:rPr>
        <w:t>heterozygosity</w:t>
      </w:r>
      <w:proofErr w:type="spellEnd"/>
      <w:r>
        <w:rPr>
          <w:w w:val="105"/>
        </w:rPr>
        <w:t xml:space="preserve"> (LOH)-free genomic regions for two distinct tumor sectors. The bottom panels depict the </w:t>
      </w:r>
      <w:proofErr w:type="spellStart"/>
      <w:r>
        <w:rPr>
          <w:w w:val="105"/>
        </w:rPr>
        <w:t>SciClone</w:t>
      </w:r>
      <w:proofErr w:type="spellEnd"/>
      <w:r>
        <w:rPr>
          <w:w w:val="105"/>
        </w:rPr>
        <w:t xml:space="preserve">-generated 2-dimenisonal plot integrating VAF information from two sectors for improved resolution of </w:t>
      </w:r>
      <w:proofErr w:type="spellStart"/>
      <w:r>
        <w:rPr>
          <w:w w:val="105"/>
        </w:rPr>
        <w:t>subclones</w:t>
      </w:r>
      <w:proofErr w:type="spellEnd"/>
      <w:r>
        <w:rPr>
          <w:w w:val="105"/>
        </w:rPr>
        <w:t>.</w:t>
      </w:r>
    </w:p>
    <w:p w14:paraId="48E6729F" w14:textId="77777777" w:rsidR="000A474D" w:rsidRDefault="000A474D" w:rsidP="0022663B">
      <w:pPr>
        <w:pStyle w:val="BodyText"/>
        <w:jc w:val="both"/>
        <w:rPr>
          <w:sz w:val="24"/>
        </w:rPr>
      </w:pPr>
    </w:p>
    <w:p w14:paraId="4BC82862" w14:textId="77777777" w:rsidR="000A474D" w:rsidRDefault="000A474D" w:rsidP="0022663B">
      <w:pPr>
        <w:pStyle w:val="BodyText"/>
        <w:spacing w:before="9"/>
        <w:jc w:val="both"/>
        <w:rPr>
          <w:sz w:val="20"/>
        </w:rPr>
      </w:pPr>
    </w:p>
    <w:p w14:paraId="58C223A6" w14:textId="77777777" w:rsidR="000A474D" w:rsidRDefault="00AA4AE9" w:rsidP="0022663B">
      <w:pPr>
        <w:pStyle w:val="BodyText"/>
        <w:spacing w:line="504" w:lineRule="auto"/>
        <w:ind w:left="119" w:right="65"/>
        <w:jc w:val="both"/>
      </w:pPr>
      <w:r>
        <w:rPr>
          <w:b/>
          <w:w w:val="105"/>
        </w:rPr>
        <w:t>Figure S4</w:t>
      </w:r>
      <w:r>
        <w:rPr>
          <w:w w:val="105"/>
        </w:rPr>
        <w:t xml:space="preserve">. </w:t>
      </w:r>
      <w:proofErr w:type="gramStart"/>
      <w:r>
        <w:rPr>
          <w:w w:val="105"/>
        </w:rPr>
        <w:t>Clonal evolution inference for all samples.</w:t>
      </w:r>
      <w:proofErr w:type="gramEnd"/>
      <w:r>
        <w:rPr>
          <w:w w:val="105"/>
        </w:rPr>
        <w:t xml:space="preserve"> The left panels show box plots for the VAFs </w:t>
      </w:r>
      <w:proofErr w:type="gramStart"/>
      <w:r>
        <w:rPr>
          <w:w w:val="105"/>
        </w:rPr>
        <w:t>of</w:t>
      </w:r>
      <w:proofErr w:type="gramEnd"/>
      <w:r>
        <w:rPr>
          <w:w w:val="105"/>
        </w:rPr>
        <w:t xml:space="preserve"> mutations clusters detected using variants from copy number neutral regions in two distinct sectors (top and bottom). The middle panels show the </w:t>
      </w:r>
      <w:proofErr w:type="spellStart"/>
      <w:r>
        <w:rPr>
          <w:w w:val="105"/>
        </w:rPr>
        <w:t>ClonEvol</w:t>
      </w:r>
      <w:proofErr w:type="spellEnd"/>
      <w:r>
        <w:rPr>
          <w:w w:val="105"/>
        </w:rPr>
        <w:t xml:space="preserve">-generated probable evolutionary relationships between identified </w:t>
      </w:r>
      <w:proofErr w:type="spellStart"/>
      <w:r>
        <w:rPr>
          <w:w w:val="105"/>
        </w:rPr>
        <w:t>subclones</w:t>
      </w:r>
      <w:proofErr w:type="spellEnd"/>
      <w:r>
        <w:rPr>
          <w:w w:val="105"/>
        </w:rPr>
        <w:t xml:space="preserve"> in each sector (top and bottom). The right hand panels illustrate the integrated phylogenetic relationships between all </w:t>
      </w:r>
      <w:proofErr w:type="spellStart"/>
      <w:r>
        <w:rPr>
          <w:w w:val="105"/>
        </w:rPr>
        <w:t>subclones</w:t>
      </w:r>
      <w:proofErr w:type="spellEnd"/>
      <w:r>
        <w:rPr>
          <w:w w:val="105"/>
        </w:rPr>
        <w:t xml:space="preserve"> in both tumor sectors. All possible predictions generated are shown for each patient.</w:t>
      </w:r>
    </w:p>
    <w:p w14:paraId="2ADE6E4C" w14:textId="77777777" w:rsidR="000A474D" w:rsidRDefault="000A474D" w:rsidP="0022663B">
      <w:pPr>
        <w:pStyle w:val="BodyText"/>
        <w:jc w:val="both"/>
        <w:rPr>
          <w:sz w:val="24"/>
        </w:rPr>
      </w:pPr>
    </w:p>
    <w:p w14:paraId="323A2F07" w14:textId="77777777" w:rsidR="000A474D" w:rsidRDefault="000A474D" w:rsidP="0022663B">
      <w:pPr>
        <w:pStyle w:val="BodyText"/>
        <w:spacing w:before="9"/>
        <w:jc w:val="both"/>
        <w:rPr>
          <w:sz w:val="20"/>
        </w:rPr>
      </w:pPr>
    </w:p>
    <w:p w14:paraId="7D2AFC13" w14:textId="77777777" w:rsidR="000A474D" w:rsidRDefault="00AA4AE9" w:rsidP="0022663B">
      <w:pPr>
        <w:pStyle w:val="BodyText"/>
        <w:spacing w:line="501" w:lineRule="auto"/>
        <w:ind w:left="119"/>
        <w:jc w:val="both"/>
      </w:pPr>
      <w:r>
        <w:rPr>
          <w:b/>
          <w:w w:val="105"/>
        </w:rPr>
        <w:t>Figure S5</w:t>
      </w:r>
      <w:r>
        <w:rPr>
          <w:w w:val="105"/>
        </w:rPr>
        <w:t xml:space="preserve">. </w:t>
      </w:r>
      <w:proofErr w:type="gramStart"/>
      <w:r>
        <w:rPr>
          <w:w w:val="105"/>
        </w:rPr>
        <w:t xml:space="preserve">Divergence in VAFs of potentially </w:t>
      </w:r>
      <w:proofErr w:type="spellStart"/>
      <w:r>
        <w:rPr>
          <w:w w:val="105"/>
        </w:rPr>
        <w:t>druggable</w:t>
      </w:r>
      <w:proofErr w:type="spellEnd"/>
      <w:r>
        <w:rPr>
          <w:w w:val="105"/>
        </w:rPr>
        <w:t xml:space="preserve"> gene variants between tumor sectors.</w:t>
      </w:r>
      <w:proofErr w:type="gramEnd"/>
      <w:r>
        <w:rPr>
          <w:w w:val="105"/>
        </w:rPr>
        <w:t xml:space="preserve"> Representative therapeutic </w:t>
      </w:r>
      <w:proofErr w:type="gramStart"/>
      <w:r>
        <w:rPr>
          <w:w w:val="105"/>
        </w:rPr>
        <w:t>gene variant versus VAF plot</w:t>
      </w:r>
      <w:proofErr w:type="gramEnd"/>
      <w:r>
        <w:rPr>
          <w:w w:val="105"/>
        </w:rPr>
        <w:t xml:space="preserve"> highlighting divergent VAFs for the depicted gene variants between sector 1 (S1) and sector 2 (S2) for patient B42.</w:t>
      </w:r>
    </w:p>
    <w:p w14:paraId="7515719D" w14:textId="77777777" w:rsidR="000A474D" w:rsidRDefault="00AA4AE9" w:rsidP="0022663B">
      <w:pPr>
        <w:spacing w:before="5"/>
        <w:ind w:left="119"/>
        <w:jc w:val="both"/>
        <w:rPr>
          <w:rFonts w:ascii="Cambria"/>
          <w:sz w:val="24"/>
        </w:rPr>
      </w:pPr>
      <w:r>
        <w:rPr>
          <w:rFonts w:ascii="Cambria"/>
          <w:sz w:val="24"/>
        </w:rPr>
        <w:t xml:space="preserve"> </w:t>
      </w:r>
    </w:p>
    <w:sectPr w:rsidR="000A474D">
      <w:type w:val="continuous"/>
      <w:pgSz w:w="12240" w:h="15840"/>
      <w:pgMar w:top="1080" w:right="1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D"/>
    <w:rsid w:val="000A474D"/>
    <w:rsid w:val="0022663B"/>
    <w:rsid w:val="00A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FB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2663B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2663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Company>Washington University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SupplementaryFigureLegendsAHKedit.docx</dc:title>
  <cp:lastModifiedBy>Tatenda Mahlokozera</cp:lastModifiedBy>
  <cp:revision>2</cp:revision>
  <dcterms:created xsi:type="dcterms:W3CDTF">2017-11-06T17:21:00Z</dcterms:created>
  <dcterms:modified xsi:type="dcterms:W3CDTF">2017-11-06T17:21:00Z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Word</vt:lpwstr>
  </property>
  <property fmtid="{D5CDD505-2E9C-101B-9397-08002B2CF9AE}" pid="4" name="LastSaved">
    <vt:filetime>2017-07-06T00:00:00Z</vt:filetime>
  </property>
</Properties>
</file>