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B588D" w14:textId="31C31466" w:rsidR="003D3BDC" w:rsidRPr="008476FB" w:rsidRDefault="003D3BDC" w:rsidP="003D3BDC">
      <w:pPr>
        <w:pStyle w:val="Heading1"/>
        <w:spacing w:line="480" w:lineRule="auto"/>
        <w:rPr>
          <w:rFonts w:ascii="Times New Roman" w:hAnsi="Times New Roman" w:cs="Times New Roman"/>
        </w:rPr>
      </w:pPr>
      <w:r w:rsidRPr="008476FB">
        <w:rPr>
          <w:rFonts w:ascii="Times New Roman" w:hAnsi="Times New Roman" w:cs="Times New Roman"/>
        </w:rPr>
        <w:t xml:space="preserve">Supplementary </w:t>
      </w:r>
      <w:r w:rsidR="00717854">
        <w:rPr>
          <w:rFonts w:ascii="Times New Roman" w:hAnsi="Times New Roman" w:cs="Times New Roman"/>
        </w:rPr>
        <w:t>information</w:t>
      </w:r>
    </w:p>
    <w:p w14:paraId="0FA0E0A2" w14:textId="77777777" w:rsidR="003D3BDC" w:rsidRPr="008476FB" w:rsidRDefault="003D3BDC" w:rsidP="00790572">
      <w:pPr>
        <w:pStyle w:val="Heading4"/>
        <w:numPr>
          <w:ilvl w:val="0"/>
          <w:numId w:val="4"/>
        </w:numPr>
        <w:spacing w:line="480" w:lineRule="auto"/>
        <w:rPr>
          <w:rFonts w:ascii="Times New Roman" w:hAnsi="Times New Roman" w:cs="Times New Roman"/>
        </w:rPr>
      </w:pPr>
      <w:r w:rsidRPr="008476FB">
        <w:rPr>
          <w:rFonts w:ascii="Times New Roman" w:hAnsi="Times New Roman" w:cs="Times New Roman"/>
        </w:rPr>
        <w:t xml:space="preserve">Wantai Total </w:t>
      </w:r>
      <w:r w:rsidRPr="008476FB">
        <w:rPr>
          <w:rStyle w:val="Strong"/>
          <w:rFonts w:ascii="Times New Roman" w:hAnsi="Times New Roman" w:cs="Times New Roman"/>
        </w:rPr>
        <w:t>Antibody</w:t>
      </w:r>
      <w:r w:rsidRPr="008476FB">
        <w:rPr>
          <w:rFonts w:ascii="Times New Roman" w:hAnsi="Times New Roman" w:cs="Times New Roman"/>
        </w:rPr>
        <w:t xml:space="preserve"> Assay Validation </w:t>
      </w:r>
    </w:p>
    <w:p w14:paraId="29D65E4D" w14:textId="77777777" w:rsidR="003D3BDC" w:rsidRPr="008476FB" w:rsidRDefault="003D3BDC" w:rsidP="003D3BDC">
      <w:pPr>
        <w:spacing w:line="480" w:lineRule="auto"/>
        <w:rPr>
          <w:rFonts w:ascii="Times New Roman" w:hAnsi="Times New Roman" w:cs="Times New Roman"/>
        </w:rPr>
      </w:pPr>
    </w:p>
    <w:p w14:paraId="4D116908" w14:textId="674A57C4" w:rsidR="003D3BDC" w:rsidRDefault="003D3BDC" w:rsidP="003D3BDC">
      <w:pPr>
        <w:spacing w:line="480" w:lineRule="auto"/>
        <w:rPr>
          <w:rFonts w:ascii="Times New Roman" w:hAnsi="Times New Roman" w:cs="Times New Roman"/>
        </w:rPr>
      </w:pPr>
      <w:r w:rsidRPr="008476FB">
        <w:rPr>
          <w:rFonts w:ascii="Times New Roman" w:hAnsi="Times New Roman" w:cs="Times New Roman"/>
        </w:rPr>
        <w:t xml:space="preserve">Two reference laboratories </w:t>
      </w:r>
      <w:r w:rsidR="00BA690D" w:rsidRPr="008476FB">
        <w:rPr>
          <w:rFonts w:ascii="Times New Roman" w:hAnsi="Times New Roman" w:cs="Times New Roman"/>
        </w:rPr>
        <w:t>conducted</w:t>
      </w:r>
      <w:r w:rsidRPr="008476FB">
        <w:rPr>
          <w:rFonts w:ascii="Times New Roman" w:hAnsi="Times New Roman" w:cs="Times New Roman"/>
        </w:rPr>
        <w:t xml:space="preserve"> </w:t>
      </w:r>
      <w:r w:rsidR="00BA690D" w:rsidRPr="008476FB">
        <w:rPr>
          <w:rFonts w:ascii="Times New Roman" w:hAnsi="Times New Roman" w:cs="Times New Roman"/>
        </w:rPr>
        <w:t xml:space="preserve">validation of </w:t>
      </w:r>
      <w:r w:rsidRPr="008476FB">
        <w:rPr>
          <w:rFonts w:ascii="Times New Roman" w:hAnsi="Times New Roman" w:cs="Times New Roman"/>
        </w:rPr>
        <w:t xml:space="preserve">the Wantai total antibody assay: the Victorian Infectious Diseases Reference Laboratory (VIDRL) at The Peter Doherty Institute for Infection and Immunity, </w:t>
      </w:r>
      <w:r w:rsidR="008F750F" w:rsidRPr="008476FB">
        <w:rPr>
          <w:rFonts w:ascii="Times New Roman" w:hAnsi="Times New Roman" w:cs="Times New Roman"/>
        </w:rPr>
        <w:t>and New South Wales Pathology, Institute for Clinical Pathology and Medical Research (ICPMR)</w:t>
      </w:r>
      <w:r w:rsidR="004A0534">
        <w:rPr>
          <w:rFonts w:ascii="Times New Roman" w:hAnsi="Times New Roman" w:cs="Times New Roman"/>
        </w:rPr>
        <w:t xml:space="preserve"> at</w:t>
      </w:r>
      <w:r w:rsidR="008F750F" w:rsidRPr="008476FB">
        <w:rPr>
          <w:rFonts w:ascii="Times New Roman" w:hAnsi="Times New Roman" w:cs="Times New Roman"/>
        </w:rPr>
        <w:t xml:space="preserve"> Westmead.</w:t>
      </w:r>
    </w:p>
    <w:p w14:paraId="72B5F655" w14:textId="77777777" w:rsidR="004A0534" w:rsidRPr="008476FB" w:rsidRDefault="004A0534" w:rsidP="003D3BDC">
      <w:pPr>
        <w:spacing w:line="480" w:lineRule="auto"/>
        <w:rPr>
          <w:rFonts w:ascii="Times New Roman" w:hAnsi="Times New Roman" w:cs="Times New Roman"/>
        </w:rPr>
      </w:pPr>
    </w:p>
    <w:p w14:paraId="2FF739FD" w14:textId="77777777" w:rsidR="003D3BDC" w:rsidRPr="008476FB" w:rsidRDefault="003D3BDC" w:rsidP="003D3BDC">
      <w:pPr>
        <w:spacing w:line="480" w:lineRule="auto"/>
        <w:rPr>
          <w:rFonts w:ascii="Times New Roman" w:hAnsi="Times New Roman" w:cs="Times New Roman"/>
          <w:b/>
          <w:bCs/>
        </w:rPr>
      </w:pPr>
      <w:r w:rsidRPr="008476FB">
        <w:rPr>
          <w:rFonts w:ascii="Times New Roman" w:hAnsi="Times New Roman" w:cs="Times New Roman"/>
          <w:b/>
          <w:bCs/>
        </w:rPr>
        <w:t>Sensitivity</w:t>
      </w:r>
    </w:p>
    <w:p w14:paraId="3A786FD5"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Pathology specimens</w:t>
      </w:r>
      <w:r w:rsidR="00BA690D" w:rsidRPr="008476FB">
        <w:rPr>
          <w:rFonts w:ascii="Times New Roman" w:hAnsi="Times New Roman" w:cs="Times New Roman"/>
        </w:rPr>
        <w:t xml:space="preserve"> from individuals</w:t>
      </w:r>
      <w:r w:rsidRPr="008476FB">
        <w:rPr>
          <w:rFonts w:ascii="Times New Roman" w:hAnsi="Times New Roman" w:cs="Times New Roman"/>
        </w:rPr>
        <w:t xml:space="preserve"> identified as having a reverse transcription polymerase chain reaction (RT-PCR)-confirmed SARS-CoV-2 infection were selected by both laboratories. </w:t>
      </w:r>
    </w:p>
    <w:p w14:paraId="39671ED0" w14:textId="77777777" w:rsidR="003D3BDC" w:rsidRPr="008476FB" w:rsidRDefault="003D3BDC" w:rsidP="003D3BDC">
      <w:pPr>
        <w:spacing w:line="480" w:lineRule="auto"/>
        <w:rPr>
          <w:rFonts w:ascii="Times New Roman" w:hAnsi="Times New Roman" w:cs="Times New Roman"/>
        </w:rPr>
      </w:pPr>
    </w:p>
    <w:p w14:paraId="4415E2A3"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 xml:space="preserve">At VIDRL, specimens were collected between February 2020 and August 2020. Samples </w:t>
      </w:r>
      <w:proofErr w:type="gramStart"/>
      <w:r w:rsidRPr="008476FB">
        <w:rPr>
          <w:rFonts w:ascii="Times New Roman" w:hAnsi="Times New Roman" w:cs="Times New Roman"/>
        </w:rPr>
        <w:t>were</w:t>
      </w:r>
      <w:proofErr w:type="gramEnd"/>
      <w:r w:rsidRPr="008476FB">
        <w:rPr>
          <w:rFonts w:ascii="Times New Roman" w:hAnsi="Times New Roman" w:cs="Times New Roman"/>
        </w:rPr>
        <w:t xml:space="preserve"> selected from anonymised excess diagnostic specimens from VIDRL and the Royal Melbourne Hospital (RMH) sent for COVID-19 testing. </w:t>
      </w:r>
    </w:p>
    <w:p w14:paraId="16A44F39" w14:textId="77777777" w:rsidR="003D3BDC" w:rsidRPr="008476FB" w:rsidRDefault="003D3BDC" w:rsidP="003D3BDC">
      <w:pPr>
        <w:spacing w:line="480" w:lineRule="auto"/>
        <w:rPr>
          <w:rFonts w:ascii="Times New Roman" w:hAnsi="Times New Roman" w:cs="Times New Roman"/>
        </w:rPr>
      </w:pPr>
    </w:p>
    <w:p w14:paraId="3880068A" w14:textId="0763A204" w:rsidR="003D3BDC" w:rsidRPr="008476FB" w:rsidRDefault="003D3BDC" w:rsidP="003D3BDC">
      <w:pPr>
        <w:spacing w:line="480" w:lineRule="auto"/>
        <w:rPr>
          <w:rFonts w:ascii="Times New Roman" w:hAnsi="Times New Roman" w:cs="Times New Roman"/>
          <w:color w:val="FF0000"/>
        </w:rPr>
      </w:pPr>
      <w:r w:rsidRPr="008476FB">
        <w:rPr>
          <w:rFonts w:ascii="Times New Roman" w:hAnsi="Times New Roman" w:cs="Times New Roman"/>
        </w:rPr>
        <w:t xml:space="preserve">At ICPMR, specimens were collected between January 2020 and July 2020.  Samples were selected from NSW Health Pathology specimens sent to ICPMR for COVID-19 testing, and specimens </w:t>
      </w:r>
      <w:r w:rsidR="00D0320E">
        <w:rPr>
          <w:rFonts w:ascii="Times New Roman" w:hAnsi="Times New Roman" w:cs="Times New Roman"/>
        </w:rPr>
        <w:t xml:space="preserve">were included where they </w:t>
      </w:r>
      <w:r w:rsidRPr="008476FB">
        <w:rPr>
          <w:rFonts w:ascii="Times New Roman" w:hAnsi="Times New Roman" w:cs="Times New Roman"/>
        </w:rPr>
        <w:t>tested positive on in house microneutralisation and immunofluorescent antibody assays; there was sufficient residual volume to form a reference panel for testing on multiple platforms under evaluation; and to cover a range of time periods following diagnosis of infection (up to 130 days).</w:t>
      </w:r>
      <w:r w:rsidRPr="008476FB">
        <w:rPr>
          <w:rFonts w:ascii="Times New Roman" w:hAnsi="Times New Roman" w:cs="Times New Roman"/>
          <w:color w:val="FF0000"/>
        </w:rPr>
        <w:t xml:space="preserve"> </w:t>
      </w:r>
    </w:p>
    <w:p w14:paraId="2287A4E4" w14:textId="77777777" w:rsidR="003D3BDC" w:rsidRPr="008476FB" w:rsidRDefault="003D3BDC" w:rsidP="003D3BDC">
      <w:pPr>
        <w:spacing w:line="480" w:lineRule="auto"/>
        <w:rPr>
          <w:rFonts w:ascii="Times New Roman" w:hAnsi="Times New Roman" w:cs="Times New Roman"/>
          <w:color w:val="FF0000"/>
        </w:rPr>
      </w:pPr>
    </w:p>
    <w:p w14:paraId="48CD809D"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For our combined validation, specimens from each laboratory were included in the estimation of sensitivity based on the following criteria:</w:t>
      </w:r>
    </w:p>
    <w:p w14:paraId="0ECBF34F" w14:textId="77777777" w:rsidR="003D3BDC" w:rsidRPr="008476FB" w:rsidRDefault="003D3BDC" w:rsidP="003D3BDC">
      <w:pPr>
        <w:numPr>
          <w:ilvl w:val="1"/>
          <w:numId w:val="1"/>
        </w:numPr>
        <w:spacing w:after="100" w:afterAutospacing="1" w:line="480" w:lineRule="auto"/>
        <w:rPr>
          <w:rFonts w:ascii="Times New Roman" w:hAnsi="Times New Roman" w:cs="Times New Roman"/>
        </w:rPr>
      </w:pPr>
      <w:r w:rsidRPr="008476FB">
        <w:rPr>
          <w:rFonts w:ascii="Times New Roman" w:hAnsi="Times New Roman" w:cs="Times New Roman"/>
          <w:shd w:val="clear" w:color="auto" w:fill="FFFFFF"/>
        </w:rPr>
        <w:lastRenderedPageBreak/>
        <w:t>Having a confirmed RT-PCR-positive result</w:t>
      </w:r>
      <w:r w:rsidR="00BA690D" w:rsidRPr="008476FB">
        <w:rPr>
          <w:rFonts w:ascii="Times New Roman" w:hAnsi="Times New Roman" w:cs="Times New Roman"/>
          <w:shd w:val="clear" w:color="auto" w:fill="FFFFFF"/>
        </w:rPr>
        <w:t xml:space="preserve"> from the same patient episode</w:t>
      </w:r>
    </w:p>
    <w:p w14:paraId="4141E33C" w14:textId="77777777" w:rsidR="003D3BDC" w:rsidRPr="008476FB" w:rsidRDefault="003D3BDC" w:rsidP="003D3BDC">
      <w:pPr>
        <w:numPr>
          <w:ilvl w:val="1"/>
          <w:numId w:val="1"/>
        </w:numPr>
        <w:spacing w:before="100" w:beforeAutospacing="1" w:after="100" w:afterAutospacing="1" w:line="480" w:lineRule="auto"/>
        <w:rPr>
          <w:rFonts w:ascii="Times New Roman" w:hAnsi="Times New Roman" w:cs="Times New Roman"/>
        </w:rPr>
      </w:pPr>
      <w:r w:rsidRPr="008476FB">
        <w:rPr>
          <w:rFonts w:ascii="Times New Roman" w:hAnsi="Times New Roman" w:cs="Times New Roman"/>
          <w:shd w:val="clear" w:color="auto" w:fill="FFFFFF"/>
        </w:rPr>
        <w:t xml:space="preserve">Being collected </w:t>
      </w:r>
      <w:r w:rsidRPr="008476FB">
        <w:rPr>
          <w:rFonts w:ascii="Times New Roman" w:hAnsi="Times New Roman" w:cs="Times New Roman"/>
        </w:rPr>
        <w:t>&gt;14 days post symptom onset</w:t>
      </w:r>
    </w:p>
    <w:p w14:paraId="17B73DDB" w14:textId="77777777" w:rsidR="003D3BDC" w:rsidRPr="008476FB" w:rsidRDefault="003D3BDC" w:rsidP="003D3BDC">
      <w:pPr>
        <w:numPr>
          <w:ilvl w:val="1"/>
          <w:numId w:val="1"/>
        </w:numPr>
        <w:spacing w:line="480" w:lineRule="auto"/>
        <w:rPr>
          <w:rFonts w:ascii="Times New Roman" w:hAnsi="Times New Roman" w:cs="Times New Roman"/>
        </w:rPr>
      </w:pPr>
      <w:r w:rsidRPr="008476FB">
        <w:rPr>
          <w:rFonts w:ascii="Times New Roman" w:hAnsi="Times New Roman" w:cs="Times New Roman"/>
          <w:shd w:val="clear" w:color="auto" w:fill="FFFFFF"/>
        </w:rPr>
        <w:t xml:space="preserve">For patients with multiple </w:t>
      </w:r>
      <w:r w:rsidRPr="008476FB">
        <w:rPr>
          <w:rFonts w:ascii="Times New Roman" w:hAnsi="Times New Roman" w:cs="Times New Roman"/>
          <w:color w:val="000000"/>
          <w:shd w:val="clear" w:color="auto" w:fill="FFFFFF"/>
        </w:rPr>
        <w:t>specimens, the first specimen &gt;14 days post symptom onset used</w:t>
      </w:r>
    </w:p>
    <w:p w14:paraId="6BCCB1DA" w14:textId="77777777" w:rsidR="003D3BDC" w:rsidRPr="008476FB" w:rsidRDefault="003D3BDC" w:rsidP="003D3BDC">
      <w:pPr>
        <w:spacing w:line="480" w:lineRule="auto"/>
        <w:rPr>
          <w:rFonts w:ascii="Times New Roman" w:hAnsi="Times New Roman" w:cs="Times New Roman"/>
        </w:rPr>
      </w:pPr>
    </w:p>
    <w:p w14:paraId="26CFFA59"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Altogether, 102 specimens were collected, including 66 from VIDRL and 36 from ICPMR. These were tested on the Wantai total antibody assay at each laboratory, and sensitivity calculated separately and then pooled to generate an overall estimate. The sensitivity estimates based on specimens from each laboratory were as follows:</w:t>
      </w:r>
    </w:p>
    <w:p w14:paraId="13C3EF71" w14:textId="77777777" w:rsidR="003D3BDC" w:rsidRPr="008476FB" w:rsidRDefault="003D3BDC" w:rsidP="003D3BDC">
      <w:pPr>
        <w:numPr>
          <w:ilvl w:val="0"/>
          <w:numId w:val="3"/>
        </w:numPr>
        <w:spacing w:line="480" w:lineRule="auto"/>
        <w:rPr>
          <w:rFonts w:ascii="Times New Roman" w:eastAsia="Times New Roman" w:hAnsi="Times New Roman" w:cs="Times New Roman"/>
          <w:sz w:val="22"/>
          <w:szCs w:val="22"/>
        </w:rPr>
      </w:pPr>
      <w:r w:rsidRPr="008476FB">
        <w:rPr>
          <w:rFonts w:ascii="Times New Roman" w:eastAsia="Times New Roman" w:hAnsi="Times New Roman" w:cs="Times New Roman"/>
          <w:b/>
        </w:rPr>
        <w:t>VIDRL</w:t>
      </w:r>
      <w:r w:rsidRPr="008476FB">
        <w:rPr>
          <w:rFonts w:ascii="Times New Roman" w:eastAsia="Times New Roman" w:hAnsi="Times New Roman" w:cs="Times New Roman"/>
        </w:rPr>
        <w:t xml:space="preserve">: 66/66 positive = 100% (median days post-illness onset=31, IQR=26 – 36, max=67) </w:t>
      </w:r>
    </w:p>
    <w:p w14:paraId="5EC583FC" w14:textId="77777777" w:rsidR="003D3BDC" w:rsidRPr="008476FB" w:rsidRDefault="003D3BDC" w:rsidP="003D3BDC">
      <w:pPr>
        <w:numPr>
          <w:ilvl w:val="0"/>
          <w:numId w:val="3"/>
        </w:numPr>
        <w:spacing w:line="480" w:lineRule="auto"/>
        <w:rPr>
          <w:rFonts w:ascii="Times New Roman" w:eastAsia="Times New Roman" w:hAnsi="Times New Roman" w:cs="Times New Roman"/>
        </w:rPr>
      </w:pPr>
      <w:r w:rsidRPr="008476FB">
        <w:rPr>
          <w:rFonts w:ascii="Times New Roman" w:eastAsia="Times New Roman" w:hAnsi="Times New Roman" w:cs="Times New Roman"/>
          <w:b/>
        </w:rPr>
        <w:t>ICPMR</w:t>
      </w:r>
      <w:r w:rsidRPr="008476FB">
        <w:rPr>
          <w:rFonts w:ascii="Times New Roman" w:eastAsia="Times New Roman" w:hAnsi="Times New Roman" w:cs="Times New Roman"/>
        </w:rPr>
        <w:t xml:space="preserve">: 31/36 positive = 86.1% (median days post-illness onset=26.5, IQR=17 – 105, max=130, number of samples &gt;67 days [VIDRL max]=17/36=47%, days post-illness onset for the n=5 false negatives=15, 20, 74, 107, 124) </w:t>
      </w:r>
    </w:p>
    <w:p w14:paraId="5A6554C1" w14:textId="77777777" w:rsidR="003D3BDC" w:rsidRPr="008476FB" w:rsidRDefault="003D3BDC" w:rsidP="003D3BDC">
      <w:pPr>
        <w:spacing w:line="480" w:lineRule="auto"/>
        <w:rPr>
          <w:rFonts w:ascii="Times New Roman" w:hAnsi="Times New Roman" w:cs="Times New Roman"/>
        </w:rPr>
      </w:pPr>
    </w:p>
    <w:p w14:paraId="7C7153C4"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 xml:space="preserve">Differences in the sensitivity estimates from each laboratory were determined to be a result of the different distribution of days post-illness onset among specimens included, with sensitivity being lower in specimens collected further from illness onset. Results were pooled to maximise the sample size and diversity of specimens (particularly in terms of </w:t>
      </w:r>
      <w:proofErr w:type="gramStart"/>
      <w:r w:rsidRPr="008476FB">
        <w:rPr>
          <w:rFonts w:ascii="Times New Roman" w:hAnsi="Times New Roman" w:cs="Times New Roman"/>
        </w:rPr>
        <w:t>days</w:t>
      </w:r>
      <w:proofErr w:type="gramEnd"/>
      <w:r w:rsidRPr="008476FB">
        <w:rPr>
          <w:rFonts w:ascii="Times New Roman" w:hAnsi="Times New Roman" w:cs="Times New Roman"/>
        </w:rPr>
        <w:t xml:space="preserve"> post-illness onset). The overall sensitivity estimate used in analysis was as follows:</w:t>
      </w:r>
    </w:p>
    <w:p w14:paraId="22A7765F" w14:textId="094F5D3F" w:rsidR="003D3BDC" w:rsidRPr="008476FB" w:rsidRDefault="003D3BDC" w:rsidP="003D3BDC">
      <w:pPr>
        <w:numPr>
          <w:ilvl w:val="0"/>
          <w:numId w:val="1"/>
        </w:numPr>
        <w:spacing w:line="480" w:lineRule="auto"/>
        <w:rPr>
          <w:rFonts w:ascii="Times New Roman" w:eastAsia="Times New Roman" w:hAnsi="Times New Roman" w:cs="Times New Roman"/>
        </w:rPr>
      </w:pPr>
      <w:r w:rsidRPr="008476FB">
        <w:rPr>
          <w:rFonts w:ascii="Times New Roman" w:eastAsia="Times New Roman" w:hAnsi="Times New Roman" w:cs="Times New Roman"/>
          <w:b/>
        </w:rPr>
        <w:t>Combined</w:t>
      </w:r>
      <w:r w:rsidR="00BA690D" w:rsidRPr="008476FB">
        <w:rPr>
          <w:rFonts w:ascii="Times New Roman" w:eastAsia="Times New Roman" w:hAnsi="Times New Roman" w:cs="Times New Roman"/>
          <w:b/>
        </w:rPr>
        <w:t xml:space="preserve"> from two laboratories</w:t>
      </w:r>
      <w:r w:rsidRPr="008476FB">
        <w:rPr>
          <w:rFonts w:ascii="Times New Roman" w:eastAsia="Times New Roman" w:hAnsi="Times New Roman" w:cs="Times New Roman"/>
          <w:b/>
        </w:rPr>
        <w:t xml:space="preserve">: </w:t>
      </w:r>
      <w:r w:rsidRPr="008476FB">
        <w:rPr>
          <w:rFonts w:ascii="Times New Roman" w:eastAsia="Times New Roman" w:hAnsi="Times New Roman" w:cs="Times New Roman"/>
        </w:rPr>
        <w:t xml:space="preserve">97/102 positive= </w:t>
      </w:r>
      <w:r w:rsidRPr="008476FB">
        <w:rPr>
          <w:rFonts w:ascii="Times New Roman" w:eastAsia="Times New Roman" w:hAnsi="Times New Roman" w:cs="Times New Roman"/>
          <w:b/>
        </w:rPr>
        <w:t xml:space="preserve">95.1% </w:t>
      </w:r>
      <w:r w:rsidRPr="008476FB">
        <w:rPr>
          <w:rFonts w:ascii="Times New Roman" w:eastAsia="Times New Roman" w:hAnsi="Times New Roman" w:cs="Times New Roman"/>
        </w:rPr>
        <w:t>(</w:t>
      </w:r>
      <w:r w:rsidR="00121B4E" w:rsidRPr="008476FB">
        <w:rPr>
          <w:rFonts w:ascii="Times New Roman" w:eastAsia="Times New Roman" w:hAnsi="Times New Roman" w:cs="Times New Roman"/>
        </w:rPr>
        <w:t>95% CI</w:t>
      </w:r>
      <w:r w:rsidR="00D0320E">
        <w:rPr>
          <w:rFonts w:ascii="Times New Roman" w:eastAsia="Times New Roman" w:hAnsi="Times New Roman" w:cs="Times New Roman"/>
        </w:rPr>
        <w:t xml:space="preserve"> 88.9-98.4;</w:t>
      </w:r>
      <w:r w:rsidR="00121B4E" w:rsidRPr="008476FB">
        <w:rPr>
          <w:rFonts w:ascii="Times New Roman" w:eastAsia="Times New Roman" w:hAnsi="Times New Roman" w:cs="Times New Roman"/>
        </w:rPr>
        <w:t xml:space="preserve"> </w:t>
      </w:r>
      <w:r w:rsidRPr="008476FB">
        <w:rPr>
          <w:rFonts w:ascii="Times New Roman" w:eastAsia="Times New Roman" w:hAnsi="Times New Roman" w:cs="Times New Roman"/>
        </w:rPr>
        <w:t>median days post-illness onset=31, IQ =21 – 40, max=130)</w:t>
      </w:r>
    </w:p>
    <w:p w14:paraId="0D74F135" w14:textId="77777777" w:rsidR="003D3BDC" w:rsidRPr="008476FB" w:rsidRDefault="003D3BDC" w:rsidP="003D3BDC">
      <w:pPr>
        <w:spacing w:line="480" w:lineRule="auto"/>
        <w:rPr>
          <w:rFonts w:ascii="Times New Roman" w:hAnsi="Times New Roman" w:cs="Times New Roman"/>
        </w:rPr>
      </w:pPr>
    </w:p>
    <w:p w14:paraId="5A5637CC" w14:textId="77777777" w:rsidR="003D3BDC" w:rsidRPr="008476FB" w:rsidRDefault="003D3BDC" w:rsidP="003D3BDC">
      <w:pPr>
        <w:spacing w:line="480" w:lineRule="auto"/>
        <w:rPr>
          <w:rFonts w:ascii="Times New Roman" w:hAnsi="Times New Roman" w:cs="Times New Roman"/>
          <w:b/>
          <w:bCs/>
          <w:lang w:eastAsia="en-AU"/>
        </w:rPr>
      </w:pPr>
      <w:r w:rsidRPr="008476FB">
        <w:rPr>
          <w:rFonts w:ascii="Times New Roman" w:hAnsi="Times New Roman" w:cs="Times New Roman"/>
          <w:b/>
          <w:bCs/>
        </w:rPr>
        <w:t>Specificity</w:t>
      </w:r>
    </w:p>
    <w:p w14:paraId="38A77A21" w14:textId="5AC13FA5"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Pre-pandemic specimens from May 2019 were sourced from Australian Red Cross Lifeblood to assess specificity of the Wantai assay. A total of 800 independent specimens were tested at VIDRL, resulting in the following specificity estimate:</w:t>
      </w:r>
    </w:p>
    <w:p w14:paraId="0C0528D8" w14:textId="406E9DCF" w:rsidR="003D3BDC" w:rsidRPr="008476FB" w:rsidRDefault="003D3BDC" w:rsidP="003D3BDC">
      <w:pPr>
        <w:numPr>
          <w:ilvl w:val="0"/>
          <w:numId w:val="2"/>
        </w:numPr>
        <w:spacing w:line="480" w:lineRule="auto"/>
        <w:rPr>
          <w:rFonts w:ascii="Times New Roman" w:eastAsia="Times New Roman" w:hAnsi="Times New Roman" w:cs="Times New Roman"/>
          <w:lang w:eastAsia="en-AU"/>
        </w:rPr>
      </w:pPr>
      <w:r w:rsidRPr="008476FB">
        <w:rPr>
          <w:rFonts w:ascii="Times New Roman" w:eastAsia="Times New Roman" w:hAnsi="Times New Roman" w:cs="Times New Roman"/>
        </w:rPr>
        <w:lastRenderedPageBreak/>
        <w:t xml:space="preserve">797/800 negative = </w:t>
      </w:r>
      <w:r w:rsidRPr="008476FB">
        <w:rPr>
          <w:rFonts w:ascii="Times New Roman" w:eastAsia="Times New Roman" w:hAnsi="Times New Roman" w:cs="Times New Roman"/>
          <w:b/>
        </w:rPr>
        <w:t>99.6%</w:t>
      </w:r>
      <w:r w:rsidR="00A0107F" w:rsidRPr="008476FB">
        <w:rPr>
          <w:rFonts w:ascii="Times New Roman" w:eastAsia="Times New Roman" w:hAnsi="Times New Roman" w:cs="Times New Roman"/>
          <w:b/>
        </w:rPr>
        <w:t xml:space="preserve"> </w:t>
      </w:r>
      <w:r w:rsidR="00A0107F" w:rsidRPr="008476FB">
        <w:rPr>
          <w:rFonts w:ascii="Times New Roman" w:hAnsi="Times New Roman" w:cs="Times New Roman"/>
          <w:color w:val="000000"/>
        </w:rPr>
        <w:t>(95% CI 98.9-99.9)</w:t>
      </w:r>
    </w:p>
    <w:p w14:paraId="3CFCACAD" w14:textId="77777777" w:rsidR="003D3BDC" w:rsidRPr="008476FB" w:rsidRDefault="003D3BDC" w:rsidP="003D3BDC">
      <w:pPr>
        <w:spacing w:line="480" w:lineRule="auto"/>
        <w:rPr>
          <w:rFonts w:ascii="Times New Roman" w:hAnsi="Times New Roman" w:cs="Times New Roman"/>
        </w:rPr>
      </w:pPr>
    </w:p>
    <w:p w14:paraId="44794A41" w14:textId="69E9A693"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 xml:space="preserve">Potential cross-reactivity was also </w:t>
      </w:r>
      <w:r w:rsidRPr="008476FB">
        <w:rPr>
          <w:rFonts w:ascii="Times New Roman" w:hAnsi="Times New Roman" w:cs="Times New Roman"/>
        </w:rPr>
        <w:t xml:space="preserve">specifically assessed at VIDRL </w:t>
      </w:r>
      <w:r w:rsidR="00CC7276">
        <w:rPr>
          <w:rFonts w:ascii="Times New Roman" w:hAnsi="Times New Roman" w:cs="Times New Roman"/>
        </w:rPr>
        <w:t xml:space="preserve">(from the </w:t>
      </w:r>
      <w:r w:rsidR="00CC7276" w:rsidRPr="008476FB">
        <w:rPr>
          <w:rFonts w:ascii="Times New Roman" w:hAnsi="Times New Roman" w:cs="Times New Roman"/>
        </w:rPr>
        <w:t>‘VIDRL Serum Reference Collection</w:t>
      </w:r>
      <w:r w:rsidR="00CC7276">
        <w:rPr>
          <w:rFonts w:ascii="Times New Roman" w:hAnsi="Times New Roman" w:cs="Times New Roman"/>
        </w:rPr>
        <w:t xml:space="preserve">’) </w:t>
      </w:r>
      <w:r w:rsidRPr="008476FB">
        <w:rPr>
          <w:rFonts w:ascii="Times New Roman" w:hAnsi="Times New Roman" w:cs="Times New Roman"/>
        </w:rPr>
        <w:t>and ICPMR u</w:t>
      </w:r>
      <w:r w:rsidRPr="008476FB">
        <w:rPr>
          <w:rFonts w:ascii="Times New Roman" w:hAnsi="Times New Roman" w:cs="Times New Roman"/>
        </w:rPr>
        <w:t>sing samples collected pre-pandemic from patients with seasonal coronavirus infections (HCoV-NL63, HCoV-229E, HCoV-OC43 and HCoV-HKU1), other acute infections with potential for false positivity (including SARS-CoV-1, MERS-CoV, dengue, CMV, EBV, mycoplasma, Parvovirus, influenza A, Adenovirus, Hepatitis A, B and C, Syphilis and HIV) or the presence of rheumatoid factor. Data from VIDRL have been published</w:t>
      </w:r>
      <w:r w:rsidRPr="008476FB">
        <w:rPr>
          <w:rStyle w:val="FootnoteReference"/>
          <w:rFonts w:ascii="Times New Roman" w:hAnsi="Times New Roman" w:cs="Times New Roman"/>
        </w:rPr>
        <w:footnoteReference w:id="1"/>
      </w:r>
      <w:r w:rsidRPr="008476FB">
        <w:rPr>
          <w:rFonts w:ascii="Times New Roman" w:hAnsi="Times New Roman" w:cs="Times New Roman"/>
        </w:rPr>
        <w:t>, demonstrating that only SARS-CoV-1 showed cross-reactivity.</w:t>
      </w:r>
    </w:p>
    <w:p w14:paraId="7C227E8B" w14:textId="77777777" w:rsidR="003D3BDC" w:rsidRPr="008476FB" w:rsidRDefault="003D3BDC" w:rsidP="003D3BDC">
      <w:pPr>
        <w:spacing w:line="480" w:lineRule="auto"/>
        <w:rPr>
          <w:rFonts w:ascii="Times New Roman" w:hAnsi="Times New Roman" w:cs="Times New Roman"/>
        </w:rPr>
      </w:pPr>
    </w:p>
    <w:p w14:paraId="525DA004" w14:textId="77777777" w:rsidR="003D3BDC" w:rsidRPr="008476FB" w:rsidRDefault="003D3BDC" w:rsidP="003D3BDC">
      <w:pPr>
        <w:spacing w:line="480" w:lineRule="auto"/>
        <w:rPr>
          <w:rFonts w:ascii="Times New Roman" w:hAnsi="Times New Roman" w:cs="Times New Roman"/>
          <w:b/>
          <w:bCs/>
        </w:rPr>
      </w:pPr>
      <w:r w:rsidRPr="008476FB">
        <w:rPr>
          <w:rFonts w:ascii="Times New Roman" w:hAnsi="Times New Roman" w:cs="Times New Roman"/>
          <w:b/>
          <w:bCs/>
        </w:rPr>
        <w:t>Ethics approval for validations</w:t>
      </w:r>
    </w:p>
    <w:p w14:paraId="6CD0ADAA" w14:textId="3320E65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 xml:space="preserve">VIDRL: </w:t>
      </w:r>
      <w:r w:rsidRPr="008476FB">
        <w:rPr>
          <w:rFonts w:ascii="Times New Roman" w:hAnsi="Times New Roman" w:cs="Times New Roman"/>
        </w:rPr>
        <w:t>Project ethical approval for RMH specimens was obtained from Melbourne Health Human Research Ethics Committee; this included patient’s written consent.</w:t>
      </w:r>
      <w:r w:rsidR="00186D1A" w:rsidRPr="008476FB">
        <w:rPr>
          <w:rFonts w:ascii="Times New Roman" w:hAnsi="Times New Roman" w:cs="Times New Roman"/>
        </w:rPr>
        <w:t xml:space="preserve"> </w:t>
      </w:r>
    </w:p>
    <w:p w14:paraId="1CA34866" w14:textId="77777777" w:rsidR="003D3BDC" w:rsidRPr="008476FB" w:rsidRDefault="003D3BDC" w:rsidP="003D3BDC">
      <w:pPr>
        <w:spacing w:line="480" w:lineRule="auto"/>
        <w:rPr>
          <w:rFonts w:ascii="Times New Roman" w:hAnsi="Times New Roman" w:cs="Times New Roman"/>
        </w:rPr>
      </w:pPr>
    </w:p>
    <w:p w14:paraId="3F1D2B6D"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 xml:space="preserve">ICPMR: Individual </w:t>
      </w:r>
      <w:r w:rsidRPr="008476FB">
        <w:rPr>
          <w:rFonts w:ascii="Times New Roman" w:hAnsi="Times New Roman" w:cs="Times New Roman"/>
        </w:rPr>
        <w:t>patient consent was not required as this was an assay development an</w:t>
      </w:r>
      <w:bookmarkStart w:id="0" w:name="_GoBack"/>
      <w:bookmarkEnd w:id="0"/>
      <w:r w:rsidRPr="008476FB">
        <w:rPr>
          <w:rFonts w:ascii="Times New Roman" w:hAnsi="Times New Roman" w:cs="Times New Roman"/>
        </w:rPr>
        <w:t>d quality assurance study analysing results from samples submitted for routine diagnostic testing. No patient samples were collected specifically for the purposes of this study, and results were presented in a de-identified manner. As per the published in-house assay validations performed at ICPMR</w:t>
      </w:r>
      <w:r w:rsidRPr="008476FB">
        <w:rPr>
          <w:rStyle w:val="FootnoteReference"/>
          <w:rFonts w:ascii="Times New Roman" w:hAnsi="Times New Roman" w:cs="Times New Roman"/>
        </w:rPr>
        <w:footnoteReference w:id="2"/>
      </w:r>
      <w:r w:rsidRPr="008476FB">
        <w:rPr>
          <w:rFonts w:ascii="Times New Roman" w:hAnsi="Times New Roman" w:cs="Times New Roman"/>
        </w:rPr>
        <w:t>, this was approved by Health Protection New South Wales as a communicable diseases control activity.</w:t>
      </w:r>
    </w:p>
    <w:p w14:paraId="5D17BB2E" w14:textId="77777777" w:rsidR="003D3BDC" w:rsidRPr="008476FB" w:rsidRDefault="003D3BDC" w:rsidP="00087F95">
      <w:pPr>
        <w:pStyle w:val="Heading4"/>
        <w:numPr>
          <w:ilvl w:val="0"/>
          <w:numId w:val="4"/>
        </w:numPr>
        <w:spacing w:line="480" w:lineRule="auto"/>
        <w:rPr>
          <w:rFonts w:ascii="Times New Roman" w:hAnsi="Times New Roman" w:cs="Times New Roman"/>
        </w:rPr>
      </w:pPr>
      <w:r w:rsidRPr="008476FB">
        <w:rPr>
          <w:rFonts w:ascii="Times New Roman" w:hAnsi="Times New Roman" w:cs="Times New Roman"/>
        </w:rPr>
        <w:br w:type="column"/>
      </w:r>
      <w:r w:rsidRPr="008476FB">
        <w:rPr>
          <w:rFonts w:ascii="Times New Roman" w:hAnsi="Times New Roman" w:cs="Times New Roman"/>
        </w:rPr>
        <w:lastRenderedPageBreak/>
        <w:t xml:space="preserve">Bayesian </w:t>
      </w:r>
      <w:r w:rsidRPr="008476FB">
        <w:rPr>
          <w:rStyle w:val="Strong"/>
          <w:rFonts w:ascii="Times New Roman" w:hAnsi="Times New Roman" w:cs="Times New Roman"/>
        </w:rPr>
        <w:t>inference</w:t>
      </w:r>
      <w:r w:rsidRPr="008476FB">
        <w:rPr>
          <w:rFonts w:ascii="Times New Roman" w:hAnsi="Times New Roman" w:cs="Times New Roman"/>
        </w:rPr>
        <w:t xml:space="preserve"> for </w:t>
      </w:r>
      <w:r w:rsidRPr="008476FB">
        <w:rPr>
          <w:rStyle w:val="Strong"/>
          <w:rFonts w:ascii="Times New Roman" w:hAnsi="Times New Roman" w:cs="Times New Roman"/>
        </w:rPr>
        <w:t>population</w:t>
      </w:r>
      <w:r w:rsidRPr="008476FB">
        <w:rPr>
          <w:rFonts w:ascii="Times New Roman" w:hAnsi="Times New Roman" w:cs="Times New Roman"/>
        </w:rPr>
        <w:t xml:space="preserve"> seroprevalence</w:t>
      </w:r>
    </w:p>
    <w:p w14:paraId="7274B198" w14:textId="77777777" w:rsidR="003D3BDC" w:rsidRPr="008476FB" w:rsidRDefault="003D3BDC" w:rsidP="003D3BDC">
      <w:pPr>
        <w:spacing w:line="480" w:lineRule="auto"/>
        <w:rPr>
          <w:rFonts w:ascii="Times New Roman" w:hAnsi="Times New Roman" w:cs="Times New Roman"/>
        </w:rPr>
      </w:pPr>
    </w:p>
    <w:p w14:paraId="01CE04EA"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 xml:space="preserve">The target parameter of interest was defined as Wantai-positive population seroprevalence, π. This is related to the observable Wantai-positive proportion, </w:t>
      </w:r>
      <w:r w:rsidRPr="008476FB">
        <w:rPr>
          <w:rFonts w:ascii="Times New Roman" w:hAnsi="Times New Roman" w:cs="Times New Roman"/>
          <w:i/>
          <w:iCs/>
        </w:rPr>
        <w:t>p</w:t>
      </w:r>
      <w:r w:rsidRPr="008476FB">
        <w:rPr>
          <w:rFonts w:ascii="Times New Roman" w:hAnsi="Times New Roman" w:cs="Times New Roman"/>
        </w:rPr>
        <w:t>, via the sensitivity δ and specificity γ of the Wantai test, as follows:</w:t>
      </w:r>
    </w:p>
    <w:p w14:paraId="579F3FAD" w14:textId="77777777" w:rsidR="003D3BDC" w:rsidRPr="008476FB" w:rsidRDefault="003D3BDC" w:rsidP="003D3BDC">
      <w:pPr>
        <w:spacing w:line="480" w:lineRule="auto"/>
        <w:rPr>
          <w:rFonts w:ascii="Times New Roman" w:eastAsiaTheme="minorEastAsia" w:hAnsi="Times New Roman" w:cs="Times New Roman"/>
        </w:rPr>
      </w:pPr>
    </w:p>
    <w:p w14:paraId="135AB24F" w14:textId="77777777" w:rsidR="003D3BDC" w:rsidRPr="008476FB" w:rsidRDefault="003D3BDC" w:rsidP="003D3BDC">
      <w:pPr>
        <w:spacing w:line="480" w:lineRule="auto"/>
        <w:rPr>
          <w:rFonts w:ascii="Times New Roman" w:hAnsi="Times New Roman" w:cs="Times New Roman"/>
        </w:rPr>
      </w:pPr>
      <m:oMath>
        <m:r>
          <w:rPr>
            <w:rFonts w:ascii="Cambria Math" w:eastAsiaTheme="minorEastAsia" w:hAnsi="Cambria Math" w:cs="Times New Roman"/>
          </w:rPr>
          <m:t>p=</m:t>
        </m:r>
        <m:d>
          <m:dPr>
            <m:ctrlPr>
              <w:rPr>
                <w:rFonts w:ascii="Cambria Math" w:eastAsiaTheme="minorEastAsia" w:hAnsi="Cambria Math" w:cs="Times New Roman"/>
                <w:i/>
              </w:rPr>
            </m:ctrlPr>
          </m:dPr>
          <m:e>
            <m:r>
              <w:rPr>
                <w:rFonts w:ascii="Cambria Math" w:eastAsiaTheme="minorEastAsia" w:hAnsi="Cambria Math" w:cs="Times New Roman"/>
              </w:rPr>
              <m:t>1-γ</m:t>
            </m:r>
          </m:e>
        </m:d>
        <m:d>
          <m:dPr>
            <m:ctrlPr>
              <w:rPr>
                <w:rFonts w:ascii="Cambria Math" w:eastAsiaTheme="minorEastAsia" w:hAnsi="Cambria Math" w:cs="Times New Roman"/>
                <w:i/>
              </w:rPr>
            </m:ctrlPr>
          </m:dPr>
          <m:e>
            <m:r>
              <w:rPr>
                <w:rFonts w:ascii="Cambria Math" w:eastAsiaTheme="minorEastAsia" w:hAnsi="Cambria Math" w:cs="Times New Roman"/>
              </w:rPr>
              <m:t>1-π</m:t>
            </m:r>
          </m:e>
        </m:d>
        <m:r>
          <w:rPr>
            <w:rFonts w:ascii="Cambria Math" w:eastAsiaTheme="minorEastAsia" w:hAnsi="Cambria Math" w:cs="Times New Roman"/>
          </w:rPr>
          <m:t>+δπ</m:t>
        </m:r>
      </m:oMath>
      <w:r w:rsidRPr="008476FB">
        <w:rPr>
          <w:rFonts w:ascii="Times New Roman" w:eastAsiaTheme="minorEastAsia" w:hAnsi="Times New Roman" w:cs="Times New Roman"/>
        </w:rPr>
        <w:t>)</w:t>
      </w:r>
      <w:r w:rsidRPr="008476FB">
        <w:rPr>
          <w:rFonts w:ascii="Times New Roman" w:hAnsi="Times New Roman" w:cs="Times New Roman"/>
        </w:rPr>
        <w:t>.</w:t>
      </w:r>
    </w:p>
    <w:p w14:paraId="19773EBE" w14:textId="77777777" w:rsidR="003D3BDC" w:rsidRPr="008476FB" w:rsidRDefault="003D3BDC" w:rsidP="003D3BDC">
      <w:pPr>
        <w:spacing w:line="480" w:lineRule="auto"/>
        <w:rPr>
          <w:rFonts w:ascii="Times New Roman" w:hAnsi="Times New Roman" w:cs="Times New Roman"/>
        </w:rPr>
      </w:pPr>
    </w:p>
    <w:p w14:paraId="0EAEC1CA"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Rearranging and solving this equation for π gives:</w:t>
      </w:r>
    </w:p>
    <w:p w14:paraId="614D0FCA" w14:textId="77777777" w:rsidR="003D3BDC" w:rsidRPr="008476FB" w:rsidRDefault="003D3BDC" w:rsidP="003D3BDC">
      <w:pPr>
        <w:spacing w:line="480" w:lineRule="auto"/>
        <w:rPr>
          <w:rFonts w:ascii="Times New Roman" w:hAnsi="Times New Roman" w:cs="Times New Roman"/>
        </w:rPr>
      </w:pPr>
    </w:p>
    <w:p w14:paraId="64639511" w14:textId="77777777" w:rsidR="003D3BDC" w:rsidRPr="008476FB" w:rsidRDefault="003D3BDC" w:rsidP="003D3BDC">
      <w:pPr>
        <w:spacing w:line="480" w:lineRule="auto"/>
        <w:rPr>
          <w:rFonts w:ascii="Times New Roman" w:eastAsiaTheme="minorEastAsia" w:hAnsi="Times New Roman" w:cs="Times New Roman"/>
        </w:rPr>
      </w:pPr>
      <m:oMath>
        <m:r>
          <w:rPr>
            <w:rFonts w:ascii="Cambria Math" w:hAnsi="Cambria Math" w:cs="Times New Roman"/>
          </w:rPr>
          <m:t>π=</m:t>
        </m:r>
        <m:f>
          <m:fPr>
            <m:type m:val="lin"/>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p+γ-1</m:t>
                </m:r>
              </m:e>
            </m:d>
          </m:num>
          <m:den>
            <m:d>
              <m:dPr>
                <m:ctrlPr>
                  <w:rPr>
                    <w:rFonts w:ascii="Cambria Math" w:hAnsi="Cambria Math" w:cs="Times New Roman"/>
                    <w:i/>
                  </w:rPr>
                </m:ctrlPr>
              </m:dPr>
              <m:e>
                <m:r>
                  <w:rPr>
                    <w:rFonts w:ascii="Cambria Math" w:hAnsi="Cambria Math" w:cs="Times New Roman"/>
                  </w:rPr>
                  <m:t>δ+γ-1</m:t>
                </m:r>
              </m:e>
            </m:d>
          </m:den>
        </m:f>
      </m:oMath>
      <w:r w:rsidRPr="008476FB">
        <w:rPr>
          <w:rFonts w:ascii="Times New Roman" w:eastAsiaTheme="minorEastAsia" w:hAnsi="Times New Roman" w:cs="Times New Roman"/>
        </w:rPr>
        <w:t>.</w:t>
      </w:r>
    </w:p>
    <w:p w14:paraId="5B5AA177" w14:textId="77777777" w:rsidR="003D3BDC" w:rsidRPr="008476FB" w:rsidRDefault="003D3BDC" w:rsidP="003D3BDC">
      <w:pPr>
        <w:spacing w:line="480" w:lineRule="auto"/>
        <w:rPr>
          <w:rFonts w:ascii="Times New Roman" w:eastAsiaTheme="minorEastAsia" w:hAnsi="Times New Roman" w:cs="Times New Roman"/>
        </w:rPr>
      </w:pPr>
    </w:p>
    <w:p w14:paraId="3EF12879"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 xml:space="preserve">Estimation of π requires consideration of multiple sources of uncertainty including sampling error in the outcome and uncertainty in the test sensitivity and specificity. Bayesian inference was performed based on the following model specification </w:t>
      </w:r>
      <w:proofErr w:type="gramStart"/>
      <w:r w:rsidRPr="008476FB">
        <w:rPr>
          <w:rFonts w:ascii="Times New Roman" w:hAnsi="Times New Roman" w:cs="Times New Roman"/>
        </w:rPr>
        <w:t xml:space="preserve">for </w:t>
      </w:r>
      <w:proofErr w:type="gramEnd"/>
      <m:oMath>
        <m:r>
          <w:rPr>
            <w:rFonts w:ascii="Cambria Math" w:hAnsi="Cambria Math" w:cs="Times New Roman"/>
          </w:rPr>
          <m:t>y</m:t>
        </m:r>
      </m:oMath>
      <w:r w:rsidRPr="008476FB">
        <w:rPr>
          <w:rFonts w:ascii="Times New Roman" w:eastAsiaTheme="minorEastAsia" w:hAnsi="Times New Roman" w:cs="Times New Roman"/>
          <w:iCs/>
        </w:rPr>
        <w:t>,</w:t>
      </w:r>
      <w:r w:rsidRPr="008476FB">
        <w:rPr>
          <w:rFonts w:ascii="Times New Roman" w:hAnsi="Times New Roman" w:cs="Times New Roman"/>
        </w:rPr>
        <w:t xml:space="preserve"> the observed number of Wantai positive tests from a sample size of </w:t>
      </w:r>
      <m:oMath>
        <m:r>
          <w:rPr>
            <w:rFonts w:ascii="Cambria Math" w:hAnsi="Cambria Math" w:cs="Times New Roman"/>
          </w:rPr>
          <m:t>n</m:t>
        </m:r>
      </m:oMath>
      <w:r w:rsidRPr="008476FB">
        <w:rPr>
          <w:rFonts w:ascii="Times New Roman" w:hAnsi="Times New Roman" w:cs="Times New Roman"/>
        </w:rPr>
        <w:t xml:space="preserve"> total tests: </w:t>
      </w:r>
    </w:p>
    <w:p w14:paraId="44AA866B" w14:textId="77777777" w:rsidR="003D3BDC" w:rsidRPr="008476FB" w:rsidRDefault="003D3BDC" w:rsidP="003D3BDC">
      <w:pPr>
        <w:spacing w:line="480" w:lineRule="auto"/>
        <w:rPr>
          <w:rFonts w:ascii="Times New Roman" w:hAnsi="Times New Roman" w:cs="Times New Roman"/>
        </w:rPr>
      </w:pPr>
    </w:p>
    <w:p w14:paraId="5CF39641" w14:textId="77777777" w:rsidR="003D3BDC" w:rsidRPr="008476FB" w:rsidRDefault="003D3BDC" w:rsidP="003D3BDC">
      <w:pPr>
        <w:spacing w:line="480" w:lineRule="auto"/>
        <w:rPr>
          <w:rFonts w:ascii="Times New Roman" w:eastAsiaTheme="minorEastAsia" w:hAnsi="Times New Roman" w:cs="Times New Roman"/>
        </w:rPr>
      </w:pPr>
      <m:oMathPara>
        <m:oMath>
          <m:r>
            <w:rPr>
              <w:rFonts w:ascii="Cambria Math" w:hAnsi="Cambria Math" w:cs="Times New Roman"/>
            </w:rPr>
            <m:t xml:space="preserve">y ~ </m:t>
          </m:r>
          <m:r>
            <m:rPr>
              <m:sty m:val="p"/>
            </m:rPr>
            <w:rPr>
              <w:rFonts w:ascii="Cambria Math" w:hAnsi="Cambria Math" w:cs="Times New Roman"/>
            </w:rPr>
            <m:t>Binomial</m:t>
          </m:r>
          <m:d>
            <m:dPr>
              <m:ctrlPr>
                <w:rPr>
                  <w:rFonts w:ascii="Cambria Math" w:hAnsi="Cambria Math" w:cs="Times New Roman"/>
                  <w:i/>
                </w:rPr>
              </m:ctrlPr>
            </m:dPr>
            <m:e>
              <m:r>
                <w:rPr>
                  <w:rFonts w:ascii="Cambria Math" w:hAnsi="Cambria Math" w:cs="Times New Roman"/>
                </w:rPr>
                <m:t>n,p</m:t>
              </m:r>
            </m:e>
          </m:d>
          <m:r>
            <w:rPr>
              <w:rFonts w:ascii="Cambria Math" w:hAnsi="Cambria Math" w:cs="Times New Roman"/>
            </w:rPr>
            <m:t>,</m:t>
          </m:r>
        </m:oMath>
      </m:oMathPara>
    </w:p>
    <w:p w14:paraId="07D81E39" w14:textId="77777777" w:rsidR="003D3BDC" w:rsidRPr="008476FB" w:rsidRDefault="003D3BDC" w:rsidP="003D3BDC">
      <w:pPr>
        <w:spacing w:line="480" w:lineRule="auto"/>
        <w:rPr>
          <w:rFonts w:ascii="Times New Roman" w:eastAsiaTheme="minorEastAsia" w:hAnsi="Times New Roman" w:cs="Times New Roman"/>
        </w:rPr>
      </w:pPr>
    </w:p>
    <w:p w14:paraId="090C25AF" w14:textId="77777777" w:rsidR="003D3BDC" w:rsidRPr="008476FB" w:rsidRDefault="003D3BDC" w:rsidP="003D3BDC">
      <w:pPr>
        <w:spacing w:line="480" w:lineRule="auto"/>
        <w:rPr>
          <w:rFonts w:ascii="Times New Roman" w:hAnsi="Times New Roman" w:cs="Times New Roman"/>
        </w:rPr>
      </w:pPr>
      <w:proofErr w:type="gramStart"/>
      <w:r w:rsidRPr="008476FB">
        <w:rPr>
          <w:rFonts w:ascii="Times New Roman" w:hAnsi="Times New Roman" w:cs="Times New Roman"/>
        </w:rPr>
        <w:t>with</w:t>
      </w:r>
      <w:proofErr w:type="gramEnd"/>
      <w:r w:rsidRPr="008476FB">
        <w:rPr>
          <w:rFonts w:ascii="Times New Roman" w:hAnsi="Times New Roman" w:cs="Times New Roman"/>
        </w:rPr>
        <w:t xml:space="preserve"> prior distributions required for the parameters π, δ and γ, all constrained to values between 0 and 1.</w:t>
      </w:r>
    </w:p>
    <w:p w14:paraId="320E6E29" w14:textId="77777777" w:rsidR="003D3BDC" w:rsidRPr="008476FB" w:rsidRDefault="003D3BDC" w:rsidP="003D3BDC">
      <w:pPr>
        <w:spacing w:line="480" w:lineRule="auto"/>
        <w:rPr>
          <w:rFonts w:ascii="Times New Roman" w:hAnsi="Times New Roman" w:cs="Times New Roman"/>
        </w:rPr>
      </w:pPr>
    </w:p>
    <w:p w14:paraId="6EA4EE96"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 xml:space="preserve">Prior distributions for sensitivity (δ) and specificity (γ) were derived from combining the validation results described above with uniform prior distributions (true positives (TP) = 97, false negatives (FN) = 5, true negatives (TN) = 797, false positives (FP) = 3) to obtain the </w:t>
      </w:r>
      <w:r w:rsidRPr="008476FB">
        <w:rPr>
          <w:rFonts w:ascii="Times New Roman" w:hAnsi="Times New Roman" w:cs="Times New Roman"/>
        </w:rPr>
        <w:lastRenderedPageBreak/>
        <w:t>following Beta distributions:</w:t>
      </w:r>
      <w:r w:rsidRPr="008476FB">
        <w:rPr>
          <w:rFonts w:ascii="Times New Roman" w:hAnsi="Times New Roman" w:cs="Times New Roman"/>
        </w:rPr>
        <w:br/>
        <w:t xml:space="preserve">  </w:t>
      </w:r>
      <m:oMath>
        <m:r>
          <m:rPr>
            <m:sty m:val="p"/>
          </m:rPr>
          <w:rPr>
            <w:rFonts w:ascii="Cambria Math" w:hAnsi="Cambria Math" w:cs="Times New Roman"/>
          </w:rPr>
          <w:br/>
        </m:r>
      </m:oMath>
      <m:oMathPara>
        <m:oMath>
          <m:r>
            <w:rPr>
              <w:rFonts w:ascii="Cambria Math" w:hAnsi="Cambria Math" w:cs="Times New Roman"/>
            </w:rPr>
            <m:t>δ</m:t>
          </m:r>
          <m:r>
            <m:rPr>
              <m:sty m:val="p"/>
            </m:rPr>
            <w:rPr>
              <w:rFonts w:ascii="Cambria Math" w:hAnsi="Cambria Math" w:cs="Times New Roman"/>
            </w:rPr>
            <m:t xml:space="preserve"> ~ Beta</m:t>
          </m:r>
          <m:d>
            <m:dPr>
              <m:ctrlPr>
                <w:rPr>
                  <w:rFonts w:ascii="Cambria Math" w:hAnsi="Cambria Math" w:cs="Times New Roman"/>
                </w:rPr>
              </m:ctrlPr>
            </m:dPr>
            <m:e>
              <m:r>
                <w:rPr>
                  <w:rFonts w:ascii="Cambria Math" w:hAnsi="Cambria Math" w:cs="Times New Roman"/>
                </w:rPr>
                <m:t>TP</m:t>
              </m:r>
              <m:r>
                <m:rPr>
                  <m:sty m:val="p"/>
                </m:rPr>
                <w:rPr>
                  <w:rFonts w:ascii="Cambria Math" w:hAnsi="Cambria Math" w:cs="Times New Roman"/>
                </w:rPr>
                <m:t>+1,</m:t>
              </m:r>
              <m:r>
                <w:rPr>
                  <w:rFonts w:ascii="Cambria Math" w:hAnsi="Cambria Math" w:cs="Times New Roman"/>
                </w:rPr>
                <m:t>FN</m:t>
              </m:r>
              <m:r>
                <m:rPr>
                  <m:sty m:val="p"/>
                </m:rPr>
                <w:rPr>
                  <w:rFonts w:ascii="Cambria Math" w:hAnsi="Cambria Math" w:cs="Times New Roman"/>
                </w:rPr>
                <m:t>+1</m:t>
              </m:r>
            </m:e>
          </m:d>
        </m:oMath>
      </m:oMathPara>
    </w:p>
    <w:p w14:paraId="4861EC93" w14:textId="77777777" w:rsidR="003D3BDC" w:rsidRPr="008476FB" w:rsidRDefault="003D3BDC" w:rsidP="003D3BDC">
      <w:pPr>
        <w:spacing w:line="480" w:lineRule="auto"/>
        <w:rPr>
          <w:rFonts w:ascii="Times New Roman" w:hAnsi="Times New Roman" w:cs="Times New Roman"/>
        </w:rPr>
      </w:pPr>
      <m:oMathPara>
        <m:oMath>
          <m:r>
            <w:rPr>
              <w:rFonts w:ascii="Cambria Math" w:hAnsi="Cambria Math" w:cs="Times New Roman"/>
            </w:rPr>
            <m:t>γ</m:t>
          </m:r>
          <m:r>
            <m:rPr>
              <m:sty m:val="p"/>
            </m:rPr>
            <w:rPr>
              <w:rFonts w:ascii="Cambria Math" w:hAnsi="Cambria Math" w:cs="Times New Roman"/>
            </w:rPr>
            <m:t xml:space="preserve"> ~ Beta</m:t>
          </m:r>
          <m:d>
            <m:dPr>
              <m:ctrlPr>
                <w:rPr>
                  <w:rFonts w:ascii="Cambria Math" w:hAnsi="Cambria Math" w:cs="Times New Roman"/>
                </w:rPr>
              </m:ctrlPr>
            </m:dPr>
            <m:e>
              <m:r>
                <w:rPr>
                  <w:rFonts w:ascii="Cambria Math" w:hAnsi="Cambria Math" w:cs="Times New Roman"/>
                </w:rPr>
                <m:t>TN</m:t>
              </m:r>
              <m:r>
                <m:rPr>
                  <m:sty m:val="p"/>
                </m:rPr>
                <w:rPr>
                  <w:rFonts w:ascii="Cambria Math" w:hAnsi="Cambria Math" w:cs="Times New Roman"/>
                </w:rPr>
                <m:t>+1,</m:t>
              </m:r>
              <m:r>
                <w:rPr>
                  <w:rFonts w:ascii="Cambria Math" w:hAnsi="Cambria Math" w:cs="Times New Roman"/>
                </w:rPr>
                <m:t>FP</m:t>
              </m:r>
              <m:r>
                <m:rPr>
                  <m:sty m:val="p"/>
                </m:rPr>
                <w:rPr>
                  <w:rFonts w:ascii="Cambria Math" w:hAnsi="Cambria Math" w:cs="Times New Roman"/>
                </w:rPr>
                <m:t>+1</m:t>
              </m:r>
            </m:e>
          </m:d>
        </m:oMath>
      </m:oMathPara>
    </w:p>
    <w:p w14:paraId="6FBD9572" w14:textId="77777777" w:rsidR="003D3BDC" w:rsidRPr="008476FB" w:rsidRDefault="003D3BDC" w:rsidP="003D3BDC">
      <w:pPr>
        <w:spacing w:line="480" w:lineRule="auto"/>
        <w:rPr>
          <w:rFonts w:ascii="Times New Roman" w:hAnsi="Times New Roman" w:cs="Times New Roman"/>
        </w:rPr>
      </w:pPr>
    </w:p>
    <w:p w14:paraId="571B32A5"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For the primary analysis, the Wantai-positive seroprevalence, π, was assumed to have a ‘</w:t>
      </w:r>
      <w:proofErr w:type="spellStart"/>
      <w:r w:rsidRPr="008476FB">
        <w:rPr>
          <w:rFonts w:ascii="Times New Roman" w:hAnsi="Times New Roman" w:cs="Times New Roman"/>
        </w:rPr>
        <w:t>noninformative</w:t>
      </w:r>
      <w:proofErr w:type="spellEnd"/>
      <w:r w:rsidRPr="008476FB">
        <w:rPr>
          <w:rFonts w:ascii="Times New Roman" w:hAnsi="Times New Roman" w:cs="Times New Roman"/>
        </w:rPr>
        <w:t xml:space="preserve">’ uniform Beta(1,1) prior distribution, restricted to values greater than a specified lower bound (calculation of lower bounds described in detail below). A sensitivity analysis was performed assuming an alternative prior distribution for π, </w:t>
      </w:r>
      <w:proofErr w:type="gramStart"/>
      <w:r w:rsidRPr="008476FB">
        <w:rPr>
          <w:rFonts w:ascii="Times New Roman" w:hAnsi="Times New Roman" w:cs="Times New Roman"/>
        </w:rPr>
        <w:t>Beta(</w:t>
      </w:r>
      <w:proofErr w:type="gramEnd"/>
      <w:r w:rsidRPr="008476FB">
        <w:rPr>
          <w:rFonts w:ascii="Times New Roman" w:hAnsi="Times New Roman" w:cs="Times New Roman"/>
        </w:rPr>
        <w:t>0.2,10), also restricted to values greater than a lower bound.  This prior was chosen to reflect expert knowledge; thus, it assigned much greater weight to low values (Supplementary Table 1).</w:t>
      </w:r>
    </w:p>
    <w:p w14:paraId="4972C413" w14:textId="77777777" w:rsidR="003D3BDC" w:rsidRPr="008476FB" w:rsidRDefault="003D3BDC" w:rsidP="003D3BDC">
      <w:pPr>
        <w:spacing w:line="480" w:lineRule="auto"/>
        <w:rPr>
          <w:rFonts w:ascii="Times New Roman" w:hAnsi="Times New Roman" w:cs="Times New Roman"/>
        </w:rPr>
      </w:pPr>
    </w:p>
    <w:p w14:paraId="52D8E877"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 xml:space="preserve">Bayesian models were fitted using Stan (Carpenter et al., 2017; Stan Development Team, 2020) via the R interface. Point seroprevalence estimates were defined as the median values from posterior distributions and 95% credible intervals were calculated as 95% highest posterior density intervals, since posterior distributions were not symmetrical. </w:t>
      </w:r>
    </w:p>
    <w:p w14:paraId="665AF5B8" w14:textId="77777777" w:rsidR="003D3BDC" w:rsidRPr="008476FB" w:rsidRDefault="003D3BDC" w:rsidP="003D3BDC">
      <w:pPr>
        <w:spacing w:line="480" w:lineRule="auto"/>
        <w:rPr>
          <w:rFonts w:ascii="Times New Roman" w:hAnsi="Times New Roman" w:cs="Times New Roman"/>
        </w:rPr>
      </w:pPr>
    </w:p>
    <w:p w14:paraId="4A91818A" w14:textId="77777777" w:rsidR="003D3BDC" w:rsidRPr="008476FB" w:rsidRDefault="003D3BDC" w:rsidP="003D3BDC">
      <w:pPr>
        <w:spacing w:line="480" w:lineRule="auto"/>
        <w:rPr>
          <w:rFonts w:ascii="Times New Roman" w:hAnsi="Times New Roman" w:cs="Times New Roman"/>
        </w:rPr>
      </w:pPr>
      <w:r w:rsidRPr="008476FB">
        <w:rPr>
          <w:rFonts w:ascii="Times New Roman" w:hAnsi="Times New Roman" w:cs="Times New Roman"/>
        </w:rPr>
        <w:t xml:space="preserve">For each of the three subpopulations (general pathology, blood-donors and antenatal screening), seroprevalence estimates were obtained for the subpopulation overall, by jurisdiction (ACT, NSW, NT, QLD, SA, VIC, TAS, WA), by sex (male, female), and by age-group (as available: 0–4yrs, 5–9yrs, 10–19yrs, 20–29yrs, 30–39yrs, 40–49yrs, 50–59yrs, 60–69yrs, 70–79yrs, 80+yrs).  Lower bounds for the prior distribution for π, the Wantai-positive seroprevalence, were calculated separately for each subpopulation and each subgroup therein, based on the number of cumulative notified cases (sourced from the Australian National Notifiable Diseases Surveillance System) reported until 14 days prior to the median specimen </w:t>
      </w:r>
      <w:r w:rsidRPr="008476FB">
        <w:rPr>
          <w:rFonts w:ascii="Times New Roman" w:hAnsi="Times New Roman" w:cs="Times New Roman"/>
        </w:rPr>
        <w:lastRenderedPageBreak/>
        <w:t>collection date, as a proportion of the relevant ABS Estimated Resident Population</w:t>
      </w:r>
      <w:r w:rsidRPr="008476FB">
        <w:rPr>
          <w:rStyle w:val="FootnoteReference"/>
          <w:rFonts w:ascii="Times New Roman" w:hAnsi="Times New Roman" w:cs="Times New Roman"/>
        </w:rPr>
        <w:footnoteReference w:id="3"/>
      </w:r>
      <w:r w:rsidRPr="008476FB">
        <w:rPr>
          <w:rFonts w:ascii="Times New Roman" w:hAnsi="Times New Roman" w:cs="Times New Roman"/>
        </w:rPr>
        <w:t xml:space="preserve">. For example, general pathology samples were collected across all jurisdictions and age-groups between 19/06/2020 and 06/08/2020. As at 16/06/2020, which was 14 days prior to the median collection date of 30/06/2020, the cumulative number of notified COVID-19 cases across all ages in Australia was 7636. Based on an Australian population of 25,653,077, this corresponds to a lower bound of 0.0003 or 0.03%. While there was some variation in the lower bounds calculated for the analyses, most values fell between 0.02% and 0.04%. There were, however, values less than 0.01% calculated for age-groups 0–4yrs, 5–9yrs and 10–19yrs in the general pathology collection. </w:t>
      </w:r>
    </w:p>
    <w:p w14:paraId="4B2361F9" w14:textId="77777777" w:rsidR="003D3BDC" w:rsidRPr="008476FB" w:rsidRDefault="003D3BDC" w:rsidP="003D3BDC">
      <w:pPr>
        <w:spacing w:line="480" w:lineRule="auto"/>
        <w:rPr>
          <w:rFonts w:ascii="Times New Roman" w:hAnsi="Times New Roman" w:cs="Times New Roman"/>
        </w:rPr>
      </w:pPr>
    </w:p>
    <w:p w14:paraId="6DF11DC0" w14:textId="1A5C31E5" w:rsidR="003D3BDC" w:rsidRPr="008476FB" w:rsidRDefault="003D3BDC" w:rsidP="003D3BDC">
      <w:pPr>
        <w:spacing w:line="480" w:lineRule="auto"/>
        <w:rPr>
          <w:rFonts w:ascii="Times New Roman" w:hAnsi="Times New Roman" w:cs="Times New Roman"/>
          <w:b/>
        </w:rPr>
      </w:pPr>
      <w:r w:rsidRPr="008476FB">
        <w:rPr>
          <w:rFonts w:ascii="Times New Roman" w:hAnsi="Times New Roman" w:cs="Times New Roman"/>
          <w:b/>
        </w:rPr>
        <w:t xml:space="preserve">Supplementary Table 1: Prior probability that the Wantai-positive seroprevalence was below specified thresholds assuming a restricted </w:t>
      </w:r>
      <w:proofErr w:type="gramStart"/>
      <w:r w:rsidRPr="008476FB">
        <w:rPr>
          <w:rFonts w:ascii="Times New Roman" w:hAnsi="Times New Roman" w:cs="Times New Roman"/>
          <w:b/>
        </w:rPr>
        <w:t>Beta(</w:t>
      </w:r>
      <w:proofErr w:type="gramEnd"/>
      <w:r w:rsidRPr="008476FB">
        <w:rPr>
          <w:rFonts w:ascii="Times New Roman" w:hAnsi="Times New Roman" w:cs="Times New Roman"/>
          <w:b/>
        </w:rPr>
        <w:t>1,1) prior (primary analysis) and a restricted Beta(0.2,10) prior (sensitivity analysis), where lower bound was 0.03%.</w:t>
      </w:r>
    </w:p>
    <w:tbl>
      <w:tblPr>
        <w:tblW w:w="4005" w:type="pct"/>
        <w:tblLook w:val="04A0" w:firstRow="1" w:lastRow="0" w:firstColumn="1" w:lastColumn="0" w:noHBand="0" w:noVBand="1"/>
      </w:tblPr>
      <w:tblGrid>
        <w:gridCol w:w="1832"/>
        <w:gridCol w:w="2778"/>
        <w:gridCol w:w="2620"/>
      </w:tblGrid>
      <w:tr w:rsidR="003D3BDC" w:rsidRPr="008476FB" w14:paraId="758AD743" w14:textId="77777777" w:rsidTr="00AD503E">
        <w:trPr>
          <w:trHeight w:val="80"/>
        </w:trPr>
        <w:tc>
          <w:tcPr>
            <w:tcW w:w="1267" w:type="pct"/>
            <w:tcBorders>
              <w:top w:val="single" w:sz="4" w:space="0" w:color="auto"/>
              <w:left w:val="nil"/>
              <w:right w:val="nil"/>
            </w:tcBorders>
            <w:shd w:val="clear" w:color="auto" w:fill="auto"/>
            <w:noWrap/>
            <w:vAlign w:val="bottom"/>
          </w:tcPr>
          <w:p w14:paraId="560F345A" w14:textId="77777777" w:rsidR="003D3BDC" w:rsidRPr="008476FB" w:rsidDel="00195116" w:rsidRDefault="003D3BDC" w:rsidP="00AD503E">
            <w:pPr>
              <w:spacing w:line="480" w:lineRule="auto"/>
              <w:rPr>
                <w:rFonts w:ascii="Times New Roman" w:hAnsi="Times New Roman" w:cs="Times New Roman"/>
              </w:rPr>
            </w:pPr>
          </w:p>
        </w:tc>
        <w:tc>
          <w:tcPr>
            <w:tcW w:w="3733" w:type="pct"/>
            <w:gridSpan w:val="2"/>
            <w:tcBorders>
              <w:top w:val="single" w:sz="4" w:space="0" w:color="auto"/>
              <w:left w:val="nil"/>
              <w:bottom w:val="single" w:sz="4" w:space="0" w:color="auto"/>
              <w:right w:val="nil"/>
            </w:tcBorders>
            <w:shd w:val="clear" w:color="auto" w:fill="auto"/>
            <w:noWrap/>
            <w:vAlign w:val="bottom"/>
          </w:tcPr>
          <w:p w14:paraId="2058463A"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Prior probability that π is less than q</w:t>
            </w:r>
          </w:p>
        </w:tc>
      </w:tr>
      <w:tr w:rsidR="003D3BDC" w:rsidRPr="008476FB" w14:paraId="34EE58E4" w14:textId="77777777" w:rsidTr="00AD503E">
        <w:trPr>
          <w:trHeight w:val="80"/>
        </w:trPr>
        <w:tc>
          <w:tcPr>
            <w:tcW w:w="1267" w:type="pct"/>
            <w:tcBorders>
              <w:left w:val="nil"/>
              <w:bottom w:val="single" w:sz="4" w:space="0" w:color="auto"/>
              <w:right w:val="nil"/>
            </w:tcBorders>
            <w:shd w:val="clear" w:color="auto" w:fill="auto"/>
            <w:noWrap/>
            <w:vAlign w:val="bottom"/>
            <w:hideMark/>
          </w:tcPr>
          <w:p w14:paraId="6A712E62"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 xml:space="preserve">q </w:t>
            </w:r>
          </w:p>
        </w:tc>
        <w:tc>
          <w:tcPr>
            <w:tcW w:w="1921" w:type="pct"/>
            <w:tcBorders>
              <w:top w:val="single" w:sz="4" w:space="0" w:color="auto"/>
              <w:left w:val="nil"/>
              <w:bottom w:val="single" w:sz="4" w:space="0" w:color="auto"/>
              <w:right w:val="nil"/>
            </w:tcBorders>
            <w:shd w:val="clear" w:color="auto" w:fill="auto"/>
            <w:noWrap/>
            <w:vAlign w:val="bottom"/>
            <w:hideMark/>
          </w:tcPr>
          <w:p w14:paraId="130D47FC"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 xml:space="preserve">Beta(1,1) </w:t>
            </w:r>
          </w:p>
          <w:p w14:paraId="7F8F54FA"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restricted to π&gt;0.03%</w:t>
            </w:r>
          </w:p>
        </w:tc>
        <w:tc>
          <w:tcPr>
            <w:tcW w:w="1813" w:type="pct"/>
            <w:tcBorders>
              <w:top w:val="single" w:sz="4" w:space="0" w:color="auto"/>
              <w:left w:val="nil"/>
              <w:bottom w:val="single" w:sz="4" w:space="0" w:color="auto"/>
              <w:right w:val="nil"/>
            </w:tcBorders>
            <w:shd w:val="clear" w:color="auto" w:fill="auto"/>
            <w:noWrap/>
            <w:vAlign w:val="bottom"/>
            <w:hideMark/>
          </w:tcPr>
          <w:p w14:paraId="38BBF122"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 xml:space="preserve">Beta(0.2,10) </w:t>
            </w:r>
          </w:p>
          <w:p w14:paraId="1D1E7800"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restricted to π &gt;0.03%</w:t>
            </w:r>
          </w:p>
        </w:tc>
      </w:tr>
      <w:tr w:rsidR="003D3BDC" w:rsidRPr="008476FB" w14:paraId="75F49A59" w14:textId="77777777" w:rsidTr="00AD503E">
        <w:trPr>
          <w:trHeight w:val="300"/>
        </w:trPr>
        <w:tc>
          <w:tcPr>
            <w:tcW w:w="1267" w:type="pct"/>
            <w:tcBorders>
              <w:top w:val="nil"/>
              <w:left w:val="nil"/>
              <w:bottom w:val="nil"/>
              <w:right w:val="nil"/>
            </w:tcBorders>
            <w:shd w:val="clear" w:color="auto" w:fill="auto"/>
            <w:noWrap/>
            <w:vAlign w:val="bottom"/>
            <w:hideMark/>
          </w:tcPr>
          <w:p w14:paraId="36D4E1D8"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0.1%</w:t>
            </w:r>
          </w:p>
        </w:tc>
        <w:tc>
          <w:tcPr>
            <w:tcW w:w="1921" w:type="pct"/>
            <w:tcBorders>
              <w:top w:val="nil"/>
              <w:left w:val="nil"/>
              <w:bottom w:val="nil"/>
              <w:right w:val="nil"/>
            </w:tcBorders>
            <w:shd w:val="clear" w:color="auto" w:fill="auto"/>
            <w:noWrap/>
            <w:vAlign w:val="bottom"/>
            <w:hideMark/>
          </w:tcPr>
          <w:p w14:paraId="1FE8EC18"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0.001</w:t>
            </w:r>
          </w:p>
        </w:tc>
        <w:tc>
          <w:tcPr>
            <w:tcW w:w="1813" w:type="pct"/>
            <w:tcBorders>
              <w:top w:val="nil"/>
              <w:left w:val="nil"/>
              <w:bottom w:val="nil"/>
              <w:right w:val="nil"/>
            </w:tcBorders>
            <w:shd w:val="clear" w:color="auto" w:fill="auto"/>
            <w:noWrap/>
            <w:vAlign w:val="bottom"/>
            <w:hideMark/>
          </w:tcPr>
          <w:p w14:paraId="45B61947"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0.138</w:t>
            </w:r>
          </w:p>
        </w:tc>
      </w:tr>
      <w:tr w:rsidR="003D3BDC" w:rsidRPr="008476FB" w14:paraId="423C43DA" w14:textId="77777777" w:rsidTr="00AD503E">
        <w:trPr>
          <w:trHeight w:val="300"/>
        </w:trPr>
        <w:tc>
          <w:tcPr>
            <w:tcW w:w="1267" w:type="pct"/>
            <w:tcBorders>
              <w:top w:val="nil"/>
              <w:left w:val="nil"/>
              <w:bottom w:val="nil"/>
              <w:right w:val="nil"/>
            </w:tcBorders>
            <w:shd w:val="clear" w:color="auto" w:fill="auto"/>
            <w:noWrap/>
            <w:vAlign w:val="bottom"/>
            <w:hideMark/>
          </w:tcPr>
          <w:p w14:paraId="43D23534"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0.2%</w:t>
            </w:r>
          </w:p>
        </w:tc>
        <w:tc>
          <w:tcPr>
            <w:tcW w:w="1921" w:type="pct"/>
            <w:tcBorders>
              <w:top w:val="nil"/>
              <w:left w:val="nil"/>
              <w:bottom w:val="nil"/>
              <w:right w:val="nil"/>
            </w:tcBorders>
            <w:shd w:val="clear" w:color="auto" w:fill="auto"/>
            <w:noWrap/>
            <w:vAlign w:val="bottom"/>
            <w:hideMark/>
          </w:tcPr>
          <w:p w14:paraId="724FE2E1"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0.002</w:t>
            </w:r>
          </w:p>
        </w:tc>
        <w:tc>
          <w:tcPr>
            <w:tcW w:w="1813" w:type="pct"/>
            <w:tcBorders>
              <w:top w:val="nil"/>
              <w:left w:val="nil"/>
              <w:bottom w:val="nil"/>
              <w:right w:val="nil"/>
            </w:tcBorders>
            <w:shd w:val="clear" w:color="auto" w:fill="auto"/>
            <w:noWrap/>
            <w:vAlign w:val="bottom"/>
            <w:hideMark/>
          </w:tcPr>
          <w:p w14:paraId="7DBFCD84"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0.234</w:t>
            </w:r>
          </w:p>
        </w:tc>
      </w:tr>
      <w:tr w:rsidR="003D3BDC" w:rsidRPr="008476FB" w14:paraId="5CA731D7" w14:textId="77777777" w:rsidTr="00AD503E">
        <w:trPr>
          <w:trHeight w:val="300"/>
        </w:trPr>
        <w:tc>
          <w:tcPr>
            <w:tcW w:w="1267" w:type="pct"/>
            <w:tcBorders>
              <w:top w:val="nil"/>
              <w:left w:val="nil"/>
              <w:bottom w:val="nil"/>
              <w:right w:val="nil"/>
            </w:tcBorders>
            <w:shd w:val="clear" w:color="auto" w:fill="auto"/>
            <w:noWrap/>
            <w:vAlign w:val="bottom"/>
            <w:hideMark/>
          </w:tcPr>
          <w:p w14:paraId="1D03E8A0"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0.5%</w:t>
            </w:r>
          </w:p>
        </w:tc>
        <w:tc>
          <w:tcPr>
            <w:tcW w:w="1921" w:type="pct"/>
            <w:tcBorders>
              <w:top w:val="nil"/>
              <w:left w:val="nil"/>
              <w:bottom w:val="nil"/>
              <w:right w:val="nil"/>
            </w:tcBorders>
            <w:shd w:val="clear" w:color="auto" w:fill="auto"/>
            <w:noWrap/>
            <w:vAlign w:val="bottom"/>
            <w:hideMark/>
          </w:tcPr>
          <w:p w14:paraId="3A000137"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0.005</w:t>
            </w:r>
          </w:p>
        </w:tc>
        <w:tc>
          <w:tcPr>
            <w:tcW w:w="1813" w:type="pct"/>
            <w:tcBorders>
              <w:top w:val="nil"/>
              <w:left w:val="nil"/>
              <w:bottom w:val="nil"/>
              <w:right w:val="nil"/>
            </w:tcBorders>
            <w:shd w:val="clear" w:color="auto" w:fill="auto"/>
            <w:noWrap/>
            <w:vAlign w:val="bottom"/>
            <w:hideMark/>
          </w:tcPr>
          <w:p w14:paraId="2D3B7293"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0.379</w:t>
            </w:r>
          </w:p>
        </w:tc>
      </w:tr>
      <w:tr w:rsidR="003D3BDC" w:rsidRPr="008476FB" w14:paraId="23F17C3A" w14:textId="77777777" w:rsidTr="00AD503E">
        <w:trPr>
          <w:trHeight w:val="300"/>
        </w:trPr>
        <w:tc>
          <w:tcPr>
            <w:tcW w:w="1267" w:type="pct"/>
            <w:tcBorders>
              <w:top w:val="nil"/>
              <w:left w:val="nil"/>
              <w:right w:val="nil"/>
            </w:tcBorders>
            <w:shd w:val="clear" w:color="auto" w:fill="auto"/>
            <w:noWrap/>
            <w:vAlign w:val="bottom"/>
            <w:hideMark/>
          </w:tcPr>
          <w:p w14:paraId="152FE70A"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1%</w:t>
            </w:r>
          </w:p>
        </w:tc>
        <w:tc>
          <w:tcPr>
            <w:tcW w:w="1921" w:type="pct"/>
            <w:tcBorders>
              <w:top w:val="nil"/>
              <w:left w:val="nil"/>
              <w:right w:val="nil"/>
            </w:tcBorders>
            <w:shd w:val="clear" w:color="auto" w:fill="auto"/>
            <w:noWrap/>
            <w:vAlign w:val="bottom"/>
            <w:hideMark/>
          </w:tcPr>
          <w:p w14:paraId="69BF2D9E"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0.010</w:t>
            </w:r>
          </w:p>
        </w:tc>
        <w:tc>
          <w:tcPr>
            <w:tcW w:w="1813" w:type="pct"/>
            <w:tcBorders>
              <w:top w:val="nil"/>
              <w:left w:val="nil"/>
              <w:right w:val="nil"/>
            </w:tcBorders>
            <w:shd w:val="clear" w:color="auto" w:fill="auto"/>
            <w:noWrap/>
            <w:vAlign w:val="bottom"/>
            <w:hideMark/>
          </w:tcPr>
          <w:p w14:paraId="6645EF12"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0.504</w:t>
            </w:r>
          </w:p>
        </w:tc>
      </w:tr>
      <w:tr w:rsidR="003D3BDC" w:rsidRPr="008476FB" w14:paraId="42472FF5" w14:textId="77777777" w:rsidTr="00AD503E">
        <w:trPr>
          <w:trHeight w:val="300"/>
        </w:trPr>
        <w:tc>
          <w:tcPr>
            <w:tcW w:w="1267" w:type="pct"/>
            <w:tcBorders>
              <w:top w:val="nil"/>
              <w:left w:val="nil"/>
              <w:bottom w:val="single" w:sz="4" w:space="0" w:color="auto"/>
              <w:right w:val="nil"/>
            </w:tcBorders>
            <w:shd w:val="clear" w:color="auto" w:fill="auto"/>
            <w:noWrap/>
            <w:vAlign w:val="bottom"/>
            <w:hideMark/>
          </w:tcPr>
          <w:p w14:paraId="02378C20"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2%</w:t>
            </w:r>
          </w:p>
        </w:tc>
        <w:tc>
          <w:tcPr>
            <w:tcW w:w="1921" w:type="pct"/>
            <w:tcBorders>
              <w:top w:val="nil"/>
              <w:left w:val="nil"/>
              <w:bottom w:val="single" w:sz="4" w:space="0" w:color="auto"/>
              <w:right w:val="nil"/>
            </w:tcBorders>
            <w:shd w:val="clear" w:color="auto" w:fill="auto"/>
            <w:noWrap/>
            <w:vAlign w:val="bottom"/>
            <w:hideMark/>
          </w:tcPr>
          <w:p w14:paraId="28074CF1"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0.020</w:t>
            </w:r>
          </w:p>
        </w:tc>
        <w:tc>
          <w:tcPr>
            <w:tcW w:w="1813" w:type="pct"/>
            <w:tcBorders>
              <w:top w:val="nil"/>
              <w:left w:val="nil"/>
              <w:bottom w:val="single" w:sz="4" w:space="0" w:color="auto"/>
              <w:right w:val="nil"/>
            </w:tcBorders>
            <w:shd w:val="clear" w:color="auto" w:fill="auto"/>
            <w:noWrap/>
            <w:vAlign w:val="bottom"/>
            <w:hideMark/>
          </w:tcPr>
          <w:p w14:paraId="3B1F7E90" w14:textId="77777777" w:rsidR="003D3BDC" w:rsidRPr="008476FB" w:rsidRDefault="003D3BDC" w:rsidP="00AD503E">
            <w:pPr>
              <w:spacing w:line="480" w:lineRule="auto"/>
              <w:rPr>
                <w:rFonts w:ascii="Times New Roman" w:hAnsi="Times New Roman" w:cs="Times New Roman"/>
              </w:rPr>
            </w:pPr>
            <w:r w:rsidRPr="008476FB">
              <w:rPr>
                <w:rFonts w:ascii="Times New Roman" w:hAnsi="Times New Roman" w:cs="Times New Roman"/>
              </w:rPr>
              <w:t>0.638</w:t>
            </w:r>
          </w:p>
        </w:tc>
      </w:tr>
    </w:tbl>
    <w:p w14:paraId="40079515" w14:textId="7D5A62B0" w:rsidR="00574196" w:rsidRPr="008476FB" w:rsidRDefault="00574196">
      <w:pPr>
        <w:rPr>
          <w:rFonts w:ascii="Times New Roman" w:hAnsi="Times New Roman" w:cs="Times New Roman"/>
        </w:rPr>
      </w:pPr>
    </w:p>
    <w:p w14:paraId="7E46CE04" w14:textId="6F88367C" w:rsidR="00AD503E" w:rsidRPr="008476FB" w:rsidRDefault="00574196" w:rsidP="00CC7BDE">
      <w:pPr>
        <w:pStyle w:val="Heading4"/>
        <w:numPr>
          <w:ilvl w:val="0"/>
          <w:numId w:val="4"/>
        </w:numPr>
        <w:spacing w:line="480" w:lineRule="auto"/>
      </w:pPr>
      <w:r w:rsidRPr="008476FB">
        <w:br w:type="column"/>
      </w:r>
      <w:r w:rsidR="00CC7BDE">
        <w:lastRenderedPageBreak/>
        <w:t>Supplementary data</w:t>
      </w:r>
      <w:r w:rsidRPr="00CC7BDE">
        <w:rPr>
          <w:rFonts w:ascii="Times New Roman" w:hAnsi="Times New Roman" w:cs="Times New Roman"/>
        </w:rPr>
        <w:t xml:space="preserve"> </w:t>
      </w:r>
    </w:p>
    <w:p w14:paraId="1A30EE9F" w14:textId="77777777" w:rsidR="00574196" w:rsidRPr="008476FB" w:rsidRDefault="00574196" w:rsidP="00574196">
      <w:pPr>
        <w:rPr>
          <w:rFonts w:ascii="Times New Roman" w:hAnsi="Times New Roman" w:cs="Times New Roman"/>
        </w:rPr>
      </w:pPr>
    </w:p>
    <w:p w14:paraId="216A53C2" w14:textId="272D2025" w:rsidR="0095484B" w:rsidRPr="008476FB" w:rsidRDefault="0095484B" w:rsidP="00916205">
      <w:pPr>
        <w:spacing w:line="360" w:lineRule="auto"/>
        <w:rPr>
          <w:rFonts w:ascii="Times New Roman" w:hAnsi="Times New Roman" w:cs="Times New Roman"/>
          <w:b/>
        </w:rPr>
      </w:pPr>
      <w:r w:rsidRPr="008476FB">
        <w:rPr>
          <w:rFonts w:ascii="Times New Roman" w:hAnsi="Times New Roman" w:cs="Times New Roman"/>
          <w:b/>
        </w:rPr>
        <w:t xml:space="preserve">Supplementary Table 2: Estimated seroprevalence by jurisdiction and collection </w:t>
      </w:r>
      <w:r w:rsidR="00176FC5" w:rsidRPr="008476FB">
        <w:rPr>
          <w:rFonts w:ascii="Times New Roman" w:hAnsi="Times New Roman" w:cs="Times New Roman"/>
          <w:b/>
        </w:rPr>
        <w:t xml:space="preserve">population </w:t>
      </w:r>
      <w:r w:rsidRPr="008476FB">
        <w:rPr>
          <w:rFonts w:ascii="Times New Roman" w:hAnsi="Times New Roman" w:cs="Times New Roman"/>
          <w:b/>
        </w:rPr>
        <w:t xml:space="preserve">for the primary and sensitivity </w:t>
      </w:r>
      <w:r w:rsidR="00916205" w:rsidRPr="008476FB">
        <w:rPr>
          <w:rFonts w:ascii="Times New Roman" w:hAnsi="Times New Roman" w:cs="Times New Roman"/>
          <w:b/>
        </w:rPr>
        <w:t>analysis</w:t>
      </w:r>
    </w:p>
    <w:tbl>
      <w:tblPr>
        <w:tblW w:w="8404" w:type="dxa"/>
        <w:tblLook w:val="04A0" w:firstRow="1" w:lastRow="0" w:firstColumn="1" w:lastColumn="0" w:noHBand="0" w:noVBand="1"/>
      </w:tblPr>
      <w:tblGrid>
        <w:gridCol w:w="2312"/>
        <w:gridCol w:w="2232"/>
        <w:gridCol w:w="1950"/>
        <w:gridCol w:w="1910"/>
      </w:tblGrid>
      <w:tr w:rsidR="0095484B" w:rsidRPr="008476FB" w14:paraId="46BFE728" w14:textId="77777777" w:rsidTr="004607ED">
        <w:trPr>
          <w:trHeight w:val="301"/>
        </w:trPr>
        <w:tc>
          <w:tcPr>
            <w:tcW w:w="2312" w:type="dxa"/>
            <w:tcBorders>
              <w:top w:val="single" w:sz="8" w:space="0" w:color="auto"/>
              <w:left w:val="nil"/>
              <w:bottom w:val="nil"/>
              <w:right w:val="nil"/>
            </w:tcBorders>
            <w:shd w:val="clear" w:color="auto" w:fill="auto"/>
            <w:noWrap/>
            <w:vAlign w:val="center"/>
            <w:hideMark/>
          </w:tcPr>
          <w:p w14:paraId="071C0768" w14:textId="77777777" w:rsidR="0095484B" w:rsidRPr="008476FB" w:rsidRDefault="0095484B" w:rsidP="0091620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Demographic group</w:t>
            </w:r>
          </w:p>
        </w:tc>
        <w:tc>
          <w:tcPr>
            <w:tcW w:w="2232" w:type="dxa"/>
            <w:tcBorders>
              <w:top w:val="single" w:sz="8" w:space="0" w:color="auto"/>
              <w:left w:val="nil"/>
              <w:bottom w:val="nil"/>
              <w:right w:val="nil"/>
            </w:tcBorders>
            <w:shd w:val="clear" w:color="auto" w:fill="auto"/>
            <w:noWrap/>
            <w:vAlign w:val="center"/>
            <w:hideMark/>
          </w:tcPr>
          <w:p w14:paraId="5954D0A9" w14:textId="77777777" w:rsidR="0095484B" w:rsidRPr="008476FB" w:rsidRDefault="0095484B" w:rsidP="0091620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Collection</w:t>
            </w:r>
          </w:p>
        </w:tc>
        <w:tc>
          <w:tcPr>
            <w:tcW w:w="1950" w:type="dxa"/>
            <w:tcBorders>
              <w:top w:val="single" w:sz="4" w:space="0" w:color="auto"/>
              <w:left w:val="nil"/>
              <w:bottom w:val="nil"/>
              <w:right w:val="nil"/>
            </w:tcBorders>
            <w:shd w:val="clear" w:color="auto" w:fill="auto"/>
            <w:noWrap/>
            <w:vAlign w:val="center"/>
            <w:hideMark/>
          </w:tcPr>
          <w:p w14:paraId="25D5BFDC" w14:textId="77777777" w:rsidR="0095484B" w:rsidRPr="008476FB" w:rsidRDefault="0095484B" w:rsidP="0091620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Primary analysis</w:t>
            </w:r>
          </w:p>
        </w:tc>
        <w:tc>
          <w:tcPr>
            <w:tcW w:w="1910" w:type="dxa"/>
            <w:tcBorders>
              <w:top w:val="single" w:sz="4" w:space="0" w:color="auto"/>
              <w:left w:val="nil"/>
              <w:bottom w:val="nil"/>
              <w:right w:val="nil"/>
            </w:tcBorders>
            <w:shd w:val="clear" w:color="auto" w:fill="auto"/>
            <w:noWrap/>
            <w:vAlign w:val="center"/>
            <w:hideMark/>
          </w:tcPr>
          <w:p w14:paraId="142E13F2" w14:textId="77777777" w:rsidR="0095484B" w:rsidRPr="008476FB" w:rsidRDefault="0095484B" w:rsidP="0091620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xml:space="preserve">Sensitivity analysis </w:t>
            </w:r>
          </w:p>
        </w:tc>
      </w:tr>
      <w:tr w:rsidR="0095484B" w:rsidRPr="008476FB" w14:paraId="6702DBA2" w14:textId="77777777" w:rsidTr="004607ED">
        <w:trPr>
          <w:trHeight w:val="79"/>
        </w:trPr>
        <w:tc>
          <w:tcPr>
            <w:tcW w:w="2312" w:type="dxa"/>
            <w:tcBorders>
              <w:top w:val="nil"/>
              <w:left w:val="nil"/>
              <w:bottom w:val="single" w:sz="8" w:space="0" w:color="auto"/>
              <w:right w:val="nil"/>
            </w:tcBorders>
            <w:shd w:val="clear" w:color="auto" w:fill="auto"/>
            <w:noWrap/>
            <w:vAlign w:val="center"/>
            <w:hideMark/>
          </w:tcPr>
          <w:p w14:paraId="4B13C4DE" w14:textId="77777777" w:rsidR="0095484B" w:rsidRPr="008476FB" w:rsidRDefault="0095484B" w:rsidP="00916205">
            <w:pPr>
              <w:spacing w:line="36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32" w:type="dxa"/>
            <w:tcBorders>
              <w:top w:val="nil"/>
              <w:left w:val="nil"/>
              <w:bottom w:val="single" w:sz="8" w:space="0" w:color="auto"/>
              <w:right w:val="nil"/>
            </w:tcBorders>
            <w:shd w:val="clear" w:color="auto" w:fill="auto"/>
            <w:noWrap/>
            <w:vAlign w:val="center"/>
            <w:hideMark/>
          </w:tcPr>
          <w:p w14:paraId="50746299" w14:textId="77777777" w:rsidR="0095484B" w:rsidRPr="008476FB" w:rsidRDefault="0095484B" w:rsidP="00916205">
            <w:pPr>
              <w:spacing w:line="36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1950" w:type="dxa"/>
            <w:tcBorders>
              <w:left w:val="nil"/>
              <w:bottom w:val="single" w:sz="4" w:space="0" w:color="auto"/>
              <w:right w:val="nil"/>
            </w:tcBorders>
            <w:shd w:val="clear" w:color="auto" w:fill="auto"/>
            <w:noWrap/>
            <w:vAlign w:val="center"/>
            <w:hideMark/>
          </w:tcPr>
          <w:p w14:paraId="1BF75B48" w14:textId="77777777" w:rsidR="0095484B" w:rsidRPr="008476FB" w:rsidRDefault="0095484B" w:rsidP="0091620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(95% CrI)</w:t>
            </w:r>
          </w:p>
        </w:tc>
        <w:tc>
          <w:tcPr>
            <w:tcW w:w="1910" w:type="dxa"/>
            <w:tcBorders>
              <w:left w:val="nil"/>
              <w:bottom w:val="single" w:sz="4" w:space="0" w:color="auto"/>
              <w:right w:val="nil"/>
            </w:tcBorders>
            <w:shd w:val="clear" w:color="auto" w:fill="auto"/>
            <w:noWrap/>
            <w:vAlign w:val="center"/>
            <w:hideMark/>
          </w:tcPr>
          <w:p w14:paraId="7B758882" w14:textId="77777777" w:rsidR="0095484B" w:rsidRPr="008476FB" w:rsidRDefault="0095484B" w:rsidP="0091620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(95% CrI)</w:t>
            </w:r>
          </w:p>
        </w:tc>
      </w:tr>
      <w:tr w:rsidR="0095484B" w:rsidRPr="008476FB" w14:paraId="5673C6B8" w14:textId="77777777" w:rsidTr="004607ED">
        <w:trPr>
          <w:trHeight w:val="301"/>
        </w:trPr>
        <w:tc>
          <w:tcPr>
            <w:tcW w:w="2312" w:type="dxa"/>
            <w:tcBorders>
              <w:top w:val="nil"/>
              <w:left w:val="nil"/>
              <w:bottom w:val="single" w:sz="4" w:space="0" w:color="auto"/>
              <w:right w:val="nil"/>
            </w:tcBorders>
            <w:shd w:val="clear" w:color="000000" w:fill="F2F2F2"/>
            <w:noWrap/>
            <w:vAlign w:val="bottom"/>
            <w:hideMark/>
          </w:tcPr>
          <w:p w14:paraId="73B0D228" w14:textId="77777777" w:rsidR="0095484B" w:rsidRPr="008476FB" w:rsidRDefault="0095484B" w:rsidP="00916205">
            <w:pPr>
              <w:spacing w:line="36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Jurisdiction</w:t>
            </w:r>
          </w:p>
        </w:tc>
        <w:tc>
          <w:tcPr>
            <w:tcW w:w="2232" w:type="dxa"/>
            <w:tcBorders>
              <w:top w:val="nil"/>
              <w:left w:val="nil"/>
              <w:bottom w:val="single" w:sz="4" w:space="0" w:color="auto"/>
              <w:right w:val="nil"/>
            </w:tcBorders>
            <w:shd w:val="clear" w:color="000000" w:fill="F2F2F2"/>
            <w:noWrap/>
            <w:vAlign w:val="bottom"/>
            <w:hideMark/>
          </w:tcPr>
          <w:p w14:paraId="617B2F7B" w14:textId="77777777" w:rsidR="0095484B" w:rsidRPr="008476FB" w:rsidRDefault="0095484B" w:rsidP="00916205">
            <w:pPr>
              <w:spacing w:line="36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 </w:t>
            </w:r>
          </w:p>
        </w:tc>
        <w:tc>
          <w:tcPr>
            <w:tcW w:w="1950" w:type="dxa"/>
            <w:tcBorders>
              <w:top w:val="single" w:sz="4" w:space="0" w:color="auto"/>
              <w:left w:val="nil"/>
              <w:bottom w:val="single" w:sz="4" w:space="0" w:color="auto"/>
              <w:right w:val="nil"/>
            </w:tcBorders>
            <w:shd w:val="clear" w:color="000000" w:fill="F2F2F2"/>
            <w:noWrap/>
            <w:vAlign w:val="bottom"/>
            <w:hideMark/>
          </w:tcPr>
          <w:p w14:paraId="4DD971B3" w14:textId="77777777" w:rsidR="0095484B" w:rsidRPr="008476FB" w:rsidRDefault="0095484B" w:rsidP="00916205">
            <w:pPr>
              <w:spacing w:line="36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 </w:t>
            </w:r>
          </w:p>
        </w:tc>
        <w:tc>
          <w:tcPr>
            <w:tcW w:w="1910" w:type="dxa"/>
            <w:tcBorders>
              <w:top w:val="single" w:sz="4" w:space="0" w:color="auto"/>
              <w:left w:val="nil"/>
              <w:bottom w:val="single" w:sz="4" w:space="0" w:color="auto"/>
              <w:right w:val="nil"/>
            </w:tcBorders>
            <w:shd w:val="clear" w:color="000000" w:fill="F2F2F2"/>
            <w:noWrap/>
            <w:vAlign w:val="bottom"/>
            <w:hideMark/>
          </w:tcPr>
          <w:p w14:paraId="29EBCF13" w14:textId="77777777" w:rsidR="0095484B" w:rsidRPr="008476FB" w:rsidRDefault="0095484B" w:rsidP="00916205">
            <w:pPr>
              <w:spacing w:line="36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 </w:t>
            </w:r>
          </w:p>
        </w:tc>
      </w:tr>
      <w:tr w:rsidR="0095484B" w:rsidRPr="008476FB" w14:paraId="5322FAA3" w14:textId="77777777" w:rsidTr="00D26CDB">
        <w:trPr>
          <w:trHeight w:val="301"/>
        </w:trPr>
        <w:tc>
          <w:tcPr>
            <w:tcW w:w="2312" w:type="dxa"/>
            <w:tcBorders>
              <w:top w:val="nil"/>
              <w:left w:val="nil"/>
              <w:bottom w:val="nil"/>
              <w:right w:val="nil"/>
            </w:tcBorders>
            <w:shd w:val="clear" w:color="auto" w:fill="auto"/>
            <w:noWrap/>
            <w:vAlign w:val="center"/>
            <w:hideMark/>
          </w:tcPr>
          <w:p w14:paraId="329B713D"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ACT</w:t>
            </w:r>
          </w:p>
        </w:tc>
        <w:tc>
          <w:tcPr>
            <w:tcW w:w="2232" w:type="dxa"/>
            <w:tcBorders>
              <w:top w:val="nil"/>
              <w:left w:val="nil"/>
              <w:bottom w:val="nil"/>
              <w:right w:val="nil"/>
            </w:tcBorders>
            <w:shd w:val="clear" w:color="auto" w:fill="auto"/>
            <w:noWrap/>
            <w:vAlign w:val="center"/>
            <w:hideMark/>
          </w:tcPr>
          <w:p w14:paraId="1053F652"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50" w:type="dxa"/>
            <w:tcBorders>
              <w:top w:val="nil"/>
              <w:left w:val="nil"/>
              <w:bottom w:val="nil"/>
              <w:right w:val="nil"/>
            </w:tcBorders>
            <w:shd w:val="clear" w:color="auto" w:fill="auto"/>
            <w:noWrap/>
            <w:vAlign w:val="bottom"/>
            <w:hideMark/>
          </w:tcPr>
          <w:p w14:paraId="001D745F"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0.28 (0.03, 0.97)</w:t>
            </w:r>
          </w:p>
        </w:tc>
        <w:tc>
          <w:tcPr>
            <w:tcW w:w="1910" w:type="dxa"/>
            <w:tcBorders>
              <w:top w:val="nil"/>
              <w:left w:val="nil"/>
              <w:bottom w:val="nil"/>
              <w:right w:val="nil"/>
            </w:tcBorders>
            <w:shd w:val="clear" w:color="auto" w:fill="auto"/>
            <w:noWrap/>
            <w:vAlign w:val="bottom"/>
            <w:hideMark/>
          </w:tcPr>
          <w:p w14:paraId="0506060E"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0.11 (0.03, 0.59)</w:t>
            </w:r>
          </w:p>
        </w:tc>
      </w:tr>
      <w:tr w:rsidR="0095484B" w:rsidRPr="008476FB" w14:paraId="5A211AAB" w14:textId="77777777" w:rsidTr="00D26CDB">
        <w:trPr>
          <w:trHeight w:val="301"/>
        </w:trPr>
        <w:tc>
          <w:tcPr>
            <w:tcW w:w="2312" w:type="dxa"/>
            <w:tcBorders>
              <w:top w:val="nil"/>
              <w:left w:val="nil"/>
              <w:bottom w:val="nil"/>
              <w:right w:val="nil"/>
            </w:tcBorders>
            <w:shd w:val="clear" w:color="auto" w:fill="auto"/>
            <w:noWrap/>
            <w:vAlign w:val="center"/>
            <w:hideMark/>
          </w:tcPr>
          <w:p w14:paraId="7FF62639"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p>
        </w:tc>
        <w:tc>
          <w:tcPr>
            <w:tcW w:w="2232" w:type="dxa"/>
            <w:tcBorders>
              <w:top w:val="nil"/>
              <w:left w:val="nil"/>
              <w:bottom w:val="nil"/>
              <w:right w:val="nil"/>
            </w:tcBorders>
            <w:shd w:val="clear" w:color="auto" w:fill="auto"/>
            <w:noWrap/>
            <w:vAlign w:val="center"/>
            <w:hideMark/>
          </w:tcPr>
          <w:p w14:paraId="21255F0E"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Antenatal screening</w:t>
            </w:r>
          </w:p>
        </w:tc>
        <w:tc>
          <w:tcPr>
            <w:tcW w:w="1950" w:type="dxa"/>
            <w:tcBorders>
              <w:top w:val="nil"/>
              <w:left w:val="nil"/>
              <w:bottom w:val="nil"/>
              <w:right w:val="nil"/>
            </w:tcBorders>
            <w:shd w:val="clear" w:color="auto" w:fill="auto"/>
            <w:noWrap/>
            <w:vAlign w:val="bottom"/>
            <w:hideMark/>
          </w:tcPr>
          <w:p w14:paraId="31BC69CA"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0.40 (0.03, 1.42)</w:t>
            </w:r>
          </w:p>
        </w:tc>
        <w:tc>
          <w:tcPr>
            <w:tcW w:w="1910" w:type="dxa"/>
            <w:tcBorders>
              <w:top w:val="nil"/>
              <w:left w:val="nil"/>
              <w:bottom w:val="nil"/>
              <w:right w:val="nil"/>
            </w:tcBorders>
            <w:shd w:val="clear" w:color="auto" w:fill="auto"/>
            <w:noWrap/>
            <w:vAlign w:val="bottom"/>
            <w:hideMark/>
          </w:tcPr>
          <w:p w14:paraId="24332BB9"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0.15 (0.03, 0.84)</w:t>
            </w:r>
          </w:p>
        </w:tc>
      </w:tr>
      <w:tr w:rsidR="0095484B" w:rsidRPr="008476FB" w14:paraId="025E8F4F" w14:textId="77777777" w:rsidTr="00D26CDB">
        <w:trPr>
          <w:trHeight w:val="301"/>
        </w:trPr>
        <w:tc>
          <w:tcPr>
            <w:tcW w:w="2312" w:type="dxa"/>
            <w:tcBorders>
              <w:top w:val="nil"/>
              <w:left w:val="nil"/>
              <w:bottom w:val="single" w:sz="4" w:space="0" w:color="auto"/>
              <w:right w:val="nil"/>
            </w:tcBorders>
            <w:shd w:val="clear" w:color="auto" w:fill="auto"/>
            <w:noWrap/>
            <w:vAlign w:val="center"/>
            <w:hideMark/>
          </w:tcPr>
          <w:p w14:paraId="4308F062"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32" w:type="dxa"/>
            <w:tcBorders>
              <w:top w:val="nil"/>
              <w:left w:val="nil"/>
              <w:bottom w:val="single" w:sz="4" w:space="0" w:color="auto"/>
              <w:right w:val="nil"/>
            </w:tcBorders>
            <w:shd w:val="clear" w:color="auto" w:fill="auto"/>
            <w:noWrap/>
            <w:vAlign w:val="center"/>
            <w:hideMark/>
          </w:tcPr>
          <w:p w14:paraId="48FAA669"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50" w:type="dxa"/>
            <w:tcBorders>
              <w:top w:val="nil"/>
              <w:left w:val="nil"/>
              <w:bottom w:val="single" w:sz="4" w:space="0" w:color="auto"/>
              <w:right w:val="nil"/>
            </w:tcBorders>
            <w:shd w:val="clear" w:color="auto" w:fill="auto"/>
            <w:noWrap/>
            <w:vAlign w:val="bottom"/>
            <w:hideMark/>
          </w:tcPr>
          <w:p w14:paraId="52CED692"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0.97 (0.03, 2.30)</w:t>
            </w:r>
          </w:p>
        </w:tc>
        <w:tc>
          <w:tcPr>
            <w:tcW w:w="1910" w:type="dxa"/>
            <w:tcBorders>
              <w:top w:val="nil"/>
              <w:left w:val="nil"/>
              <w:bottom w:val="single" w:sz="4" w:space="0" w:color="auto"/>
              <w:right w:val="nil"/>
            </w:tcBorders>
            <w:shd w:val="clear" w:color="auto" w:fill="auto"/>
            <w:noWrap/>
            <w:vAlign w:val="bottom"/>
            <w:hideMark/>
          </w:tcPr>
          <w:p w14:paraId="640A835E"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0.47 (0.03, 1.72)</w:t>
            </w:r>
          </w:p>
        </w:tc>
      </w:tr>
      <w:tr w:rsidR="0095484B" w:rsidRPr="008476FB" w14:paraId="1124DB58" w14:textId="77777777" w:rsidTr="00D26CDB">
        <w:trPr>
          <w:trHeight w:val="301"/>
        </w:trPr>
        <w:tc>
          <w:tcPr>
            <w:tcW w:w="2312" w:type="dxa"/>
            <w:tcBorders>
              <w:top w:val="nil"/>
              <w:left w:val="nil"/>
              <w:bottom w:val="nil"/>
              <w:right w:val="nil"/>
            </w:tcBorders>
            <w:shd w:val="clear" w:color="auto" w:fill="auto"/>
            <w:noWrap/>
            <w:vAlign w:val="center"/>
            <w:hideMark/>
          </w:tcPr>
          <w:p w14:paraId="00AC7B3B"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NSW</w:t>
            </w:r>
          </w:p>
        </w:tc>
        <w:tc>
          <w:tcPr>
            <w:tcW w:w="2232" w:type="dxa"/>
            <w:tcBorders>
              <w:top w:val="nil"/>
              <w:left w:val="nil"/>
              <w:bottom w:val="nil"/>
              <w:right w:val="nil"/>
            </w:tcBorders>
            <w:shd w:val="clear" w:color="auto" w:fill="auto"/>
            <w:noWrap/>
            <w:vAlign w:val="center"/>
            <w:hideMark/>
          </w:tcPr>
          <w:p w14:paraId="74003C62"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50" w:type="dxa"/>
            <w:tcBorders>
              <w:top w:val="nil"/>
              <w:left w:val="nil"/>
              <w:bottom w:val="nil"/>
              <w:right w:val="nil"/>
            </w:tcBorders>
            <w:shd w:val="clear" w:color="auto" w:fill="auto"/>
            <w:noWrap/>
            <w:vAlign w:val="bottom"/>
            <w:hideMark/>
          </w:tcPr>
          <w:p w14:paraId="4819640C"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0.40 (0.04, 0.95)</w:t>
            </w:r>
          </w:p>
        </w:tc>
        <w:tc>
          <w:tcPr>
            <w:tcW w:w="1910" w:type="dxa"/>
            <w:tcBorders>
              <w:top w:val="nil"/>
              <w:left w:val="nil"/>
              <w:bottom w:val="nil"/>
              <w:right w:val="nil"/>
            </w:tcBorders>
            <w:shd w:val="clear" w:color="auto" w:fill="auto"/>
            <w:noWrap/>
            <w:vAlign w:val="bottom"/>
            <w:hideMark/>
          </w:tcPr>
          <w:p w14:paraId="111FEF1D"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0.23 (0.04, 0.75)</w:t>
            </w:r>
          </w:p>
        </w:tc>
      </w:tr>
      <w:tr w:rsidR="0095484B" w:rsidRPr="008476FB" w14:paraId="4BBBD05E" w14:textId="77777777" w:rsidTr="00D26CDB">
        <w:trPr>
          <w:trHeight w:val="301"/>
        </w:trPr>
        <w:tc>
          <w:tcPr>
            <w:tcW w:w="2312" w:type="dxa"/>
            <w:tcBorders>
              <w:top w:val="nil"/>
              <w:left w:val="nil"/>
              <w:bottom w:val="nil"/>
              <w:right w:val="nil"/>
            </w:tcBorders>
            <w:shd w:val="clear" w:color="auto" w:fill="auto"/>
            <w:noWrap/>
            <w:vAlign w:val="center"/>
            <w:hideMark/>
          </w:tcPr>
          <w:p w14:paraId="4DFF6E19"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p>
        </w:tc>
        <w:tc>
          <w:tcPr>
            <w:tcW w:w="2232" w:type="dxa"/>
            <w:tcBorders>
              <w:top w:val="nil"/>
              <w:left w:val="nil"/>
              <w:bottom w:val="nil"/>
              <w:right w:val="nil"/>
            </w:tcBorders>
            <w:shd w:val="clear" w:color="auto" w:fill="auto"/>
            <w:noWrap/>
            <w:vAlign w:val="center"/>
            <w:hideMark/>
          </w:tcPr>
          <w:p w14:paraId="5B2F9896"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Antenatal screening</w:t>
            </w:r>
          </w:p>
        </w:tc>
        <w:tc>
          <w:tcPr>
            <w:tcW w:w="1950" w:type="dxa"/>
            <w:tcBorders>
              <w:top w:val="nil"/>
              <w:left w:val="nil"/>
              <w:bottom w:val="nil"/>
              <w:right w:val="nil"/>
            </w:tcBorders>
            <w:shd w:val="clear" w:color="auto" w:fill="auto"/>
            <w:noWrap/>
            <w:vAlign w:val="bottom"/>
            <w:hideMark/>
          </w:tcPr>
          <w:p w14:paraId="4BFD94B9"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0.79 (0.04, 1.67)</w:t>
            </w:r>
          </w:p>
        </w:tc>
        <w:tc>
          <w:tcPr>
            <w:tcW w:w="1910" w:type="dxa"/>
            <w:tcBorders>
              <w:top w:val="nil"/>
              <w:left w:val="nil"/>
              <w:bottom w:val="nil"/>
              <w:right w:val="nil"/>
            </w:tcBorders>
            <w:shd w:val="clear" w:color="auto" w:fill="auto"/>
            <w:noWrap/>
            <w:vAlign w:val="bottom"/>
            <w:hideMark/>
          </w:tcPr>
          <w:p w14:paraId="5A3F5C11"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0.48 (0.04, 1.35)</w:t>
            </w:r>
          </w:p>
        </w:tc>
      </w:tr>
      <w:tr w:rsidR="0095484B" w:rsidRPr="008476FB" w14:paraId="60ACFCA8" w14:textId="77777777" w:rsidTr="00D26CDB">
        <w:trPr>
          <w:trHeight w:val="301"/>
        </w:trPr>
        <w:tc>
          <w:tcPr>
            <w:tcW w:w="2312" w:type="dxa"/>
            <w:tcBorders>
              <w:top w:val="nil"/>
              <w:left w:val="nil"/>
              <w:bottom w:val="single" w:sz="4" w:space="0" w:color="auto"/>
              <w:right w:val="nil"/>
            </w:tcBorders>
            <w:shd w:val="clear" w:color="auto" w:fill="auto"/>
            <w:noWrap/>
            <w:vAlign w:val="center"/>
            <w:hideMark/>
          </w:tcPr>
          <w:p w14:paraId="7F3577F7"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32" w:type="dxa"/>
            <w:tcBorders>
              <w:top w:val="nil"/>
              <w:left w:val="nil"/>
              <w:bottom w:val="single" w:sz="4" w:space="0" w:color="auto"/>
              <w:right w:val="nil"/>
            </w:tcBorders>
            <w:shd w:val="clear" w:color="auto" w:fill="auto"/>
            <w:noWrap/>
            <w:vAlign w:val="center"/>
            <w:hideMark/>
          </w:tcPr>
          <w:p w14:paraId="41484C6C"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50" w:type="dxa"/>
            <w:tcBorders>
              <w:top w:val="nil"/>
              <w:left w:val="nil"/>
              <w:bottom w:val="single" w:sz="4" w:space="0" w:color="auto"/>
              <w:right w:val="nil"/>
            </w:tcBorders>
            <w:shd w:val="clear" w:color="auto" w:fill="auto"/>
            <w:noWrap/>
            <w:vAlign w:val="bottom"/>
            <w:hideMark/>
          </w:tcPr>
          <w:p w14:paraId="0DA8914C"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0.77 (0.04, 1.74)</w:t>
            </w:r>
          </w:p>
        </w:tc>
        <w:tc>
          <w:tcPr>
            <w:tcW w:w="1910" w:type="dxa"/>
            <w:tcBorders>
              <w:top w:val="nil"/>
              <w:left w:val="nil"/>
              <w:bottom w:val="single" w:sz="4" w:space="0" w:color="auto"/>
              <w:right w:val="nil"/>
            </w:tcBorders>
            <w:shd w:val="clear" w:color="auto" w:fill="auto"/>
            <w:noWrap/>
            <w:vAlign w:val="bottom"/>
            <w:hideMark/>
          </w:tcPr>
          <w:p w14:paraId="16DABDB8"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0.44 (0.04, 1.37)</w:t>
            </w:r>
          </w:p>
        </w:tc>
      </w:tr>
      <w:tr w:rsidR="0095484B" w:rsidRPr="008476FB" w14:paraId="300C4144" w14:textId="77777777" w:rsidTr="00D26CDB">
        <w:trPr>
          <w:trHeight w:val="301"/>
        </w:trPr>
        <w:tc>
          <w:tcPr>
            <w:tcW w:w="2312" w:type="dxa"/>
            <w:tcBorders>
              <w:top w:val="nil"/>
              <w:left w:val="nil"/>
              <w:bottom w:val="nil"/>
              <w:right w:val="nil"/>
            </w:tcBorders>
            <w:shd w:val="clear" w:color="auto" w:fill="auto"/>
            <w:noWrap/>
            <w:vAlign w:val="center"/>
            <w:hideMark/>
          </w:tcPr>
          <w:p w14:paraId="67659770"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NT</w:t>
            </w:r>
          </w:p>
        </w:tc>
        <w:tc>
          <w:tcPr>
            <w:tcW w:w="2232" w:type="dxa"/>
            <w:tcBorders>
              <w:top w:val="nil"/>
              <w:left w:val="nil"/>
              <w:bottom w:val="nil"/>
              <w:right w:val="nil"/>
            </w:tcBorders>
            <w:shd w:val="clear" w:color="auto" w:fill="auto"/>
            <w:noWrap/>
            <w:vAlign w:val="center"/>
            <w:hideMark/>
          </w:tcPr>
          <w:p w14:paraId="3F6F9ECC"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50" w:type="dxa"/>
            <w:tcBorders>
              <w:top w:val="nil"/>
              <w:left w:val="nil"/>
              <w:bottom w:val="nil"/>
              <w:right w:val="nil"/>
            </w:tcBorders>
            <w:shd w:val="clear" w:color="auto" w:fill="auto"/>
            <w:noWrap/>
            <w:vAlign w:val="bottom"/>
            <w:hideMark/>
          </w:tcPr>
          <w:p w14:paraId="382BBC4C"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1.39 (0.01, 2.99)</w:t>
            </w:r>
          </w:p>
        </w:tc>
        <w:tc>
          <w:tcPr>
            <w:tcW w:w="1910" w:type="dxa"/>
            <w:tcBorders>
              <w:top w:val="nil"/>
              <w:left w:val="nil"/>
              <w:bottom w:val="nil"/>
              <w:right w:val="nil"/>
            </w:tcBorders>
            <w:shd w:val="clear" w:color="auto" w:fill="auto"/>
            <w:noWrap/>
            <w:vAlign w:val="bottom"/>
            <w:hideMark/>
          </w:tcPr>
          <w:p w14:paraId="00E36E54"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0.82 (0.01, 2.36)</w:t>
            </w:r>
          </w:p>
        </w:tc>
      </w:tr>
      <w:tr w:rsidR="0095484B" w:rsidRPr="008476FB" w14:paraId="263F0EBE" w14:textId="77777777" w:rsidTr="00D26CDB">
        <w:trPr>
          <w:trHeight w:val="301"/>
        </w:trPr>
        <w:tc>
          <w:tcPr>
            <w:tcW w:w="2312" w:type="dxa"/>
            <w:tcBorders>
              <w:top w:val="nil"/>
              <w:left w:val="nil"/>
              <w:bottom w:val="nil"/>
              <w:right w:val="nil"/>
            </w:tcBorders>
            <w:shd w:val="clear" w:color="auto" w:fill="auto"/>
            <w:noWrap/>
            <w:vAlign w:val="center"/>
            <w:hideMark/>
          </w:tcPr>
          <w:p w14:paraId="6130A2BF"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p>
        </w:tc>
        <w:tc>
          <w:tcPr>
            <w:tcW w:w="2232" w:type="dxa"/>
            <w:tcBorders>
              <w:top w:val="nil"/>
              <w:left w:val="nil"/>
              <w:bottom w:val="nil"/>
              <w:right w:val="nil"/>
            </w:tcBorders>
            <w:shd w:val="clear" w:color="auto" w:fill="auto"/>
            <w:noWrap/>
            <w:vAlign w:val="center"/>
            <w:hideMark/>
          </w:tcPr>
          <w:p w14:paraId="21E064F3"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Antenatal screening</w:t>
            </w:r>
          </w:p>
        </w:tc>
        <w:tc>
          <w:tcPr>
            <w:tcW w:w="1950" w:type="dxa"/>
            <w:tcBorders>
              <w:top w:val="nil"/>
              <w:left w:val="nil"/>
              <w:bottom w:val="nil"/>
              <w:right w:val="nil"/>
            </w:tcBorders>
            <w:shd w:val="clear" w:color="auto" w:fill="auto"/>
            <w:noWrap/>
            <w:vAlign w:val="bottom"/>
            <w:hideMark/>
          </w:tcPr>
          <w:p w14:paraId="388D7B1F"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1.02 (0.01, 3.30)</w:t>
            </w:r>
          </w:p>
        </w:tc>
        <w:tc>
          <w:tcPr>
            <w:tcW w:w="1910" w:type="dxa"/>
            <w:tcBorders>
              <w:top w:val="nil"/>
              <w:left w:val="nil"/>
              <w:bottom w:val="nil"/>
              <w:right w:val="nil"/>
            </w:tcBorders>
            <w:shd w:val="clear" w:color="auto" w:fill="auto"/>
            <w:noWrap/>
            <w:vAlign w:val="bottom"/>
            <w:hideMark/>
          </w:tcPr>
          <w:p w14:paraId="26B91A9F"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0.27 (0.01, 1.87)</w:t>
            </w:r>
          </w:p>
        </w:tc>
      </w:tr>
      <w:tr w:rsidR="0095484B" w:rsidRPr="008476FB" w14:paraId="13CC80A1" w14:textId="77777777" w:rsidTr="00D26CDB">
        <w:trPr>
          <w:trHeight w:val="301"/>
        </w:trPr>
        <w:tc>
          <w:tcPr>
            <w:tcW w:w="2312" w:type="dxa"/>
            <w:tcBorders>
              <w:top w:val="nil"/>
              <w:left w:val="nil"/>
              <w:bottom w:val="single" w:sz="4" w:space="0" w:color="auto"/>
              <w:right w:val="nil"/>
            </w:tcBorders>
            <w:shd w:val="clear" w:color="auto" w:fill="auto"/>
            <w:noWrap/>
            <w:vAlign w:val="center"/>
            <w:hideMark/>
          </w:tcPr>
          <w:p w14:paraId="5C2565B7"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32" w:type="dxa"/>
            <w:tcBorders>
              <w:top w:val="nil"/>
              <w:left w:val="nil"/>
              <w:bottom w:val="single" w:sz="4" w:space="0" w:color="auto"/>
              <w:right w:val="nil"/>
            </w:tcBorders>
            <w:shd w:val="clear" w:color="auto" w:fill="auto"/>
            <w:noWrap/>
            <w:vAlign w:val="center"/>
            <w:hideMark/>
          </w:tcPr>
          <w:p w14:paraId="21BBFD64"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50" w:type="dxa"/>
            <w:tcBorders>
              <w:top w:val="nil"/>
              <w:left w:val="nil"/>
              <w:bottom w:val="single" w:sz="4" w:space="0" w:color="auto"/>
              <w:right w:val="nil"/>
            </w:tcBorders>
            <w:shd w:val="clear" w:color="auto" w:fill="auto"/>
            <w:noWrap/>
            <w:vAlign w:val="bottom"/>
            <w:hideMark/>
          </w:tcPr>
          <w:p w14:paraId="43F4ABFC"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0.47 (0.01, 1.48)</w:t>
            </w:r>
          </w:p>
        </w:tc>
        <w:tc>
          <w:tcPr>
            <w:tcW w:w="1910" w:type="dxa"/>
            <w:tcBorders>
              <w:top w:val="nil"/>
              <w:left w:val="nil"/>
              <w:bottom w:val="single" w:sz="4" w:space="0" w:color="auto"/>
              <w:right w:val="nil"/>
            </w:tcBorders>
            <w:shd w:val="clear" w:color="auto" w:fill="auto"/>
            <w:noWrap/>
            <w:vAlign w:val="bottom"/>
            <w:hideMark/>
          </w:tcPr>
          <w:p w14:paraId="1C76C767"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0.14 (0.01, 0.95)</w:t>
            </w:r>
          </w:p>
        </w:tc>
      </w:tr>
      <w:tr w:rsidR="0095484B" w:rsidRPr="008476FB" w14:paraId="5CDAF46F" w14:textId="77777777" w:rsidTr="00D26CDB">
        <w:trPr>
          <w:trHeight w:val="301"/>
        </w:trPr>
        <w:tc>
          <w:tcPr>
            <w:tcW w:w="2312" w:type="dxa"/>
            <w:tcBorders>
              <w:top w:val="nil"/>
              <w:left w:val="nil"/>
              <w:bottom w:val="nil"/>
              <w:right w:val="nil"/>
            </w:tcBorders>
            <w:shd w:val="clear" w:color="auto" w:fill="auto"/>
            <w:noWrap/>
            <w:vAlign w:val="center"/>
            <w:hideMark/>
          </w:tcPr>
          <w:p w14:paraId="276F5B89"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QLD</w:t>
            </w:r>
          </w:p>
        </w:tc>
        <w:tc>
          <w:tcPr>
            <w:tcW w:w="2232" w:type="dxa"/>
            <w:tcBorders>
              <w:top w:val="nil"/>
              <w:left w:val="nil"/>
              <w:bottom w:val="nil"/>
              <w:right w:val="nil"/>
            </w:tcBorders>
            <w:shd w:val="clear" w:color="auto" w:fill="auto"/>
            <w:noWrap/>
            <w:vAlign w:val="center"/>
            <w:hideMark/>
          </w:tcPr>
          <w:p w14:paraId="76174F56"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50" w:type="dxa"/>
            <w:tcBorders>
              <w:top w:val="nil"/>
              <w:left w:val="nil"/>
              <w:bottom w:val="nil"/>
              <w:right w:val="nil"/>
            </w:tcBorders>
            <w:shd w:val="clear" w:color="auto" w:fill="auto"/>
            <w:noWrap/>
            <w:vAlign w:val="bottom"/>
            <w:hideMark/>
          </w:tcPr>
          <w:p w14:paraId="774B9BC3"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0.22 (0.02, 0.71)</w:t>
            </w:r>
          </w:p>
        </w:tc>
        <w:tc>
          <w:tcPr>
            <w:tcW w:w="1910" w:type="dxa"/>
            <w:tcBorders>
              <w:top w:val="nil"/>
              <w:left w:val="nil"/>
              <w:bottom w:val="nil"/>
              <w:right w:val="nil"/>
            </w:tcBorders>
            <w:shd w:val="clear" w:color="auto" w:fill="auto"/>
            <w:noWrap/>
            <w:vAlign w:val="bottom"/>
            <w:hideMark/>
          </w:tcPr>
          <w:p w14:paraId="2AA37C0E"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0.10 (0.02, 0.47)</w:t>
            </w:r>
          </w:p>
        </w:tc>
      </w:tr>
      <w:tr w:rsidR="0095484B" w:rsidRPr="008476FB" w14:paraId="01796B84" w14:textId="77777777" w:rsidTr="00D26CDB">
        <w:trPr>
          <w:trHeight w:val="301"/>
        </w:trPr>
        <w:tc>
          <w:tcPr>
            <w:tcW w:w="2312" w:type="dxa"/>
            <w:tcBorders>
              <w:top w:val="nil"/>
              <w:left w:val="nil"/>
              <w:bottom w:val="nil"/>
              <w:right w:val="nil"/>
            </w:tcBorders>
            <w:shd w:val="clear" w:color="auto" w:fill="auto"/>
            <w:noWrap/>
            <w:vAlign w:val="center"/>
            <w:hideMark/>
          </w:tcPr>
          <w:p w14:paraId="56E02DE0"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p>
        </w:tc>
        <w:tc>
          <w:tcPr>
            <w:tcW w:w="2232" w:type="dxa"/>
            <w:tcBorders>
              <w:top w:val="nil"/>
              <w:left w:val="nil"/>
              <w:bottom w:val="nil"/>
              <w:right w:val="nil"/>
            </w:tcBorders>
            <w:shd w:val="clear" w:color="auto" w:fill="auto"/>
            <w:noWrap/>
            <w:vAlign w:val="center"/>
            <w:hideMark/>
          </w:tcPr>
          <w:p w14:paraId="714CC543"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Antenatal screening</w:t>
            </w:r>
          </w:p>
        </w:tc>
        <w:tc>
          <w:tcPr>
            <w:tcW w:w="1950" w:type="dxa"/>
            <w:tcBorders>
              <w:top w:val="nil"/>
              <w:left w:val="nil"/>
              <w:bottom w:val="nil"/>
              <w:right w:val="nil"/>
            </w:tcBorders>
            <w:shd w:val="clear" w:color="auto" w:fill="auto"/>
            <w:noWrap/>
            <w:vAlign w:val="bottom"/>
            <w:hideMark/>
          </w:tcPr>
          <w:p w14:paraId="293881D8"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0.44 (0.02, 1.34)</w:t>
            </w:r>
          </w:p>
        </w:tc>
        <w:tc>
          <w:tcPr>
            <w:tcW w:w="1910" w:type="dxa"/>
            <w:tcBorders>
              <w:top w:val="nil"/>
              <w:left w:val="nil"/>
              <w:bottom w:val="nil"/>
              <w:right w:val="nil"/>
            </w:tcBorders>
            <w:shd w:val="clear" w:color="auto" w:fill="auto"/>
            <w:noWrap/>
            <w:vAlign w:val="bottom"/>
            <w:hideMark/>
          </w:tcPr>
          <w:p w14:paraId="77DA0186"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0.16 (0.02, 0.86)</w:t>
            </w:r>
          </w:p>
        </w:tc>
      </w:tr>
      <w:tr w:rsidR="0095484B" w:rsidRPr="008476FB" w14:paraId="5692A105" w14:textId="77777777" w:rsidTr="00D26CDB">
        <w:trPr>
          <w:trHeight w:val="301"/>
        </w:trPr>
        <w:tc>
          <w:tcPr>
            <w:tcW w:w="2312" w:type="dxa"/>
            <w:tcBorders>
              <w:top w:val="nil"/>
              <w:left w:val="nil"/>
              <w:bottom w:val="single" w:sz="4" w:space="0" w:color="auto"/>
              <w:right w:val="nil"/>
            </w:tcBorders>
            <w:shd w:val="clear" w:color="auto" w:fill="auto"/>
            <w:noWrap/>
            <w:vAlign w:val="center"/>
            <w:hideMark/>
          </w:tcPr>
          <w:p w14:paraId="2A1E67EB"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32" w:type="dxa"/>
            <w:tcBorders>
              <w:top w:val="nil"/>
              <w:left w:val="nil"/>
              <w:bottom w:val="single" w:sz="4" w:space="0" w:color="auto"/>
              <w:right w:val="nil"/>
            </w:tcBorders>
            <w:shd w:val="clear" w:color="auto" w:fill="auto"/>
            <w:noWrap/>
            <w:vAlign w:val="center"/>
            <w:hideMark/>
          </w:tcPr>
          <w:p w14:paraId="6B85685A"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50" w:type="dxa"/>
            <w:tcBorders>
              <w:top w:val="nil"/>
              <w:left w:val="nil"/>
              <w:bottom w:val="single" w:sz="4" w:space="0" w:color="auto"/>
              <w:right w:val="nil"/>
            </w:tcBorders>
            <w:shd w:val="clear" w:color="auto" w:fill="auto"/>
            <w:noWrap/>
            <w:vAlign w:val="bottom"/>
            <w:hideMark/>
          </w:tcPr>
          <w:p w14:paraId="7801430F"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0.84 (0.02, 2.09)</w:t>
            </w:r>
          </w:p>
        </w:tc>
        <w:tc>
          <w:tcPr>
            <w:tcW w:w="1910" w:type="dxa"/>
            <w:tcBorders>
              <w:top w:val="nil"/>
              <w:left w:val="nil"/>
              <w:bottom w:val="single" w:sz="4" w:space="0" w:color="auto"/>
              <w:right w:val="nil"/>
            </w:tcBorders>
            <w:shd w:val="clear" w:color="auto" w:fill="auto"/>
            <w:noWrap/>
            <w:vAlign w:val="bottom"/>
            <w:hideMark/>
          </w:tcPr>
          <w:p w14:paraId="63769081"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0.39 (0.02, 1.51)</w:t>
            </w:r>
          </w:p>
        </w:tc>
      </w:tr>
      <w:tr w:rsidR="0095484B" w:rsidRPr="008476FB" w14:paraId="715324CB" w14:textId="77777777" w:rsidTr="00D26CDB">
        <w:trPr>
          <w:trHeight w:val="301"/>
        </w:trPr>
        <w:tc>
          <w:tcPr>
            <w:tcW w:w="2312" w:type="dxa"/>
            <w:tcBorders>
              <w:top w:val="nil"/>
              <w:left w:val="nil"/>
              <w:bottom w:val="nil"/>
              <w:right w:val="nil"/>
            </w:tcBorders>
            <w:shd w:val="clear" w:color="auto" w:fill="auto"/>
            <w:noWrap/>
            <w:vAlign w:val="center"/>
            <w:hideMark/>
          </w:tcPr>
          <w:p w14:paraId="523815D5"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SA</w:t>
            </w:r>
          </w:p>
        </w:tc>
        <w:tc>
          <w:tcPr>
            <w:tcW w:w="2232" w:type="dxa"/>
            <w:tcBorders>
              <w:top w:val="nil"/>
              <w:left w:val="nil"/>
              <w:bottom w:val="nil"/>
              <w:right w:val="nil"/>
            </w:tcBorders>
            <w:shd w:val="clear" w:color="auto" w:fill="auto"/>
            <w:noWrap/>
            <w:vAlign w:val="center"/>
            <w:hideMark/>
          </w:tcPr>
          <w:p w14:paraId="4CAA5E20"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50" w:type="dxa"/>
            <w:tcBorders>
              <w:top w:val="nil"/>
              <w:left w:val="nil"/>
              <w:bottom w:val="nil"/>
              <w:right w:val="nil"/>
            </w:tcBorders>
            <w:shd w:val="clear" w:color="auto" w:fill="auto"/>
            <w:noWrap/>
            <w:vAlign w:val="bottom"/>
            <w:hideMark/>
          </w:tcPr>
          <w:p w14:paraId="3EE9D1FC"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0.34 (0.02, 1.20)</w:t>
            </w:r>
          </w:p>
        </w:tc>
        <w:tc>
          <w:tcPr>
            <w:tcW w:w="1910" w:type="dxa"/>
            <w:tcBorders>
              <w:top w:val="nil"/>
              <w:left w:val="nil"/>
              <w:bottom w:val="nil"/>
              <w:right w:val="nil"/>
            </w:tcBorders>
            <w:shd w:val="clear" w:color="auto" w:fill="auto"/>
            <w:noWrap/>
            <w:vAlign w:val="bottom"/>
            <w:hideMark/>
          </w:tcPr>
          <w:p w14:paraId="2B297AA7"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0.14 (0.02, 0.73)</w:t>
            </w:r>
          </w:p>
        </w:tc>
      </w:tr>
      <w:tr w:rsidR="0095484B" w:rsidRPr="008476FB" w14:paraId="7907ABAD" w14:textId="77777777" w:rsidTr="00D26CDB">
        <w:trPr>
          <w:trHeight w:val="301"/>
        </w:trPr>
        <w:tc>
          <w:tcPr>
            <w:tcW w:w="2312" w:type="dxa"/>
            <w:tcBorders>
              <w:top w:val="nil"/>
              <w:left w:val="nil"/>
              <w:bottom w:val="nil"/>
              <w:right w:val="nil"/>
            </w:tcBorders>
            <w:shd w:val="clear" w:color="auto" w:fill="auto"/>
            <w:noWrap/>
            <w:vAlign w:val="center"/>
            <w:hideMark/>
          </w:tcPr>
          <w:p w14:paraId="1DB76E91"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p>
        </w:tc>
        <w:tc>
          <w:tcPr>
            <w:tcW w:w="2232" w:type="dxa"/>
            <w:tcBorders>
              <w:top w:val="nil"/>
              <w:left w:val="nil"/>
              <w:bottom w:val="nil"/>
              <w:right w:val="nil"/>
            </w:tcBorders>
            <w:shd w:val="clear" w:color="auto" w:fill="auto"/>
            <w:noWrap/>
            <w:vAlign w:val="center"/>
            <w:hideMark/>
          </w:tcPr>
          <w:p w14:paraId="21197D08"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Antenatal screening</w:t>
            </w:r>
          </w:p>
        </w:tc>
        <w:tc>
          <w:tcPr>
            <w:tcW w:w="1950" w:type="dxa"/>
            <w:tcBorders>
              <w:top w:val="nil"/>
              <w:left w:val="nil"/>
              <w:bottom w:val="nil"/>
              <w:right w:val="nil"/>
            </w:tcBorders>
            <w:shd w:val="clear" w:color="auto" w:fill="auto"/>
            <w:noWrap/>
            <w:vAlign w:val="bottom"/>
            <w:hideMark/>
          </w:tcPr>
          <w:p w14:paraId="69DE52E7"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0.23 (0.02, 0.92)</w:t>
            </w:r>
          </w:p>
        </w:tc>
        <w:tc>
          <w:tcPr>
            <w:tcW w:w="1910" w:type="dxa"/>
            <w:tcBorders>
              <w:top w:val="nil"/>
              <w:left w:val="nil"/>
              <w:bottom w:val="nil"/>
              <w:right w:val="nil"/>
            </w:tcBorders>
            <w:shd w:val="clear" w:color="auto" w:fill="auto"/>
            <w:noWrap/>
            <w:vAlign w:val="bottom"/>
            <w:hideMark/>
          </w:tcPr>
          <w:p w14:paraId="111F4E33"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0.10 (0.02, 0.52)</w:t>
            </w:r>
          </w:p>
        </w:tc>
      </w:tr>
      <w:tr w:rsidR="0095484B" w:rsidRPr="008476FB" w14:paraId="51D8FE08" w14:textId="77777777" w:rsidTr="00D26CDB">
        <w:trPr>
          <w:trHeight w:val="301"/>
        </w:trPr>
        <w:tc>
          <w:tcPr>
            <w:tcW w:w="2312" w:type="dxa"/>
            <w:tcBorders>
              <w:top w:val="nil"/>
              <w:left w:val="nil"/>
              <w:bottom w:val="single" w:sz="4" w:space="0" w:color="auto"/>
              <w:right w:val="nil"/>
            </w:tcBorders>
            <w:shd w:val="clear" w:color="auto" w:fill="auto"/>
            <w:noWrap/>
            <w:vAlign w:val="center"/>
            <w:hideMark/>
          </w:tcPr>
          <w:p w14:paraId="3652120C"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32" w:type="dxa"/>
            <w:tcBorders>
              <w:top w:val="nil"/>
              <w:left w:val="nil"/>
              <w:bottom w:val="single" w:sz="4" w:space="0" w:color="auto"/>
              <w:right w:val="nil"/>
            </w:tcBorders>
            <w:shd w:val="clear" w:color="auto" w:fill="auto"/>
            <w:noWrap/>
            <w:vAlign w:val="center"/>
            <w:hideMark/>
          </w:tcPr>
          <w:p w14:paraId="058B1621"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50" w:type="dxa"/>
            <w:tcBorders>
              <w:top w:val="nil"/>
              <w:left w:val="nil"/>
              <w:bottom w:val="single" w:sz="4" w:space="0" w:color="auto"/>
              <w:right w:val="nil"/>
            </w:tcBorders>
            <w:shd w:val="clear" w:color="auto" w:fill="auto"/>
            <w:noWrap/>
            <w:vAlign w:val="bottom"/>
            <w:hideMark/>
          </w:tcPr>
          <w:p w14:paraId="43DC9334"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0.24 (0.02, 0.93)</w:t>
            </w:r>
          </w:p>
        </w:tc>
        <w:tc>
          <w:tcPr>
            <w:tcW w:w="1910" w:type="dxa"/>
            <w:tcBorders>
              <w:top w:val="nil"/>
              <w:left w:val="nil"/>
              <w:bottom w:val="single" w:sz="4" w:space="0" w:color="auto"/>
              <w:right w:val="nil"/>
            </w:tcBorders>
            <w:shd w:val="clear" w:color="auto" w:fill="auto"/>
            <w:noWrap/>
            <w:vAlign w:val="bottom"/>
            <w:hideMark/>
          </w:tcPr>
          <w:p w14:paraId="000819F8"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0.10 (0.02, 0.53)</w:t>
            </w:r>
          </w:p>
        </w:tc>
      </w:tr>
      <w:tr w:rsidR="0095484B" w:rsidRPr="008476FB" w14:paraId="03F2CB43" w14:textId="77777777" w:rsidTr="00D26CDB">
        <w:trPr>
          <w:trHeight w:val="301"/>
        </w:trPr>
        <w:tc>
          <w:tcPr>
            <w:tcW w:w="2312" w:type="dxa"/>
            <w:tcBorders>
              <w:top w:val="nil"/>
              <w:left w:val="nil"/>
              <w:bottom w:val="nil"/>
              <w:right w:val="nil"/>
            </w:tcBorders>
            <w:shd w:val="clear" w:color="auto" w:fill="auto"/>
            <w:noWrap/>
            <w:vAlign w:val="center"/>
            <w:hideMark/>
          </w:tcPr>
          <w:p w14:paraId="0C9668EE"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TAS</w:t>
            </w:r>
          </w:p>
        </w:tc>
        <w:tc>
          <w:tcPr>
            <w:tcW w:w="2232" w:type="dxa"/>
            <w:tcBorders>
              <w:top w:val="nil"/>
              <w:left w:val="nil"/>
              <w:bottom w:val="nil"/>
              <w:right w:val="nil"/>
            </w:tcBorders>
            <w:shd w:val="clear" w:color="auto" w:fill="auto"/>
            <w:noWrap/>
            <w:vAlign w:val="center"/>
            <w:hideMark/>
          </w:tcPr>
          <w:p w14:paraId="0144226B"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50" w:type="dxa"/>
            <w:tcBorders>
              <w:top w:val="nil"/>
              <w:left w:val="nil"/>
              <w:bottom w:val="nil"/>
              <w:right w:val="nil"/>
            </w:tcBorders>
            <w:shd w:val="clear" w:color="auto" w:fill="auto"/>
            <w:noWrap/>
            <w:vAlign w:val="bottom"/>
            <w:hideMark/>
          </w:tcPr>
          <w:p w14:paraId="2DE91FF0"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0.42 (0.04, 1.28)</w:t>
            </w:r>
          </w:p>
        </w:tc>
        <w:tc>
          <w:tcPr>
            <w:tcW w:w="1910" w:type="dxa"/>
            <w:tcBorders>
              <w:top w:val="nil"/>
              <w:left w:val="nil"/>
              <w:bottom w:val="nil"/>
              <w:right w:val="nil"/>
            </w:tcBorders>
            <w:shd w:val="clear" w:color="auto" w:fill="auto"/>
            <w:noWrap/>
            <w:vAlign w:val="bottom"/>
            <w:hideMark/>
          </w:tcPr>
          <w:p w14:paraId="637B1573"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0.19 (0.04, 0.87)</w:t>
            </w:r>
          </w:p>
        </w:tc>
      </w:tr>
      <w:tr w:rsidR="0095484B" w:rsidRPr="008476FB" w14:paraId="6DEC79C2" w14:textId="77777777" w:rsidTr="00D26CDB">
        <w:trPr>
          <w:trHeight w:val="301"/>
        </w:trPr>
        <w:tc>
          <w:tcPr>
            <w:tcW w:w="2312" w:type="dxa"/>
            <w:tcBorders>
              <w:top w:val="nil"/>
              <w:left w:val="nil"/>
              <w:bottom w:val="nil"/>
              <w:right w:val="nil"/>
            </w:tcBorders>
            <w:shd w:val="clear" w:color="auto" w:fill="auto"/>
            <w:noWrap/>
            <w:vAlign w:val="center"/>
            <w:hideMark/>
          </w:tcPr>
          <w:p w14:paraId="146C897B"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p>
        </w:tc>
        <w:tc>
          <w:tcPr>
            <w:tcW w:w="2232" w:type="dxa"/>
            <w:tcBorders>
              <w:top w:val="nil"/>
              <w:left w:val="nil"/>
              <w:bottom w:val="nil"/>
              <w:right w:val="nil"/>
            </w:tcBorders>
            <w:shd w:val="clear" w:color="auto" w:fill="auto"/>
            <w:noWrap/>
            <w:vAlign w:val="center"/>
            <w:hideMark/>
          </w:tcPr>
          <w:p w14:paraId="22E2F9BE"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Antenatal screening</w:t>
            </w:r>
          </w:p>
        </w:tc>
        <w:tc>
          <w:tcPr>
            <w:tcW w:w="1950" w:type="dxa"/>
            <w:tcBorders>
              <w:top w:val="nil"/>
              <w:left w:val="nil"/>
              <w:bottom w:val="nil"/>
              <w:right w:val="nil"/>
            </w:tcBorders>
            <w:shd w:val="clear" w:color="auto" w:fill="auto"/>
            <w:noWrap/>
            <w:vAlign w:val="bottom"/>
            <w:hideMark/>
          </w:tcPr>
          <w:p w14:paraId="7893C17E"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0.45 (0.04, 1.53)</w:t>
            </w:r>
          </w:p>
        </w:tc>
        <w:tc>
          <w:tcPr>
            <w:tcW w:w="1910" w:type="dxa"/>
            <w:tcBorders>
              <w:top w:val="nil"/>
              <w:left w:val="nil"/>
              <w:bottom w:val="nil"/>
              <w:right w:val="nil"/>
            </w:tcBorders>
            <w:shd w:val="clear" w:color="auto" w:fill="auto"/>
            <w:noWrap/>
            <w:vAlign w:val="bottom"/>
            <w:hideMark/>
          </w:tcPr>
          <w:p w14:paraId="5772E5F3"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0.19 (0.04, 0.96)</w:t>
            </w:r>
          </w:p>
        </w:tc>
      </w:tr>
      <w:tr w:rsidR="0095484B" w:rsidRPr="008476FB" w14:paraId="086E9E0E" w14:textId="77777777" w:rsidTr="00D26CDB">
        <w:trPr>
          <w:trHeight w:val="301"/>
        </w:trPr>
        <w:tc>
          <w:tcPr>
            <w:tcW w:w="2312" w:type="dxa"/>
            <w:tcBorders>
              <w:top w:val="nil"/>
              <w:left w:val="nil"/>
              <w:bottom w:val="single" w:sz="4" w:space="0" w:color="auto"/>
              <w:right w:val="nil"/>
            </w:tcBorders>
            <w:shd w:val="clear" w:color="auto" w:fill="auto"/>
            <w:noWrap/>
            <w:vAlign w:val="center"/>
            <w:hideMark/>
          </w:tcPr>
          <w:p w14:paraId="2408098E"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32" w:type="dxa"/>
            <w:tcBorders>
              <w:top w:val="nil"/>
              <w:left w:val="nil"/>
              <w:bottom w:val="single" w:sz="4" w:space="0" w:color="auto"/>
              <w:right w:val="nil"/>
            </w:tcBorders>
            <w:shd w:val="clear" w:color="auto" w:fill="auto"/>
            <w:noWrap/>
            <w:vAlign w:val="center"/>
            <w:hideMark/>
          </w:tcPr>
          <w:p w14:paraId="63634CA6"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50" w:type="dxa"/>
            <w:tcBorders>
              <w:top w:val="nil"/>
              <w:left w:val="nil"/>
              <w:bottom w:val="single" w:sz="4" w:space="0" w:color="auto"/>
              <w:right w:val="nil"/>
            </w:tcBorders>
            <w:shd w:val="clear" w:color="auto" w:fill="auto"/>
            <w:noWrap/>
            <w:vAlign w:val="bottom"/>
            <w:hideMark/>
          </w:tcPr>
          <w:p w14:paraId="738061C1"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0.77 (0.04, 2.08)</w:t>
            </w:r>
          </w:p>
        </w:tc>
        <w:tc>
          <w:tcPr>
            <w:tcW w:w="1910" w:type="dxa"/>
            <w:tcBorders>
              <w:top w:val="nil"/>
              <w:left w:val="nil"/>
              <w:bottom w:val="single" w:sz="4" w:space="0" w:color="auto"/>
              <w:right w:val="nil"/>
            </w:tcBorders>
            <w:shd w:val="clear" w:color="auto" w:fill="auto"/>
            <w:noWrap/>
            <w:vAlign w:val="bottom"/>
            <w:hideMark/>
          </w:tcPr>
          <w:p w14:paraId="1F332712"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0.36 (0.04, 1.44)</w:t>
            </w:r>
          </w:p>
        </w:tc>
      </w:tr>
      <w:tr w:rsidR="0095484B" w:rsidRPr="008476FB" w14:paraId="28709F6E" w14:textId="77777777" w:rsidTr="00D26CDB">
        <w:trPr>
          <w:trHeight w:val="301"/>
        </w:trPr>
        <w:tc>
          <w:tcPr>
            <w:tcW w:w="2312" w:type="dxa"/>
            <w:tcBorders>
              <w:top w:val="nil"/>
              <w:left w:val="nil"/>
              <w:bottom w:val="nil"/>
              <w:right w:val="nil"/>
            </w:tcBorders>
            <w:shd w:val="clear" w:color="auto" w:fill="auto"/>
            <w:noWrap/>
            <w:vAlign w:val="center"/>
            <w:hideMark/>
          </w:tcPr>
          <w:p w14:paraId="16B241A0"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VIC</w:t>
            </w:r>
          </w:p>
        </w:tc>
        <w:tc>
          <w:tcPr>
            <w:tcW w:w="2232" w:type="dxa"/>
            <w:tcBorders>
              <w:top w:val="nil"/>
              <w:left w:val="nil"/>
              <w:bottom w:val="nil"/>
              <w:right w:val="nil"/>
            </w:tcBorders>
            <w:shd w:val="clear" w:color="auto" w:fill="auto"/>
            <w:noWrap/>
            <w:vAlign w:val="center"/>
            <w:hideMark/>
          </w:tcPr>
          <w:p w14:paraId="4F8C55FD"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50" w:type="dxa"/>
            <w:tcBorders>
              <w:top w:val="nil"/>
              <w:left w:val="nil"/>
              <w:bottom w:val="nil"/>
              <w:right w:val="nil"/>
            </w:tcBorders>
            <w:shd w:val="clear" w:color="auto" w:fill="auto"/>
            <w:noWrap/>
            <w:vAlign w:val="bottom"/>
            <w:hideMark/>
          </w:tcPr>
          <w:p w14:paraId="55CBB3F5"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0.27 (0.03, 0.76)</w:t>
            </w:r>
          </w:p>
        </w:tc>
        <w:tc>
          <w:tcPr>
            <w:tcW w:w="1910" w:type="dxa"/>
            <w:tcBorders>
              <w:top w:val="nil"/>
              <w:left w:val="nil"/>
              <w:bottom w:val="nil"/>
              <w:right w:val="nil"/>
            </w:tcBorders>
            <w:shd w:val="clear" w:color="auto" w:fill="auto"/>
            <w:noWrap/>
            <w:vAlign w:val="bottom"/>
            <w:hideMark/>
          </w:tcPr>
          <w:p w14:paraId="02C3B12C"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0.14 (0.03, 0.55)</w:t>
            </w:r>
          </w:p>
        </w:tc>
      </w:tr>
      <w:tr w:rsidR="0095484B" w:rsidRPr="008476FB" w14:paraId="556E3EDE" w14:textId="77777777" w:rsidTr="00D26CDB">
        <w:trPr>
          <w:trHeight w:val="301"/>
        </w:trPr>
        <w:tc>
          <w:tcPr>
            <w:tcW w:w="2312" w:type="dxa"/>
            <w:tcBorders>
              <w:top w:val="nil"/>
              <w:left w:val="nil"/>
              <w:bottom w:val="nil"/>
              <w:right w:val="nil"/>
            </w:tcBorders>
            <w:shd w:val="clear" w:color="auto" w:fill="auto"/>
            <w:noWrap/>
            <w:vAlign w:val="center"/>
            <w:hideMark/>
          </w:tcPr>
          <w:p w14:paraId="03A10C85"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p>
        </w:tc>
        <w:tc>
          <w:tcPr>
            <w:tcW w:w="2232" w:type="dxa"/>
            <w:tcBorders>
              <w:top w:val="nil"/>
              <w:left w:val="nil"/>
              <w:bottom w:val="nil"/>
              <w:right w:val="nil"/>
            </w:tcBorders>
            <w:shd w:val="clear" w:color="auto" w:fill="auto"/>
            <w:noWrap/>
            <w:vAlign w:val="center"/>
            <w:hideMark/>
          </w:tcPr>
          <w:p w14:paraId="5469EE5B"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Antenatal screening</w:t>
            </w:r>
          </w:p>
        </w:tc>
        <w:tc>
          <w:tcPr>
            <w:tcW w:w="1950" w:type="dxa"/>
            <w:tcBorders>
              <w:top w:val="nil"/>
              <w:left w:val="nil"/>
              <w:bottom w:val="nil"/>
              <w:right w:val="nil"/>
            </w:tcBorders>
            <w:shd w:val="clear" w:color="auto" w:fill="auto"/>
            <w:noWrap/>
            <w:vAlign w:val="bottom"/>
            <w:hideMark/>
          </w:tcPr>
          <w:p w14:paraId="7EEA010E"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0.45 (0.04, 1.42)</w:t>
            </w:r>
          </w:p>
        </w:tc>
        <w:tc>
          <w:tcPr>
            <w:tcW w:w="1910" w:type="dxa"/>
            <w:tcBorders>
              <w:top w:val="nil"/>
              <w:left w:val="nil"/>
              <w:bottom w:val="nil"/>
              <w:right w:val="nil"/>
            </w:tcBorders>
            <w:shd w:val="clear" w:color="auto" w:fill="auto"/>
            <w:noWrap/>
            <w:vAlign w:val="bottom"/>
            <w:hideMark/>
          </w:tcPr>
          <w:p w14:paraId="72377AC8"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0.20 (0.04, 0.92)</w:t>
            </w:r>
          </w:p>
        </w:tc>
      </w:tr>
      <w:tr w:rsidR="0095484B" w:rsidRPr="008476FB" w14:paraId="79691529" w14:textId="77777777" w:rsidTr="00D26CDB">
        <w:trPr>
          <w:trHeight w:val="301"/>
        </w:trPr>
        <w:tc>
          <w:tcPr>
            <w:tcW w:w="2312" w:type="dxa"/>
            <w:tcBorders>
              <w:top w:val="nil"/>
              <w:left w:val="nil"/>
              <w:bottom w:val="single" w:sz="4" w:space="0" w:color="auto"/>
              <w:right w:val="nil"/>
            </w:tcBorders>
            <w:shd w:val="clear" w:color="auto" w:fill="auto"/>
            <w:noWrap/>
            <w:vAlign w:val="center"/>
            <w:hideMark/>
          </w:tcPr>
          <w:p w14:paraId="016EC05D"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32" w:type="dxa"/>
            <w:tcBorders>
              <w:top w:val="nil"/>
              <w:left w:val="nil"/>
              <w:bottom w:val="single" w:sz="4" w:space="0" w:color="auto"/>
              <w:right w:val="nil"/>
            </w:tcBorders>
            <w:shd w:val="clear" w:color="auto" w:fill="auto"/>
            <w:noWrap/>
            <w:vAlign w:val="center"/>
            <w:hideMark/>
          </w:tcPr>
          <w:p w14:paraId="10D670FA"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50" w:type="dxa"/>
            <w:tcBorders>
              <w:top w:val="nil"/>
              <w:left w:val="nil"/>
              <w:bottom w:val="single" w:sz="4" w:space="0" w:color="auto"/>
              <w:right w:val="nil"/>
            </w:tcBorders>
            <w:shd w:val="clear" w:color="auto" w:fill="auto"/>
            <w:noWrap/>
            <w:vAlign w:val="bottom"/>
            <w:hideMark/>
          </w:tcPr>
          <w:p w14:paraId="0DB8DB5A"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0.45 (0.03, 1.31)</w:t>
            </w:r>
          </w:p>
        </w:tc>
        <w:tc>
          <w:tcPr>
            <w:tcW w:w="1910" w:type="dxa"/>
            <w:tcBorders>
              <w:top w:val="nil"/>
              <w:left w:val="nil"/>
              <w:bottom w:val="single" w:sz="4" w:space="0" w:color="auto"/>
              <w:right w:val="nil"/>
            </w:tcBorders>
            <w:shd w:val="clear" w:color="auto" w:fill="auto"/>
            <w:noWrap/>
            <w:vAlign w:val="bottom"/>
            <w:hideMark/>
          </w:tcPr>
          <w:p w14:paraId="07C3B0FA"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0.20 (0.03, 0.89)</w:t>
            </w:r>
          </w:p>
        </w:tc>
      </w:tr>
      <w:tr w:rsidR="0095484B" w:rsidRPr="008476FB" w14:paraId="00EA5E74" w14:textId="77777777" w:rsidTr="00D26CDB">
        <w:trPr>
          <w:trHeight w:val="301"/>
        </w:trPr>
        <w:tc>
          <w:tcPr>
            <w:tcW w:w="2312" w:type="dxa"/>
            <w:tcBorders>
              <w:top w:val="nil"/>
              <w:left w:val="nil"/>
              <w:bottom w:val="nil"/>
              <w:right w:val="nil"/>
            </w:tcBorders>
            <w:shd w:val="clear" w:color="auto" w:fill="auto"/>
            <w:noWrap/>
            <w:vAlign w:val="center"/>
            <w:hideMark/>
          </w:tcPr>
          <w:p w14:paraId="4F5DC024"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WA</w:t>
            </w:r>
          </w:p>
        </w:tc>
        <w:tc>
          <w:tcPr>
            <w:tcW w:w="2232" w:type="dxa"/>
            <w:tcBorders>
              <w:top w:val="nil"/>
              <w:left w:val="nil"/>
              <w:bottom w:val="nil"/>
              <w:right w:val="nil"/>
            </w:tcBorders>
            <w:shd w:val="clear" w:color="auto" w:fill="auto"/>
            <w:noWrap/>
            <w:vAlign w:val="center"/>
            <w:hideMark/>
          </w:tcPr>
          <w:p w14:paraId="5AA0F912"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50" w:type="dxa"/>
            <w:tcBorders>
              <w:top w:val="nil"/>
              <w:left w:val="nil"/>
              <w:bottom w:val="nil"/>
              <w:right w:val="nil"/>
            </w:tcBorders>
            <w:shd w:val="clear" w:color="auto" w:fill="auto"/>
            <w:noWrap/>
            <w:vAlign w:val="bottom"/>
            <w:hideMark/>
          </w:tcPr>
          <w:p w14:paraId="6C801921"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0.67 (0.02, 1.82)</w:t>
            </w:r>
          </w:p>
        </w:tc>
        <w:tc>
          <w:tcPr>
            <w:tcW w:w="1910" w:type="dxa"/>
            <w:tcBorders>
              <w:top w:val="nil"/>
              <w:left w:val="nil"/>
              <w:bottom w:val="nil"/>
              <w:right w:val="nil"/>
            </w:tcBorders>
            <w:shd w:val="clear" w:color="auto" w:fill="auto"/>
            <w:noWrap/>
            <w:vAlign w:val="bottom"/>
            <w:hideMark/>
          </w:tcPr>
          <w:p w14:paraId="0950EEEB"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0.28 (0.02, 1.24)</w:t>
            </w:r>
          </w:p>
        </w:tc>
      </w:tr>
      <w:tr w:rsidR="0095484B" w:rsidRPr="008476FB" w14:paraId="1D41E62B" w14:textId="77777777" w:rsidTr="00D26CDB">
        <w:trPr>
          <w:trHeight w:val="301"/>
        </w:trPr>
        <w:tc>
          <w:tcPr>
            <w:tcW w:w="2312" w:type="dxa"/>
            <w:tcBorders>
              <w:top w:val="nil"/>
              <w:left w:val="nil"/>
              <w:bottom w:val="nil"/>
              <w:right w:val="nil"/>
            </w:tcBorders>
            <w:shd w:val="clear" w:color="auto" w:fill="auto"/>
            <w:noWrap/>
            <w:vAlign w:val="center"/>
            <w:hideMark/>
          </w:tcPr>
          <w:p w14:paraId="3A363AA5"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p>
        </w:tc>
        <w:tc>
          <w:tcPr>
            <w:tcW w:w="2232" w:type="dxa"/>
            <w:tcBorders>
              <w:top w:val="nil"/>
              <w:left w:val="nil"/>
              <w:bottom w:val="nil"/>
              <w:right w:val="nil"/>
            </w:tcBorders>
            <w:shd w:val="clear" w:color="auto" w:fill="auto"/>
            <w:noWrap/>
            <w:vAlign w:val="center"/>
            <w:hideMark/>
          </w:tcPr>
          <w:p w14:paraId="4D748FC1"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Antenatal screening</w:t>
            </w:r>
          </w:p>
        </w:tc>
        <w:tc>
          <w:tcPr>
            <w:tcW w:w="1950" w:type="dxa"/>
            <w:tcBorders>
              <w:top w:val="nil"/>
              <w:left w:val="nil"/>
              <w:bottom w:val="nil"/>
              <w:right w:val="nil"/>
            </w:tcBorders>
            <w:shd w:val="clear" w:color="auto" w:fill="auto"/>
            <w:noWrap/>
            <w:vAlign w:val="bottom"/>
            <w:hideMark/>
          </w:tcPr>
          <w:p w14:paraId="0BBBACD1"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0.22 (0.02, 0.89)</w:t>
            </w:r>
          </w:p>
        </w:tc>
        <w:tc>
          <w:tcPr>
            <w:tcW w:w="1910" w:type="dxa"/>
            <w:tcBorders>
              <w:top w:val="nil"/>
              <w:left w:val="nil"/>
              <w:bottom w:val="nil"/>
              <w:right w:val="nil"/>
            </w:tcBorders>
            <w:shd w:val="clear" w:color="auto" w:fill="auto"/>
            <w:noWrap/>
            <w:vAlign w:val="bottom"/>
            <w:hideMark/>
          </w:tcPr>
          <w:p w14:paraId="39E18F44"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0.09 (0.02, 0.50)</w:t>
            </w:r>
          </w:p>
        </w:tc>
      </w:tr>
      <w:tr w:rsidR="0095484B" w:rsidRPr="008476FB" w14:paraId="4C7E4EE2" w14:textId="77777777" w:rsidTr="00D26CDB">
        <w:trPr>
          <w:trHeight w:val="301"/>
        </w:trPr>
        <w:tc>
          <w:tcPr>
            <w:tcW w:w="2312" w:type="dxa"/>
            <w:tcBorders>
              <w:top w:val="nil"/>
              <w:left w:val="nil"/>
              <w:bottom w:val="single" w:sz="4" w:space="0" w:color="auto"/>
              <w:right w:val="nil"/>
            </w:tcBorders>
            <w:shd w:val="clear" w:color="auto" w:fill="auto"/>
            <w:noWrap/>
            <w:vAlign w:val="center"/>
            <w:hideMark/>
          </w:tcPr>
          <w:p w14:paraId="0427B786" w14:textId="77777777" w:rsidR="0095484B" w:rsidRPr="008476FB" w:rsidRDefault="0095484B" w:rsidP="0091620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32" w:type="dxa"/>
            <w:tcBorders>
              <w:top w:val="nil"/>
              <w:left w:val="nil"/>
              <w:bottom w:val="single" w:sz="4" w:space="0" w:color="auto"/>
              <w:right w:val="nil"/>
            </w:tcBorders>
            <w:shd w:val="clear" w:color="auto" w:fill="auto"/>
            <w:noWrap/>
            <w:vAlign w:val="center"/>
            <w:hideMark/>
          </w:tcPr>
          <w:p w14:paraId="02B83021"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50" w:type="dxa"/>
            <w:tcBorders>
              <w:top w:val="nil"/>
              <w:left w:val="nil"/>
              <w:bottom w:val="single" w:sz="4" w:space="0" w:color="auto"/>
              <w:right w:val="nil"/>
            </w:tcBorders>
            <w:shd w:val="clear" w:color="auto" w:fill="auto"/>
            <w:noWrap/>
            <w:vAlign w:val="bottom"/>
            <w:hideMark/>
          </w:tcPr>
          <w:p w14:paraId="6F1B080D"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1.25 (0.02, 2.72)</w:t>
            </w:r>
          </w:p>
        </w:tc>
        <w:tc>
          <w:tcPr>
            <w:tcW w:w="1910" w:type="dxa"/>
            <w:tcBorders>
              <w:top w:val="nil"/>
              <w:left w:val="nil"/>
              <w:bottom w:val="single" w:sz="4" w:space="0" w:color="auto"/>
              <w:right w:val="nil"/>
            </w:tcBorders>
            <w:shd w:val="clear" w:color="auto" w:fill="auto"/>
            <w:noWrap/>
            <w:vAlign w:val="bottom"/>
            <w:hideMark/>
          </w:tcPr>
          <w:p w14:paraId="7B10BF0D" w14:textId="77777777" w:rsidR="0095484B" w:rsidRPr="008476FB" w:rsidRDefault="0095484B" w:rsidP="0091620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0.73 (0.02, 2.14)</w:t>
            </w:r>
          </w:p>
        </w:tc>
      </w:tr>
    </w:tbl>
    <w:p w14:paraId="12B16F4A" w14:textId="713119BB" w:rsidR="0095484B" w:rsidRPr="008476FB" w:rsidRDefault="00916205" w:rsidP="0095484B">
      <w:pPr>
        <w:pStyle w:val="Caption"/>
        <w:rPr>
          <w:rFonts w:ascii="Times New Roman" w:eastAsiaTheme="majorEastAsia" w:hAnsi="Times New Roman" w:cs="Times New Roman"/>
          <w:b w:val="0"/>
          <w:bCs w:val="0"/>
          <w:i/>
          <w:iCs/>
          <w:color w:val="auto"/>
          <w:szCs w:val="24"/>
          <w:vertAlign w:val="superscript"/>
        </w:rPr>
      </w:pPr>
      <w:r w:rsidRPr="008476FB">
        <w:rPr>
          <w:rFonts w:ascii="Times New Roman" w:eastAsiaTheme="majorEastAsia" w:hAnsi="Times New Roman" w:cs="Times New Roman"/>
          <w:b w:val="0"/>
          <w:bCs w:val="0"/>
          <w:i/>
          <w:iCs/>
          <w:color w:val="auto"/>
          <w:szCs w:val="24"/>
          <w:vertAlign w:val="superscript"/>
        </w:rPr>
        <w:t>Abbreviations: CrI, Credible interval; NSW, New South Wales; VIC, Victoria; QLD, Queensland; WA, Western Australia; SA, South Australia; TAS, Tasmania; ACT, Australian Capital Territory; NT, Northern Territory;</w:t>
      </w:r>
    </w:p>
    <w:p w14:paraId="623F4916" w14:textId="77777777" w:rsidR="00176FC5" w:rsidRPr="008476FB" w:rsidRDefault="0095484B" w:rsidP="00916205">
      <w:pPr>
        <w:spacing w:line="360" w:lineRule="auto"/>
        <w:rPr>
          <w:rFonts w:ascii="Times New Roman" w:hAnsi="Times New Roman" w:cs="Times New Roman"/>
          <w:iCs/>
        </w:rPr>
      </w:pPr>
      <w:r w:rsidRPr="008476FB">
        <w:rPr>
          <w:rFonts w:ascii="Times New Roman" w:hAnsi="Times New Roman" w:cs="Times New Roman"/>
          <w:iCs/>
        </w:rPr>
        <w:br w:type="column"/>
      </w:r>
    </w:p>
    <w:p w14:paraId="6970FB1A" w14:textId="5F2B40E6" w:rsidR="0095484B" w:rsidRPr="008476FB" w:rsidRDefault="00916205" w:rsidP="00916205">
      <w:pPr>
        <w:spacing w:line="360" w:lineRule="auto"/>
        <w:rPr>
          <w:rFonts w:ascii="Times New Roman" w:hAnsi="Times New Roman" w:cs="Times New Roman"/>
        </w:rPr>
      </w:pPr>
      <w:r w:rsidRPr="008476FB">
        <w:rPr>
          <w:rFonts w:ascii="Times New Roman" w:hAnsi="Times New Roman" w:cs="Times New Roman"/>
          <w:b/>
        </w:rPr>
        <w:t>Supplementary Table 3</w:t>
      </w:r>
      <w:r w:rsidR="0095484B" w:rsidRPr="008476FB">
        <w:rPr>
          <w:rFonts w:ascii="Times New Roman" w:hAnsi="Times New Roman" w:cs="Times New Roman"/>
          <w:b/>
        </w:rPr>
        <w:t>: Estimated seroprevalence by age-group and collection</w:t>
      </w:r>
      <w:r w:rsidR="00176FC5" w:rsidRPr="008476FB">
        <w:rPr>
          <w:rFonts w:ascii="Times New Roman" w:hAnsi="Times New Roman" w:cs="Times New Roman"/>
          <w:b/>
        </w:rPr>
        <w:t xml:space="preserve"> population</w:t>
      </w:r>
      <w:r w:rsidR="0095484B" w:rsidRPr="008476FB">
        <w:rPr>
          <w:rFonts w:ascii="Times New Roman" w:hAnsi="Times New Roman" w:cs="Times New Roman"/>
          <w:b/>
        </w:rPr>
        <w:t xml:space="preserve"> for the primary and sensitivity analysis </w:t>
      </w:r>
    </w:p>
    <w:tbl>
      <w:tblPr>
        <w:tblW w:w="8360" w:type="dxa"/>
        <w:tblLook w:val="04A0" w:firstRow="1" w:lastRow="0" w:firstColumn="1" w:lastColumn="0" w:noHBand="0" w:noVBand="1"/>
      </w:tblPr>
      <w:tblGrid>
        <w:gridCol w:w="2300"/>
        <w:gridCol w:w="2220"/>
        <w:gridCol w:w="1940"/>
        <w:gridCol w:w="1900"/>
      </w:tblGrid>
      <w:tr w:rsidR="0095484B" w:rsidRPr="008476FB" w14:paraId="73A49E3A" w14:textId="77777777" w:rsidTr="004607ED">
        <w:trPr>
          <w:trHeight w:val="312"/>
        </w:trPr>
        <w:tc>
          <w:tcPr>
            <w:tcW w:w="2300" w:type="dxa"/>
            <w:tcBorders>
              <w:top w:val="single" w:sz="8" w:space="0" w:color="auto"/>
              <w:left w:val="nil"/>
              <w:bottom w:val="nil"/>
              <w:right w:val="nil"/>
            </w:tcBorders>
            <w:shd w:val="clear" w:color="auto" w:fill="auto"/>
            <w:noWrap/>
            <w:vAlign w:val="center"/>
            <w:hideMark/>
          </w:tcPr>
          <w:p w14:paraId="2E5E0810" w14:textId="77777777" w:rsidR="0095484B" w:rsidRPr="008476FB" w:rsidRDefault="0095484B" w:rsidP="00176FC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Demographic group</w:t>
            </w:r>
          </w:p>
        </w:tc>
        <w:tc>
          <w:tcPr>
            <w:tcW w:w="2220" w:type="dxa"/>
            <w:tcBorders>
              <w:top w:val="single" w:sz="8" w:space="0" w:color="auto"/>
              <w:left w:val="nil"/>
              <w:bottom w:val="nil"/>
              <w:right w:val="nil"/>
            </w:tcBorders>
            <w:shd w:val="clear" w:color="auto" w:fill="auto"/>
            <w:noWrap/>
            <w:vAlign w:val="center"/>
            <w:hideMark/>
          </w:tcPr>
          <w:p w14:paraId="68680BB3" w14:textId="77777777" w:rsidR="0095484B" w:rsidRPr="008476FB" w:rsidRDefault="0095484B" w:rsidP="00176FC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Collection</w:t>
            </w:r>
          </w:p>
        </w:tc>
        <w:tc>
          <w:tcPr>
            <w:tcW w:w="1940" w:type="dxa"/>
            <w:tcBorders>
              <w:top w:val="single" w:sz="4" w:space="0" w:color="auto"/>
              <w:left w:val="nil"/>
              <w:bottom w:val="nil"/>
              <w:right w:val="nil"/>
            </w:tcBorders>
            <w:shd w:val="clear" w:color="auto" w:fill="auto"/>
            <w:noWrap/>
            <w:vAlign w:val="center"/>
            <w:hideMark/>
          </w:tcPr>
          <w:p w14:paraId="7A95D393" w14:textId="77777777" w:rsidR="0095484B" w:rsidRPr="008476FB" w:rsidRDefault="0095484B" w:rsidP="00176FC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xml:space="preserve">Primary analysis </w:t>
            </w:r>
          </w:p>
        </w:tc>
        <w:tc>
          <w:tcPr>
            <w:tcW w:w="1900" w:type="dxa"/>
            <w:tcBorders>
              <w:top w:val="single" w:sz="4" w:space="0" w:color="auto"/>
              <w:left w:val="nil"/>
              <w:bottom w:val="nil"/>
              <w:right w:val="nil"/>
            </w:tcBorders>
            <w:shd w:val="clear" w:color="auto" w:fill="auto"/>
            <w:noWrap/>
            <w:vAlign w:val="center"/>
            <w:hideMark/>
          </w:tcPr>
          <w:p w14:paraId="60E2B0C7" w14:textId="77777777" w:rsidR="0095484B" w:rsidRPr="008476FB" w:rsidRDefault="0095484B" w:rsidP="00176FC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xml:space="preserve">Sensitivity analysis </w:t>
            </w:r>
          </w:p>
        </w:tc>
      </w:tr>
      <w:tr w:rsidR="0095484B" w:rsidRPr="008476FB" w14:paraId="024D6A45" w14:textId="77777777" w:rsidTr="004607ED">
        <w:trPr>
          <w:trHeight w:val="324"/>
        </w:trPr>
        <w:tc>
          <w:tcPr>
            <w:tcW w:w="2300" w:type="dxa"/>
            <w:tcBorders>
              <w:top w:val="nil"/>
              <w:left w:val="nil"/>
              <w:bottom w:val="single" w:sz="8" w:space="0" w:color="auto"/>
              <w:right w:val="nil"/>
            </w:tcBorders>
            <w:shd w:val="clear" w:color="auto" w:fill="auto"/>
            <w:noWrap/>
            <w:vAlign w:val="center"/>
            <w:hideMark/>
          </w:tcPr>
          <w:p w14:paraId="0D571268" w14:textId="77777777" w:rsidR="0095484B" w:rsidRPr="008476FB" w:rsidRDefault="0095484B" w:rsidP="00176FC5">
            <w:pPr>
              <w:spacing w:line="36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20" w:type="dxa"/>
            <w:tcBorders>
              <w:top w:val="nil"/>
              <w:left w:val="nil"/>
              <w:bottom w:val="single" w:sz="8" w:space="0" w:color="auto"/>
              <w:right w:val="nil"/>
            </w:tcBorders>
            <w:shd w:val="clear" w:color="auto" w:fill="auto"/>
            <w:noWrap/>
            <w:vAlign w:val="center"/>
            <w:hideMark/>
          </w:tcPr>
          <w:p w14:paraId="6069D2A8" w14:textId="77777777" w:rsidR="0095484B" w:rsidRPr="008476FB" w:rsidRDefault="0095484B" w:rsidP="00176FC5">
            <w:pPr>
              <w:spacing w:line="36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1940" w:type="dxa"/>
            <w:tcBorders>
              <w:left w:val="nil"/>
              <w:bottom w:val="single" w:sz="4" w:space="0" w:color="auto"/>
              <w:right w:val="nil"/>
            </w:tcBorders>
            <w:shd w:val="clear" w:color="auto" w:fill="auto"/>
            <w:noWrap/>
            <w:vAlign w:val="center"/>
            <w:hideMark/>
          </w:tcPr>
          <w:p w14:paraId="56C35DAF" w14:textId="77777777" w:rsidR="0095484B" w:rsidRPr="008476FB" w:rsidRDefault="0095484B" w:rsidP="00176FC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(95% CrI)</w:t>
            </w:r>
          </w:p>
        </w:tc>
        <w:tc>
          <w:tcPr>
            <w:tcW w:w="1900" w:type="dxa"/>
            <w:tcBorders>
              <w:left w:val="nil"/>
              <w:bottom w:val="single" w:sz="4" w:space="0" w:color="auto"/>
              <w:right w:val="nil"/>
            </w:tcBorders>
            <w:shd w:val="clear" w:color="auto" w:fill="auto"/>
            <w:noWrap/>
            <w:vAlign w:val="center"/>
            <w:hideMark/>
          </w:tcPr>
          <w:p w14:paraId="1FEDD692" w14:textId="77777777" w:rsidR="0095484B" w:rsidRPr="008476FB" w:rsidRDefault="0095484B" w:rsidP="00176FC5">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(95% CrI)</w:t>
            </w:r>
          </w:p>
        </w:tc>
      </w:tr>
      <w:tr w:rsidR="0095484B" w:rsidRPr="008476FB" w14:paraId="349D68BF" w14:textId="77777777" w:rsidTr="004607ED">
        <w:trPr>
          <w:trHeight w:val="143"/>
        </w:trPr>
        <w:tc>
          <w:tcPr>
            <w:tcW w:w="2300" w:type="dxa"/>
            <w:tcBorders>
              <w:top w:val="nil"/>
              <w:left w:val="nil"/>
              <w:bottom w:val="single" w:sz="4" w:space="0" w:color="auto"/>
              <w:right w:val="nil"/>
            </w:tcBorders>
            <w:shd w:val="clear" w:color="000000" w:fill="F2F2F2"/>
            <w:noWrap/>
            <w:vAlign w:val="center"/>
            <w:hideMark/>
          </w:tcPr>
          <w:p w14:paraId="6EF29AA0" w14:textId="77777777" w:rsidR="0095484B" w:rsidRPr="008476FB" w:rsidRDefault="0095484B" w:rsidP="00176FC5">
            <w:pPr>
              <w:spacing w:line="36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Overall</w:t>
            </w:r>
          </w:p>
        </w:tc>
        <w:tc>
          <w:tcPr>
            <w:tcW w:w="2220" w:type="dxa"/>
            <w:tcBorders>
              <w:top w:val="nil"/>
              <w:left w:val="nil"/>
              <w:bottom w:val="single" w:sz="4" w:space="0" w:color="auto"/>
              <w:right w:val="nil"/>
            </w:tcBorders>
            <w:shd w:val="clear" w:color="000000" w:fill="F2F2F2"/>
            <w:noWrap/>
            <w:vAlign w:val="center"/>
            <w:hideMark/>
          </w:tcPr>
          <w:p w14:paraId="6C22E9DB" w14:textId="77777777" w:rsidR="0095484B" w:rsidRPr="008476FB" w:rsidRDefault="0095484B" w:rsidP="00176FC5">
            <w:pPr>
              <w:spacing w:line="48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1940" w:type="dxa"/>
            <w:tcBorders>
              <w:top w:val="single" w:sz="4" w:space="0" w:color="auto"/>
              <w:left w:val="nil"/>
              <w:bottom w:val="single" w:sz="4" w:space="0" w:color="auto"/>
              <w:right w:val="nil"/>
            </w:tcBorders>
            <w:shd w:val="clear" w:color="000000" w:fill="F2F2F2"/>
            <w:noWrap/>
            <w:vAlign w:val="center"/>
            <w:hideMark/>
          </w:tcPr>
          <w:p w14:paraId="12725F89" w14:textId="77777777" w:rsidR="0095484B" w:rsidRPr="008476FB" w:rsidRDefault="0095484B" w:rsidP="00176FC5">
            <w:pPr>
              <w:spacing w:line="48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1900" w:type="dxa"/>
            <w:tcBorders>
              <w:top w:val="single" w:sz="4" w:space="0" w:color="auto"/>
              <w:left w:val="nil"/>
              <w:bottom w:val="single" w:sz="4" w:space="0" w:color="auto"/>
              <w:right w:val="nil"/>
            </w:tcBorders>
            <w:shd w:val="clear" w:color="000000" w:fill="F2F2F2"/>
            <w:vAlign w:val="center"/>
            <w:hideMark/>
          </w:tcPr>
          <w:p w14:paraId="48C7D0AD" w14:textId="77777777" w:rsidR="0095484B" w:rsidRPr="008476FB" w:rsidRDefault="0095484B" w:rsidP="00176FC5">
            <w:pPr>
              <w:spacing w:line="48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r>
      <w:tr w:rsidR="0095484B" w:rsidRPr="008476FB" w14:paraId="62937264" w14:textId="77777777" w:rsidTr="00D26CDB">
        <w:trPr>
          <w:trHeight w:val="312"/>
        </w:trPr>
        <w:tc>
          <w:tcPr>
            <w:tcW w:w="2300" w:type="dxa"/>
            <w:tcBorders>
              <w:top w:val="nil"/>
              <w:left w:val="nil"/>
              <w:bottom w:val="single" w:sz="4" w:space="0" w:color="auto"/>
              <w:right w:val="nil"/>
            </w:tcBorders>
            <w:shd w:val="clear" w:color="auto" w:fill="auto"/>
            <w:noWrap/>
            <w:vAlign w:val="center"/>
            <w:hideMark/>
          </w:tcPr>
          <w:p w14:paraId="15C83072"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All ages</w:t>
            </w:r>
          </w:p>
        </w:tc>
        <w:tc>
          <w:tcPr>
            <w:tcW w:w="2220" w:type="dxa"/>
            <w:tcBorders>
              <w:top w:val="nil"/>
              <w:left w:val="nil"/>
              <w:bottom w:val="single" w:sz="4" w:space="0" w:color="auto"/>
              <w:right w:val="nil"/>
            </w:tcBorders>
            <w:shd w:val="clear" w:color="auto" w:fill="auto"/>
            <w:noWrap/>
            <w:vAlign w:val="center"/>
            <w:hideMark/>
          </w:tcPr>
          <w:p w14:paraId="3BF73CB6"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General pathology</w:t>
            </w:r>
          </w:p>
        </w:tc>
        <w:tc>
          <w:tcPr>
            <w:tcW w:w="1940" w:type="dxa"/>
            <w:tcBorders>
              <w:top w:val="nil"/>
              <w:left w:val="nil"/>
              <w:bottom w:val="single" w:sz="4" w:space="0" w:color="auto"/>
              <w:right w:val="nil"/>
            </w:tcBorders>
            <w:shd w:val="clear" w:color="auto" w:fill="auto"/>
            <w:noWrap/>
            <w:vAlign w:val="bottom"/>
            <w:hideMark/>
          </w:tcPr>
          <w:p w14:paraId="16E0EDE8"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0.25 (0.03, 0.54)</w:t>
            </w:r>
          </w:p>
        </w:tc>
        <w:tc>
          <w:tcPr>
            <w:tcW w:w="1900" w:type="dxa"/>
            <w:tcBorders>
              <w:top w:val="nil"/>
              <w:left w:val="nil"/>
              <w:bottom w:val="single" w:sz="4" w:space="0" w:color="auto"/>
              <w:right w:val="nil"/>
            </w:tcBorders>
            <w:shd w:val="clear" w:color="auto" w:fill="auto"/>
            <w:noWrap/>
            <w:vAlign w:val="bottom"/>
            <w:hideMark/>
          </w:tcPr>
          <w:p w14:paraId="4E13A450"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0.15 (0.03, 0.45)</w:t>
            </w:r>
          </w:p>
        </w:tc>
      </w:tr>
      <w:tr w:rsidR="0095484B" w:rsidRPr="008476FB" w14:paraId="7A4BB380" w14:textId="77777777" w:rsidTr="00D26CDB">
        <w:trPr>
          <w:trHeight w:val="312"/>
        </w:trPr>
        <w:tc>
          <w:tcPr>
            <w:tcW w:w="2300" w:type="dxa"/>
            <w:tcBorders>
              <w:top w:val="nil"/>
              <w:left w:val="nil"/>
              <w:bottom w:val="nil"/>
              <w:right w:val="nil"/>
            </w:tcBorders>
            <w:shd w:val="clear" w:color="auto" w:fill="auto"/>
            <w:noWrap/>
            <w:vAlign w:val="center"/>
            <w:hideMark/>
          </w:tcPr>
          <w:p w14:paraId="4D9864A8"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20-69 years</w:t>
            </w:r>
          </w:p>
        </w:tc>
        <w:tc>
          <w:tcPr>
            <w:tcW w:w="2220" w:type="dxa"/>
            <w:tcBorders>
              <w:top w:val="nil"/>
              <w:left w:val="nil"/>
              <w:bottom w:val="nil"/>
              <w:right w:val="nil"/>
            </w:tcBorders>
            <w:shd w:val="clear" w:color="auto" w:fill="auto"/>
            <w:noWrap/>
            <w:vAlign w:val="center"/>
            <w:hideMark/>
          </w:tcPr>
          <w:p w14:paraId="6A5A644F"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Blood donors</w:t>
            </w:r>
          </w:p>
        </w:tc>
        <w:tc>
          <w:tcPr>
            <w:tcW w:w="1940" w:type="dxa"/>
            <w:tcBorders>
              <w:top w:val="nil"/>
              <w:left w:val="nil"/>
              <w:bottom w:val="nil"/>
              <w:right w:val="nil"/>
            </w:tcBorders>
            <w:shd w:val="clear" w:color="auto" w:fill="auto"/>
            <w:noWrap/>
            <w:vAlign w:val="bottom"/>
            <w:hideMark/>
          </w:tcPr>
          <w:p w14:paraId="28C71E64"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0.47 (0.04, 0.89)</w:t>
            </w:r>
          </w:p>
        </w:tc>
        <w:tc>
          <w:tcPr>
            <w:tcW w:w="1900" w:type="dxa"/>
            <w:tcBorders>
              <w:top w:val="nil"/>
              <w:left w:val="nil"/>
              <w:bottom w:val="nil"/>
              <w:right w:val="nil"/>
            </w:tcBorders>
            <w:shd w:val="clear" w:color="auto" w:fill="auto"/>
            <w:noWrap/>
            <w:vAlign w:val="bottom"/>
            <w:hideMark/>
          </w:tcPr>
          <w:p w14:paraId="79E5A72F"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0.31 (0.04, 0.78)</w:t>
            </w:r>
          </w:p>
        </w:tc>
      </w:tr>
      <w:tr w:rsidR="0095484B" w:rsidRPr="008476FB" w14:paraId="34582C23" w14:textId="77777777" w:rsidTr="00D26CDB">
        <w:trPr>
          <w:trHeight w:val="312"/>
        </w:trPr>
        <w:tc>
          <w:tcPr>
            <w:tcW w:w="2300" w:type="dxa"/>
            <w:tcBorders>
              <w:top w:val="nil"/>
              <w:left w:val="nil"/>
              <w:bottom w:val="single" w:sz="4" w:space="0" w:color="auto"/>
              <w:right w:val="nil"/>
            </w:tcBorders>
            <w:shd w:val="clear" w:color="auto" w:fill="auto"/>
            <w:noWrap/>
            <w:vAlign w:val="bottom"/>
            <w:hideMark/>
          </w:tcPr>
          <w:p w14:paraId="45323866"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 </w:t>
            </w:r>
          </w:p>
        </w:tc>
        <w:tc>
          <w:tcPr>
            <w:tcW w:w="2220" w:type="dxa"/>
            <w:tcBorders>
              <w:top w:val="nil"/>
              <w:left w:val="nil"/>
              <w:bottom w:val="single" w:sz="4" w:space="0" w:color="auto"/>
              <w:right w:val="nil"/>
            </w:tcBorders>
            <w:shd w:val="clear" w:color="auto" w:fill="auto"/>
            <w:noWrap/>
            <w:vAlign w:val="bottom"/>
            <w:hideMark/>
          </w:tcPr>
          <w:p w14:paraId="32AA877C"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single" w:sz="4" w:space="0" w:color="auto"/>
              <w:right w:val="nil"/>
            </w:tcBorders>
            <w:shd w:val="clear" w:color="auto" w:fill="auto"/>
            <w:noWrap/>
            <w:vAlign w:val="bottom"/>
            <w:hideMark/>
          </w:tcPr>
          <w:p w14:paraId="531C5F23"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0.25 (0.04, 0.57)</w:t>
            </w:r>
          </w:p>
        </w:tc>
        <w:tc>
          <w:tcPr>
            <w:tcW w:w="1900" w:type="dxa"/>
            <w:tcBorders>
              <w:top w:val="nil"/>
              <w:left w:val="nil"/>
              <w:bottom w:val="single" w:sz="4" w:space="0" w:color="auto"/>
              <w:right w:val="nil"/>
            </w:tcBorders>
            <w:shd w:val="clear" w:color="auto" w:fill="auto"/>
            <w:noWrap/>
            <w:vAlign w:val="bottom"/>
            <w:hideMark/>
          </w:tcPr>
          <w:p w14:paraId="027A994F"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0.15 (0.04, 0.46)</w:t>
            </w:r>
          </w:p>
        </w:tc>
      </w:tr>
      <w:tr w:rsidR="0095484B" w:rsidRPr="008476FB" w14:paraId="090B42BB" w14:textId="77777777" w:rsidTr="00D26CDB">
        <w:trPr>
          <w:trHeight w:val="312"/>
        </w:trPr>
        <w:tc>
          <w:tcPr>
            <w:tcW w:w="2300" w:type="dxa"/>
            <w:tcBorders>
              <w:top w:val="nil"/>
              <w:left w:val="nil"/>
              <w:bottom w:val="nil"/>
              <w:right w:val="nil"/>
            </w:tcBorders>
            <w:shd w:val="clear" w:color="auto" w:fill="auto"/>
            <w:noWrap/>
            <w:vAlign w:val="center"/>
            <w:hideMark/>
          </w:tcPr>
          <w:p w14:paraId="35A21CA6"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20-39 years</w:t>
            </w:r>
          </w:p>
        </w:tc>
        <w:tc>
          <w:tcPr>
            <w:tcW w:w="2220" w:type="dxa"/>
            <w:tcBorders>
              <w:top w:val="nil"/>
              <w:left w:val="nil"/>
              <w:bottom w:val="nil"/>
              <w:right w:val="nil"/>
            </w:tcBorders>
            <w:shd w:val="clear" w:color="auto" w:fill="auto"/>
            <w:noWrap/>
            <w:vAlign w:val="center"/>
            <w:hideMark/>
          </w:tcPr>
          <w:p w14:paraId="2731E64C"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Antenatal screening</w:t>
            </w:r>
          </w:p>
        </w:tc>
        <w:tc>
          <w:tcPr>
            <w:tcW w:w="1940" w:type="dxa"/>
            <w:tcBorders>
              <w:top w:val="nil"/>
              <w:left w:val="nil"/>
              <w:bottom w:val="nil"/>
              <w:right w:val="nil"/>
            </w:tcBorders>
            <w:shd w:val="clear" w:color="auto" w:fill="auto"/>
            <w:noWrap/>
            <w:vAlign w:val="bottom"/>
            <w:hideMark/>
          </w:tcPr>
          <w:p w14:paraId="405CAADB"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0.23 (0.04, 0.54)</w:t>
            </w:r>
          </w:p>
        </w:tc>
        <w:tc>
          <w:tcPr>
            <w:tcW w:w="1900" w:type="dxa"/>
            <w:tcBorders>
              <w:top w:val="nil"/>
              <w:left w:val="nil"/>
              <w:bottom w:val="nil"/>
              <w:right w:val="nil"/>
            </w:tcBorders>
            <w:shd w:val="clear" w:color="auto" w:fill="auto"/>
            <w:noWrap/>
            <w:vAlign w:val="bottom"/>
            <w:hideMark/>
          </w:tcPr>
          <w:p w14:paraId="3E1364B5"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0.14 (0.04, 0.44)</w:t>
            </w:r>
          </w:p>
        </w:tc>
      </w:tr>
      <w:tr w:rsidR="0095484B" w:rsidRPr="008476FB" w14:paraId="5D32854A" w14:textId="77777777" w:rsidTr="00D26CDB">
        <w:trPr>
          <w:trHeight w:val="312"/>
        </w:trPr>
        <w:tc>
          <w:tcPr>
            <w:tcW w:w="2300" w:type="dxa"/>
            <w:tcBorders>
              <w:top w:val="nil"/>
              <w:left w:val="nil"/>
              <w:bottom w:val="nil"/>
              <w:right w:val="nil"/>
            </w:tcBorders>
            <w:shd w:val="clear" w:color="auto" w:fill="auto"/>
            <w:noWrap/>
            <w:vAlign w:val="bottom"/>
            <w:hideMark/>
          </w:tcPr>
          <w:p w14:paraId="100BC4A5"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p>
        </w:tc>
        <w:tc>
          <w:tcPr>
            <w:tcW w:w="2220" w:type="dxa"/>
            <w:tcBorders>
              <w:top w:val="nil"/>
              <w:left w:val="nil"/>
              <w:bottom w:val="nil"/>
              <w:right w:val="nil"/>
            </w:tcBorders>
            <w:shd w:val="clear" w:color="auto" w:fill="auto"/>
            <w:noWrap/>
            <w:vAlign w:val="center"/>
            <w:hideMark/>
          </w:tcPr>
          <w:p w14:paraId="2E83B713"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nil"/>
              <w:right w:val="nil"/>
            </w:tcBorders>
            <w:shd w:val="clear" w:color="auto" w:fill="auto"/>
            <w:noWrap/>
            <w:vAlign w:val="bottom"/>
            <w:hideMark/>
          </w:tcPr>
          <w:p w14:paraId="0E13122C"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0.33 (0.04, 0.83)</w:t>
            </w:r>
          </w:p>
        </w:tc>
        <w:tc>
          <w:tcPr>
            <w:tcW w:w="1900" w:type="dxa"/>
            <w:tcBorders>
              <w:top w:val="nil"/>
              <w:left w:val="nil"/>
              <w:bottom w:val="nil"/>
              <w:right w:val="nil"/>
            </w:tcBorders>
            <w:shd w:val="clear" w:color="auto" w:fill="auto"/>
            <w:noWrap/>
            <w:vAlign w:val="bottom"/>
            <w:hideMark/>
          </w:tcPr>
          <w:p w14:paraId="0CACD34A"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0.18 (0.04, 0.65)</w:t>
            </w:r>
          </w:p>
        </w:tc>
      </w:tr>
      <w:tr w:rsidR="0095484B" w:rsidRPr="008476FB" w14:paraId="415E662E" w14:textId="77777777" w:rsidTr="00D26CDB">
        <w:trPr>
          <w:trHeight w:val="312"/>
        </w:trPr>
        <w:tc>
          <w:tcPr>
            <w:tcW w:w="2300" w:type="dxa"/>
            <w:tcBorders>
              <w:top w:val="nil"/>
              <w:left w:val="nil"/>
              <w:bottom w:val="single" w:sz="4" w:space="0" w:color="auto"/>
              <w:right w:val="nil"/>
            </w:tcBorders>
            <w:shd w:val="clear" w:color="auto" w:fill="auto"/>
            <w:noWrap/>
            <w:vAlign w:val="bottom"/>
            <w:hideMark/>
          </w:tcPr>
          <w:p w14:paraId="763045B1"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 </w:t>
            </w:r>
          </w:p>
        </w:tc>
        <w:tc>
          <w:tcPr>
            <w:tcW w:w="2220" w:type="dxa"/>
            <w:tcBorders>
              <w:top w:val="nil"/>
              <w:left w:val="nil"/>
              <w:bottom w:val="single" w:sz="4" w:space="0" w:color="auto"/>
              <w:right w:val="nil"/>
            </w:tcBorders>
            <w:shd w:val="clear" w:color="auto" w:fill="auto"/>
            <w:noWrap/>
            <w:vAlign w:val="center"/>
            <w:hideMark/>
          </w:tcPr>
          <w:p w14:paraId="34EE8107"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40" w:type="dxa"/>
            <w:tcBorders>
              <w:top w:val="nil"/>
              <w:left w:val="nil"/>
              <w:bottom w:val="single" w:sz="4" w:space="0" w:color="auto"/>
              <w:right w:val="nil"/>
            </w:tcBorders>
            <w:shd w:val="clear" w:color="auto" w:fill="auto"/>
            <w:noWrap/>
            <w:vAlign w:val="bottom"/>
            <w:hideMark/>
          </w:tcPr>
          <w:p w14:paraId="3CD8A869"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0.39 (0.04, 0.93)</w:t>
            </w:r>
          </w:p>
        </w:tc>
        <w:tc>
          <w:tcPr>
            <w:tcW w:w="1900" w:type="dxa"/>
            <w:tcBorders>
              <w:top w:val="nil"/>
              <w:left w:val="nil"/>
              <w:bottom w:val="single" w:sz="4" w:space="0" w:color="auto"/>
              <w:right w:val="nil"/>
            </w:tcBorders>
            <w:shd w:val="clear" w:color="auto" w:fill="auto"/>
            <w:noWrap/>
            <w:vAlign w:val="bottom"/>
            <w:hideMark/>
          </w:tcPr>
          <w:p w14:paraId="5EC186D4"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0.22 (0.04, 0.74)</w:t>
            </w:r>
          </w:p>
        </w:tc>
      </w:tr>
      <w:tr w:rsidR="0095484B" w:rsidRPr="008476FB" w14:paraId="10FE05DF" w14:textId="77777777" w:rsidTr="00176FC5">
        <w:trPr>
          <w:trHeight w:val="79"/>
        </w:trPr>
        <w:tc>
          <w:tcPr>
            <w:tcW w:w="2300" w:type="dxa"/>
            <w:tcBorders>
              <w:top w:val="nil"/>
              <w:left w:val="nil"/>
              <w:bottom w:val="single" w:sz="4" w:space="0" w:color="auto"/>
              <w:right w:val="nil"/>
            </w:tcBorders>
            <w:shd w:val="clear" w:color="000000" w:fill="F2F2F2"/>
            <w:noWrap/>
            <w:vAlign w:val="bottom"/>
            <w:hideMark/>
          </w:tcPr>
          <w:p w14:paraId="5D82D384" w14:textId="77777777" w:rsidR="0095484B" w:rsidRPr="008476FB" w:rsidRDefault="0095484B" w:rsidP="00176FC5">
            <w:pPr>
              <w:spacing w:line="36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Age-group</w:t>
            </w:r>
          </w:p>
        </w:tc>
        <w:tc>
          <w:tcPr>
            <w:tcW w:w="2220" w:type="dxa"/>
            <w:tcBorders>
              <w:top w:val="nil"/>
              <w:left w:val="nil"/>
              <w:bottom w:val="single" w:sz="4" w:space="0" w:color="auto"/>
              <w:right w:val="nil"/>
            </w:tcBorders>
            <w:shd w:val="clear" w:color="000000" w:fill="F2F2F2"/>
            <w:noWrap/>
            <w:vAlign w:val="bottom"/>
            <w:hideMark/>
          </w:tcPr>
          <w:p w14:paraId="7EF962DD"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 </w:t>
            </w:r>
          </w:p>
        </w:tc>
        <w:tc>
          <w:tcPr>
            <w:tcW w:w="1940" w:type="dxa"/>
            <w:tcBorders>
              <w:top w:val="nil"/>
              <w:left w:val="nil"/>
              <w:bottom w:val="single" w:sz="4" w:space="0" w:color="auto"/>
              <w:right w:val="nil"/>
            </w:tcBorders>
            <w:shd w:val="clear" w:color="000000" w:fill="F2F2F2"/>
            <w:noWrap/>
            <w:vAlign w:val="bottom"/>
            <w:hideMark/>
          </w:tcPr>
          <w:p w14:paraId="4052B86A"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 </w:t>
            </w:r>
          </w:p>
        </w:tc>
        <w:tc>
          <w:tcPr>
            <w:tcW w:w="1900" w:type="dxa"/>
            <w:tcBorders>
              <w:top w:val="nil"/>
              <w:left w:val="nil"/>
              <w:bottom w:val="single" w:sz="4" w:space="0" w:color="auto"/>
              <w:right w:val="nil"/>
            </w:tcBorders>
            <w:shd w:val="clear" w:color="000000" w:fill="F2F2F2"/>
            <w:noWrap/>
            <w:vAlign w:val="bottom"/>
            <w:hideMark/>
          </w:tcPr>
          <w:p w14:paraId="4079855D"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 </w:t>
            </w:r>
          </w:p>
        </w:tc>
      </w:tr>
      <w:tr w:rsidR="0095484B" w:rsidRPr="008476FB" w14:paraId="164495EB" w14:textId="77777777" w:rsidTr="00D26CDB">
        <w:trPr>
          <w:trHeight w:val="312"/>
        </w:trPr>
        <w:tc>
          <w:tcPr>
            <w:tcW w:w="2300" w:type="dxa"/>
            <w:tcBorders>
              <w:top w:val="nil"/>
              <w:left w:val="nil"/>
              <w:bottom w:val="single" w:sz="4" w:space="0" w:color="auto"/>
              <w:right w:val="nil"/>
            </w:tcBorders>
            <w:shd w:val="clear" w:color="auto" w:fill="auto"/>
            <w:noWrap/>
            <w:vAlign w:val="center"/>
            <w:hideMark/>
          </w:tcPr>
          <w:p w14:paraId="7C34019E"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0-4 years</w:t>
            </w:r>
          </w:p>
        </w:tc>
        <w:tc>
          <w:tcPr>
            <w:tcW w:w="2220" w:type="dxa"/>
            <w:tcBorders>
              <w:top w:val="nil"/>
              <w:left w:val="nil"/>
              <w:bottom w:val="single" w:sz="4" w:space="0" w:color="auto"/>
              <w:right w:val="nil"/>
            </w:tcBorders>
            <w:shd w:val="clear" w:color="auto" w:fill="auto"/>
            <w:noWrap/>
            <w:vAlign w:val="center"/>
            <w:hideMark/>
          </w:tcPr>
          <w:p w14:paraId="722F00C8"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single" w:sz="4" w:space="0" w:color="auto"/>
              <w:right w:val="nil"/>
            </w:tcBorders>
            <w:shd w:val="clear" w:color="auto" w:fill="auto"/>
            <w:noWrap/>
            <w:vAlign w:val="bottom"/>
            <w:hideMark/>
          </w:tcPr>
          <w:p w14:paraId="103DF890"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0.39 (0.01, 1.26)</w:t>
            </w:r>
          </w:p>
        </w:tc>
        <w:tc>
          <w:tcPr>
            <w:tcW w:w="1900" w:type="dxa"/>
            <w:tcBorders>
              <w:top w:val="nil"/>
              <w:left w:val="nil"/>
              <w:bottom w:val="single" w:sz="4" w:space="0" w:color="auto"/>
              <w:right w:val="nil"/>
            </w:tcBorders>
            <w:shd w:val="clear" w:color="auto" w:fill="auto"/>
            <w:noWrap/>
            <w:vAlign w:val="bottom"/>
            <w:hideMark/>
          </w:tcPr>
          <w:p w14:paraId="34756230"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0.10 (0.01, 0.76)</w:t>
            </w:r>
          </w:p>
        </w:tc>
      </w:tr>
      <w:tr w:rsidR="0095484B" w:rsidRPr="008476FB" w14:paraId="47A787EA" w14:textId="77777777" w:rsidTr="00D26CDB">
        <w:trPr>
          <w:trHeight w:val="312"/>
        </w:trPr>
        <w:tc>
          <w:tcPr>
            <w:tcW w:w="2300" w:type="dxa"/>
            <w:tcBorders>
              <w:top w:val="nil"/>
              <w:left w:val="nil"/>
              <w:bottom w:val="nil"/>
              <w:right w:val="nil"/>
            </w:tcBorders>
            <w:shd w:val="clear" w:color="auto" w:fill="auto"/>
            <w:noWrap/>
            <w:vAlign w:val="center"/>
            <w:hideMark/>
          </w:tcPr>
          <w:p w14:paraId="603820FA"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5-9 years</w:t>
            </w:r>
          </w:p>
        </w:tc>
        <w:tc>
          <w:tcPr>
            <w:tcW w:w="2220" w:type="dxa"/>
            <w:tcBorders>
              <w:top w:val="nil"/>
              <w:left w:val="nil"/>
              <w:bottom w:val="single" w:sz="4" w:space="0" w:color="auto"/>
              <w:right w:val="nil"/>
            </w:tcBorders>
            <w:shd w:val="clear" w:color="auto" w:fill="auto"/>
            <w:noWrap/>
            <w:vAlign w:val="center"/>
            <w:hideMark/>
          </w:tcPr>
          <w:p w14:paraId="6455F108"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single" w:sz="4" w:space="0" w:color="auto"/>
              <w:right w:val="nil"/>
            </w:tcBorders>
            <w:shd w:val="clear" w:color="auto" w:fill="auto"/>
            <w:noWrap/>
            <w:vAlign w:val="bottom"/>
            <w:hideMark/>
          </w:tcPr>
          <w:p w14:paraId="500CB46B"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0.39 (0.003, 1.26)</w:t>
            </w:r>
          </w:p>
        </w:tc>
        <w:tc>
          <w:tcPr>
            <w:tcW w:w="1900" w:type="dxa"/>
            <w:tcBorders>
              <w:top w:val="nil"/>
              <w:left w:val="nil"/>
              <w:bottom w:val="single" w:sz="4" w:space="0" w:color="auto"/>
              <w:right w:val="nil"/>
            </w:tcBorders>
            <w:shd w:val="clear" w:color="auto" w:fill="auto"/>
            <w:noWrap/>
            <w:vAlign w:val="bottom"/>
            <w:hideMark/>
          </w:tcPr>
          <w:p w14:paraId="12725806"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0.08 (0.003, 0.74)</w:t>
            </w:r>
          </w:p>
        </w:tc>
      </w:tr>
      <w:tr w:rsidR="0095484B" w:rsidRPr="008476FB" w14:paraId="286EFFEA" w14:textId="77777777" w:rsidTr="00D26CDB">
        <w:trPr>
          <w:trHeight w:val="312"/>
        </w:trPr>
        <w:tc>
          <w:tcPr>
            <w:tcW w:w="2300" w:type="dxa"/>
            <w:tcBorders>
              <w:top w:val="single" w:sz="4" w:space="0" w:color="auto"/>
              <w:left w:val="nil"/>
              <w:bottom w:val="single" w:sz="4" w:space="0" w:color="auto"/>
              <w:right w:val="nil"/>
            </w:tcBorders>
            <w:shd w:val="clear" w:color="auto" w:fill="auto"/>
            <w:noWrap/>
            <w:vAlign w:val="center"/>
            <w:hideMark/>
          </w:tcPr>
          <w:p w14:paraId="0115FC85"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10-19 years</w:t>
            </w:r>
          </w:p>
        </w:tc>
        <w:tc>
          <w:tcPr>
            <w:tcW w:w="2220" w:type="dxa"/>
            <w:tcBorders>
              <w:top w:val="nil"/>
              <w:left w:val="nil"/>
              <w:bottom w:val="single" w:sz="4" w:space="0" w:color="auto"/>
              <w:right w:val="nil"/>
            </w:tcBorders>
            <w:shd w:val="clear" w:color="auto" w:fill="auto"/>
            <w:noWrap/>
            <w:vAlign w:val="center"/>
            <w:hideMark/>
          </w:tcPr>
          <w:p w14:paraId="43852BFE"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single" w:sz="4" w:space="0" w:color="auto"/>
              <w:right w:val="nil"/>
            </w:tcBorders>
            <w:shd w:val="clear" w:color="auto" w:fill="auto"/>
            <w:noWrap/>
            <w:vAlign w:val="bottom"/>
            <w:hideMark/>
          </w:tcPr>
          <w:p w14:paraId="66F59985"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0.47 (0.01, 1.27)</w:t>
            </w:r>
          </w:p>
        </w:tc>
        <w:tc>
          <w:tcPr>
            <w:tcW w:w="1900" w:type="dxa"/>
            <w:tcBorders>
              <w:top w:val="nil"/>
              <w:left w:val="nil"/>
              <w:bottom w:val="single" w:sz="4" w:space="0" w:color="auto"/>
              <w:right w:val="nil"/>
            </w:tcBorders>
            <w:shd w:val="clear" w:color="auto" w:fill="auto"/>
            <w:noWrap/>
            <w:vAlign w:val="bottom"/>
            <w:hideMark/>
          </w:tcPr>
          <w:p w14:paraId="770F7E58"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0.17 (0.01, 0.89)</w:t>
            </w:r>
          </w:p>
        </w:tc>
      </w:tr>
      <w:tr w:rsidR="0095484B" w:rsidRPr="008476FB" w14:paraId="1154FCF3" w14:textId="77777777" w:rsidTr="00D26CDB">
        <w:trPr>
          <w:trHeight w:val="312"/>
        </w:trPr>
        <w:tc>
          <w:tcPr>
            <w:tcW w:w="2300" w:type="dxa"/>
            <w:tcBorders>
              <w:top w:val="nil"/>
              <w:left w:val="nil"/>
              <w:bottom w:val="nil"/>
              <w:right w:val="nil"/>
            </w:tcBorders>
            <w:shd w:val="clear" w:color="auto" w:fill="auto"/>
            <w:noWrap/>
            <w:vAlign w:val="center"/>
            <w:hideMark/>
          </w:tcPr>
          <w:p w14:paraId="455C76EB"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20-29 years</w:t>
            </w:r>
          </w:p>
        </w:tc>
        <w:tc>
          <w:tcPr>
            <w:tcW w:w="2220" w:type="dxa"/>
            <w:tcBorders>
              <w:top w:val="nil"/>
              <w:left w:val="nil"/>
              <w:bottom w:val="nil"/>
              <w:right w:val="nil"/>
            </w:tcBorders>
            <w:shd w:val="clear" w:color="auto" w:fill="auto"/>
            <w:noWrap/>
            <w:vAlign w:val="center"/>
            <w:hideMark/>
          </w:tcPr>
          <w:p w14:paraId="074AF715"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nil"/>
              <w:right w:val="nil"/>
            </w:tcBorders>
            <w:shd w:val="clear" w:color="auto" w:fill="auto"/>
            <w:noWrap/>
            <w:vAlign w:val="bottom"/>
            <w:hideMark/>
          </w:tcPr>
          <w:p w14:paraId="61F58EB5"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0.48 (0.04, 1.25)</w:t>
            </w:r>
          </w:p>
        </w:tc>
        <w:tc>
          <w:tcPr>
            <w:tcW w:w="1900" w:type="dxa"/>
            <w:tcBorders>
              <w:top w:val="nil"/>
              <w:left w:val="nil"/>
              <w:bottom w:val="nil"/>
              <w:right w:val="nil"/>
            </w:tcBorders>
            <w:shd w:val="clear" w:color="auto" w:fill="auto"/>
            <w:noWrap/>
            <w:vAlign w:val="bottom"/>
            <w:hideMark/>
          </w:tcPr>
          <w:p w14:paraId="2470AACB"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0.24 (0.04, 0.93)</w:t>
            </w:r>
          </w:p>
        </w:tc>
      </w:tr>
      <w:tr w:rsidR="0095484B" w:rsidRPr="008476FB" w14:paraId="6FE10628" w14:textId="77777777" w:rsidTr="00D26CDB">
        <w:trPr>
          <w:trHeight w:val="312"/>
        </w:trPr>
        <w:tc>
          <w:tcPr>
            <w:tcW w:w="2300" w:type="dxa"/>
            <w:tcBorders>
              <w:top w:val="nil"/>
              <w:left w:val="nil"/>
              <w:bottom w:val="nil"/>
              <w:right w:val="nil"/>
            </w:tcBorders>
            <w:shd w:val="clear" w:color="auto" w:fill="auto"/>
            <w:noWrap/>
            <w:vAlign w:val="center"/>
            <w:hideMark/>
          </w:tcPr>
          <w:p w14:paraId="0478A988"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p>
        </w:tc>
        <w:tc>
          <w:tcPr>
            <w:tcW w:w="2220" w:type="dxa"/>
            <w:tcBorders>
              <w:top w:val="nil"/>
              <w:left w:val="nil"/>
              <w:bottom w:val="nil"/>
              <w:right w:val="nil"/>
            </w:tcBorders>
            <w:shd w:val="clear" w:color="auto" w:fill="auto"/>
            <w:noWrap/>
            <w:vAlign w:val="center"/>
            <w:hideMark/>
          </w:tcPr>
          <w:p w14:paraId="240C832D"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Antenatal screening</w:t>
            </w:r>
          </w:p>
        </w:tc>
        <w:tc>
          <w:tcPr>
            <w:tcW w:w="1940" w:type="dxa"/>
            <w:tcBorders>
              <w:top w:val="nil"/>
              <w:left w:val="nil"/>
              <w:bottom w:val="nil"/>
              <w:right w:val="nil"/>
            </w:tcBorders>
            <w:shd w:val="clear" w:color="auto" w:fill="auto"/>
            <w:noWrap/>
            <w:vAlign w:val="bottom"/>
            <w:hideMark/>
          </w:tcPr>
          <w:p w14:paraId="0F1114BE"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0.20 (0.05, 0.54)</w:t>
            </w:r>
          </w:p>
        </w:tc>
        <w:tc>
          <w:tcPr>
            <w:tcW w:w="1900" w:type="dxa"/>
            <w:tcBorders>
              <w:top w:val="nil"/>
              <w:left w:val="nil"/>
              <w:bottom w:val="nil"/>
              <w:right w:val="nil"/>
            </w:tcBorders>
            <w:shd w:val="clear" w:color="auto" w:fill="auto"/>
            <w:noWrap/>
            <w:vAlign w:val="bottom"/>
            <w:hideMark/>
          </w:tcPr>
          <w:p w14:paraId="1D5563C4"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0.12 (0.05, 0.41)</w:t>
            </w:r>
          </w:p>
        </w:tc>
      </w:tr>
      <w:tr w:rsidR="0095484B" w:rsidRPr="008476FB" w14:paraId="2E97BAB1" w14:textId="77777777" w:rsidTr="00D26CDB">
        <w:trPr>
          <w:trHeight w:val="312"/>
        </w:trPr>
        <w:tc>
          <w:tcPr>
            <w:tcW w:w="2300" w:type="dxa"/>
            <w:tcBorders>
              <w:top w:val="nil"/>
              <w:left w:val="nil"/>
              <w:bottom w:val="single" w:sz="4" w:space="0" w:color="auto"/>
              <w:right w:val="nil"/>
            </w:tcBorders>
            <w:shd w:val="clear" w:color="auto" w:fill="auto"/>
            <w:noWrap/>
            <w:vAlign w:val="center"/>
            <w:hideMark/>
          </w:tcPr>
          <w:p w14:paraId="26B60FF7"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20" w:type="dxa"/>
            <w:tcBorders>
              <w:top w:val="nil"/>
              <w:left w:val="nil"/>
              <w:bottom w:val="single" w:sz="4" w:space="0" w:color="auto"/>
              <w:right w:val="nil"/>
            </w:tcBorders>
            <w:shd w:val="clear" w:color="auto" w:fill="auto"/>
            <w:noWrap/>
            <w:vAlign w:val="center"/>
            <w:hideMark/>
          </w:tcPr>
          <w:p w14:paraId="318F2BB5"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40" w:type="dxa"/>
            <w:tcBorders>
              <w:top w:val="nil"/>
              <w:left w:val="nil"/>
              <w:bottom w:val="single" w:sz="4" w:space="0" w:color="auto"/>
              <w:right w:val="nil"/>
            </w:tcBorders>
            <w:shd w:val="clear" w:color="auto" w:fill="auto"/>
            <w:noWrap/>
            <w:vAlign w:val="bottom"/>
            <w:hideMark/>
          </w:tcPr>
          <w:p w14:paraId="5C8C8256"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0.55 (0.05, 1.36)</w:t>
            </w:r>
          </w:p>
        </w:tc>
        <w:tc>
          <w:tcPr>
            <w:tcW w:w="1900" w:type="dxa"/>
            <w:tcBorders>
              <w:top w:val="nil"/>
              <w:left w:val="nil"/>
              <w:bottom w:val="single" w:sz="4" w:space="0" w:color="auto"/>
              <w:right w:val="nil"/>
            </w:tcBorders>
            <w:shd w:val="clear" w:color="auto" w:fill="auto"/>
            <w:noWrap/>
            <w:vAlign w:val="bottom"/>
            <w:hideMark/>
          </w:tcPr>
          <w:p w14:paraId="1571174E"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0.30 (0.05, 1.04)</w:t>
            </w:r>
          </w:p>
        </w:tc>
      </w:tr>
      <w:tr w:rsidR="0095484B" w:rsidRPr="008476FB" w14:paraId="635FFBB6" w14:textId="77777777" w:rsidTr="00D26CDB">
        <w:trPr>
          <w:trHeight w:val="312"/>
        </w:trPr>
        <w:tc>
          <w:tcPr>
            <w:tcW w:w="2300" w:type="dxa"/>
            <w:tcBorders>
              <w:top w:val="nil"/>
              <w:left w:val="nil"/>
              <w:bottom w:val="nil"/>
              <w:right w:val="nil"/>
            </w:tcBorders>
            <w:shd w:val="clear" w:color="auto" w:fill="auto"/>
            <w:noWrap/>
            <w:vAlign w:val="center"/>
            <w:hideMark/>
          </w:tcPr>
          <w:p w14:paraId="0DE1EA5A"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30-39 years</w:t>
            </w:r>
          </w:p>
        </w:tc>
        <w:tc>
          <w:tcPr>
            <w:tcW w:w="2220" w:type="dxa"/>
            <w:tcBorders>
              <w:top w:val="nil"/>
              <w:left w:val="nil"/>
              <w:bottom w:val="nil"/>
              <w:right w:val="nil"/>
            </w:tcBorders>
            <w:shd w:val="clear" w:color="auto" w:fill="auto"/>
            <w:noWrap/>
            <w:vAlign w:val="center"/>
            <w:hideMark/>
          </w:tcPr>
          <w:p w14:paraId="2EE82E34"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nil"/>
              <w:right w:val="nil"/>
            </w:tcBorders>
            <w:shd w:val="clear" w:color="auto" w:fill="auto"/>
            <w:noWrap/>
            <w:vAlign w:val="bottom"/>
            <w:hideMark/>
          </w:tcPr>
          <w:p w14:paraId="1C413A83"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0.35 (0.03, 1.03)</w:t>
            </w:r>
          </w:p>
        </w:tc>
        <w:tc>
          <w:tcPr>
            <w:tcW w:w="1900" w:type="dxa"/>
            <w:tcBorders>
              <w:top w:val="nil"/>
              <w:left w:val="nil"/>
              <w:bottom w:val="nil"/>
              <w:right w:val="nil"/>
            </w:tcBorders>
            <w:shd w:val="clear" w:color="auto" w:fill="auto"/>
            <w:noWrap/>
            <w:vAlign w:val="bottom"/>
            <w:hideMark/>
          </w:tcPr>
          <w:p w14:paraId="0D6E8138"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0.17 (0.03, 0.72)</w:t>
            </w:r>
          </w:p>
        </w:tc>
      </w:tr>
      <w:tr w:rsidR="0095484B" w:rsidRPr="008476FB" w14:paraId="00BE48B5" w14:textId="77777777" w:rsidTr="00D26CDB">
        <w:trPr>
          <w:trHeight w:val="312"/>
        </w:trPr>
        <w:tc>
          <w:tcPr>
            <w:tcW w:w="2300" w:type="dxa"/>
            <w:tcBorders>
              <w:top w:val="nil"/>
              <w:left w:val="nil"/>
              <w:bottom w:val="nil"/>
              <w:right w:val="nil"/>
            </w:tcBorders>
            <w:shd w:val="clear" w:color="auto" w:fill="auto"/>
            <w:noWrap/>
            <w:vAlign w:val="center"/>
            <w:hideMark/>
          </w:tcPr>
          <w:p w14:paraId="7448620F"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p>
        </w:tc>
        <w:tc>
          <w:tcPr>
            <w:tcW w:w="2220" w:type="dxa"/>
            <w:tcBorders>
              <w:top w:val="nil"/>
              <w:left w:val="nil"/>
              <w:bottom w:val="nil"/>
              <w:right w:val="nil"/>
            </w:tcBorders>
            <w:shd w:val="clear" w:color="auto" w:fill="auto"/>
            <w:noWrap/>
            <w:vAlign w:val="center"/>
            <w:hideMark/>
          </w:tcPr>
          <w:p w14:paraId="17E6DDB3"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Antenatal screening</w:t>
            </w:r>
          </w:p>
        </w:tc>
        <w:tc>
          <w:tcPr>
            <w:tcW w:w="1940" w:type="dxa"/>
            <w:tcBorders>
              <w:top w:val="nil"/>
              <w:left w:val="nil"/>
              <w:bottom w:val="nil"/>
              <w:right w:val="nil"/>
            </w:tcBorders>
            <w:shd w:val="clear" w:color="auto" w:fill="auto"/>
            <w:noWrap/>
            <w:vAlign w:val="bottom"/>
            <w:hideMark/>
          </w:tcPr>
          <w:p w14:paraId="0ED3E66F"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0.35 (0.03, 0.83)</w:t>
            </w:r>
          </w:p>
        </w:tc>
        <w:tc>
          <w:tcPr>
            <w:tcW w:w="1900" w:type="dxa"/>
            <w:tcBorders>
              <w:top w:val="nil"/>
              <w:left w:val="nil"/>
              <w:bottom w:val="nil"/>
              <w:right w:val="nil"/>
            </w:tcBorders>
            <w:shd w:val="clear" w:color="auto" w:fill="auto"/>
            <w:noWrap/>
            <w:vAlign w:val="bottom"/>
            <w:hideMark/>
          </w:tcPr>
          <w:p w14:paraId="723BF1F5"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0.19 (0.03, 0.66)</w:t>
            </w:r>
          </w:p>
        </w:tc>
      </w:tr>
      <w:tr w:rsidR="0095484B" w:rsidRPr="008476FB" w14:paraId="366F0A02" w14:textId="77777777" w:rsidTr="00D26CDB">
        <w:trPr>
          <w:trHeight w:val="312"/>
        </w:trPr>
        <w:tc>
          <w:tcPr>
            <w:tcW w:w="2300" w:type="dxa"/>
            <w:tcBorders>
              <w:top w:val="nil"/>
              <w:left w:val="nil"/>
              <w:bottom w:val="single" w:sz="4" w:space="0" w:color="auto"/>
              <w:right w:val="nil"/>
            </w:tcBorders>
            <w:shd w:val="clear" w:color="auto" w:fill="auto"/>
            <w:noWrap/>
            <w:vAlign w:val="center"/>
            <w:hideMark/>
          </w:tcPr>
          <w:p w14:paraId="1EF7EF3E"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20" w:type="dxa"/>
            <w:tcBorders>
              <w:top w:val="nil"/>
              <w:left w:val="nil"/>
              <w:bottom w:val="single" w:sz="4" w:space="0" w:color="auto"/>
              <w:right w:val="nil"/>
            </w:tcBorders>
            <w:shd w:val="clear" w:color="auto" w:fill="auto"/>
            <w:noWrap/>
            <w:vAlign w:val="center"/>
            <w:hideMark/>
          </w:tcPr>
          <w:p w14:paraId="28A1ECCD"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40" w:type="dxa"/>
            <w:tcBorders>
              <w:top w:val="nil"/>
              <w:left w:val="nil"/>
              <w:bottom w:val="single" w:sz="4" w:space="0" w:color="auto"/>
              <w:right w:val="nil"/>
            </w:tcBorders>
            <w:shd w:val="clear" w:color="auto" w:fill="auto"/>
            <w:noWrap/>
            <w:vAlign w:val="bottom"/>
            <w:hideMark/>
          </w:tcPr>
          <w:p w14:paraId="67063A31"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0.41 (0.03, 1.12)</w:t>
            </w:r>
          </w:p>
        </w:tc>
        <w:tc>
          <w:tcPr>
            <w:tcW w:w="1900" w:type="dxa"/>
            <w:tcBorders>
              <w:top w:val="nil"/>
              <w:left w:val="nil"/>
              <w:bottom w:val="single" w:sz="4" w:space="0" w:color="auto"/>
              <w:right w:val="nil"/>
            </w:tcBorders>
            <w:shd w:val="clear" w:color="auto" w:fill="auto"/>
            <w:noWrap/>
            <w:vAlign w:val="bottom"/>
            <w:hideMark/>
          </w:tcPr>
          <w:p w14:paraId="74F35775"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0.20 (0.03, 0.82)</w:t>
            </w:r>
          </w:p>
        </w:tc>
      </w:tr>
      <w:tr w:rsidR="0095484B" w:rsidRPr="008476FB" w14:paraId="197B4AAA" w14:textId="77777777" w:rsidTr="00D26CDB">
        <w:trPr>
          <w:trHeight w:val="312"/>
        </w:trPr>
        <w:tc>
          <w:tcPr>
            <w:tcW w:w="2300" w:type="dxa"/>
            <w:tcBorders>
              <w:top w:val="nil"/>
              <w:left w:val="nil"/>
              <w:bottom w:val="nil"/>
              <w:right w:val="nil"/>
            </w:tcBorders>
            <w:shd w:val="clear" w:color="auto" w:fill="auto"/>
            <w:noWrap/>
            <w:vAlign w:val="center"/>
            <w:hideMark/>
          </w:tcPr>
          <w:p w14:paraId="5CDFB4C8"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40-49 years</w:t>
            </w:r>
          </w:p>
        </w:tc>
        <w:tc>
          <w:tcPr>
            <w:tcW w:w="2220" w:type="dxa"/>
            <w:tcBorders>
              <w:top w:val="nil"/>
              <w:left w:val="nil"/>
              <w:bottom w:val="nil"/>
              <w:right w:val="nil"/>
            </w:tcBorders>
            <w:shd w:val="clear" w:color="auto" w:fill="auto"/>
            <w:noWrap/>
            <w:vAlign w:val="center"/>
            <w:hideMark/>
          </w:tcPr>
          <w:p w14:paraId="0D27567E"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nil"/>
              <w:right w:val="nil"/>
            </w:tcBorders>
            <w:shd w:val="clear" w:color="auto" w:fill="auto"/>
            <w:noWrap/>
            <w:vAlign w:val="bottom"/>
            <w:hideMark/>
          </w:tcPr>
          <w:p w14:paraId="392DE096"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0.38 (0.03, 1.13)</w:t>
            </w:r>
          </w:p>
        </w:tc>
        <w:tc>
          <w:tcPr>
            <w:tcW w:w="1900" w:type="dxa"/>
            <w:tcBorders>
              <w:top w:val="nil"/>
              <w:left w:val="nil"/>
              <w:bottom w:val="nil"/>
              <w:right w:val="nil"/>
            </w:tcBorders>
            <w:shd w:val="clear" w:color="auto" w:fill="auto"/>
            <w:noWrap/>
            <w:vAlign w:val="bottom"/>
            <w:hideMark/>
          </w:tcPr>
          <w:p w14:paraId="300DB8E7"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0.17 (0.03, 0.77)</w:t>
            </w:r>
          </w:p>
        </w:tc>
      </w:tr>
      <w:tr w:rsidR="0095484B" w:rsidRPr="008476FB" w14:paraId="3FC97DF8" w14:textId="77777777" w:rsidTr="00D26CDB">
        <w:trPr>
          <w:trHeight w:val="312"/>
        </w:trPr>
        <w:tc>
          <w:tcPr>
            <w:tcW w:w="2300" w:type="dxa"/>
            <w:tcBorders>
              <w:top w:val="nil"/>
              <w:left w:val="nil"/>
              <w:bottom w:val="single" w:sz="4" w:space="0" w:color="auto"/>
              <w:right w:val="nil"/>
            </w:tcBorders>
            <w:shd w:val="clear" w:color="auto" w:fill="auto"/>
            <w:noWrap/>
            <w:vAlign w:val="center"/>
            <w:hideMark/>
          </w:tcPr>
          <w:p w14:paraId="29EC1FF2"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20" w:type="dxa"/>
            <w:tcBorders>
              <w:top w:val="nil"/>
              <w:left w:val="nil"/>
              <w:bottom w:val="single" w:sz="4" w:space="0" w:color="auto"/>
              <w:right w:val="nil"/>
            </w:tcBorders>
            <w:shd w:val="clear" w:color="auto" w:fill="auto"/>
            <w:noWrap/>
            <w:vAlign w:val="center"/>
            <w:hideMark/>
          </w:tcPr>
          <w:p w14:paraId="629245A1"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40" w:type="dxa"/>
            <w:tcBorders>
              <w:top w:val="nil"/>
              <w:left w:val="nil"/>
              <w:bottom w:val="single" w:sz="4" w:space="0" w:color="auto"/>
              <w:right w:val="nil"/>
            </w:tcBorders>
            <w:shd w:val="clear" w:color="auto" w:fill="auto"/>
            <w:noWrap/>
            <w:vAlign w:val="bottom"/>
            <w:hideMark/>
          </w:tcPr>
          <w:p w14:paraId="20860C9A"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0.79 (0.03, 1.75)</w:t>
            </w:r>
          </w:p>
        </w:tc>
        <w:tc>
          <w:tcPr>
            <w:tcW w:w="1900" w:type="dxa"/>
            <w:tcBorders>
              <w:top w:val="nil"/>
              <w:left w:val="nil"/>
              <w:bottom w:val="single" w:sz="4" w:space="0" w:color="auto"/>
              <w:right w:val="nil"/>
            </w:tcBorders>
            <w:shd w:val="clear" w:color="auto" w:fill="auto"/>
            <w:noWrap/>
            <w:vAlign w:val="bottom"/>
            <w:hideMark/>
          </w:tcPr>
          <w:p w14:paraId="519E44FD"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0.46 (0.03, 1.41)</w:t>
            </w:r>
          </w:p>
        </w:tc>
      </w:tr>
      <w:tr w:rsidR="0095484B" w:rsidRPr="008476FB" w14:paraId="7C788E73" w14:textId="77777777" w:rsidTr="00D26CDB">
        <w:trPr>
          <w:trHeight w:val="312"/>
        </w:trPr>
        <w:tc>
          <w:tcPr>
            <w:tcW w:w="2300" w:type="dxa"/>
            <w:tcBorders>
              <w:top w:val="nil"/>
              <w:left w:val="nil"/>
              <w:bottom w:val="nil"/>
              <w:right w:val="nil"/>
            </w:tcBorders>
            <w:shd w:val="clear" w:color="auto" w:fill="auto"/>
            <w:noWrap/>
            <w:vAlign w:val="center"/>
            <w:hideMark/>
          </w:tcPr>
          <w:p w14:paraId="2FF267B0"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50-59 years</w:t>
            </w:r>
          </w:p>
        </w:tc>
        <w:tc>
          <w:tcPr>
            <w:tcW w:w="2220" w:type="dxa"/>
            <w:tcBorders>
              <w:top w:val="nil"/>
              <w:left w:val="nil"/>
              <w:bottom w:val="nil"/>
              <w:right w:val="nil"/>
            </w:tcBorders>
            <w:shd w:val="clear" w:color="auto" w:fill="auto"/>
            <w:noWrap/>
            <w:vAlign w:val="center"/>
            <w:hideMark/>
          </w:tcPr>
          <w:p w14:paraId="0180A78E"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nil"/>
              <w:right w:val="nil"/>
            </w:tcBorders>
            <w:shd w:val="clear" w:color="auto" w:fill="auto"/>
            <w:noWrap/>
            <w:vAlign w:val="bottom"/>
            <w:hideMark/>
          </w:tcPr>
          <w:p w14:paraId="3FA8932E"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0.53 (0.04, 1.40)</w:t>
            </w:r>
          </w:p>
        </w:tc>
        <w:tc>
          <w:tcPr>
            <w:tcW w:w="1900" w:type="dxa"/>
            <w:tcBorders>
              <w:top w:val="nil"/>
              <w:left w:val="nil"/>
              <w:bottom w:val="nil"/>
              <w:right w:val="nil"/>
            </w:tcBorders>
            <w:shd w:val="clear" w:color="auto" w:fill="auto"/>
            <w:noWrap/>
            <w:vAlign w:val="bottom"/>
            <w:hideMark/>
          </w:tcPr>
          <w:p w14:paraId="41232613"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0.26 (0.04, 1.00)</w:t>
            </w:r>
          </w:p>
        </w:tc>
      </w:tr>
      <w:tr w:rsidR="0095484B" w:rsidRPr="008476FB" w14:paraId="1B00D0FD" w14:textId="77777777" w:rsidTr="00D26CDB">
        <w:trPr>
          <w:trHeight w:val="312"/>
        </w:trPr>
        <w:tc>
          <w:tcPr>
            <w:tcW w:w="2300" w:type="dxa"/>
            <w:tcBorders>
              <w:top w:val="nil"/>
              <w:left w:val="nil"/>
              <w:bottom w:val="single" w:sz="4" w:space="0" w:color="auto"/>
              <w:right w:val="nil"/>
            </w:tcBorders>
            <w:shd w:val="clear" w:color="auto" w:fill="auto"/>
            <w:noWrap/>
            <w:vAlign w:val="center"/>
            <w:hideMark/>
          </w:tcPr>
          <w:p w14:paraId="37FDD308"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20" w:type="dxa"/>
            <w:tcBorders>
              <w:top w:val="nil"/>
              <w:left w:val="nil"/>
              <w:bottom w:val="single" w:sz="4" w:space="0" w:color="auto"/>
              <w:right w:val="nil"/>
            </w:tcBorders>
            <w:shd w:val="clear" w:color="auto" w:fill="auto"/>
            <w:noWrap/>
            <w:vAlign w:val="center"/>
            <w:hideMark/>
          </w:tcPr>
          <w:p w14:paraId="1F959A1F"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40" w:type="dxa"/>
            <w:tcBorders>
              <w:top w:val="nil"/>
              <w:left w:val="nil"/>
              <w:bottom w:val="single" w:sz="4" w:space="0" w:color="auto"/>
              <w:right w:val="nil"/>
            </w:tcBorders>
            <w:shd w:val="clear" w:color="auto" w:fill="auto"/>
            <w:noWrap/>
            <w:vAlign w:val="bottom"/>
            <w:hideMark/>
          </w:tcPr>
          <w:p w14:paraId="4946644A"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0.67 (0.04, 1.56)</w:t>
            </w:r>
          </w:p>
        </w:tc>
        <w:tc>
          <w:tcPr>
            <w:tcW w:w="1900" w:type="dxa"/>
            <w:tcBorders>
              <w:top w:val="nil"/>
              <w:left w:val="nil"/>
              <w:bottom w:val="single" w:sz="4" w:space="0" w:color="auto"/>
              <w:right w:val="nil"/>
            </w:tcBorders>
            <w:shd w:val="clear" w:color="auto" w:fill="auto"/>
            <w:noWrap/>
            <w:vAlign w:val="bottom"/>
            <w:hideMark/>
          </w:tcPr>
          <w:p w14:paraId="2C823A3C"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0.36 (0.04, 1.21)</w:t>
            </w:r>
          </w:p>
        </w:tc>
      </w:tr>
      <w:tr w:rsidR="0095484B" w:rsidRPr="008476FB" w14:paraId="2D28D88F" w14:textId="77777777" w:rsidTr="00D26CDB">
        <w:trPr>
          <w:trHeight w:val="312"/>
        </w:trPr>
        <w:tc>
          <w:tcPr>
            <w:tcW w:w="2300" w:type="dxa"/>
            <w:tcBorders>
              <w:top w:val="nil"/>
              <w:left w:val="nil"/>
              <w:bottom w:val="nil"/>
              <w:right w:val="nil"/>
            </w:tcBorders>
            <w:shd w:val="clear" w:color="auto" w:fill="auto"/>
            <w:noWrap/>
            <w:vAlign w:val="center"/>
            <w:hideMark/>
          </w:tcPr>
          <w:p w14:paraId="095E2E70"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60-69 years</w:t>
            </w:r>
          </w:p>
        </w:tc>
        <w:tc>
          <w:tcPr>
            <w:tcW w:w="2220" w:type="dxa"/>
            <w:tcBorders>
              <w:top w:val="nil"/>
              <w:left w:val="nil"/>
              <w:bottom w:val="nil"/>
              <w:right w:val="nil"/>
            </w:tcBorders>
            <w:shd w:val="clear" w:color="auto" w:fill="auto"/>
            <w:noWrap/>
            <w:vAlign w:val="center"/>
            <w:hideMark/>
          </w:tcPr>
          <w:p w14:paraId="7D283ED3"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nil"/>
              <w:right w:val="nil"/>
            </w:tcBorders>
            <w:shd w:val="clear" w:color="auto" w:fill="auto"/>
            <w:noWrap/>
            <w:vAlign w:val="bottom"/>
            <w:hideMark/>
          </w:tcPr>
          <w:p w14:paraId="0BFF1114"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0.24 (0.04, 0.83)</w:t>
            </w:r>
          </w:p>
        </w:tc>
        <w:tc>
          <w:tcPr>
            <w:tcW w:w="1900" w:type="dxa"/>
            <w:tcBorders>
              <w:top w:val="nil"/>
              <w:left w:val="nil"/>
              <w:bottom w:val="nil"/>
              <w:right w:val="nil"/>
            </w:tcBorders>
            <w:shd w:val="clear" w:color="auto" w:fill="auto"/>
            <w:noWrap/>
            <w:vAlign w:val="bottom"/>
            <w:hideMark/>
          </w:tcPr>
          <w:p w14:paraId="533ED972"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0.13 (0.04, 0.55)</w:t>
            </w:r>
          </w:p>
        </w:tc>
      </w:tr>
      <w:tr w:rsidR="0095484B" w:rsidRPr="008476FB" w14:paraId="25A834D4" w14:textId="77777777" w:rsidTr="00D26CDB">
        <w:trPr>
          <w:trHeight w:val="312"/>
        </w:trPr>
        <w:tc>
          <w:tcPr>
            <w:tcW w:w="2300" w:type="dxa"/>
            <w:tcBorders>
              <w:top w:val="nil"/>
              <w:left w:val="nil"/>
              <w:bottom w:val="single" w:sz="4" w:space="0" w:color="auto"/>
              <w:right w:val="nil"/>
            </w:tcBorders>
            <w:shd w:val="clear" w:color="auto" w:fill="auto"/>
            <w:noWrap/>
            <w:vAlign w:val="center"/>
            <w:hideMark/>
          </w:tcPr>
          <w:p w14:paraId="1308C03E"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20" w:type="dxa"/>
            <w:tcBorders>
              <w:top w:val="nil"/>
              <w:left w:val="nil"/>
              <w:bottom w:val="single" w:sz="4" w:space="0" w:color="auto"/>
              <w:right w:val="nil"/>
            </w:tcBorders>
            <w:shd w:val="clear" w:color="auto" w:fill="auto"/>
            <w:noWrap/>
            <w:vAlign w:val="center"/>
            <w:hideMark/>
          </w:tcPr>
          <w:p w14:paraId="51C3B947"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40" w:type="dxa"/>
            <w:tcBorders>
              <w:top w:val="nil"/>
              <w:left w:val="nil"/>
              <w:bottom w:val="single" w:sz="4" w:space="0" w:color="auto"/>
              <w:right w:val="nil"/>
            </w:tcBorders>
            <w:shd w:val="clear" w:color="auto" w:fill="auto"/>
            <w:noWrap/>
            <w:vAlign w:val="bottom"/>
            <w:hideMark/>
          </w:tcPr>
          <w:p w14:paraId="5CA7BFD1"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0.56 (0.04, 1.39)</w:t>
            </w:r>
          </w:p>
        </w:tc>
        <w:tc>
          <w:tcPr>
            <w:tcW w:w="1900" w:type="dxa"/>
            <w:tcBorders>
              <w:top w:val="nil"/>
              <w:left w:val="nil"/>
              <w:bottom w:val="single" w:sz="4" w:space="0" w:color="auto"/>
              <w:right w:val="nil"/>
            </w:tcBorders>
            <w:shd w:val="clear" w:color="auto" w:fill="auto"/>
            <w:noWrap/>
            <w:vAlign w:val="bottom"/>
            <w:hideMark/>
          </w:tcPr>
          <w:p w14:paraId="2A76ABC4"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0.30 (0.04, 1.05)</w:t>
            </w:r>
          </w:p>
        </w:tc>
      </w:tr>
      <w:tr w:rsidR="0095484B" w:rsidRPr="008476FB" w14:paraId="1198B52A" w14:textId="77777777" w:rsidTr="00D26CDB">
        <w:trPr>
          <w:trHeight w:val="312"/>
        </w:trPr>
        <w:tc>
          <w:tcPr>
            <w:tcW w:w="2300" w:type="dxa"/>
            <w:tcBorders>
              <w:top w:val="nil"/>
              <w:left w:val="nil"/>
              <w:bottom w:val="single" w:sz="4" w:space="0" w:color="auto"/>
              <w:right w:val="nil"/>
            </w:tcBorders>
            <w:shd w:val="clear" w:color="auto" w:fill="auto"/>
            <w:noWrap/>
            <w:vAlign w:val="center"/>
            <w:hideMark/>
          </w:tcPr>
          <w:p w14:paraId="40FF6C74"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70-79 years</w:t>
            </w:r>
          </w:p>
        </w:tc>
        <w:tc>
          <w:tcPr>
            <w:tcW w:w="2220" w:type="dxa"/>
            <w:tcBorders>
              <w:top w:val="nil"/>
              <w:left w:val="nil"/>
              <w:bottom w:val="single" w:sz="4" w:space="0" w:color="auto"/>
              <w:right w:val="nil"/>
            </w:tcBorders>
            <w:shd w:val="clear" w:color="auto" w:fill="auto"/>
            <w:noWrap/>
            <w:vAlign w:val="center"/>
            <w:hideMark/>
          </w:tcPr>
          <w:p w14:paraId="21F063E7"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single" w:sz="4" w:space="0" w:color="auto"/>
              <w:right w:val="nil"/>
            </w:tcBorders>
            <w:shd w:val="clear" w:color="auto" w:fill="auto"/>
            <w:noWrap/>
            <w:vAlign w:val="bottom"/>
            <w:hideMark/>
          </w:tcPr>
          <w:p w14:paraId="1E354C84"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0.66 (0.04, 1.68)</w:t>
            </w:r>
          </w:p>
        </w:tc>
        <w:tc>
          <w:tcPr>
            <w:tcW w:w="1900" w:type="dxa"/>
            <w:tcBorders>
              <w:top w:val="nil"/>
              <w:left w:val="nil"/>
              <w:bottom w:val="single" w:sz="4" w:space="0" w:color="auto"/>
              <w:right w:val="nil"/>
            </w:tcBorders>
            <w:shd w:val="clear" w:color="auto" w:fill="auto"/>
            <w:noWrap/>
            <w:vAlign w:val="bottom"/>
            <w:hideMark/>
          </w:tcPr>
          <w:p w14:paraId="7DC5353F"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0.34 (0.04, 1.24)</w:t>
            </w:r>
          </w:p>
        </w:tc>
      </w:tr>
      <w:tr w:rsidR="0095484B" w:rsidRPr="008476FB" w14:paraId="45846F76" w14:textId="77777777" w:rsidTr="00D26CDB">
        <w:trPr>
          <w:trHeight w:val="312"/>
        </w:trPr>
        <w:tc>
          <w:tcPr>
            <w:tcW w:w="2300" w:type="dxa"/>
            <w:tcBorders>
              <w:top w:val="nil"/>
              <w:left w:val="nil"/>
              <w:bottom w:val="single" w:sz="4" w:space="0" w:color="auto"/>
              <w:right w:val="nil"/>
            </w:tcBorders>
            <w:shd w:val="clear" w:color="auto" w:fill="auto"/>
            <w:noWrap/>
            <w:vAlign w:val="center"/>
            <w:hideMark/>
          </w:tcPr>
          <w:p w14:paraId="2A6AC8BA" w14:textId="77777777" w:rsidR="0095484B" w:rsidRPr="008476FB" w:rsidRDefault="0095484B" w:rsidP="00176FC5">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80+ years</w:t>
            </w:r>
          </w:p>
        </w:tc>
        <w:tc>
          <w:tcPr>
            <w:tcW w:w="2220" w:type="dxa"/>
            <w:tcBorders>
              <w:top w:val="nil"/>
              <w:left w:val="nil"/>
              <w:bottom w:val="single" w:sz="4" w:space="0" w:color="auto"/>
              <w:right w:val="nil"/>
            </w:tcBorders>
            <w:shd w:val="clear" w:color="auto" w:fill="auto"/>
            <w:noWrap/>
            <w:vAlign w:val="center"/>
            <w:hideMark/>
          </w:tcPr>
          <w:p w14:paraId="5DA35173"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single" w:sz="4" w:space="0" w:color="auto"/>
              <w:right w:val="nil"/>
            </w:tcBorders>
            <w:shd w:val="clear" w:color="auto" w:fill="auto"/>
            <w:noWrap/>
            <w:vAlign w:val="bottom"/>
            <w:hideMark/>
          </w:tcPr>
          <w:p w14:paraId="5D78865C"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0.46 (0.02, 1.46)</w:t>
            </w:r>
          </w:p>
        </w:tc>
        <w:tc>
          <w:tcPr>
            <w:tcW w:w="1900" w:type="dxa"/>
            <w:tcBorders>
              <w:top w:val="nil"/>
              <w:left w:val="nil"/>
              <w:bottom w:val="single" w:sz="4" w:space="0" w:color="auto"/>
              <w:right w:val="nil"/>
            </w:tcBorders>
            <w:shd w:val="clear" w:color="auto" w:fill="auto"/>
            <w:noWrap/>
            <w:vAlign w:val="bottom"/>
            <w:hideMark/>
          </w:tcPr>
          <w:p w14:paraId="73C7729A" w14:textId="77777777" w:rsidR="0095484B" w:rsidRPr="008476FB" w:rsidRDefault="0095484B" w:rsidP="00176FC5">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0.18 (0.02, 0.93)</w:t>
            </w:r>
          </w:p>
        </w:tc>
      </w:tr>
    </w:tbl>
    <w:p w14:paraId="1F17AA2F" w14:textId="6E955282" w:rsidR="00574196" w:rsidRPr="008476FB" w:rsidRDefault="00916205" w:rsidP="008D3A75">
      <w:pPr>
        <w:pStyle w:val="Caption"/>
        <w:rPr>
          <w:rFonts w:ascii="Times New Roman" w:eastAsiaTheme="majorEastAsia" w:hAnsi="Times New Roman" w:cs="Times New Roman"/>
          <w:b w:val="0"/>
          <w:bCs w:val="0"/>
          <w:i/>
          <w:iCs/>
          <w:color w:val="auto"/>
          <w:szCs w:val="24"/>
          <w:vertAlign w:val="superscript"/>
        </w:rPr>
      </w:pPr>
      <w:r w:rsidRPr="008476FB">
        <w:rPr>
          <w:rFonts w:ascii="Times New Roman" w:eastAsiaTheme="majorEastAsia" w:hAnsi="Times New Roman" w:cs="Times New Roman"/>
          <w:b w:val="0"/>
          <w:bCs w:val="0"/>
          <w:i/>
          <w:iCs/>
          <w:color w:val="auto"/>
          <w:szCs w:val="24"/>
          <w:vertAlign w:val="superscript"/>
        </w:rPr>
        <w:t>Abbreviations: CrI, Credible interval.</w:t>
      </w:r>
    </w:p>
    <w:p w14:paraId="2341AD3C" w14:textId="77777777" w:rsidR="00176FC5" w:rsidRPr="008476FB" w:rsidRDefault="00176FC5" w:rsidP="00176FC5">
      <w:pPr>
        <w:rPr>
          <w:rFonts w:ascii="Times New Roman" w:hAnsi="Times New Roman" w:cs="Times New Roman"/>
        </w:rPr>
      </w:pPr>
    </w:p>
    <w:p w14:paraId="40CE68CF" w14:textId="77777777" w:rsidR="00176FC5" w:rsidRPr="008476FB" w:rsidRDefault="00176FC5" w:rsidP="00176FC5">
      <w:pPr>
        <w:rPr>
          <w:rFonts w:ascii="Times New Roman" w:hAnsi="Times New Roman" w:cs="Times New Roman"/>
        </w:rPr>
      </w:pPr>
    </w:p>
    <w:p w14:paraId="30071466" w14:textId="77777777" w:rsidR="00176FC5" w:rsidRPr="008476FB" w:rsidRDefault="00176FC5" w:rsidP="00176FC5">
      <w:pPr>
        <w:rPr>
          <w:rFonts w:ascii="Times New Roman" w:hAnsi="Times New Roman" w:cs="Times New Roman"/>
        </w:rPr>
      </w:pPr>
    </w:p>
    <w:p w14:paraId="17AC71F2" w14:textId="73A02DEA" w:rsidR="00176FC5" w:rsidRPr="008476FB" w:rsidRDefault="00F7114A" w:rsidP="00176FC5">
      <w:pPr>
        <w:spacing w:line="360" w:lineRule="auto"/>
        <w:rPr>
          <w:rFonts w:ascii="Times New Roman" w:hAnsi="Times New Roman" w:cs="Times New Roman"/>
        </w:rPr>
      </w:pPr>
      <w:r w:rsidRPr="008476FB">
        <w:rPr>
          <w:rFonts w:ascii="Times New Roman" w:hAnsi="Times New Roman" w:cs="Times New Roman"/>
          <w:b/>
        </w:rPr>
        <w:t>Supplementary Table 4</w:t>
      </w:r>
      <w:r w:rsidR="00176FC5" w:rsidRPr="008476FB">
        <w:rPr>
          <w:rFonts w:ascii="Times New Roman" w:hAnsi="Times New Roman" w:cs="Times New Roman"/>
          <w:b/>
        </w:rPr>
        <w:t xml:space="preserve">: Estimated seroprevalence by sex and collection population for the primary and sensitivity analysis </w:t>
      </w:r>
    </w:p>
    <w:tbl>
      <w:tblPr>
        <w:tblW w:w="8360" w:type="dxa"/>
        <w:tblLook w:val="04A0" w:firstRow="1" w:lastRow="0" w:firstColumn="1" w:lastColumn="0" w:noHBand="0" w:noVBand="1"/>
      </w:tblPr>
      <w:tblGrid>
        <w:gridCol w:w="2300"/>
        <w:gridCol w:w="2220"/>
        <w:gridCol w:w="1940"/>
        <w:gridCol w:w="1900"/>
      </w:tblGrid>
      <w:tr w:rsidR="00176FC5" w:rsidRPr="008476FB" w14:paraId="5EE81C59" w14:textId="77777777" w:rsidTr="004607ED">
        <w:trPr>
          <w:trHeight w:val="312"/>
        </w:trPr>
        <w:tc>
          <w:tcPr>
            <w:tcW w:w="2300" w:type="dxa"/>
            <w:tcBorders>
              <w:top w:val="single" w:sz="8" w:space="0" w:color="auto"/>
              <w:left w:val="nil"/>
              <w:bottom w:val="nil"/>
              <w:right w:val="nil"/>
            </w:tcBorders>
            <w:shd w:val="clear" w:color="auto" w:fill="auto"/>
            <w:noWrap/>
            <w:vAlign w:val="center"/>
            <w:hideMark/>
          </w:tcPr>
          <w:p w14:paraId="4D9C05D0" w14:textId="77777777" w:rsidR="00176FC5" w:rsidRPr="008476FB" w:rsidRDefault="00176FC5" w:rsidP="00D26CDB">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Demographic group</w:t>
            </w:r>
          </w:p>
        </w:tc>
        <w:tc>
          <w:tcPr>
            <w:tcW w:w="2220" w:type="dxa"/>
            <w:tcBorders>
              <w:top w:val="single" w:sz="8" w:space="0" w:color="auto"/>
              <w:left w:val="nil"/>
              <w:bottom w:val="nil"/>
              <w:right w:val="nil"/>
            </w:tcBorders>
            <w:shd w:val="clear" w:color="auto" w:fill="auto"/>
            <w:noWrap/>
            <w:vAlign w:val="center"/>
            <w:hideMark/>
          </w:tcPr>
          <w:p w14:paraId="7597DF8A" w14:textId="77777777" w:rsidR="00176FC5" w:rsidRPr="008476FB" w:rsidRDefault="00176FC5" w:rsidP="00D26CDB">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Collection</w:t>
            </w:r>
          </w:p>
        </w:tc>
        <w:tc>
          <w:tcPr>
            <w:tcW w:w="1940" w:type="dxa"/>
            <w:tcBorders>
              <w:top w:val="single" w:sz="4" w:space="0" w:color="auto"/>
              <w:left w:val="nil"/>
              <w:bottom w:val="nil"/>
              <w:right w:val="nil"/>
            </w:tcBorders>
            <w:shd w:val="clear" w:color="auto" w:fill="auto"/>
            <w:noWrap/>
            <w:vAlign w:val="center"/>
            <w:hideMark/>
          </w:tcPr>
          <w:p w14:paraId="5E67AF4F" w14:textId="77777777" w:rsidR="00176FC5" w:rsidRPr="008476FB" w:rsidRDefault="00176FC5" w:rsidP="00D26CDB">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xml:space="preserve">Primary analysis </w:t>
            </w:r>
          </w:p>
        </w:tc>
        <w:tc>
          <w:tcPr>
            <w:tcW w:w="1900" w:type="dxa"/>
            <w:tcBorders>
              <w:top w:val="single" w:sz="4" w:space="0" w:color="auto"/>
              <w:left w:val="nil"/>
              <w:bottom w:val="nil"/>
              <w:right w:val="nil"/>
            </w:tcBorders>
            <w:shd w:val="clear" w:color="auto" w:fill="auto"/>
            <w:noWrap/>
            <w:vAlign w:val="center"/>
            <w:hideMark/>
          </w:tcPr>
          <w:p w14:paraId="4ABD6568" w14:textId="77777777" w:rsidR="00176FC5" w:rsidRPr="008476FB" w:rsidRDefault="00176FC5" w:rsidP="00D26CDB">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xml:space="preserve">Sensitivity analysis </w:t>
            </w:r>
          </w:p>
        </w:tc>
      </w:tr>
      <w:tr w:rsidR="00176FC5" w:rsidRPr="008476FB" w14:paraId="1E84068A" w14:textId="77777777" w:rsidTr="004607ED">
        <w:trPr>
          <w:trHeight w:val="324"/>
        </w:trPr>
        <w:tc>
          <w:tcPr>
            <w:tcW w:w="2300" w:type="dxa"/>
            <w:tcBorders>
              <w:top w:val="nil"/>
              <w:left w:val="nil"/>
              <w:bottom w:val="single" w:sz="8" w:space="0" w:color="auto"/>
              <w:right w:val="nil"/>
            </w:tcBorders>
            <w:shd w:val="clear" w:color="auto" w:fill="auto"/>
            <w:noWrap/>
            <w:vAlign w:val="center"/>
            <w:hideMark/>
          </w:tcPr>
          <w:p w14:paraId="09946CCF" w14:textId="77777777" w:rsidR="00176FC5" w:rsidRPr="008476FB" w:rsidRDefault="00176FC5" w:rsidP="00D26CDB">
            <w:pPr>
              <w:spacing w:line="36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20" w:type="dxa"/>
            <w:tcBorders>
              <w:top w:val="nil"/>
              <w:left w:val="nil"/>
              <w:bottom w:val="single" w:sz="8" w:space="0" w:color="auto"/>
              <w:right w:val="nil"/>
            </w:tcBorders>
            <w:shd w:val="clear" w:color="auto" w:fill="auto"/>
            <w:noWrap/>
            <w:vAlign w:val="center"/>
            <w:hideMark/>
          </w:tcPr>
          <w:p w14:paraId="1E1EF8F3" w14:textId="77777777" w:rsidR="00176FC5" w:rsidRPr="008476FB" w:rsidRDefault="00176FC5" w:rsidP="00D26CDB">
            <w:pPr>
              <w:spacing w:line="36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1940" w:type="dxa"/>
            <w:tcBorders>
              <w:left w:val="nil"/>
              <w:bottom w:val="single" w:sz="4" w:space="0" w:color="auto"/>
              <w:right w:val="nil"/>
            </w:tcBorders>
            <w:shd w:val="clear" w:color="auto" w:fill="auto"/>
            <w:noWrap/>
            <w:vAlign w:val="center"/>
            <w:hideMark/>
          </w:tcPr>
          <w:p w14:paraId="25413B26" w14:textId="77777777" w:rsidR="00176FC5" w:rsidRPr="008476FB" w:rsidRDefault="00176FC5" w:rsidP="00D26CDB">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(95% CrI)</w:t>
            </w:r>
          </w:p>
        </w:tc>
        <w:tc>
          <w:tcPr>
            <w:tcW w:w="1900" w:type="dxa"/>
            <w:tcBorders>
              <w:left w:val="nil"/>
              <w:bottom w:val="single" w:sz="4" w:space="0" w:color="auto"/>
              <w:right w:val="nil"/>
            </w:tcBorders>
            <w:shd w:val="clear" w:color="auto" w:fill="auto"/>
            <w:noWrap/>
            <w:vAlign w:val="center"/>
            <w:hideMark/>
          </w:tcPr>
          <w:p w14:paraId="5286F579" w14:textId="77777777" w:rsidR="00176FC5" w:rsidRPr="008476FB" w:rsidRDefault="00176FC5" w:rsidP="00D26CDB">
            <w:pPr>
              <w:spacing w:line="360" w:lineRule="auto"/>
              <w:jc w:val="center"/>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(95% CrI)</w:t>
            </w:r>
          </w:p>
        </w:tc>
      </w:tr>
      <w:tr w:rsidR="00176FC5" w:rsidRPr="008476FB" w14:paraId="519D3788" w14:textId="77777777" w:rsidTr="00D26CDB">
        <w:trPr>
          <w:trHeight w:val="312"/>
        </w:trPr>
        <w:tc>
          <w:tcPr>
            <w:tcW w:w="2300" w:type="dxa"/>
            <w:tcBorders>
              <w:top w:val="nil"/>
              <w:left w:val="nil"/>
              <w:bottom w:val="nil"/>
              <w:right w:val="nil"/>
            </w:tcBorders>
            <w:shd w:val="clear" w:color="auto" w:fill="auto"/>
            <w:noWrap/>
            <w:vAlign w:val="center"/>
            <w:hideMark/>
          </w:tcPr>
          <w:p w14:paraId="098E8647" w14:textId="77777777" w:rsidR="00176FC5" w:rsidRPr="008476FB" w:rsidRDefault="00176FC5" w:rsidP="00D26CDB">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Females</w:t>
            </w:r>
          </w:p>
        </w:tc>
        <w:tc>
          <w:tcPr>
            <w:tcW w:w="2220" w:type="dxa"/>
            <w:tcBorders>
              <w:top w:val="nil"/>
              <w:left w:val="nil"/>
              <w:bottom w:val="nil"/>
              <w:right w:val="nil"/>
            </w:tcBorders>
            <w:shd w:val="clear" w:color="auto" w:fill="auto"/>
            <w:noWrap/>
            <w:vAlign w:val="center"/>
            <w:hideMark/>
          </w:tcPr>
          <w:p w14:paraId="3BC21A8D"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nil"/>
              <w:right w:val="nil"/>
            </w:tcBorders>
            <w:shd w:val="clear" w:color="auto" w:fill="auto"/>
            <w:noWrap/>
            <w:vAlign w:val="bottom"/>
            <w:hideMark/>
          </w:tcPr>
          <w:p w14:paraId="20815503"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0.25 (0.03, 0.59)</w:t>
            </w:r>
          </w:p>
        </w:tc>
        <w:tc>
          <w:tcPr>
            <w:tcW w:w="1900" w:type="dxa"/>
            <w:tcBorders>
              <w:top w:val="nil"/>
              <w:left w:val="nil"/>
              <w:bottom w:val="nil"/>
              <w:right w:val="nil"/>
            </w:tcBorders>
            <w:shd w:val="clear" w:color="auto" w:fill="auto"/>
            <w:noWrap/>
            <w:vAlign w:val="bottom"/>
            <w:hideMark/>
          </w:tcPr>
          <w:p w14:paraId="1CA71A00"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0.14 (0.03, 0.47)</w:t>
            </w:r>
          </w:p>
        </w:tc>
      </w:tr>
      <w:tr w:rsidR="00176FC5" w:rsidRPr="008476FB" w14:paraId="6E8E3B66" w14:textId="77777777" w:rsidTr="00D26CDB">
        <w:trPr>
          <w:trHeight w:val="312"/>
        </w:trPr>
        <w:tc>
          <w:tcPr>
            <w:tcW w:w="2300" w:type="dxa"/>
            <w:tcBorders>
              <w:top w:val="nil"/>
              <w:left w:val="nil"/>
              <w:bottom w:val="nil"/>
              <w:right w:val="nil"/>
            </w:tcBorders>
            <w:shd w:val="clear" w:color="auto" w:fill="auto"/>
            <w:noWrap/>
            <w:vAlign w:val="center"/>
            <w:hideMark/>
          </w:tcPr>
          <w:p w14:paraId="17684BD4"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p>
        </w:tc>
        <w:tc>
          <w:tcPr>
            <w:tcW w:w="2220" w:type="dxa"/>
            <w:tcBorders>
              <w:top w:val="nil"/>
              <w:left w:val="nil"/>
              <w:bottom w:val="nil"/>
              <w:right w:val="nil"/>
            </w:tcBorders>
            <w:shd w:val="clear" w:color="auto" w:fill="auto"/>
            <w:noWrap/>
            <w:vAlign w:val="center"/>
            <w:hideMark/>
          </w:tcPr>
          <w:p w14:paraId="1731BB51"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Antenatal screening</w:t>
            </w:r>
          </w:p>
        </w:tc>
        <w:tc>
          <w:tcPr>
            <w:tcW w:w="1940" w:type="dxa"/>
            <w:tcBorders>
              <w:top w:val="nil"/>
              <w:left w:val="nil"/>
              <w:bottom w:val="nil"/>
              <w:right w:val="nil"/>
            </w:tcBorders>
            <w:shd w:val="clear" w:color="auto" w:fill="auto"/>
            <w:noWrap/>
            <w:vAlign w:val="bottom"/>
            <w:hideMark/>
          </w:tcPr>
          <w:p w14:paraId="69EBC7D9"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0.23 (0.04, 0.54)</w:t>
            </w:r>
          </w:p>
        </w:tc>
        <w:tc>
          <w:tcPr>
            <w:tcW w:w="1900" w:type="dxa"/>
            <w:tcBorders>
              <w:top w:val="nil"/>
              <w:left w:val="nil"/>
              <w:bottom w:val="nil"/>
              <w:right w:val="nil"/>
            </w:tcBorders>
            <w:shd w:val="clear" w:color="auto" w:fill="auto"/>
            <w:noWrap/>
            <w:vAlign w:val="bottom"/>
            <w:hideMark/>
          </w:tcPr>
          <w:p w14:paraId="155EBD3B"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0.14 (0.04, 0.44)</w:t>
            </w:r>
          </w:p>
        </w:tc>
      </w:tr>
      <w:tr w:rsidR="00176FC5" w:rsidRPr="008476FB" w14:paraId="650FA280" w14:textId="77777777" w:rsidTr="00D26CDB">
        <w:trPr>
          <w:trHeight w:val="312"/>
        </w:trPr>
        <w:tc>
          <w:tcPr>
            <w:tcW w:w="2300" w:type="dxa"/>
            <w:tcBorders>
              <w:top w:val="nil"/>
              <w:left w:val="nil"/>
              <w:bottom w:val="single" w:sz="4" w:space="0" w:color="auto"/>
              <w:right w:val="nil"/>
            </w:tcBorders>
            <w:shd w:val="clear" w:color="auto" w:fill="auto"/>
            <w:noWrap/>
            <w:vAlign w:val="center"/>
            <w:hideMark/>
          </w:tcPr>
          <w:p w14:paraId="6189B662" w14:textId="77777777" w:rsidR="00176FC5" w:rsidRPr="008476FB" w:rsidRDefault="00176FC5" w:rsidP="00D26CDB">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20" w:type="dxa"/>
            <w:tcBorders>
              <w:top w:val="nil"/>
              <w:left w:val="nil"/>
              <w:bottom w:val="single" w:sz="4" w:space="0" w:color="auto"/>
              <w:right w:val="nil"/>
            </w:tcBorders>
            <w:shd w:val="clear" w:color="auto" w:fill="auto"/>
            <w:noWrap/>
            <w:vAlign w:val="center"/>
            <w:hideMark/>
          </w:tcPr>
          <w:p w14:paraId="7B26B107"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40" w:type="dxa"/>
            <w:tcBorders>
              <w:top w:val="nil"/>
              <w:left w:val="nil"/>
              <w:bottom w:val="single" w:sz="4" w:space="0" w:color="auto"/>
              <w:right w:val="nil"/>
            </w:tcBorders>
            <w:shd w:val="clear" w:color="auto" w:fill="auto"/>
            <w:noWrap/>
            <w:vAlign w:val="bottom"/>
            <w:hideMark/>
          </w:tcPr>
          <w:p w14:paraId="16625B2C"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0.60 (0.03, 1.17)</w:t>
            </w:r>
          </w:p>
        </w:tc>
        <w:tc>
          <w:tcPr>
            <w:tcW w:w="1900" w:type="dxa"/>
            <w:tcBorders>
              <w:top w:val="nil"/>
              <w:left w:val="nil"/>
              <w:bottom w:val="single" w:sz="4" w:space="0" w:color="auto"/>
              <w:right w:val="nil"/>
            </w:tcBorders>
            <w:shd w:val="clear" w:color="auto" w:fill="auto"/>
            <w:noWrap/>
            <w:vAlign w:val="bottom"/>
            <w:hideMark/>
          </w:tcPr>
          <w:p w14:paraId="565063C0"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0.38 (0.03, 1.00)</w:t>
            </w:r>
          </w:p>
        </w:tc>
      </w:tr>
      <w:tr w:rsidR="00176FC5" w:rsidRPr="008476FB" w14:paraId="0889B0CC" w14:textId="77777777" w:rsidTr="00D26CDB">
        <w:trPr>
          <w:trHeight w:val="312"/>
        </w:trPr>
        <w:tc>
          <w:tcPr>
            <w:tcW w:w="2300" w:type="dxa"/>
            <w:tcBorders>
              <w:top w:val="nil"/>
              <w:left w:val="nil"/>
              <w:bottom w:val="nil"/>
              <w:right w:val="nil"/>
            </w:tcBorders>
            <w:shd w:val="clear" w:color="auto" w:fill="auto"/>
            <w:noWrap/>
            <w:vAlign w:val="center"/>
            <w:hideMark/>
          </w:tcPr>
          <w:p w14:paraId="23D9FBF7" w14:textId="77777777" w:rsidR="00176FC5" w:rsidRPr="008476FB" w:rsidRDefault="00176FC5" w:rsidP="00D26CDB">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Males</w:t>
            </w:r>
          </w:p>
        </w:tc>
        <w:tc>
          <w:tcPr>
            <w:tcW w:w="2220" w:type="dxa"/>
            <w:tcBorders>
              <w:top w:val="nil"/>
              <w:left w:val="nil"/>
              <w:bottom w:val="nil"/>
              <w:right w:val="nil"/>
            </w:tcBorders>
            <w:shd w:val="clear" w:color="auto" w:fill="auto"/>
            <w:noWrap/>
            <w:vAlign w:val="center"/>
            <w:hideMark/>
          </w:tcPr>
          <w:p w14:paraId="7CA4090B"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General pathology</w:t>
            </w:r>
          </w:p>
        </w:tc>
        <w:tc>
          <w:tcPr>
            <w:tcW w:w="1940" w:type="dxa"/>
            <w:tcBorders>
              <w:top w:val="nil"/>
              <w:left w:val="nil"/>
              <w:bottom w:val="nil"/>
              <w:right w:val="nil"/>
            </w:tcBorders>
            <w:shd w:val="clear" w:color="auto" w:fill="auto"/>
            <w:noWrap/>
            <w:vAlign w:val="bottom"/>
            <w:hideMark/>
          </w:tcPr>
          <w:p w14:paraId="3BFBF4CA"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0.29 (0.03, 0.67)</w:t>
            </w:r>
          </w:p>
        </w:tc>
        <w:tc>
          <w:tcPr>
            <w:tcW w:w="1900" w:type="dxa"/>
            <w:tcBorders>
              <w:top w:val="nil"/>
              <w:left w:val="nil"/>
              <w:bottom w:val="nil"/>
              <w:right w:val="nil"/>
            </w:tcBorders>
            <w:shd w:val="clear" w:color="auto" w:fill="auto"/>
            <w:noWrap/>
            <w:vAlign w:val="bottom"/>
            <w:hideMark/>
          </w:tcPr>
          <w:p w14:paraId="4BEAC4B8"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0.17 (0.03, 0.55)</w:t>
            </w:r>
          </w:p>
        </w:tc>
      </w:tr>
      <w:tr w:rsidR="00176FC5" w:rsidRPr="008476FB" w14:paraId="4A9A6C0D" w14:textId="77777777" w:rsidTr="00D26CDB">
        <w:trPr>
          <w:trHeight w:val="312"/>
        </w:trPr>
        <w:tc>
          <w:tcPr>
            <w:tcW w:w="2300" w:type="dxa"/>
            <w:tcBorders>
              <w:top w:val="nil"/>
              <w:left w:val="nil"/>
              <w:bottom w:val="single" w:sz="4" w:space="0" w:color="auto"/>
              <w:right w:val="nil"/>
            </w:tcBorders>
            <w:shd w:val="clear" w:color="auto" w:fill="auto"/>
            <w:noWrap/>
            <w:vAlign w:val="center"/>
            <w:hideMark/>
          </w:tcPr>
          <w:p w14:paraId="25502F71" w14:textId="77777777" w:rsidR="00176FC5" w:rsidRPr="008476FB" w:rsidRDefault="00176FC5" w:rsidP="00D26CDB">
            <w:pPr>
              <w:spacing w:line="480" w:lineRule="auto"/>
              <w:rPr>
                <w:rFonts w:ascii="Times New Roman" w:eastAsia="Times New Roman" w:hAnsi="Times New Roman" w:cs="Times New Roman"/>
                <w:b/>
                <w:bCs/>
                <w:color w:val="000000"/>
                <w:sz w:val="20"/>
                <w:szCs w:val="20"/>
                <w:lang w:eastAsia="en-AU"/>
              </w:rPr>
            </w:pPr>
            <w:r w:rsidRPr="008476FB">
              <w:rPr>
                <w:rFonts w:ascii="Times New Roman" w:eastAsia="Times New Roman" w:hAnsi="Times New Roman" w:cs="Times New Roman"/>
                <w:b/>
                <w:bCs/>
                <w:color w:val="000000"/>
                <w:sz w:val="20"/>
                <w:szCs w:val="20"/>
                <w:lang w:eastAsia="en-AU"/>
              </w:rPr>
              <w:t> </w:t>
            </w:r>
          </w:p>
        </w:tc>
        <w:tc>
          <w:tcPr>
            <w:tcW w:w="2220" w:type="dxa"/>
            <w:tcBorders>
              <w:top w:val="nil"/>
              <w:left w:val="nil"/>
              <w:bottom w:val="single" w:sz="4" w:space="0" w:color="auto"/>
              <w:right w:val="nil"/>
            </w:tcBorders>
            <w:shd w:val="clear" w:color="auto" w:fill="auto"/>
            <w:noWrap/>
            <w:vAlign w:val="center"/>
            <w:hideMark/>
          </w:tcPr>
          <w:p w14:paraId="1038D7C6"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Blood donors</w:t>
            </w:r>
          </w:p>
        </w:tc>
        <w:tc>
          <w:tcPr>
            <w:tcW w:w="1940" w:type="dxa"/>
            <w:tcBorders>
              <w:top w:val="nil"/>
              <w:left w:val="nil"/>
              <w:bottom w:val="single" w:sz="4" w:space="0" w:color="auto"/>
              <w:right w:val="nil"/>
            </w:tcBorders>
            <w:shd w:val="clear" w:color="auto" w:fill="auto"/>
            <w:noWrap/>
            <w:vAlign w:val="bottom"/>
            <w:hideMark/>
          </w:tcPr>
          <w:p w14:paraId="6FBA729C"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0.42 (0.03, 0.90)</w:t>
            </w:r>
          </w:p>
        </w:tc>
        <w:tc>
          <w:tcPr>
            <w:tcW w:w="1900" w:type="dxa"/>
            <w:tcBorders>
              <w:top w:val="nil"/>
              <w:left w:val="nil"/>
              <w:bottom w:val="single" w:sz="4" w:space="0" w:color="auto"/>
              <w:right w:val="nil"/>
            </w:tcBorders>
            <w:shd w:val="clear" w:color="auto" w:fill="auto"/>
            <w:noWrap/>
            <w:vAlign w:val="bottom"/>
            <w:hideMark/>
          </w:tcPr>
          <w:p w14:paraId="5ECBC6E7" w14:textId="77777777" w:rsidR="00176FC5" w:rsidRPr="008476FB" w:rsidRDefault="00176FC5" w:rsidP="00D26CDB">
            <w:pPr>
              <w:spacing w:line="480" w:lineRule="auto"/>
              <w:rPr>
                <w:rFonts w:ascii="Times New Roman" w:eastAsia="Times New Roman" w:hAnsi="Times New Roman" w:cs="Times New Roman"/>
                <w:color w:val="000000"/>
                <w:sz w:val="20"/>
                <w:szCs w:val="20"/>
                <w:lang w:eastAsia="en-AU"/>
              </w:rPr>
            </w:pPr>
            <w:r w:rsidRPr="008476FB">
              <w:rPr>
                <w:rFonts w:ascii="Times New Roman" w:eastAsia="Times New Roman" w:hAnsi="Times New Roman" w:cs="Times New Roman"/>
                <w:color w:val="000000"/>
                <w:sz w:val="20"/>
                <w:szCs w:val="20"/>
                <w:lang w:eastAsia="en-AU"/>
              </w:rPr>
              <w:t>0.23 (0.03, 0.73)</w:t>
            </w:r>
          </w:p>
        </w:tc>
      </w:tr>
    </w:tbl>
    <w:p w14:paraId="21300A4A" w14:textId="77777777" w:rsidR="00176FC5" w:rsidRPr="008476FB" w:rsidRDefault="00176FC5" w:rsidP="00176FC5">
      <w:pPr>
        <w:pStyle w:val="Caption"/>
        <w:rPr>
          <w:rFonts w:ascii="Times New Roman" w:eastAsiaTheme="majorEastAsia" w:hAnsi="Times New Roman" w:cs="Times New Roman"/>
          <w:b w:val="0"/>
          <w:bCs w:val="0"/>
          <w:i/>
          <w:iCs/>
          <w:color w:val="auto"/>
          <w:szCs w:val="24"/>
          <w:vertAlign w:val="superscript"/>
        </w:rPr>
      </w:pPr>
      <w:r w:rsidRPr="008476FB">
        <w:rPr>
          <w:rFonts w:ascii="Times New Roman" w:eastAsiaTheme="majorEastAsia" w:hAnsi="Times New Roman" w:cs="Times New Roman"/>
          <w:b w:val="0"/>
          <w:bCs w:val="0"/>
          <w:i/>
          <w:iCs/>
          <w:color w:val="auto"/>
          <w:szCs w:val="24"/>
          <w:vertAlign w:val="superscript"/>
        </w:rPr>
        <w:t>Abbreviations: CrI, Credible interval.</w:t>
      </w:r>
    </w:p>
    <w:p w14:paraId="5D4A6D72" w14:textId="77777777" w:rsidR="00176FC5" w:rsidRPr="008476FB" w:rsidRDefault="00176FC5" w:rsidP="00176FC5">
      <w:pPr>
        <w:rPr>
          <w:rFonts w:ascii="Times New Roman" w:hAnsi="Times New Roman" w:cs="Times New Roman"/>
        </w:rPr>
      </w:pPr>
    </w:p>
    <w:sectPr w:rsidR="00176FC5" w:rsidRPr="008476FB" w:rsidSect="008D3A75">
      <w:footnotePr>
        <w:numRestart w:val="eachSect"/>
      </w:footnotePr>
      <w:pgSz w:w="11906" w:h="16838"/>
      <w:pgMar w:top="993" w:right="1440" w:bottom="993"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1346D" w14:textId="77777777" w:rsidR="004B2AC2" w:rsidRDefault="004B2AC2" w:rsidP="003D3BDC">
      <w:r>
        <w:separator/>
      </w:r>
    </w:p>
  </w:endnote>
  <w:endnote w:type="continuationSeparator" w:id="0">
    <w:p w14:paraId="75F936CF" w14:textId="77777777" w:rsidR="004B2AC2" w:rsidRDefault="004B2AC2" w:rsidP="003D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A271D" w14:textId="77777777" w:rsidR="004B2AC2" w:rsidRDefault="004B2AC2" w:rsidP="003D3BDC">
      <w:r>
        <w:separator/>
      </w:r>
    </w:p>
  </w:footnote>
  <w:footnote w:type="continuationSeparator" w:id="0">
    <w:p w14:paraId="195AA130" w14:textId="77777777" w:rsidR="004B2AC2" w:rsidRDefault="004B2AC2" w:rsidP="003D3BDC">
      <w:r>
        <w:continuationSeparator/>
      </w:r>
    </w:p>
  </w:footnote>
  <w:footnote w:id="1">
    <w:p w14:paraId="2DE21D82" w14:textId="77777777" w:rsidR="00AD503E" w:rsidRPr="008476FB" w:rsidRDefault="00AD503E" w:rsidP="003D3BDC">
      <w:pPr>
        <w:pStyle w:val="FootnoteText"/>
        <w:rPr>
          <w:rFonts w:ascii="Times New Roman" w:hAnsi="Times New Roman" w:cs="Times New Roman"/>
          <w:lang w:val="en-US"/>
        </w:rPr>
      </w:pPr>
      <w:r w:rsidRPr="008476FB">
        <w:rPr>
          <w:rStyle w:val="FootnoteReference"/>
          <w:rFonts w:ascii="Times New Roman" w:hAnsi="Times New Roman" w:cs="Times New Roman"/>
        </w:rPr>
        <w:footnoteRef/>
      </w:r>
      <w:r w:rsidRPr="008476FB">
        <w:rPr>
          <w:rFonts w:ascii="Times New Roman" w:hAnsi="Times New Roman" w:cs="Times New Roman"/>
        </w:rPr>
        <w:t xml:space="preserve"> </w:t>
      </w:r>
      <w:r w:rsidRPr="008476FB">
        <w:rPr>
          <w:rFonts w:ascii="Times New Roman" w:hAnsi="Times New Roman" w:cs="Times New Roman"/>
          <w:color w:val="000000"/>
          <w:lang w:val="en-GB"/>
        </w:rPr>
        <w:t xml:space="preserve">Nicholson S, </w:t>
      </w:r>
      <w:proofErr w:type="spellStart"/>
      <w:r w:rsidRPr="008476FB">
        <w:rPr>
          <w:rFonts w:ascii="Times New Roman" w:hAnsi="Times New Roman" w:cs="Times New Roman"/>
          <w:color w:val="000000"/>
          <w:lang w:val="en-GB"/>
        </w:rPr>
        <w:t>Karapanagiotidis</w:t>
      </w:r>
      <w:proofErr w:type="spellEnd"/>
      <w:r w:rsidRPr="008476FB">
        <w:rPr>
          <w:rFonts w:ascii="Times New Roman" w:hAnsi="Times New Roman" w:cs="Times New Roman"/>
          <w:color w:val="000000"/>
          <w:lang w:val="en-GB"/>
        </w:rPr>
        <w:t xml:space="preserve"> T, </w:t>
      </w:r>
      <w:proofErr w:type="spellStart"/>
      <w:r w:rsidRPr="008476FB">
        <w:rPr>
          <w:rFonts w:ascii="Times New Roman" w:hAnsi="Times New Roman" w:cs="Times New Roman"/>
          <w:color w:val="000000"/>
          <w:lang w:val="en-GB"/>
        </w:rPr>
        <w:t>Khvorov</w:t>
      </w:r>
      <w:proofErr w:type="spellEnd"/>
      <w:r w:rsidRPr="008476FB">
        <w:rPr>
          <w:rFonts w:ascii="Times New Roman" w:hAnsi="Times New Roman" w:cs="Times New Roman"/>
          <w:color w:val="000000"/>
          <w:lang w:val="en-GB"/>
        </w:rPr>
        <w:t xml:space="preserve"> A, et al. Evaluation of six commercial SARS-CoV-2 serology assays detecting different antibodies for clinical testing and serosurveillance. Open Forum Infect Dis </w:t>
      </w:r>
      <w:r w:rsidRPr="008476FB">
        <w:rPr>
          <w:rFonts w:ascii="Times New Roman" w:hAnsi="Times New Roman" w:cs="Times New Roman"/>
          <w:b/>
          <w:bCs/>
          <w:color w:val="000000"/>
          <w:lang w:val="en-GB"/>
        </w:rPr>
        <w:t>2021</w:t>
      </w:r>
      <w:r w:rsidRPr="008476FB">
        <w:rPr>
          <w:rFonts w:ascii="Times New Roman" w:hAnsi="Times New Roman" w:cs="Times New Roman"/>
          <w:color w:val="000000"/>
          <w:lang w:val="en-GB"/>
        </w:rPr>
        <w:t xml:space="preserve">; </w:t>
      </w:r>
      <w:hyperlink r:id="rId1" w:history="1">
        <w:r w:rsidRPr="008476FB">
          <w:rPr>
            <w:rFonts w:ascii="Times New Roman" w:hAnsi="Times New Roman" w:cs="Times New Roman"/>
            <w:color w:val="000000"/>
            <w:lang w:val="en-GB"/>
          </w:rPr>
          <w:t>https://doi.org/10.1093/ofid/ofab239.</w:t>
        </w:r>
      </w:hyperlink>
    </w:p>
  </w:footnote>
  <w:footnote w:id="2">
    <w:p w14:paraId="5692BE4C" w14:textId="77777777" w:rsidR="00AD503E" w:rsidRDefault="00AD503E" w:rsidP="003D3BDC">
      <w:pPr>
        <w:pStyle w:val="FootnoteText"/>
      </w:pPr>
      <w:r w:rsidRPr="008476FB">
        <w:rPr>
          <w:rFonts w:ascii="Times New Roman" w:hAnsi="Times New Roman" w:cs="Times New Roman"/>
          <w:color w:val="000000"/>
          <w:vertAlign w:val="superscript"/>
          <w:lang w:val="en-GB"/>
        </w:rPr>
        <w:footnoteRef/>
      </w:r>
      <w:r w:rsidRPr="008476FB">
        <w:rPr>
          <w:rFonts w:ascii="Times New Roman" w:hAnsi="Times New Roman" w:cs="Times New Roman"/>
          <w:color w:val="000000"/>
          <w:vertAlign w:val="superscript"/>
          <w:lang w:val="en-GB"/>
        </w:rPr>
        <w:t xml:space="preserve"> </w:t>
      </w:r>
      <w:r w:rsidRPr="008476FB">
        <w:rPr>
          <w:rFonts w:ascii="Times New Roman" w:hAnsi="Times New Roman" w:cs="Times New Roman"/>
          <w:color w:val="000000"/>
          <w:lang w:val="en-GB"/>
        </w:rPr>
        <w:t xml:space="preserve">Hueston L, </w:t>
      </w:r>
      <w:proofErr w:type="spellStart"/>
      <w:r w:rsidRPr="008476FB">
        <w:rPr>
          <w:rFonts w:ascii="Times New Roman" w:hAnsi="Times New Roman" w:cs="Times New Roman"/>
          <w:color w:val="000000"/>
          <w:lang w:val="en-GB"/>
        </w:rPr>
        <w:t>Kok</w:t>
      </w:r>
      <w:proofErr w:type="spellEnd"/>
      <w:r w:rsidRPr="008476FB">
        <w:rPr>
          <w:rFonts w:ascii="Times New Roman" w:hAnsi="Times New Roman" w:cs="Times New Roman"/>
          <w:color w:val="000000"/>
          <w:lang w:val="en-GB"/>
        </w:rPr>
        <w:t xml:space="preserve"> J, </w:t>
      </w:r>
      <w:proofErr w:type="spellStart"/>
      <w:r w:rsidRPr="008476FB">
        <w:rPr>
          <w:rFonts w:ascii="Times New Roman" w:hAnsi="Times New Roman" w:cs="Times New Roman"/>
          <w:color w:val="000000"/>
          <w:lang w:val="en-GB"/>
        </w:rPr>
        <w:t>Guibone</w:t>
      </w:r>
      <w:proofErr w:type="spellEnd"/>
      <w:r w:rsidRPr="008476FB">
        <w:rPr>
          <w:rFonts w:ascii="Times New Roman" w:hAnsi="Times New Roman" w:cs="Times New Roman"/>
          <w:color w:val="000000"/>
          <w:lang w:val="en-GB"/>
        </w:rPr>
        <w:t xml:space="preserve"> A, et al. The Antibody Response to SARS-CoV-2 Infection. Open Forum Infect Dis </w:t>
      </w:r>
      <w:r w:rsidRPr="008476FB">
        <w:rPr>
          <w:rFonts w:ascii="Times New Roman" w:hAnsi="Times New Roman" w:cs="Times New Roman"/>
          <w:b/>
          <w:bCs/>
          <w:color w:val="000000"/>
          <w:lang w:val="en-GB"/>
        </w:rPr>
        <w:t>2020</w:t>
      </w:r>
      <w:r w:rsidRPr="008476FB">
        <w:rPr>
          <w:rFonts w:ascii="Times New Roman" w:hAnsi="Times New Roman" w:cs="Times New Roman"/>
          <w:color w:val="000000"/>
          <w:lang w:val="en-GB"/>
        </w:rPr>
        <w:t>; 7:ofaa387.</w:t>
      </w:r>
    </w:p>
  </w:footnote>
  <w:footnote w:id="3">
    <w:p w14:paraId="569B3AAE" w14:textId="77777777" w:rsidR="00AD503E" w:rsidRPr="00E13386" w:rsidRDefault="00AD503E" w:rsidP="003D3BDC">
      <w:pPr>
        <w:pStyle w:val="FootnoteText"/>
        <w:rPr>
          <w:lang w:val="en-US"/>
        </w:rPr>
      </w:pPr>
      <w:r>
        <w:rPr>
          <w:rStyle w:val="FootnoteReference"/>
        </w:rPr>
        <w:footnoteRef/>
      </w:r>
      <w:r>
        <w:t xml:space="preserve"> </w:t>
      </w:r>
      <w:r>
        <w:rPr>
          <w:rFonts w:ascii="Helvetica" w:hAnsi="Helvetica" w:cs="Helvetica"/>
          <w:color w:val="000000"/>
          <w:lang w:val="en-GB"/>
        </w:rPr>
        <w:t xml:space="preserve">Australian Bureau of Statistics. Estimated Resident Population (ERP) by State/Territory, Sex and Age to March 2020. Available at: </w:t>
      </w:r>
      <w:hyperlink r:id="rId2" w:history="1">
        <w:r>
          <w:rPr>
            <w:rFonts w:ascii="Helvetica" w:hAnsi="Helvetica" w:cs="Helvetica"/>
            <w:color w:val="000000"/>
            <w:lang w:val="en-GB"/>
          </w:rPr>
          <w:t>http://stat.data.abs.gov.au/index.aspx?DatasetCode=ERP_QUARTERLY.</w:t>
        </w:r>
      </w:hyperlink>
      <w:r>
        <w:rPr>
          <w:rFonts w:ascii="Helvetica" w:hAnsi="Helvetica" w:cs="Helvetica"/>
          <w:color w:val="000000"/>
          <w:lang w:val="en-GB"/>
        </w:rPr>
        <w:t xml:space="preserve">  Accessed 17 December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25F"/>
    <w:multiLevelType w:val="hybridMultilevel"/>
    <w:tmpl w:val="63B6B4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046562"/>
    <w:multiLevelType w:val="hybridMultilevel"/>
    <w:tmpl w:val="AFFCF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300401C"/>
    <w:multiLevelType w:val="hybridMultilevel"/>
    <w:tmpl w:val="C14027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8CF1225"/>
    <w:multiLevelType w:val="hybridMultilevel"/>
    <w:tmpl w:val="45C649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DC"/>
    <w:rsid w:val="00015C4C"/>
    <w:rsid w:val="000475F2"/>
    <w:rsid w:val="00061BFD"/>
    <w:rsid w:val="00087F95"/>
    <w:rsid w:val="000C1A11"/>
    <w:rsid w:val="00101BCA"/>
    <w:rsid w:val="00121B4E"/>
    <w:rsid w:val="00176FC5"/>
    <w:rsid w:val="00186D1A"/>
    <w:rsid w:val="001B17FA"/>
    <w:rsid w:val="001E5BB6"/>
    <w:rsid w:val="002364D9"/>
    <w:rsid w:val="002803A7"/>
    <w:rsid w:val="003254FA"/>
    <w:rsid w:val="003D3BDC"/>
    <w:rsid w:val="004527DF"/>
    <w:rsid w:val="004607ED"/>
    <w:rsid w:val="00461495"/>
    <w:rsid w:val="004A0534"/>
    <w:rsid w:val="004A69C7"/>
    <w:rsid w:val="004B2AC2"/>
    <w:rsid w:val="004B578C"/>
    <w:rsid w:val="004D5B16"/>
    <w:rsid w:val="004E73A7"/>
    <w:rsid w:val="00574196"/>
    <w:rsid w:val="006305C8"/>
    <w:rsid w:val="0067240C"/>
    <w:rsid w:val="006E5781"/>
    <w:rsid w:val="00703250"/>
    <w:rsid w:val="00717854"/>
    <w:rsid w:val="00755180"/>
    <w:rsid w:val="00790572"/>
    <w:rsid w:val="007E4C7F"/>
    <w:rsid w:val="008476FB"/>
    <w:rsid w:val="00866905"/>
    <w:rsid w:val="008D31FB"/>
    <w:rsid w:val="008D3A75"/>
    <w:rsid w:val="008F750F"/>
    <w:rsid w:val="00916205"/>
    <w:rsid w:val="0095484B"/>
    <w:rsid w:val="00A0107F"/>
    <w:rsid w:val="00A43678"/>
    <w:rsid w:val="00A95AF6"/>
    <w:rsid w:val="00AD503E"/>
    <w:rsid w:val="00B44EEA"/>
    <w:rsid w:val="00B801DF"/>
    <w:rsid w:val="00BA690D"/>
    <w:rsid w:val="00BD0C9D"/>
    <w:rsid w:val="00C7119A"/>
    <w:rsid w:val="00CC7276"/>
    <w:rsid w:val="00CC7BDE"/>
    <w:rsid w:val="00D0320E"/>
    <w:rsid w:val="00D065DC"/>
    <w:rsid w:val="00D21B4C"/>
    <w:rsid w:val="00D9420B"/>
    <w:rsid w:val="00EA5D39"/>
    <w:rsid w:val="00EF36C1"/>
    <w:rsid w:val="00F71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BD1F"/>
  <w15:docId w15:val="{53BC9843-71A1-41C0-982B-0127CE90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DC"/>
    <w:pPr>
      <w:spacing w:after="0" w:line="240" w:lineRule="auto"/>
    </w:pPr>
    <w:rPr>
      <w:sz w:val="24"/>
      <w:szCs w:val="24"/>
    </w:rPr>
  </w:style>
  <w:style w:type="paragraph" w:styleId="Heading1">
    <w:name w:val="heading 1"/>
    <w:basedOn w:val="Normal"/>
    <w:next w:val="Normal"/>
    <w:link w:val="Heading1Char"/>
    <w:uiPriority w:val="9"/>
    <w:qFormat/>
    <w:rsid w:val="003D3BDC"/>
    <w:pPr>
      <w:spacing w:after="120"/>
      <w:outlineLvl w:val="0"/>
    </w:pPr>
    <w:rPr>
      <w:rFonts w:ascii="Arial" w:hAnsi="Arial" w:cs="Arial"/>
      <w:b/>
      <w:bCs/>
      <w:sz w:val="28"/>
      <w:szCs w:val="28"/>
    </w:rPr>
  </w:style>
  <w:style w:type="paragraph" w:styleId="Heading4">
    <w:name w:val="heading 4"/>
    <w:basedOn w:val="Subtitle"/>
    <w:next w:val="Normal"/>
    <w:link w:val="Heading4Char"/>
    <w:uiPriority w:val="9"/>
    <w:unhideWhenUsed/>
    <w:qFormat/>
    <w:rsid w:val="003D3BDC"/>
    <w:pPr>
      <w:numPr>
        <w:ilvl w:val="0"/>
      </w:numPr>
      <w:pBdr>
        <w:bottom w:val="single" w:sz="4" w:space="1" w:color="auto"/>
      </w:pBdr>
      <w:spacing w:after="120"/>
      <w:outlineLvl w:val="3"/>
    </w:pPr>
    <w:rPr>
      <w:rFonts w:ascii="Arial" w:eastAsiaTheme="minorHAnsi" w:hAnsi="Arial" w:cs="Arial"/>
      <w:b/>
      <w:bCs/>
      <w:color w:val="auto"/>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BDC"/>
    <w:rPr>
      <w:rFonts w:ascii="Arial" w:hAnsi="Arial" w:cs="Arial"/>
      <w:b/>
      <w:bCs/>
      <w:sz w:val="28"/>
      <w:szCs w:val="28"/>
    </w:rPr>
  </w:style>
  <w:style w:type="character" w:customStyle="1" w:styleId="Heading4Char">
    <w:name w:val="Heading 4 Char"/>
    <w:basedOn w:val="DefaultParagraphFont"/>
    <w:link w:val="Heading4"/>
    <w:uiPriority w:val="9"/>
    <w:rsid w:val="003D3BDC"/>
    <w:rPr>
      <w:rFonts w:ascii="Arial" w:hAnsi="Arial" w:cs="Arial"/>
      <w:b/>
      <w:bCs/>
      <w:sz w:val="28"/>
      <w:szCs w:val="28"/>
    </w:rPr>
  </w:style>
  <w:style w:type="paragraph" w:styleId="FootnoteText">
    <w:name w:val="footnote text"/>
    <w:basedOn w:val="Normal"/>
    <w:link w:val="FootnoteTextChar"/>
    <w:uiPriority w:val="99"/>
    <w:semiHidden/>
    <w:unhideWhenUsed/>
    <w:rsid w:val="003D3BDC"/>
    <w:rPr>
      <w:sz w:val="20"/>
      <w:szCs w:val="20"/>
    </w:rPr>
  </w:style>
  <w:style w:type="character" w:customStyle="1" w:styleId="FootnoteTextChar">
    <w:name w:val="Footnote Text Char"/>
    <w:basedOn w:val="DefaultParagraphFont"/>
    <w:link w:val="FootnoteText"/>
    <w:uiPriority w:val="99"/>
    <w:semiHidden/>
    <w:rsid w:val="003D3BDC"/>
    <w:rPr>
      <w:sz w:val="20"/>
      <w:szCs w:val="20"/>
    </w:rPr>
  </w:style>
  <w:style w:type="character" w:styleId="FootnoteReference">
    <w:name w:val="footnote reference"/>
    <w:basedOn w:val="DefaultParagraphFont"/>
    <w:uiPriority w:val="99"/>
    <w:semiHidden/>
    <w:unhideWhenUsed/>
    <w:rsid w:val="003D3BDC"/>
    <w:rPr>
      <w:vertAlign w:val="superscript"/>
    </w:rPr>
  </w:style>
  <w:style w:type="character" w:styleId="Strong">
    <w:name w:val="Strong"/>
    <w:uiPriority w:val="22"/>
    <w:qFormat/>
    <w:rsid w:val="003D3BDC"/>
  </w:style>
  <w:style w:type="paragraph" w:styleId="Subtitle">
    <w:name w:val="Subtitle"/>
    <w:basedOn w:val="Normal"/>
    <w:next w:val="Normal"/>
    <w:link w:val="SubtitleChar"/>
    <w:uiPriority w:val="11"/>
    <w:qFormat/>
    <w:rsid w:val="003D3BD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D3BDC"/>
    <w:rPr>
      <w:rFonts w:eastAsiaTheme="minorEastAsia"/>
      <w:color w:val="5A5A5A" w:themeColor="text1" w:themeTint="A5"/>
      <w:spacing w:val="15"/>
    </w:rPr>
  </w:style>
  <w:style w:type="character" w:styleId="LineNumber">
    <w:name w:val="line number"/>
    <w:basedOn w:val="DefaultParagraphFont"/>
    <w:uiPriority w:val="99"/>
    <w:semiHidden/>
    <w:unhideWhenUsed/>
    <w:rsid w:val="003D3BDC"/>
  </w:style>
  <w:style w:type="paragraph" w:styleId="BalloonText">
    <w:name w:val="Balloon Text"/>
    <w:basedOn w:val="Normal"/>
    <w:link w:val="BalloonTextChar"/>
    <w:uiPriority w:val="99"/>
    <w:semiHidden/>
    <w:unhideWhenUsed/>
    <w:rsid w:val="002803A7"/>
    <w:rPr>
      <w:rFonts w:ascii="Tahoma" w:hAnsi="Tahoma" w:cs="Tahoma"/>
      <w:sz w:val="16"/>
      <w:szCs w:val="16"/>
    </w:rPr>
  </w:style>
  <w:style w:type="character" w:customStyle="1" w:styleId="BalloonTextChar">
    <w:name w:val="Balloon Text Char"/>
    <w:basedOn w:val="DefaultParagraphFont"/>
    <w:link w:val="BalloonText"/>
    <w:uiPriority w:val="99"/>
    <w:semiHidden/>
    <w:rsid w:val="002803A7"/>
    <w:rPr>
      <w:rFonts w:ascii="Tahoma" w:hAnsi="Tahoma" w:cs="Tahoma"/>
      <w:sz w:val="16"/>
      <w:szCs w:val="16"/>
    </w:rPr>
  </w:style>
  <w:style w:type="character" w:styleId="CommentReference">
    <w:name w:val="annotation reference"/>
    <w:basedOn w:val="DefaultParagraphFont"/>
    <w:uiPriority w:val="99"/>
    <w:semiHidden/>
    <w:unhideWhenUsed/>
    <w:rsid w:val="00BA690D"/>
    <w:rPr>
      <w:sz w:val="16"/>
      <w:szCs w:val="16"/>
    </w:rPr>
  </w:style>
  <w:style w:type="paragraph" w:styleId="CommentText">
    <w:name w:val="annotation text"/>
    <w:basedOn w:val="Normal"/>
    <w:link w:val="CommentTextChar"/>
    <w:uiPriority w:val="99"/>
    <w:semiHidden/>
    <w:unhideWhenUsed/>
    <w:rsid w:val="00BA690D"/>
    <w:rPr>
      <w:sz w:val="20"/>
      <w:szCs w:val="20"/>
    </w:rPr>
  </w:style>
  <w:style w:type="character" w:customStyle="1" w:styleId="CommentTextChar">
    <w:name w:val="Comment Text Char"/>
    <w:basedOn w:val="DefaultParagraphFont"/>
    <w:link w:val="CommentText"/>
    <w:uiPriority w:val="99"/>
    <w:semiHidden/>
    <w:rsid w:val="00BA690D"/>
    <w:rPr>
      <w:sz w:val="20"/>
      <w:szCs w:val="20"/>
    </w:rPr>
  </w:style>
  <w:style w:type="paragraph" w:styleId="CommentSubject">
    <w:name w:val="annotation subject"/>
    <w:basedOn w:val="CommentText"/>
    <w:next w:val="CommentText"/>
    <w:link w:val="CommentSubjectChar"/>
    <w:uiPriority w:val="99"/>
    <w:semiHidden/>
    <w:unhideWhenUsed/>
    <w:rsid w:val="00BA690D"/>
    <w:rPr>
      <w:b/>
      <w:bCs/>
    </w:rPr>
  </w:style>
  <w:style w:type="character" w:customStyle="1" w:styleId="CommentSubjectChar">
    <w:name w:val="Comment Subject Char"/>
    <w:basedOn w:val="CommentTextChar"/>
    <w:link w:val="CommentSubject"/>
    <w:uiPriority w:val="99"/>
    <w:semiHidden/>
    <w:rsid w:val="00BA690D"/>
    <w:rPr>
      <w:b/>
      <w:bCs/>
      <w:sz w:val="20"/>
      <w:szCs w:val="20"/>
    </w:rPr>
  </w:style>
  <w:style w:type="paragraph" w:styleId="ListParagraph">
    <w:name w:val="List Paragraph"/>
    <w:basedOn w:val="Normal"/>
    <w:uiPriority w:val="34"/>
    <w:qFormat/>
    <w:rsid w:val="00574196"/>
    <w:pPr>
      <w:ind w:left="720"/>
      <w:contextualSpacing/>
    </w:pPr>
  </w:style>
  <w:style w:type="paragraph" w:styleId="Caption">
    <w:name w:val="caption"/>
    <w:basedOn w:val="Normal"/>
    <w:next w:val="Normal"/>
    <w:uiPriority w:val="35"/>
    <w:unhideWhenUsed/>
    <w:qFormat/>
    <w:rsid w:val="0095484B"/>
    <w:pPr>
      <w:spacing w:after="200"/>
    </w:pPr>
    <w:rPr>
      <w:b/>
      <w:bCs/>
      <w:color w:val="44546A" w:themeColor="text2"/>
      <w:sz w:val="22"/>
      <w:szCs w:val="22"/>
    </w:rPr>
  </w:style>
  <w:style w:type="paragraph" w:styleId="Header">
    <w:name w:val="header"/>
    <w:basedOn w:val="Normal"/>
    <w:link w:val="HeaderChar"/>
    <w:uiPriority w:val="99"/>
    <w:unhideWhenUsed/>
    <w:rsid w:val="00916205"/>
    <w:pPr>
      <w:tabs>
        <w:tab w:val="center" w:pos="4513"/>
        <w:tab w:val="right" w:pos="9026"/>
      </w:tabs>
    </w:pPr>
  </w:style>
  <w:style w:type="character" w:customStyle="1" w:styleId="HeaderChar">
    <w:name w:val="Header Char"/>
    <w:basedOn w:val="DefaultParagraphFont"/>
    <w:link w:val="Header"/>
    <w:uiPriority w:val="99"/>
    <w:rsid w:val="00916205"/>
    <w:rPr>
      <w:sz w:val="24"/>
      <w:szCs w:val="24"/>
    </w:rPr>
  </w:style>
  <w:style w:type="paragraph" w:styleId="Footer">
    <w:name w:val="footer"/>
    <w:basedOn w:val="Normal"/>
    <w:link w:val="FooterChar"/>
    <w:uiPriority w:val="99"/>
    <w:unhideWhenUsed/>
    <w:rsid w:val="00916205"/>
    <w:pPr>
      <w:tabs>
        <w:tab w:val="center" w:pos="4513"/>
        <w:tab w:val="right" w:pos="9026"/>
      </w:tabs>
    </w:pPr>
  </w:style>
  <w:style w:type="character" w:customStyle="1" w:styleId="FooterChar">
    <w:name w:val="Footer Char"/>
    <w:basedOn w:val="DefaultParagraphFont"/>
    <w:link w:val="Footer"/>
    <w:uiPriority w:val="99"/>
    <w:rsid w:val="009162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at.data.abs.gov.au/index.aspx?DatasetCode=ERP_QUARTERLY." TargetMode="External"/><Relationship Id="rId1" Type="http://schemas.openxmlformats.org/officeDocument/2006/relationships/hyperlink" Target="https://doi.org/10.1093/ofid/ofab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C8D9-9C13-4BDE-A3D2-8F55C139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SCHN</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Vette</dc:creator>
  <cp:lastModifiedBy>Kaitlyn Vette</cp:lastModifiedBy>
  <cp:revision>28</cp:revision>
  <dcterms:created xsi:type="dcterms:W3CDTF">2021-07-21T07:02:00Z</dcterms:created>
  <dcterms:modified xsi:type="dcterms:W3CDTF">2021-08-04T07:53:00Z</dcterms:modified>
</cp:coreProperties>
</file>