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54" w:rsidRPr="00C53F54" w:rsidRDefault="00C53F54" w:rsidP="00C53F54">
      <w:pPr>
        <w:spacing w:after="120" w:line="360" w:lineRule="auto"/>
        <w:ind w:left="-851" w:right="-85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Table 1S.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D85">
        <w:rPr>
          <w:rFonts w:ascii="Times New Roman" w:hAnsi="Times New Roman" w:cs="Times New Roman"/>
          <w:sz w:val="24"/>
          <w:szCs w:val="24"/>
          <w:lang w:val="en-US"/>
        </w:rPr>
        <w:t>Mean density ± standard error (individuals m</w:t>
      </w:r>
      <w:r w:rsidR="00210D85" w:rsidRPr="009C0D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210D85">
        <w:rPr>
          <w:rFonts w:ascii="Times New Roman" w:hAnsi="Times New Roman" w:cs="Times New Roman"/>
          <w:sz w:val="24"/>
          <w:szCs w:val="24"/>
          <w:lang w:val="en-US"/>
        </w:rPr>
        <w:t>) and c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omposition of the </w:t>
      </w:r>
      <w:proofErr w:type="spellStart"/>
      <w:r w:rsidRPr="00225CF5">
        <w:rPr>
          <w:rFonts w:ascii="Times New Roman" w:hAnsi="Times New Roman" w:cs="Times New Roman"/>
          <w:sz w:val="24"/>
          <w:szCs w:val="24"/>
          <w:lang w:val="en-US"/>
        </w:rPr>
        <w:t>holoplankton</w:t>
      </w:r>
      <w:proofErr w:type="spellEnd"/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groups considered in this study at </w:t>
      </w:r>
      <w:r>
        <w:rPr>
          <w:rFonts w:ascii="Times New Roman" w:hAnsi="Times New Roman" w:cs="Times New Roman"/>
          <w:sz w:val="24"/>
          <w:szCs w:val="24"/>
          <w:lang w:val="en-US"/>
        </w:rPr>
        <w:t>Bilbao 35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Urdaibai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, Plymouth L4 and </w:t>
      </w:r>
      <w:proofErr w:type="spellStart"/>
      <w:r w:rsidRPr="00225CF5">
        <w:rPr>
          <w:rFonts w:ascii="Times New Roman" w:hAnsi="Times New Roman" w:cs="Times New Roman"/>
          <w:sz w:val="24"/>
          <w:szCs w:val="24"/>
          <w:lang w:val="en-US"/>
        </w:rPr>
        <w:t>Stonehaven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0D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he value in </w:t>
      </w:r>
      <w:r>
        <w:rPr>
          <w:rFonts w:ascii="Times New Roman" w:hAnsi="Times New Roman" w:cs="Times New Roman"/>
          <w:sz w:val="24"/>
          <w:szCs w:val="24"/>
          <w:lang w:val="en-US"/>
        </w:rPr>
        <w:t>parentheses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is the contribution in percentage of each identified category to the total.</w:t>
      </w:r>
    </w:p>
    <w:tbl>
      <w:tblPr>
        <w:tblW w:w="10197" w:type="dxa"/>
        <w:jc w:val="center"/>
        <w:tblCellMar>
          <w:left w:w="0" w:type="dxa"/>
          <w:right w:w="0" w:type="dxa"/>
        </w:tblCellMar>
        <w:tblLook w:val="0600"/>
      </w:tblPr>
      <w:tblGrid>
        <w:gridCol w:w="1701"/>
        <w:gridCol w:w="2268"/>
        <w:gridCol w:w="2146"/>
        <w:gridCol w:w="2041"/>
        <w:gridCol w:w="2041"/>
      </w:tblGrid>
      <w:tr w:rsidR="00C53F54" w:rsidRPr="00C927FB">
        <w:trPr>
          <w:trHeight w:val="374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  <w:t>Taxa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Bilbao 35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Urdaibai 35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Plymouth L4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Stonehaven</w:t>
            </w:r>
          </w:p>
        </w:tc>
      </w:tr>
      <w:tr w:rsidR="00C53F54" w:rsidRPr="00216228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993181" w:rsidRDefault="00C53F54" w:rsidP="001901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Siphonophores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1AAD" w:rsidRPr="00210D85" w:rsidRDefault="009C0D19" w:rsidP="00210D85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46.99 ± 6.74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71.0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Siphonophores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(23.8)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atlantica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(3.4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kochii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(1.4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Sphaeronectidae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(0.4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82013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13.72 ± 3.26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Muggiaea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(74.4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iphonophores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(20.9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kochii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(2.8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atlantica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(1.8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79.39 ± 10.89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Muggiaea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(47.2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Siphonophores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(41.8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atlantica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993181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10.3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ther species (0.6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.87 ± 2.29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Diphyidae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(51.8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Muggiaea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atlantica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(47.9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Other species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(0.3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</w:tc>
      </w:tr>
      <w:tr w:rsidR="00C53F54" w:rsidRPr="00216228">
        <w:trPr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993181" w:rsidRDefault="00C53F54" w:rsidP="0019017F">
            <w:pPr>
              <w:spacing w:after="20" w:line="240" w:lineRule="auto"/>
              <w:textAlignment w:val="center"/>
              <w:rPr>
                <w:rFonts w:ascii="Times New Roman" w:eastAsia="Times New Roman" w:hAnsi="Times New Roman" w:cs="Times New Roman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Chaetognaths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0D19" w:rsidRPr="00210D85" w:rsidRDefault="009C0D19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21.69 ± 4.63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Sagittidae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 xml:space="preserve"> (90.4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Parasagitta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 xml:space="preserve"> friderici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 xml:space="preserve"> (9.6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82013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6.95 ± 1.63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Sagittidae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 xml:space="preserve"> (94.8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Parasagitta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 xml:space="preserve"> friderici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>(5.2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40.38 ± 3.52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haetognathes (86.6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Parasagitta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 xml:space="preserve"> </w:t>
            </w: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setosa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(11.9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Parasagitta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elegans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(1.5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20.54 ± 2.36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Sagittidae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(81.6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Parasagitta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elegans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(17.7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ther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chaetognaths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(0.7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)</w:t>
            </w:r>
          </w:p>
        </w:tc>
      </w:tr>
      <w:tr w:rsidR="00C53F54" w:rsidRPr="00C927FB">
        <w:trPr>
          <w:trHeight w:val="73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993181" w:rsidRDefault="00C53F54" w:rsidP="001901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Cladocerans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0D19" w:rsidRPr="00210D85" w:rsidRDefault="009C0D19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264.66 ± 39.61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(58.0)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(35.3)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Penilia avirostris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(6.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7)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82013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82.72 ± 17.52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(61.2)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(25.7)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Penilia avirostris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(13.1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171.46 ± 28.33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(74.6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(25.4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Penilia avirostris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(&gt;0.01)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37.19 ± 9.48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(54.1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Evadne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(45.9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</w:tr>
      <w:tr w:rsidR="00C53F54" w:rsidRPr="00216228">
        <w:trPr>
          <w:trHeight w:val="198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993181" w:rsidRDefault="00C53F54" w:rsidP="001901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Copepods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0D19" w:rsidRPr="00210D85" w:rsidRDefault="009C0D19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2019.19 ± 174.23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Acartia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(51.4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PCPC-calanus (25.8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(10.2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ther copepods (4.0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(2.7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Centropages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(2.5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(2.3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Calanid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ae (1.0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Corycaeidae (0.2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82013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2205.03 ± 395.01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Acartia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(55.2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PCPCalanus (23.1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(9.0)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ther copepods (5.3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Centropages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(1.7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Corycaeidae</w:t>
            </w: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(0.3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Calanidae (0.2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2336.27 ± 110.17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PCPCalanus (33.1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(17.6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(15.4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(9.3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copepods (9.2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Acartia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(6.5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Calanidae (3.8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Corycaeidae (3.7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Centropages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(1.2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1356.88 ± 124.08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Acartia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(41.0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PCPCalanus (19.9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(19.1)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(10.9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Calanidae (5.1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5A0B0F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076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Centropages</w:t>
            </w:r>
            <w:proofErr w:type="spellEnd"/>
            <w:r w:rsidRPr="0090768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(2.8</w:t>
            </w:r>
          </w:p>
          <w:p w:rsidR="00C53F54" w:rsidRPr="005A0B0F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0768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Other copepods (1.1)</w:t>
            </w:r>
          </w:p>
          <w:p w:rsidR="00C53F54" w:rsidRPr="005A0B0F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076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Oncaea</w:t>
            </w:r>
            <w:proofErr w:type="spellEnd"/>
            <w:r w:rsidRPr="0090768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(0.1)</w:t>
            </w:r>
          </w:p>
          <w:p w:rsidR="00C53F54" w:rsidRPr="005A0B0F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n-GB"/>
              </w:rPr>
            </w:pPr>
            <w:proofErr w:type="spellStart"/>
            <w:r w:rsidRPr="0090768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Corycaeidae</w:t>
            </w:r>
            <w:proofErr w:type="spellEnd"/>
            <w:r w:rsidRPr="0090768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(0.1)</w:t>
            </w:r>
          </w:p>
        </w:tc>
      </w:tr>
      <w:tr w:rsidR="00C53F54" w:rsidRPr="00C927FB">
        <w:trPr>
          <w:trHeight w:val="1757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993181" w:rsidRDefault="00C53F54" w:rsidP="001901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Appendicularians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0D19" w:rsidRPr="00210D85" w:rsidRDefault="009C0D19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197.43 ± 24.61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Oikopleura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(67.4)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Oikopleura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dioica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(17.4)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Fritillaria pellucida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(4.4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Fritillaria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Fritillaria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borealis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Oikopleura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fusiformis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(2.4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Oikopleura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longicauda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Fritillaria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haplostoma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(0.02)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082013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80.69 ± 13.21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Oikopleura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(77.5)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Oikopleura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dioica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(12.7)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Oikopleura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fusiformis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(3.9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Fritillaria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(2.6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Fritillaria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pellucida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(2.0)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Fritillaria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borealis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(0.8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93181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Oikopleura</w:t>
            </w:r>
            <w:proofErr w:type="spellEnd"/>
            <w:r w:rsidRPr="0099318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longicauda</w:t>
            </w: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(0.5)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13"/>
              <w:textAlignment w:val="top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114.34 ± 12.49</w:t>
            </w:r>
          </w:p>
          <w:p w:rsidR="00C53F54" w:rsidRPr="00993181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Appendicularia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134.75 ± 18.62</w:t>
            </w:r>
          </w:p>
          <w:p w:rsidR="00C53F54" w:rsidRPr="00993181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Appendicularia</w:t>
            </w:r>
          </w:p>
        </w:tc>
      </w:tr>
      <w:tr w:rsidR="00C53F54" w:rsidRPr="00C927FB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3F54" w:rsidRPr="00993181" w:rsidRDefault="00C53F54" w:rsidP="0019017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Doliolids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C0D19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29.74</w:t>
            </w:r>
            <w:r w:rsidR="009C0D19"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±</w:t>
            </w: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6.65</w:t>
            </w:r>
          </w:p>
          <w:p w:rsidR="00C53F54" w:rsidRPr="009F746B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Doliolum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nationalis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(67.0)</w:t>
            </w:r>
          </w:p>
          <w:p w:rsidR="00C53F54" w:rsidRPr="009F746B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Doliolum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(33.0)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bottom w:w="0" w:type="dxa"/>
            </w:tcMar>
          </w:tcPr>
          <w:p w:rsidR="00082013" w:rsidRPr="00210D85" w:rsidRDefault="00082013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13.80 ± 5.02</w:t>
            </w:r>
          </w:p>
          <w:p w:rsidR="00C53F54" w:rsidRPr="009F746B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s-ES_tradnl" w:eastAsia="en-GB"/>
              </w:rPr>
              <w:t>Doliolum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nationalis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(61.0)</w:t>
            </w:r>
          </w:p>
          <w:p w:rsidR="00C53F54" w:rsidRPr="009F746B" w:rsidRDefault="00C53F54" w:rsidP="0019017F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Doliolum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(39.0)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4.07 ± 1.67</w:t>
            </w:r>
          </w:p>
          <w:p w:rsidR="00C53F54" w:rsidRPr="009F746B" w:rsidRDefault="00C53F54" w:rsidP="0019017F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Doliolidae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082013" w:rsidRPr="00210D85" w:rsidRDefault="00082013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</w:t>
            </w:r>
            <w:r w:rsidRPr="00210D85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05 ± 0.03</w:t>
            </w:r>
          </w:p>
          <w:p w:rsidR="00C53F54" w:rsidRPr="009F746B" w:rsidRDefault="00C53F54" w:rsidP="0019017F">
            <w:pPr>
              <w:spacing w:after="4" w:line="240" w:lineRule="auto"/>
              <w:ind w:left="-109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Doliolidae</w:t>
            </w:r>
          </w:p>
        </w:tc>
      </w:tr>
    </w:tbl>
    <w:p w:rsidR="00C53F54" w:rsidRDefault="00C53F54" w:rsidP="0019017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Default="00C53F54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46B" w:rsidRDefault="009F746B" w:rsidP="00C53F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F54" w:rsidRPr="00C53F54" w:rsidRDefault="00C53F54" w:rsidP="00C53F54">
      <w:pPr>
        <w:spacing w:after="120" w:line="360" w:lineRule="auto"/>
        <w:ind w:left="-851" w:right="-10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F54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C53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2S</w:t>
      </w:r>
      <w:r w:rsidRPr="00C53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E63">
        <w:rPr>
          <w:rFonts w:ascii="Times New Roman" w:hAnsi="Times New Roman" w:cs="Times New Roman"/>
          <w:sz w:val="24"/>
          <w:szCs w:val="24"/>
          <w:lang w:val="en-US"/>
        </w:rPr>
        <w:t>Mean density ± standard error (individuals m</w:t>
      </w:r>
      <w:r w:rsidR="00177E63" w:rsidRPr="009C0D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177E63">
        <w:rPr>
          <w:rFonts w:ascii="Times New Roman" w:hAnsi="Times New Roman" w:cs="Times New Roman"/>
          <w:sz w:val="24"/>
          <w:szCs w:val="24"/>
          <w:lang w:val="en-US"/>
        </w:rPr>
        <w:t>) and c</w:t>
      </w:r>
      <w:r w:rsidR="00B61485">
        <w:rPr>
          <w:rFonts w:ascii="Times New Roman" w:hAnsi="Times New Roman" w:cs="Times New Roman"/>
          <w:sz w:val="24"/>
          <w:szCs w:val="24"/>
          <w:lang w:val="en-US"/>
        </w:rPr>
        <w:t xml:space="preserve">omposition of the </w:t>
      </w:r>
      <w:proofErr w:type="spellStart"/>
      <w:r w:rsidR="00B61485">
        <w:rPr>
          <w:rFonts w:ascii="Times New Roman" w:hAnsi="Times New Roman" w:cs="Times New Roman"/>
          <w:sz w:val="24"/>
          <w:szCs w:val="24"/>
          <w:lang w:val="en-US"/>
        </w:rPr>
        <w:t>mer</w:t>
      </w:r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>oplankton</w:t>
      </w:r>
      <w:proofErr w:type="spellEnd"/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groups considered in this study at </w:t>
      </w:r>
      <w:r w:rsidR="00177E63">
        <w:rPr>
          <w:rFonts w:ascii="Times New Roman" w:hAnsi="Times New Roman" w:cs="Times New Roman"/>
          <w:sz w:val="24"/>
          <w:szCs w:val="24"/>
          <w:lang w:val="en-US"/>
        </w:rPr>
        <w:t>Bilbao 35</w:t>
      </w:r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7E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7E63">
        <w:rPr>
          <w:rFonts w:ascii="Times New Roman" w:hAnsi="Times New Roman" w:cs="Times New Roman"/>
          <w:sz w:val="24"/>
          <w:szCs w:val="24"/>
          <w:lang w:val="en-US"/>
        </w:rPr>
        <w:t>Urdaibai</w:t>
      </w:r>
      <w:proofErr w:type="spellEnd"/>
      <w:r w:rsidR="00177E63">
        <w:rPr>
          <w:rFonts w:ascii="Times New Roman" w:hAnsi="Times New Roman" w:cs="Times New Roman"/>
          <w:sz w:val="24"/>
          <w:szCs w:val="24"/>
          <w:lang w:val="en-US"/>
        </w:rPr>
        <w:t xml:space="preserve"> 35</w:t>
      </w:r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, Plymouth L4 and </w:t>
      </w:r>
      <w:proofErr w:type="spellStart"/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>Stonehaven</w:t>
      </w:r>
      <w:proofErr w:type="spellEnd"/>
      <w:r w:rsidR="00177E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E6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he value in </w:t>
      </w:r>
      <w:r w:rsidR="00177E63">
        <w:rPr>
          <w:rFonts w:ascii="Times New Roman" w:hAnsi="Times New Roman" w:cs="Times New Roman"/>
          <w:sz w:val="24"/>
          <w:szCs w:val="24"/>
          <w:lang w:val="en-US"/>
        </w:rPr>
        <w:t>parentheses</w:t>
      </w:r>
      <w:r w:rsidR="00177E63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is the contribution in percentage of each identified category to the total.</w:t>
      </w:r>
    </w:p>
    <w:tbl>
      <w:tblPr>
        <w:tblW w:w="10193" w:type="dxa"/>
        <w:jc w:val="center"/>
        <w:tblCellMar>
          <w:left w:w="0" w:type="dxa"/>
          <w:right w:w="0" w:type="dxa"/>
        </w:tblCellMar>
        <w:tblLook w:val="0600"/>
      </w:tblPr>
      <w:tblGrid>
        <w:gridCol w:w="1361"/>
        <w:gridCol w:w="2154"/>
        <w:gridCol w:w="2268"/>
        <w:gridCol w:w="2295"/>
        <w:gridCol w:w="2115"/>
      </w:tblGrid>
      <w:tr w:rsidR="00C53F54" w:rsidRPr="00C650EF">
        <w:trPr>
          <w:trHeight w:val="368"/>
          <w:jc w:val="center"/>
        </w:trPr>
        <w:tc>
          <w:tcPr>
            <w:tcW w:w="13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</w:pPr>
            <w:proofErr w:type="spellStart"/>
            <w:r w:rsidRPr="00993181"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  <w:t>Taxa</w:t>
            </w:r>
            <w:proofErr w:type="spellEnd"/>
          </w:p>
        </w:tc>
        <w:tc>
          <w:tcPr>
            <w:tcW w:w="21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Bilbao 35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Urdaibai 35</w:t>
            </w:r>
          </w:p>
        </w:tc>
        <w:tc>
          <w:tcPr>
            <w:tcW w:w="2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ind w:left="-89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Plymouth L4</w:t>
            </w:r>
          </w:p>
        </w:tc>
        <w:tc>
          <w:tcPr>
            <w:tcW w:w="21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  <w:vAlign w:val="center"/>
          </w:tcPr>
          <w:p w:rsidR="00C53F54" w:rsidRPr="00993181" w:rsidRDefault="00C53F54" w:rsidP="00AA6A79">
            <w:pPr>
              <w:spacing w:after="0" w:line="240" w:lineRule="auto"/>
              <w:ind w:left="-113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9931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Stonehaven</w:t>
            </w:r>
          </w:p>
        </w:tc>
      </w:tr>
      <w:tr w:rsidR="00C53F54" w:rsidRPr="00C12E46">
        <w:trPr>
          <w:trHeight w:val="2211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Medusae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AA6A79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15.24 ± 1.94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Obelia</w:t>
            </w: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(37.0)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Medusae (22.2)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Hydromedusae (10.3)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Lizzia blondina</w:t>
            </w: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(9.8)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Sarsia</w:t>
            </w: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(8.8)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Liriope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tetraphylla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(7.8)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Anthomedusae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(3.3)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Hydractiniidae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(0.9)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E7F8B" w:rsidRPr="00AA6A79" w:rsidRDefault="00CE7F8B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8.10 ± 1.81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Lizzia blondina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(24.9)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Obelia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(23.1)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Medusae (20.5)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Sarsia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(12.8)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Hydromedusae (12.1)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Liriope tetraphylla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(6.2)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AA6A79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41.73 ± 7.88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Obelia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(24.6)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Hydromedusae (21.9)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Lizzia blondina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(19.4)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Liriope tetraphylla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(16.2)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Solmaris corona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(13.7)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Aglantha digitale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(2.5)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medusae (1.6)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AA6A79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2.91 ± 0.50</w:t>
            </w:r>
          </w:p>
          <w:p w:rsidR="00C53F54" w:rsidRPr="005A0B0F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Obelia</w:t>
            </w: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(43.6)</w:t>
            </w:r>
          </w:p>
          <w:p w:rsidR="00C53F54" w:rsidRPr="005A0B0F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Hybocodon prolifer</w:t>
            </w: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(14.7)</w:t>
            </w:r>
          </w:p>
          <w:p w:rsidR="00C53F54" w:rsidRPr="005A0B0F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Aglantha digitale </w:t>
            </w: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(13.4)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Rathkea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octopunctata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(10.4)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Clytia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hemisphaerica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(5.0)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Lizzia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blondina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(4.18)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Other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medusae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(3.5)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Sarsia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(2.4)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Corymorpha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nutans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(1.7)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Leuckartiara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>octona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GB"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(1.2)</w:t>
            </w:r>
          </w:p>
        </w:tc>
      </w:tr>
      <w:tr w:rsidR="00C53F54" w:rsidRPr="00C650EF">
        <w:trPr>
          <w:trHeight w:val="397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Bryozoans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AA6A79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3.15 ± 0.58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Cyphonaute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E7F8B" w:rsidRPr="00AA6A79" w:rsidRDefault="00CE7F8B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4.28 ± 0.92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Cyphonaute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AA6A79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16.29 ± 1.51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Cyphonaute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AA6A79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43.31 ± 3.80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Cyphonaute</w:t>
            </w:r>
          </w:p>
        </w:tc>
      </w:tr>
      <w:tr w:rsidR="00C53F54" w:rsidRPr="00C650EF">
        <w:trPr>
          <w:trHeight w:val="964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Gastropods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AA6A79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74.10 ± 11.28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Gastropod veliger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E7F8B" w:rsidRPr="00AA6A79" w:rsidRDefault="00CE7F8B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254.11 ± 60.55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Gastropod veliger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AA6A79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63.57 ± 17.09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Gastropod veliger (81.2)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Limacina retroversa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(18.5)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gastropods (0.3)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AA6A79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81.37 ± 28.64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Limacina. retroversa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(70.8)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Gastropod veliger (23.3), Gymnosomata (5.6)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gastropds (0.3)</w:t>
            </w:r>
          </w:p>
        </w:tc>
      </w:tr>
      <w:tr w:rsidR="00C53F54" w:rsidRPr="00C650EF">
        <w:trPr>
          <w:trHeight w:val="397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Bivalves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AA6A79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52.37 ± 8.92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Bivalve veliger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E7F8B" w:rsidRPr="00AA6A79" w:rsidRDefault="00CE7F8B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45.72 ± 7.37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Bivalve veliger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AA6A79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54.50 ± 9.93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Bivalve veliger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AA6A79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86.67 ± 12.39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Bivalve veliger</w:t>
            </w:r>
          </w:p>
        </w:tc>
      </w:tr>
      <w:tr w:rsidR="00C53F54" w:rsidRPr="00C650EF">
        <w:trPr>
          <w:trHeight w:val="1587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Polychaetes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AA6A79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7.85 ± 1.29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Spionidae larvae (68.6)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Polychaete larvae (15.7)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Magelonidae larvae (5.6)</w:t>
            </w:r>
          </w:p>
          <w:p w:rsidR="00C53F54" w:rsidRPr="005A0B0F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Sabellariidae larvae (4.0)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Polynoidae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larvae (3.2)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Aphroditidae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larvae (2.7)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Other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polychaetes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(0.2)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E7F8B" w:rsidRPr="00AA6A79" w:rsidRDefault="00CE7F8B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11.10 ± 1.61</w:t>
            </w:r>
          </w:p>
          <w:p w:rsidR="00C53F54" w:rsidRPr="005A0B0F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Spionidae larvae (90.5)</w:t>
            </w:r>
          </w:p>
          <w:p w:rsidR="00C53F54" w:rsidRPr="005A0B0F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Polychaete larvae (2.6)</w:t>
            </w:r>
          </w:p>
          <w:p w:rsidR="00C53F54" w:rsidRPr="005A0B0F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Sabellariidae larvae (4.6)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Polynoidae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larvae (1.2)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Other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>polychaetes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GB" w:eastAsia="en-GB"/>
              </w:rPr>
              <w:t xml:space="preserve"> (1.0)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AA6A79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20.96 ± 1.97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Polychaete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larvae (98.8)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Tomopteris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helgolandica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(1.2)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AA6A79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124.37 ± 33.04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Polychaete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larvae (99.4)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Other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polychaetes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(0.6)</w:t>
            </w:r>
          </w:p>
        </w:tc>
      </w:tr>
      <w:tr w:rsidR="00C53F54" w:rsidRPr="00216228">
        <w:trPr>
          <w:trHeight w:val="737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Cirripedes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AA6A79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1061.93 ± 138.88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Cirriped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nauplius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(95.7) and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cypris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(4.3) larvae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CE7F8B" w:rsidRPr="00AA6A79" w:rsidRDefault="005616A3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314.41</w:t>
            </w:r>
            <w:r w:rsidR="00CE7F8B"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± </w:t>
            </w: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67.63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Cirriped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nauplius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(68.1) and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cypris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(31.9) larvae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AA6A79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AA6A79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356.89 ± 69.82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Cirriped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nauplius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(93.4),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cypris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(6.6) and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rhizocephalan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(0.02) larvae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544CDD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55.55 ± 7.34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Cirriped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nauplius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(58.5) and </w:t>
            </w:r>
            <w:proofErr w:type="spellStart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cypris</w:t>
            </w:r>
            <w:proofErr w:type="spellEnd"/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(41.5) larvae</w:t>
            </w:r>
          </w:p>
        </w:tc>
      </w:tr>
      <w:tr w:rsidR="00C53F54" w:rsidRPr="00C12E46">
        <w:trPr>
          <w:trHeight w:val="2835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Decapods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544CDD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26.06 ± 5.15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Brachiura (36.4)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Decapod (15.9)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Caridea (15.3)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Crangonidae (5.5)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Hyppolitidae (4.2)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Processa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(4.0)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Pisidia longicornis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(4.0)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Paguridea (3.4)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Crangon crangon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(2.9)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Athanas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(2.5)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decapods (2.3)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Porcellana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(2.0)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Porcessidae  (1.4)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616A3" w:rsidRPr="00544CDD" w:rsidRDefault="005616A3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9.03 ± 1.78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Brachiura (63.7)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Decapod (11.5)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Caridea (11.1)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Crangonidae (6.8)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decapods (3.6)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Phyllocheras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(1.1)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Alpheidae (1.1)</w:t>
            </w:r>
          </w:p>
          <w:p w:rsidR="00C53F54" w:rsidRPr="005A0B0F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Porcellana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(1.0)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544CDD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16.68 ± 1.11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Decapod (55.9)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Brachyura (30.6)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Porcellanid (6.3)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decapoda (1.9)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Necora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(1.8)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Paguridae (1.7)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Upogebia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(1.7)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544CDD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9.29 ± 1.01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Decapoda</w:t>
            </w:r>
          </w:p>
        </w:tc>
      </w:tr>
      <w:tr w:rsidR="00C53F54" w:rsidRPr="00C650EF">
        <w:trPr>
          <w:trHeight w:val="1191"/>
          <w:jc w:val="center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Echinoderms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E7F8B" w:rsidRPr="00544CDD" w:rsidRDefault="00CE7F8B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4.80 ± 1.24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Ophiopluteus (61.5)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Echinopluteus (32.7)</w:t>
            </w:r>
          </w:p>
          <w:p w:rsidR="00C53F54" w:rsidRPr="00F851B5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Auricularia (5.8)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5616A3" w:rsidRPr="00544CDD" w:rsidRDefault="005616A3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1.15 ± 0.34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Ophiopluteus (45.9)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Echino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pluteus</w:t>
            </w: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(33.3)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Auricularia (11.7)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Brachiolaria (6.1)</w:t>
            </w:r>
          </w:p>
          <w:p w:rsidR="00C53F54" w:rsidRPr="00F851B5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Bipinnaria (2.9)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5616A3" w:rsidRPr="00544CDD" w:rsidRDefault="005616A3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106.26 ± 18.99</w:t>
            </w:r>
          </w:p>
          <w:p w:rsidR="00C53F54" w:rsidRPr="005A0B0F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Echinoderm larvae (63.3)</w:t>
            </w:r>
          </w:p>
          <w:p w:rsidR="00C53F54" w:rsidRPr="005A0B0F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Ophiopluteus</w:t>
            </w:r>
            <w:proofErr w:type="spellEnd"/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(29.7)</w:t>
            </w:r>
          </w:p>
          <w:p w:rsidR="00C53F54" w:rsidRPr="005A0B0F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Echinopluteus</w:t>
            </w:r>
            <w:proofErr w:type="spellEnd"/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(4.0)</w:t>
            </w:r>
          </w:p>
          <w:p w:rsidR="00C53F54" w:rsidRPr="005A0B0F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Auricularia</w:t>
            </w:r>
            <w:proofErr w:type="spellEnd"/>
            <w:r w:rsidRPr="00EF21AE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(1.9)</w:t>
            </w:r>
          </w:p>
          <w:p w:rsidR="00C53F54" w:rsidRPr="00F851B5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echinodermata (1.1)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5616A3" w:rsidRPr="00544CDD" w:rsidRDefault="005616A3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47.17 ± 7.63</w:t>
            </w:r>
          </w:p>
          <w:p w:rsidR="00C53F54" w:rsidRPr="00F851B5" w:rsidRDefault="00C53F54" w:rsidP="00AA6A79">
            <w:pPr>
              <w:spacing w:after="4" w:line="240" w:lineRule="auto"/>
              <w:ind w:left="-113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F851B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Echinodermata larvae</w:t>
            </w:r>
          </w:p>
        </w:tc>
      </w:tr>
      <w:tr w:rsidR="00C53F54" w:rsidRPr="00C12E46">
        <w:trPr>
          <w:trHeight w:val="1361"/>
          <w:jc w:val="center"/>
        </w:trPr>
        <w:tc>
          <w:tcPr>
            <w:tcW w:w="13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3F54" w:rsidRPr="00BD30E6" w:rsidRDefault="00C53F54" w:rsidP="00AA6A79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Pisces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926892" w:rsidRPr="00544CDD" w:rsidRDefault="00926892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17.00 ± 4.12</w:t>
            </w:r>
          </w:p>
          <w:p w:rsidR="00C53F54" w:rsidRPr="009F746B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Engraulis encrasicolus</w:t>
            </w: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eggs and larvae (45.5)</w:t>
            </w:r>
          </w:p>
          <w:p w:rsidR="00C53F54" w:rsidRPr="009F746B" w:rsidRDefault="00C53F54" w:rsidP="00544CDD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Fish eggs and larvae (36.0)</w:t>
            </w:r>
          </w:p>
          <w:p w:rsidR="00C53F54" w:rsidRPr="009F746B" w:rsidRDefault="00C53F54" w:rsidP="00544CDD">
            <w:pPr>
              <w:spacing w:after="4" w:line="240" w:lineRule="auto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Sardine eggs and larvae (18.5)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bottom w:w="0" w:type="dxa"/>
            </w:tcMar>
          </w:tcPr>
          <w:p w:rsidR="00926892" w:rsidRPr="00544CDD" w:rsidRDefault="00926892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2.40 ± 0.56</w:t>
            </w:r>
          </w:p>
          <w:p w:rsidR="00C53F54" w:rsidRPr="009F746B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Fish eggs and larvae (89.6)</w:t>
            </w:r>
          </w:p>
          <w:p w:rsidR="00C53F54" w:rsidRPr="009F746B" w:rsidRDefault="00C53F54" w:rsidP="00544CDD">
            <w:pPr>
              <w:spacing w:after="4" w:line="240" w:lineRule="auto"/>
              <w:ind w:left="27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Sardine eggs and larvae (9.7)</w:t>
            </w:r>
          </w:p>
          <w:p w:rsidR="00C53F54" w:rsidRPr="009F746B" w:rsidRDefault="00C53F54" w:rsidP="00544CDD">
            <w:pPr>
              <w:spacing w:after="4" w:line="240" w:lineRule="auto"/>
              <w:ind w:left="27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r w:rsidRPr="009F746B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Engraulis encrasicolus </w:t>
            </w: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eggs and larvae (0.7)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926892" w:rsidRPr="00544CDD" w:rsidRDefault="00926892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6.74 ± 0.57</w:t>
            </w:r>
          </w:p>
          <w:p w:rsidR="00C53F54" w:rsidRPr="009F746B" w:rsidRDefault="00C53F54" w:rsidP="00544CDD">
            <w:pPr>
              <w:spacing w:after="4" w:line="240" w:lineRule="auto"/>
              <w:ind w:left="-86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Fish eggs and larvae (96.6)</w:t>
            </w:r>
          </w:p>
          <w:p w:rsidR="00C53F54" w:rsidRPr="009F746B" w:rsidRDefault="00C53F54" w:rsidP="00544CDD">
            <w:pPr>
              <w:spacing w:after="4" w:line="240" w:lineRule="auto"/>
              <w:ind w:left="-86"/>
              <w:textAlignment w:val="top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Clupeidae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(sardine) eggs and larvae (3.4)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926892" w:rsidRPr="00544CDD" w:rsidRDefault="00926892" w:rsidP="00AA6A79">
            <w:pPr>
              <w:spacing w:after="4" w:line="240" w:lineRule="auto"/>
              <w:ind w:left="-11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44CDD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0.79 ± 0.12</w:t>
            </w:r>
          </w:p>
          <w:p w:rsidR="00C53F54" w:rsidRPr="009F746B" w:rsidRDefault="00C53F54" w:rsidP="00AA6A79">
            <w:pPr>
              <w:spacing w:after="4" w:line="240" w:lineRule="auto"/>
              <w:ind w:left="-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Fish eggs and larvae (92.4)</w:t>
            </w:r>
          </w:p>
          <w:p w:rsidR="00C53F54" w:rsidRPr="009F746B" w:rsidRDefault="00C53F54" w:rsidP="00AA6A79">
            <w:pPr>
              <w:spacing w:after="4" w:line="240" w:lineRule="auto"/>
              <w:ind w:left="-11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Ammodytidae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larvae (7.5)</w:t>
            </w:r>
          </w:p>
          <w:p w:rsidR="00C53F54" w:rsidRPr="009F746B" w:rsidRDefault="00C53F54" w:rsidP="00AA6A79">
            <w:pPr>
              <w:spacing w:after="4" w:line="240" w:lineRule="auto"/>
              <w:ind w:left="-113"/>
              <w:textAlignment w:val="center"/>
              <w:rPr>
                <w:rFonts w:ascii="Arial" w:eastAsia="Times New Roman" w:hAnsi="Arial" w:cs="Arial"/>
                <w:sz w:val="18"/>
                <w:szCs w:val="18"/>
                <w:lang w:val="en-GB" w:eastAsia="en-GB"/>
              </w:rPr>
            </w:pPr>
            <w:proofErr w:type="spellStart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Clupeidae</w:t>
            </w:r>
            <w:proofErr w:type="spellEnd"/>
            <w:r w:rsidRPr="009F746B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(sardine) larvae (0.1)</w:t>
            </w:r>
          </w:p>
        </w:tc>
      </w:tr>
    </w:tbl>
    <w:p w:rsidR="00C53F54" w:rsidRDefault="00C53F54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26892" w:rsidRDefault="00926892" w:rsidP="00C53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53F54" w:rsidRPr="00C53F54" w:rsidRDefault="00C53F54" w:rsidP="00C53F54">
      <w:pPr>
        <w:spacing w:after="120" w:line="360" w:lineRule="auto"/>
        <w:ind w:left="-993" w:right="-114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3F54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C53F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3S</w:t>
      </w:r>
      <w:r w:rsidRPr="00C53F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A79">
        <w:rPr>
          <w:rFonts w:ascii="Times New Roman" w:hAnsi="Times New Roman" w:cs="Times New Roman"/>
          <w:sz w:val="24"/>
          <w:szCs w:val="24"/>
          <w:lang w:val="en-US"/>
        </w:rPr>
        <w:t>Mean density ± standard error (individuals m</w:t>
      </w:r>
      <w:r w:rsidR="00AA6A79" w:rsidRPr="009C0D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-3</w:t>
      </w:r>
      <w:r w:rsidR="00AA6A79">
        <w:rPr>
          <w:rFonts w:ascii="Times New Roman" w:hAnsi="Times New Roman" w:cs="Times New Roman"/>
          <w:sz w:val="24"/>
          <w:szCs w:val="24"/>
          <w:lang w:val="en-US"/>
        </w:rPr>
        <w:t>) and c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omposition of </w:t>
      </w:r>
      <w:proofErr w:type="spellStart"/>
      <w:r w:rsidR="00AA6A79">
        <w:rPr>
          <w:rFonts w:ascii="Times New Roman" w:hAnsi="Times New Roman" w:cs="Times New Roman"/>
          <w:sz w:val="24"/>
          <w:szCs w:val="24"/>
          <w:lang w:val="en-US"/>
        </w:rPr>
        <w:t>cladoceran</w:t>
      </w:r>
      <w:proofErr w:type="spellEnd"/>
      <w:r w:rsidR="00AA6A79">
        <w:rPr>
          <w:rFonts w:ascii="Times New Roman" w:hAnsi="Times New Roman" w:cs="Times New Roman"/>
          <w:sz w:val="24"/>
          <w:szCs w:val="24"/>
          <w:lang w:val="en-US"/>
        </w:rPr>
        <w:t xml:space="preserve"> and copepod genera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considered in this study at </w:t>
      </w:r>
      <w:r w:rsidR="00AA6A79">
        <w:rPr>
          <w:rFonts w:ascii="Times New Roman" w:hAnsi="Times New Roman" w:cs="Times New Roman"/>
          <w:sz w:val="24"/>
          <w:szCs w:val="24"/>
          <w:lang w:val="en-US"/>
        </w:rPr>
        <w:t>Bilbao 35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6A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6A79">
        <w:rPr>
          <w:rFonts w:ascii="Times New Roman" w:hAnsi="Times New Roman" w:cs="Times New Roman"/>
          <w:sz w:val="24"/>
          <w:szCs w:val="24"/>
          <w:lang w:val="en-US"/>
        </w:rPr>
        <w:t>Urdaibai</w:t>
      </w:r>
      <w:proofErr w:type="spellEnd"/>
      <w:r w:rsidR="00AA6A79">
        <w:rPr>
          <w:rFonts w:ascii="Times New Roman" w:hAnsi="Times New Roman" w:cs="Times New Roman"/>
          <w:sz w:val="24"/>
          <w:szCs w:val="24"/>
          <w:lang w:val="en-US"/>
        </w:rPr>
        <w:t xml:space="preserve"> 35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, Plymouth L4 and </w:t>
      </w:r>
      <w:proofErr w:type="spellStart"/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>Stonehaven</w:t>
      </w:r>
      <w:proofErr w:type="spellEnd"/>
      <w:r w:rsidR="00AA6A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A7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he value in </w:t>
      </w:r>
      <w:r w:rsidR="00AA6A79">
        <w:rPr>
          <w:rFonts w:ascii="Times New Roman" w:hAnsi="Times New Roman" w:cs="Times New Roman"/>
          <w:sz w:val="24"/>
          <w:szCs w:val="24"/>
          <w:lang w:val="en-US"/>
        </w:rPr>
        <w:t>parentheses</w:t>
      </w:r>
      <w:r w:rsidR="00AA6A79" w:rsidRPr="00225CF5">
        <w:rPr>
          <w:rFonts w:ascii="Times New Roman" w:hAnsi="Times New Roman" w:cs="Times New Roman"/>
          <w:sz w:val="24"/>
          <w:szCs w:val="24"/>
          <w:lang w:val="en-US"/>
        </w:rPr>
        <w:t xml:space="preserve"> is the contribution in percentage of each identified category to the total.</w:t>
      </w:r>
    </w:p>
    <w:tbl>
      <w:tblPr>
        <w:tblW w:w="10658" w:type="dxa"/>
        <w:jc w:val="center"/>
        <w:tblCellMar>
          <w:left w:w="0" w:type="dxa"/>
          <w:right w:w="0" w:type="dxa"/>
        </w:tblCellMar>
        <w:tblLook w:val="0600"/>
      </w:tblPr>
      <w:tblGrid>
        <w:gridCol w:w="1247"/>
        <w:gridCol w:w="2324"/>
        <w:gridCol w:w="2268"/>
        <w:gridCol w:w="2381"/>
        <w:gridCol w:w="2438"/>
      </w:tblGrid>
      <w:tr w:rsidR="00C53F54" w:rsidRPr="00C650EF">
        <w:trPr>
          <w:trHeight w:val="382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5C5830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proofErr w:type="spellStart"/>
            <w:r w:rsidRPr="005C5830">
              <w:rPr>
                <w:rFonts w:ascii="Times New Roman" w:eastAsia="Times New Roman" w:hAnsi="Times New Roman" w:cs="Times New Roman"/>
                <w:b/>
                <w:szCs w:val="36"/>
                <w:lang w:val="en-GB" w:eastAsia="en-GB"/>
              </w:rPr>
              <w:t>Taxa</w:t>
            </w:r>
            <w:proofErr w:type="spellEnd"/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5C5830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5C58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Bilbao 35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5C5830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5C58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Urdaibai 35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5C5830" w:rsidRDefault="00C53F54" w:rsidP="009B7CD2">
            <w:pPr>
              <w:tabs>
                <w:tab w:val="left" w:pos="657"/>
              </w:tabs>
              <w:spacing w:after="0" w:line="240" w:lineRule="auto"/>
              <w:ind w:left="56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5C58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Plymouth L4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C53F54" w:rsidRPr="005C5830" w:rsidRDefault="00C53F54" w:rsidP="009B7CD2">
            <w:pPr>
              <w:spacing w:after="0" w:line="240" w:lineRule="auto"/>
              <w:ind w:left="85"/>
              <w:textAlignment w:val="center"/>
              <w:rPr>
                <w:rFonts w:ascii="Arial" w:eastAsia="Times New Roman" w:hAnsi="Arial" w:cs="Arial"/>
                <w:b/>
                <w:szCs w:val="36"/>
                <w:lang w:val="en-GB" w:eastAsia="en-GB"/>
              </w:rPr>
            </w:pPr>
            <w:r w:rsidRPr="005C583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Cs w:val="18"/>
                <w:lang w:eastAsia="en-GB"/>
              </w:rPr>
              <w:t>Stonehaven</w:t>
            </w:r>
          </w:p>
        </w:tc>
      </w:tr>
      <w:tr w:rsidR="00C53F54" w:rsidRPr="00C650EF">
        <w:trPr>
          <w:trHeight w:val="964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Evadne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153.49 ± 30.56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 nordmanii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(75.9)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 spinifera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(12.8)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(10.6)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Pseudoevadne tergestina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50.64 ± 13.10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Evadne nordmanii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 xml:space="preserve"> (89.1)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 xml:space="preserve">Evadne spinifera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>(9.6)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Evadne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 xml:space="preserve"> (1.0)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it-IT" w:eastAsia="en-GB"/>
              </w:rPr>
              <w:t>Pseudoevadne tergestina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it-IT" w:eastAsia="en-GB"/>
              </w:rPr>
              <w:t xml:space="preserve"> (0.3)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127.98 ± 25.15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17.06 ± 4.25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Evadne nordmanni</w:t>
            </w:r>
          </w:p>
        </w:tc>
      </w:tr>
      <w:tr w:rsidR="00C53F54" w:rsidRPr="00C650EF">
        <w:trPr>
          <w:trHeight w:val="964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Podon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93.51 ± 18.35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(52.2)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 intermedius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(47.8)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21.26 ± 6.14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(80.7)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Podon intermedius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(19.3)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43.48 ± 6.31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20.14 ± 6.32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Podon leuckartii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(57.3)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 intermedius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(20.6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Pleopis polyphaemoides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(16.0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Podon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(6.1)</w:t>
            </w:r>
          </w:p>
        </w:tc>
      </w:tr>
      <w:tr w:rsidR="00C53F54" w:rsidRPr="00C650EF">
        <w:trPr>
          <w:trHeight w:val="737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Acartia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1036.97 ± 126.20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Acartia clausi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(96.0)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Acartia tonsa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(3.7)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Other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Acartia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(0.1)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1217.33 ± 325.22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Acartia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clausi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(99.0)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Other 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Acartia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(0.4)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152.48 ± 19.68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 xml:space="preserve">Acartia 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clausi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556.34 ± 82.28</w:t>
            </w:r>
          </w:p>
          <w:p w:rsidR="00453EFC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Acartia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clausi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(99.8)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Acartia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 longiremis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2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</w:tr>
      <w:tr w:rsidR="00C53F54" w:rsidRPr="00C650EF" w:rsidDel="00456F73">
        <w:trPr>
          <w:trHeight w:val="964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CB51F2" w:rsidDel="00456F73" w:rsidRDefault="00C53F54" w:rsidP="009B7C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</w:pPr>
            <w:r w:rsidRPr="00CB51F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Calanidae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20.02 ± 6.62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Calanus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(93.7)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Eucalanus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(3.7)</w:t>
            </w:r>
          </w:p>
          <w:p w:rsidR="00C53F54" w:rsidRPr="0091786A" w:rsidDel="00456F73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Calanus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helgolandicus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(2.5)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4.78 ± 0.96</w:t>
            </w:r>
          </w:p>
          <w:p w:rsidR="00C53F54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Calanus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(83.2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Eucalanus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(10.5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  <w:p w:rsidR="00C53F54" w:rsidRPr="0091786A" w:rsidDel="00456F73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Calanus helgolandicus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(6.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4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89.48 ± 7.78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Calanus helgolandicus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(96.8)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(3.0)</w:t>
            </w:r>
          </w:p>
          <w:p w:rsidR="00C53F54" w:rsidRPr="0091786A" w:rsidDel="00456F73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Calanidae (0.1)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69.02 ± 9.62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Calanus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(55.9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)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Calanus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helgolandicus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(31.5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)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Calanus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  <w:t>finmarchicus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(7.1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)</w:t>
            </w:r>
          </w:p>
          <w:p w:rsidR="00C53F54" w:rsidRPr="00143115" w:rsidDel="00456F73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C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>lanoida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pt-BR" w:eastAsia="en-GB"/>
              </w:rPr>
              <w:t xml:space="preserve"> (5.6)</w:t>
            </w:r>
          </w:p>
        </w:tc>
      </w:tr>
      <w:tr w:rsidR="00C53F54" w:rsidRPr="00C650EF" w:rsidDel="00456F73">
        <w:trPr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CB51F2" w:rsidRDefault="00C53F54" w:rsidP="009B7CD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</w:pPr>
            <w:r w:rsidRPr="00CB51F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Cs w:val="18"/>
                <w:lang w:eastAsia="en-GB"/>
              </w:rPr>
              <w:t>PCPCalanus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520.24 ± 56.76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Paracalanus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parvus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(48.1)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P-calanus (33.6)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Paracalanus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(12.2)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Clausocalanus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(5.6)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PCPC (0.5)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509.06 ± 95.83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Paracalanus parvus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(43.6)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P-calanus (37.6)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Paracalanus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(12.4)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Clausocalanus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(5.8)</w:t>
            </w:r>
          </w:p>
          <w:p w:rsidR="00C53F54" w:rsidRPr="0091786A" w:rsidRDefault="00C53F54" w:rsidP="009B7CD2">
            <w:pPr>
              <w:spacing w:after="4" w:line="240" w:lineRule="auto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PCPC (0.5)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774.23 ± 41.99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Ps</w:t>
            </w:r>
            <w:r w:rsidR="00453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udocalanus elongatus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(36.4)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Paracalanus parvus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(33.4)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Other PCPC (26.0)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Clausocalanus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(3.6)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Ctenocalanus vanus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(0.6)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269.46 ± 19.41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Ps</w:t>
            </w:r>
            <w:r w:rsidR="00453EFC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udocalanus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>elongatus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(79.6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)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Paracalanus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 xml:space="preserve">. parvus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(20.3)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pt-BR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Other PCPC (0.1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)</w:t>
            </w:r>
          </w:p>
        </w:tc>
      </w:tr>
      <w:tr w:rsidR="00C53F54" w:rsidRPr="00C650EF">
        <w:trPr>
          <w:trHeight w:val="737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Centropages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50.50 ± 11.53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typicus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(62.9)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(37.1)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37.18 ± 10.70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(71.3)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typicus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r-FR" w:eastAsia="en-GB"/>
              </w:rPr>
              <w:t xml:space="preserve"> (28.7)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29.00 ± 3.62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typicus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(98.9)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hamatus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(1.0)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chierchiae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 xml:space="preserve"> (0.02)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37.50 ± 5.30</w:t>
            </w:r>
          </w:p>
          <w:p w:rsidR="00C53F54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 xml:space="preserve">.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>hamatus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(73.6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)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r-FR" w:eastAsia="en-GB"/>
              </w:rPr>
              <w:t>Centropages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 xml:space="preserve">.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>typicus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fi-FI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(26.4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fi-FI" w:eastAsia="en-GB"/>
              </w:rPr>
              <w:t>)</w:t>
            </w:r>
          </w:p>
        </w:tc>
      </w:tr>
      <w:tr w:rsidR="00C53F54" w:rsidRPr="00C650EF">
        <w:trPr>
          <w:trHeight w:val="737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Temora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55.10 ± 11.05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 stylifera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(67.1), 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(16.6)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Temora. longicornis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(16.3)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40.53 ± 9.85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Temora stylifera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(53.8)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Temora longicornis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(29.4)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(16.8)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216.48 ± 30.04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T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emora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proofErr w:type="spellStart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longicornis</w:t>
            </w:r>
            <w:proofErr w:type="spellEnd"/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(99.9)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>T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emora</w:t>
            </w: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val="en-US" w:eastAsia="en-GB"/>
              </w:rPr>
              <w:t xml:space="preserve"> stylifera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val="en-US" w:eastAsia="en-GB"/>
              </w:rPr>
              <w:t>(0.1)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147.30 ± 16.36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Temora longicornis</w:t>
            </w:r>
          </w:p>
        </w:tc>
      </w:tr>
      <w:tr w:rsidR="00C53F54" w:rsidRPr="00C650EF">
        <w:trPr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Oithona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205.21 ± 26.39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 nana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(52.2)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Oithona. similis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(37.5)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Oithona. plumifera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(6.5)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(2.2)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Oithona. davisae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199.18 ± 22.41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Oithona similis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(62.0)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Oithona nana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(29.9)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Oithona plumifera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(5.9)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(1.6)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Oithona davisae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(0.3)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411.22 ± 35.80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259.21 ± 20.39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Oithona</w:t>
            </w:r>
          </w:p>
        </w:tc>
      </w:tr>
      <w:tr w:rsidR="00C53F54" w:rsidRPr="00C650EF">
        <w:trPr>
          <w:trHeight w:val="737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Oncaea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47.74 ± 14.05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 media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(87.6)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(12.3)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Monothula subtilis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74.87 ± 19.40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 xml:space="preserve">Oncaea media 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(89.7)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(10.2)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Monothul subtilis</w:t>
            </w: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 xml:space="preserve"> (0.1)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361.05 ± 32.76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1.81 ± 0.23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Oncaea</w:t>
            </w:r>
          </w:p>
        </w:tc>
      </w:tr>
      <w:tr w:rsidR="00C53F54" w:rsidRPr="00C650EF">
        <w:trPr>
          <w:trHeight w:val="34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53F54" w:rsidRPr="00BD30E6" w:rsidRDefault="00C53F54" w:rsidP="009B7CD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szCs w:val="36"/>
                <w:lang w:val="en-GB" w:eastAsia="en-GB"/>
              </w:rPr>
            </w:pPr>
            <w:r w:rsidRPr="00BD30E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Cs w:val="18"/>
                <w:lang w:eastAsia="en-GB"/>
              </w:rPr>
              <w:t>Corycaeus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54636E" w:rsidRPr="005D1904" w:rsidRDefault="0054636E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3.45 ± 0.57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Ditrichocorycaeus anglicus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bottom w:w="0" w:type="dxa"/>
            </w:tcMar>
          </w:tcPr>
          <w:p w:rsidR="00453EFC" w:rsidRPr="005D1904" w:rsidRDefault="00453EFC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5.99 ± 1.11</w:t>
            </w:r>
          </w:p>
          <w:p w:rsidR="00C53F54" w:rsidRPr="0091786A" w:rsidRDefault="00C53F54" w:rsidP="009B7CD2">
            <w:pPr>
              <w:spacing w:after="4" w:line="240" w:lineRule="auto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Ditrichocorycaeus anglicus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" w:type="dxa"/>
              <w:left w:w="113" w:type="dxa"/>
              <w:bottom w:w="0" w:type="dxa"/>
              <w:right w:w="5" w:type="dxa"/>
            </w:tcMar>
          </w:tcPr>
          <w:p w:rsidR="00453EFC" w:rsidRPr="005D1904" w:rsidRDefault="00453EFC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87.45 ± 8.65</w:t>
            </w:r>
          </w:p>
          <w:p w:rsidR="00C53F54" w:rsidRPr="0091786A" w:rsidRDefault="00C53F54" w:rsidP="009B7CD2">
            <w:pPr>
              <w:tabs>
                <w:tab w:val="left" w:pos="657"/>
              </w:tabs>
              <w:spacing w:after="4" w:line="240" w:lineRule="auto"/>
              <w:ind w:left="-52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  <w:lang w:eastAsia="en-GB"/>
              </w:rPr>
              <w:t>Ditrichocorycaeus anglicus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5" w:type="dxa"/>
              <w:left w:w="113" w:type="dxa"/>
              <w:right w:w="5" w:type="dxa"/>
            </w:tcMar>
          </w:tcPr>
          <w:p w:rsidR="00453EFC" w:rsidRPr="005D1904" w:rsidRDefault="00453EFC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0"/>
                <w:szCs w:val="18"/>
                <w:lang w:val="en-GB" w:eastAsia="en-GB"/>
              </w:rPr>
            </w:pPr>
            <w:r w:rsidRPr="005D1904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1.25 ± 0.25</w:t>
            </w:r>
          </w:p>
          <w:p w:rsidR="00C53F54" w:rsidRPr="0091786A" w:rsidRDefault="00C53F54" w:rsidP="009B7CD2">
            <w:pPr>
              <w:spacing w:after="4" w:line="240" w:lineRule="auto"/>
              <w:ind w:left="-23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91786A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en-GB"/>
              </w:rPr>
              <w:t>Corycaeidae</w:t>
            </w:r>
          </w:p>
        </w:tc>
      </w:tr>
    </w:tbl>
    <w:p w:rsidR="00CE7F8B" w:rsidRDefault="00CE7F8B"/>
    <w:sectPr w:rsidR="00CE7F8B" w:rsidSect="00CE7F8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A0C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Aria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Lucida Grande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Lucida Grande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Aria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Lucida Grande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Lucida Grande" w:hint="default"/>
      </w:rPr>
    </w:lvl>
  </w:abstractNum>
  <w:abstractNum w:abstractNumId="1">
    <w:nsid w:val="FFFFFF7C"/>
    <w:multiLevelType w:val="singleLevel"/>
    <w:tmpl w:val="0BD09E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8FAC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08D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A2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665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</w:abstractNum>
  <w:abstractNum w:abstractNumId="6">
    <w:nsid w:val="FFFFFF81"/>
    <w:multiLevelType w:val="singleLevel"/>
    <w:tmpl w:val="6214EC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</w:abstractNum>
  <w:abstractNum w:abstractNumId="7">
    <w:nsid w:val="FFFFFF82"/>
    <w:multiLevelType w:val="singleLevel"/>
    <w:tmpl w:val="85FEC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</w:abstractNum>
  <w:abstractNum w:abstractNumId="8">
    <w:nsid w:val="FFFFFF83"/>
    <w:multiLevelType w:val="singleLevel"/>
    <w:tmpl w:val="337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</w:abstractNum>
  <w:abstractNum w:abstractNumId="9">
    <w:nsid w:val="FFFFFF88"/>
    <w:multiLevelType w:val="singleLevel"/>
    <w:tmpl w:val="1DAEF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AC4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11">
    <w:nsid w:val="0FA969C8"/>
    <w:multiLevelType w:val="multilevel"/>
    <w:tmpl w:val="C0BC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BF3E33"/>
    <w:multiLevelType w:val="hybridMultilevel"/>
    <w:tmpl w:val="25DE1FC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07AC0"/>
    <w:multiLevelType w:val="multilevel"/>
    <w:tmpl w:val="B6C2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707254"/>
    <w:multiLevelType w:val="multilevel"/>
    <w:tmpl w:val="8CD8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93A2B"/>
    <w:multiLevelType w:val="multilevel"/>
    <w:tmpl w:val="8A5E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31948"/>
    <w:multiLevelType w:val="multilevel"/>
    <w:tmpl w:val="384A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53F54"/>
    <w:rsid w:val="00082013"/>
    <w:rsid w:val="000D1AAD"/>
    <w:rsid w:val="00177E63"/>
    <w:rsid w:val="0019017F"/>
    <w:rsid w:val="001E1A98"/>
    <w:rsid w:val="00210D85"/>
    <w:rsid w:val="00412299"/>
    <w:rsid w:val="00453EFC"/>
    <w:rsid w:val="004975B1"/>
    <w:rsid w:val="004A6FAA"/>
    <w:rsid w:val="00544CDD"/>
    <w:rsid w:val="0054636E"/>
    <w:rsid w:val="005616A3"/>
    <w:rsid w:val="005D1904"/>
    <w:rsid w:val="00926892"/>
    <w:rsid w:val="009B7CD2"/>
    <w:rsid w:val="009C0D19"/>
    <w:rsid w:val="009D459D"/>
    <w:rsid w:val="009F746B"/>
    <w:rsid w:val="00AA6A79"/>
    <w:rsid w:val="00AD12FD"/>
    <w:rsid w:val="00B61485"/>
    <w:rsid w:val="00BC3A72"/>
    <w:rsid w:val="00C058CD"/>
    <w:rsid w:val="00C53F54"/>
    <w:rsid w:val="00CE7F8B"/>
    <w:rsid w:val="00D21216"/>
    <w:rsid w:val="00E2471E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54"/>
    <w:pPr>
      <w:spacing w:after="160" w:line="259" w:lineRule="auto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9"/>
    <w:qFormat/>
    <w:rsid w:val="00C53F54"/>
    <w:pPr>
      <w:spacing w:beforeLines="1" w:afterLines="1" w:line="240" w:lineRule="auto"/>
      <w:outlineLvl w:val="0"/>
    </w:pPr>
    <w:rPr>
      <w:rFonts w:ascii="Times" w:hAnsi="Times" w:cs="Times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C53F54"/>
    <w:pPr>
      <w:keepNext/>
      <w:keepLines/>
      <w:spacing w:before="40" w:after="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C53F54"/>
    <w:rPr>
      <w:rFonts w:ascii="Times" w:eastAsia="Calibri" w:hAnsi="Times" w:cs="Times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C53F54"/>
    <w:rPr>
      <w:rFonts w:ascii="Cambria" w:eastAsia="Times New Roman" w:hAnsi="Cambria" w:cs="Cambria"/>
      <w:color w:val="365F91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rsid w:val="00C53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F54"/>
    <w:rPr>
      <w:rFonts w:ascii="Calibri" w:eastAsia="Calibri" w:hAnsi="Calibri" w:cs="Calibr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C53F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F54"/>
    <w:rPr>
      <w:rFonts w:ascii="Calibri" w:eastAsia="Calibri" w:hAnsi="Calibri" w:cs="Calibri"/>
      <w:sz w:val="22"/>
      <w:szCs w:val="22"/>
      <w:lang w:val="es-ES"/>
    </w:rPr>
  </w:style>
  <w:style w:type="character" w:customStyle="1" w:styleId="apple-converted-space">
    <w:name w:val="apple-converted-space"/>
    <w:basedOn w:val="Fuentedeprrafopredeter"/>
    <w:uiPriority w:val="99"/>
    <w:rsid w:val="00C53F54"/>
  </w:style>
  <w:style w:type="character" w:styleId="Refdecomentario">
    <w:name w:val="annotation reference"/>
    <w:uiPriority w:val="99"/>
    <w:semiHidden/>
    <w:rsid w:val="00C53F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3F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3F54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53F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3F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C5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F54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uiPriority w:val="99"/>
    <w:semiHidden/>
    <w:rsid w:val="00C53F54"/>
    <w:rPr>
      <w:color w:val="808080"/>
    </w:rPr>
  </w:style>
  <w:style w:type="character" w:styleId="Nmerodelnea">
    <w:name w:val="line number"/>
    <w:basedOn w:val="Fuentedeprrafopredeter"/>
    <w:uiPriority w:val="99"/>
    <w:semiHidden/>
    <w:rsid w:val="00C53F54"/>
  </w:style>
  <w:style w:type="paragraph" w:styleId="Mapadeldocumento">
    <w:name w:val="Document Map"/>
    <w:basedOn w:val="Normal"/>
    <w:link w:val="MapadeldocumentoCar"/>
    <w:uiPriority w:val="99"/>
    <w:semiHidden/>
    <w:rsid w:val="00C53F5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53F54"/>
    <w:rPr>
      <w:rFonts w:ascii="Lucida Grande" w:eastAsia="Calibri" w:hAnsi="Lucida Grande" w:cs="Lucida Grande"/>
      <w:lang w:val="es-ES"/>
    </w:rPr>
  </w:style>
  <w:style w:type="paragraph" w:styleId="NormalWeb">
    <w:name w:val="Normal (Web)"/>
    <w:basedOn w:val="Normal"/>
    <w:uiPriority w:val="99"/>
    <w:rsid w:val="00C5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C53F54"/>
    <w:pPr>
      <w:widowControl w:val="0"/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lang w:eastAsia="es-ES_tradnl"/>
    </w:rPr>
  </w:style>
  <w:style w:type="character" w:styleId="Hipervnculo">
    <w:name w:val="Hyperlink"/>
    <w:uiPriority w:val="99"/>
    <w:rsid w:val="00C53F54"/>
    <w:rPr>
      <w:color w:val="0000FF"/>
      <w:u w:val="single"/>
    </w:rPr>
  </w:style>
  <w:style w:type="character" w:styleId="Hipervnculovisitado">
    <w:name w:val="FollowedHyperlink"/>
    <w:uiPriority w:val="99"/>
    <w:rsid w:val="00C53F54"/>
    <w:rPr>
      <w:color w:val="800080"/>
      <w:u w:val="single"/>
    </w:rPr>
  </w:style>
  <w:style w:type="character" w:styleId="Enfasis">
    <w:name w:val="Emphasis"/>
    <w:uiPriority w:val="99"/>
    <w:qFormat/>
    <w:rsid w:val="00C53F54"/>
    <w:rPr>
      <w:i/>
      <w:iCs/>
    </w:rPr>
  </w:style>
  <w:style w:type="character" w:customStyle="1" w:styleId="article-headermeta-info-label">
    <w:name w:val="article-header__meta-info-label"/>
    <w:basedOn w:val="Fuentedeprrafopredeter"/>
    <w:uiPriority w:val="99"/>
    <w:rsid w:val="00C53F54"/>
  </w:style>
  <w:style w:type="character" w:customStyle="1" w:styleId="article-headermeta-info-data">
    <w:name w:val="article-header__meta-info-data"/>
    <w:basedOn w:val="Fuentedeprrafopredeter"/>
    <w:uiPriority w:val="99"/>
    <w:rsid w:val="00C53F54"/>
  </w:style>
  <w:style w:type="character" w:customStyle="1" w:styleId="cit-auth">
    <w:name w:val="cit-auth"/>
    <w:basedOn w:val="Fuentedeprrafopredeter"/>
    <w:uiPriority w:val="99"/>
    <w:rsid w:val="00C53F54"/>
  </w:style>
  <w:style w:type="character" w:customStyle="1" w:styleId="cit-name-surname">
    <w:name w:val="cit-name-surname"/>
    <w:basedOn w:val="Fuentedeprrafopredeter"/>
    <w:uiPriority w:val="99"/>
    <w:rsid w:val="00C53F54"/>
  </w:style>
  <w:style w:type="character" w:customStyle="1" w:styleId="cit-name-given-names">
    <w:name w:val="cit-name-given-names"/>
    <w:basedOn w:val="Fuentedeprrafopredeter"/>
    <w:uiPriority w:val="99"/>
    <w:rsid w:val="00C53F54"/>
  </w:style>
  <w:style w:type="character" w:customStyle="1" w:styleId="cit-etal">
    <w:name w:val="cit-etal"/>
    <w:basedOn w:val="Fuentedeprrafopredeter"/>
    <w:uiPriority w:val="99"/>
    <w:rsid w:val="00C53F54"/>
  </w:style>
  <w:style w:type="character" w:styleId="CitaHTML">
    <w:name w:val="HTML Cite"/>
    <w:uiPriority w:val="99"/>
    <w:rsid w:val="00C53F54"/>
    <w:rPr>
      <w:i/>
      <w:iCs/>
    </w:rPr>
  </w:style>
  <w:style w:type="character" w:customStyle="1" w:styleId="cit-article-title">
    <w:name w:val="cit-article-title"/>
    <w:basedOn w:val="Fuentedeprrafopredeter"/>
    <w:uiPriority w:val="99"/>
    <w:rsid w:val="00C53F54"/>
  </w:style>
  <w:style w:type="character" w:customStyle="1" w:styleId="cit-pub-date">
    <w:name w:val="cit-pub-date"/>
    <w:basedOn w:val="Fuentedeprrafopredeter"/>
    <w:uiPriority w:val="99"/>
    <w:rsid w:val="00C53F54"/>
  </w:style>
  <w:style w:type="character" w:customStyle="1" w:styleId="cit-vol">
    <w:name w:val="cit-vol"/>
    <w:basedOn w:val="Fuentedeprrafopredeter"/>
    <w:uiPriority w:val="99"/>
    <w:rsid w:val="00C53F54"/>
  </w:style>
  <w:style w:type="character" w:customStyle="1" w:styleId="cit-fpage">
    <w:name w:val="cit-fpage"/>
    <w:basedOn w:val="Fuentedeprrafopredeter"/>
    <w:uiPriority w:val="99"/>
    <w:rsid w:val="00C53F54"/>
  </w:style>
  <w:style w:type="character" w:customStyle="1" w:styleId="cit-lpage">
    <w:name w:val="cit-lpage"/>
    <w:basedOn w:val="Fuentedeprrafopredeter"/>
    <w:uiPriority w:val="99"/>
    <w:rsid w:val="00C53F54"/>
  </w:style>
  <w:style w:type="character" w:customStyle="1" w:styleId="personname">
    <w:name w:val="person_name"/>
    <w:basedOn w:val="Fuentedeprrafopredeter"/>
    <w:uiPriority w:val="99"/>
    <w:rsid w:val="00C53F54"/>
  </w:style>
  <w:style w:type="character" w:customStyle="1" w:styleId="mixed-citation">
    <w:name w:val="mixed-citation"/>
    <w:basedOn w:val="Fuentedeprrafopredeter"/>
    <w:uiPriority w:val="99"/>
    <w:rsid w:val="00C53F54"/>
  </w:style>
  <w:style w:type="character" w:customStyle="1" w:styleId="ref-title">
    <w:name w:val="ref-title"/>
    <w:basedOn w:val="Fuentedeprrafopredeter"/>
    <w:uiPriority w:val="99"/>
    <w:rsid w:val="00C53F54"/>
  </w:style>
  <w:style w:type="character" w:customStyle="1" w:styleId="ref-journal">
    <w:name w:val="ref-journal"/>
    <w:basedOn w:val="Fuentedeprrafopredeter"/>
    <w:uiPriority w:val="99"/>
    <w:rsid w:val="00C53F54"/>
  </w:style>
  <w:style w:type="character" w:customStyle="1" w:styleId="ref-vol">
    <w:name w:val="ref-vol"/>
    <w:basedOn w:val="Fuentedeprrafopredeter"/>
    <w:uiPriority w:val="99"/>
    <w:rsid w:val="00C53F54"/>
  </w:style>
  <w:style w:type="character" w:customStyle="1" w:styleId="ref-iss">
    <w:name w:val="ref-iss"/>
    <w:basedOn w:val="Fuentedeprrafopredeter"/>
    <w:uiPriority w:val="99"/>
    <w:rsid w:val="00C53F54"/>
  </w:style>
  <w:style w:type="character" w:customStyle="1" w:styleId="biblio-authors">
    <w:name w:val="biblio-authors"/>
    <w:basedOn w:val="Fuentedeprrafopredeter"/>
    <w:uiPriority w:val="99"/>
    <w:rsid w:val="00C53F54"/>
  </w:style>
  <w:style w:type="character" w:customStyle="1" w:styleId="biblio-title">
    <w:name w:val="biblio-title"/>
    <w:basedOn w:val="Fuentedeprrafopredeter"/>
    <w:uiPriority w:val="99"/>
    <w:rsid w:val="00C53F54"/>
  </w:style>
  <w:style w:type="character" w:customStyle="1" w:styleId="author">
    <w:name w:val="author"/>
    <w:basedOn w:val="Fuentedeprrafopredeter"/>
    <w:uiPriority w:val="99"/>
    <w:rsid w:val="00C53F54"/>
  </w:style>
  <w:style w:type="character" w:customStyle="1" w:styleId="pubyear">
    <w:name w:val="pubyear"/>
    <w:basedOn w:val="Fuentedeprrafopredeter"/>
    <w:uiPriority w:val="99"/>
    <w:rsid w:val="00C53F54"/>
  </w:style>
  <w:style w:type="character" w:customStyle="1" w:styleId="articletitle">
    <w:name w:val="articletitle"/>
    <w:basedOn w:val="Fuentedeprrafopredeter"/>
    <w:uiPriority w:val="99"/>
    <w:rsid w:val="00C53F54"/>
  </w:style>
  <w:style w:type="character" w:customStyle="1" w:styleId="journaltitle">
    <w:name w:val="journaltitle"/>
    <w:basedOn w:val="Fuentedeprrafopredeter"/>
    <w:uiPriority w:val="99"/>
    <w:rsid w:val="00C53F54"/>
  </w:style>
  <w:style w:type="character" w:customStyle="1" w:styleId="vol">
    <w:name w:val="vol"/>
    <w:basedOn w:val="Fuentedeprrafopredeter"/>
    <w:uiPriority w:val="99"/>
    <w:rsid w:val="00C53F54"/>
  </w:style>
  <w:style w:type="character" w:customStyle="1" w:styleId="pagefirst">
    <w:name w:val="pagefirst"/>
    <w:basedOn w:val="Fuentedeprrafopredeter"/>
    <w:uiPriority w:val="99"/>
    <w:rsid w:val="00C53F54"/>
  </w:style>
  <w:style w:type="character" w:customStyle="1" w:styleId="pagelast">
    <w:name w:val="pagelast"/>
    <w:basedOn w:val="Fuentedeprrafopredeter"/>
    <w:uiPriority w:val="99"/>
    <w:rsid w:val="00C53F54"/>
  </w:style>
  <w:style w:type="table" w:styleId="Tablaconcuadrcula">
    <w:name w:val="Table Grid"/>
    <w:basedOn w:val="Tablanormal"/>
    <w:uiPriority w:val="59"/>
    <w:rsid w:val="00C53F54"/>
    <w:pPr>
      <w:spacing w:after="0"/>
    </w:pPr>
    <w:rPr>
      <w:rFonts w:ascii="Calibri" w:eastAsia="Calibri" w:hAnsi="Calibri" w:cs="Times New Roman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1362</Words>
  <Characters>7768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FERNANDO</dc:creator>
  <cp:keywords/>
  <cp:lastModifiedBy>FERNANDO FERNANDO</cp:lastModifiedBy>
  <cp:revision>15</cp:revision>
  <dcterms:created xsi:type="dcterms:W3CDTF">2017-07-27T11:24:00Z</dcterms:created>
  <dcterms:modified xsi:type="dcterms:W3CDTF">2017-09-05T17:29:00Z</dcterms:modified>
</cp:coreProperties>
</file>