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B" w:rsidRPr="005F1CE4" w:rsidRDefault="0001511B" w:rsidP="0001511B">
      <w:pPr>
        <w:widowControl w:val="0"/>
        <w:spacing w:after="0" w:line="48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5F1CE4">
        <w:rPr>
          <w:rFonts w:ascii="Times New Roman" w:hAnsi="Times New Roman" w:cs="Times New Roman"/>
          <w:kern w:val="2"/>
          <w:sz w:val="24"/>
          <w:szCs w:val="24"/>
          <w:lang w:eastAsia="zh-CN"/>
        </w:rPr>
        <w:t>Supplement</w:t>
      </w:r>
    </w:p>
    <w:p w:rsidR="0001511B" w:rsidRPr="005F1CE4" w:rsidRDefault="0001511B" w:rsidP="0001511B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5F1CE4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Analytic Approach</w:t>
      </w:r>
    </w:p>
    <w:p w:rsidR="0001511B" w:rsidRPr="005F1CE4" w:rsidRDefault="0001511B" w:rsidP="0001511B">
      <w:pPr>
        <w:widowControl w:val="0"/>
        <w:spacing w:after="0" w:line="480" w:lineRule="auto"/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</w:pPr>
      <w:r w:rsidRPr="005F1CE4">
        <w:rPr>
          <w:rFonts w:ascii="Times New Roman" w:eastAsia="Times New Roman" w:hAnsi="Times New Roman" w:cs="Times New Roman"/>
          <w:i/>
          <w:sz w:val="24"/>
          <w:szCs w:val="24"/>
        </w:rPr>
        <w:t>Baseline life satisfaction and cognitive functioning/decline</w:t>
      </w:r>
    </w:p>
    <w:p w:rsidR="0001511B" w:rsidRDefault="0001511B" w:rsidP="0001511B">
      <w:pPr>
        <w:spacing w:before="24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examine the association between baseline life satisfaction (LS) with cognitive functioning (MMSE) and cognitive decline over time, two-level Multilevel Modeling (MLM; Raudenbush &amp; Bryk, 2002) was conducted. Level 1 is the assessment (time) level, and Level 2 is the person level. MMSE is the Level 1 outcome variable, linear time (coded as 0-6 for Wave 1-7) is the Level 1 predictor, and baseline LS is the Level 2 predictor. An unconditional model (with no predictors) was conducted to ensure significant variance in the outcome variable (MMSE) at both levels before proceeding to primary analyses (Raudenbush &amp; Bryk, 2002). The following slope-and-intercept-as-outcomes model (equations 1-3) was used to model the intercept and slope of MMSE as the outcome of baseline LS. The same model was used for analyzing domain satisfaction.</w:t>
      </w:r>
    </w:p>
    <w:p w:rsidR="00F47542" w:rsidRDefault="00F47542" w:rsidP="0001511B">
      <w:pPr>
        <w:spacing w:before="24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76FB" w:rsidRPr="00D176FB" w:rsidRDefault="00D176FB" w:rsidP="00D176FB">
      <w:pPr>
        <w:spacing w:before="120"/>
        <w:ind w:leftChars="400"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1</w:t>
      </w:r>
      <w:r>
        <w:rPr>
          <w:rFonts w:ascii="Times New Roman" w:hAnsi="Times New Roman" w:cs="Times New Roman" w:hint="cs"/>
          <w:sz w:val="24"/>
          <w:szCs w:val="24"/>
          <w:lang w:eastAsia="zh-CN"/>
        </w:rPr>
        <w:t>:</w:t>
      </w:r>
    </w:p>
    <w:p w:rsidR="0001511B" w:rsidRDefault="0001511B" w:rsidP="00D176FB">
      <w:pPr>
        <w:spacing w:before="120"/>
        <w:ind w:leftChars="700"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MMSE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(time) + r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(1)</w:t>
      </w:r>
    </w:p>
    <w:p w:rsidR="0001511B" w:rsidRDefault="0001511B" w:rsidP="00D176FB">
      <w:pPr>
        <w:spacing w:before="240"/>
        <w:ind w:leftChars="400"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2:</w:t>
      </w:r>
    </w:p>
    <w:p w:rsidR="0001511B" w:rsidRDefault="0001511B" w:rsidP="00D176FB">
      <w:pPr>
        <w:ind w:leftChars="700"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</w:rPr>
        <w:t>(baseline LS) +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1C22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E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(2)</w:t>
      </w:r>
    </w:p>
    <w:p w:rsidR="0001511B" w:rsidRPr="00C528FC" w:rsidRDefault="0001511B" w:rsidP="00D176FB">
      <w:pPr>
        <w:ind w:leftChars="700"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(baseline LS) + 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F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(3)</w:t>
      </w:r>
    </w:p>
    <w:p w:rsidR="00F47542" w:rsidRDefault="00F47542" w:rsidP="0001511B">
      <w:pPr>
        <w:spacing w:before="240" w:after="24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511B" w:rsidRDefault="0001511B" w:rsidP="0001511B">
      <w:pPr>
        <w:spacing w:before="240" w:after="24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Baseline LS was grand</w:t>
      </w:r>
      <w:r w:rsidRPr="0022380D">
        <w:rPr>
          <w:rFonts w:ascii="Times New Roman" w:eastAsia="Times New Roman" w:hAnsi="Times New Roman" w:cs="Times New Roman"/>
          <w:sz w:val="24"/>
          <w:szCs w:val="24"/>
        </w:rPr>
        <w:t xml:space="preserve"> mean centered by subtracting the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 w:rsidRPr="0022380D">
        <w:rPr>
          <w:rFonts w:ascii="Times New Roman" w:eastAsia="Times New Roman" w:hAnsi="Times New Roman" w:cs="Times New Roman"/>
          <w:sz w:val="24"/>
          <w:szCs w:val="24"/>
        </w:rPr>
        <w:t xml:space="preserve"> mean from the raw variable</w:t>
      </w:r>
      <w:r>
        <w:rPr>
          <w:rFonts w:ascii="Times New Roman" w:eastAsia="Times New Roman" w:hAnsi="Times New Roman" w:cs="Times New Roman"/>
          <w:sz w:val="24"/>
          <w:szCs w:val="24"/>
        </w:rPr>
        <w:t>.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interpreted as a person’s level of MMSE at Wave 1 (intercept), and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represents the expected change in MMSE associated with time (slope). r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error term, representing a unique effect associated with each person. The fixed effect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00 </w:t>
      </w:r>
      <w:r w:rsidRPr="00C528FC">
        <w:rPr>
          <w:rFonts w:ascii="Times New Roman" w:eastAsia="Times New Roman" w:hAnsi="Times New Roman" w:cs="Times New Roman"/>
          <w:sz w:val="24"/>
          <w:szCs w:val="24"/>
        </w:rPr>
        <w:t>repres</w:t>
      </w:r>
      <w:r>
        <w:rPr>
          <w:rFonts w:ascii="Times New Roman" w:eastAsia="Times New Roman" w:hAnsi="Times New Roman" w:cs="Times New Roman"/>
          <w:sz w:val="24"/>
          <w:szCs w:val="24"/>
        </w:rPr>
        <w:t>ents the mean MMSE for the sample (sample mean),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 main coefficient of interest)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 individual differences in MMSE levels associated with differences in baseline LS,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represents the average slope of MMSE decline in the sample, and</w:t>
      </w:r>
      <w:r w:rsidRPr="00FF603C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11 </w:t>
      </w:r>
      <w:r w:rsidRPr="00656CCF">
        <w:rPr>
          <w:rFonts w:ascii="Times New Roman" w:eastAsia="Times New Roman" w:hAnsi="Times New Roman" w:cs="Times New Roman"/>
          <w:sz w:val="24"/>
          <w:szCs w:val="24"/>
        </w:rPr>
        <w:t>represents the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cross-level interaction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between baseline LS and time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 xml:space="preserve">, that is,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differences in rate of MMSE decline associated with differences in baseline LS.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 xml:space="preserve">The random effect 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01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5601D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represents the degree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 xml:space="preserve">which people vary from the sample mean of </w:t>
      </w:r>
      <w:r>
        <w:rPr>
          <w:rFonts w:ascii="Times New Roman" w:eastAsia="Times New Roman" w:hAnsi="Times New Roman" w:cs="Times New Roman"/>
          <w:sz w:val="24"/>
          <w:szCs w:val="24"/>
        </w:rPr>
        <w:t>MMSE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>, and u</w:t>
      </w:r>
      <w:r w:rsidRPr="005601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601D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5601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represents 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>the degree to which people vary from the slope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MMSE decline.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</w:p>
    <w:p w:rsidR="0001511B" w:rsidRPr="001C0ECC" w:rsidRDefault="0001511B" w:rsidP="0001511B">
      <w:pPr>
        <w:widowControl w:val="0"/>
        <w:spacing w:after="0" w:line="480" w:lineRule="auto"/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Within-person association between</w:t>
      </w:r>
      <w:r w:rsidRPr="005F1CE4">
        <w:rPr>
          <w:rFonts w:ascii="Times New Roman" w:eastAsia="Times New Roman" w:hAnsi="Times New Roman" w:cs="Times New Roman"/>
          <w:i/>
          <w:sz w:val="24"/>
          <w:szCs w:val="24"/>
        </w:rPr>
        <w:t xml:space="preserve"> life satisfaction and cognitive functioning</w:t>
      </w:r>
    </w:p>
    <w:p w:rsidR="0001511B" w:rsidRDefault="0001511B" w:rsidP="0001511B">
      <w:pPr>
        <w:spacing w:before="24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examine the within-person association between LS and cognitive functioning, another two-level MLM was conducted. Level 1 is the assessment (time) level, and Level 2 is the person level. LS is the Level 1 predictor and MMSE is the Level 1 outcome variable, both measured at each of the seven assessment occasions. In other words, LS is a time-varying covariate, which refers to a Level 1 predictor that is not time or age. The following model (equations 4-6) was used to examine the within-person association between LS and MMSE. The same model was used for analyzing domain satisfaction.</w:t>
      </w:r>
    </w:p>
    <w:p w:rsidR="00F47542" w:rsidRDefault="00F47542" w:rsidP="0001511B">
      <w:pPr>
        <w:spacing w:before="24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511B" w:rsidRDefault="0001511B" w:rsidP="0041621E">
      <w:pPr>
        <w:spacing w:before="120"/>
        <w:ind w:leftChars="400"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Level 1:</w:t>
      </w:r>
    </w:p>
    <w:p w:rsidR="0001511B" w:rsidRDefault="0001511B" w:rsidP="0041621E">
      <w:pPr>
        <w:ind w:leftChars="700"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MMSE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(LS) + r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(4)</w:t>
      </w:r>
    </w:p>
    <w:p w:rsidR="0001511B" w:rsidRDefault="0001511B" w:rsidP="0041621E">
      <w:pPr>
        <w:spacing w:before="240"/>
        <w:ind w:leftChars="400"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2:</w:t>
      </w:r>
    </w:p>
    <w:p w:rsidR="0001511B" w:rsidRDefault="0001511B" w:rsidP="0041621E">
      <w:pPr>
        <w:ind w:leftChars="700"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1C22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F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(5)</w:t>
      </w:r>
    </w:p>
    <w:p w:rsidR="0001511B" w:rsidRPr="00C528FC" w:rsidRDefault="0001511B" w:rsidP="0041621E">
      <w:pPr>
        <w:ind w:leftChars="700"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BF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</w:p>
    <w:p w:rsidR="0001511B" w:rsidRDefault="0001511B" w:rsidP="00F47542">
      <w:pPr>
        <w:widowControl w:val="0"/>
        <w:spacing w:after="0" w:line="480" w:lineRule="auto"/>
        <w:ind w:firstLine="873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sectPr w:rsidR="0001511B">
          <w:pgSz w:w="12240" w:h="15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LS was </w:t>
      </w:r>
      <w:r w:rsidRPr="0022380D">
        <w:rPr>
          <w:rFonts w:ascii="Times New Roman" w:eastAsia="Times New Roman" w:hAnsi="Times New Roman" w:cs="Times New Roman"/>
          <w:sz w:val="24"/>
          <w:szCs w:val="24"/>
        </w:rPr>
        <w:t>person mean centered by subtracting the person mean from the raw variable</w:t>
      </w:r>
      <w:r>
        <w:rPr>
          <w:rFonts w:ascii="Times New Roman" w:eastAsia="Times New Roman" w:hAnsi="Times New Roman" w:cs="Times New Roman"/>
          <w:sz w:val="24"/>
          <w:szCs w:val="24"/>
        </w:rPr>
        <w:t>.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interpreted as a person’s level of MMSE on occasions when LS is at their own mean level (intercept), and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represents the expected change in MMSE associated with the person’s change in LS (slope). r</w:t>
      </w:r>
      <w:r w:rsidRPr="00C52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error term, representing a unique effect associated with each person. The fixed effect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00 </w:t>
      </w:r>
      <w:r w:rsidRPr="00C528FC">
        <w:rPr>
          <w:rFonts w:ascii="Times New Roman" w:eastAsia="Times New Roman" w:hAnsi="Times New Roman" w:cs="Times New Roman"/>
          <w:sz w:val="24"/>
          <w:szCs w:val="24"/>
        </w:rPr>
        <w:t>repres</w:t>
      </w:r>
      <w:r>
        <w:rPr>
          <w:rFonts w:ascii="Times New Roman" w:eastAsia="Times New Roman" w:hAnsi="Times New Roman" w:cs="Times New Roman"/>
          <w:sz w:val="24"/>
          <w:szCs w:val="24"/>
        </w:rPr>
        <w:t>ents the mean MMSE for the sample (sample mean), 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>(the main coefficient of interest)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represents the average </w:t>
      </w:r>
      <w:r w:rsidRPr="001C2285"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sample,</w:t>
      </w:r>
      <w:r w:rsidRPr="00FF603C">
        <w:rPr>
          <w:rFonts w:ascii="Times-Roman" w:hAnsi="Times-Roman" w:cs="Times-Roman"/>
          <w:sz w:val="16"/>
          <w:szCs w:val="16"/>
        </w:rPr>
        <w:t xml:space="preserve"> 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01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5601D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represents the degree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 xml:space="preserve">which people vary from the sample mean of </w:t>
      </w:r>
      <w:r>
        <w:rPr>
          <w:rFonts w:ascii="Times New Roman" w:eastAsia="Times New Roman" w:hAnsi="Times New Roman" w:cs="Times New Roman"/>
          <w:sz w:val="24"/>
          <w:szCs w:val="24"/>
        </w:rPr>
        <w:t>MMSE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>, and u</w:t>
      </w:r>
      <w:r w:rsidRPr="005601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601D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5601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represents </w:t>
      </w:r>
      <w:r w:rsidRPr="00FF603C">
        <w:rPr>
          <w:rFonts w:ascii="Times New Roman" w:eastAsia="Times New Roman" w:hAnsi="Times New Roman" w:cs="Times New Roman"/>
          <w:sz w:val="24"/>
          <w:szCs w:val="24"/>
        </w:rPr>
        <w:t>the degree to which people vary from the slope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511B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01511B" w:rsidRPr="002819D8" w:rsidRDefault="0001511B" w:rsidP="0001511B">
      <w:pPr>
        <w:widowControl w:val="0"/>
        <w:spacing w:after="0" w:line="480" w:lineRule="auto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2819D8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lastRenderedPageBreak/>
        <w:t>Table S1</w:t>
      </w:r>
      <w:r>
        <w:rPr>
          <w:rFonts w:ascii="Times New Roman" w:hAnsi="Times New Roman" w:cs="Times New Roman" w:hint="eastAsia"/>
          <w:b/>
          <w:kern w:val="2"/>
          <w:sz w:val="24"/>
          <w:szCs w:val="24"/>
          <w:lang w:eastAsia="zh-CN"/>
        </w:rPr>
        <w:t>.</w:t>
      </w:r>
      <w:r w:rsidRPr="002819D8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01511B" w:rsidRPr="00FE472C" w:rsidRDefault="0001511B" w:rsidP="0001511B">
      <w:pPr>
        <w:widowControl w:val="0"/>
        <w:spacing w:after="0" w:line="48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E472C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 xml:space="preserve">Multilevel models of 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 xml:space="preserve">baseline </w:t>
      </w:r>
      <w:r w:rsidRPr="00FE472C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domain satisfaction predicting cognitive functioning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2199"/>
        <w:gridCol w:w="276"/>
        <w:gridCol w:w="2134"/>
        <w:gridCol w:w="276"/>
        <w:gridCol w:w="2120"/>
        <w:gridCol w:w="276"/>
        <w:gridCol w:w="2186"/>
      </w:tblGrid>
      <w:tr w:rsidR="0001511B" w:rsidRPr="00FE472C" w:rsidTr="000B1A4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Satisfaction with health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Satisfaction with economic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Satisfaction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with</w:t>
            </w:r>
            <w:r w:rsidRPr="00FE472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relationship with spouse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1B" w:rsidRPr="00FE472C" w:rsidRDefault="0001511B" w:rsidP="000B1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Satisfaction with</w:t>
            </w:r>
            <w:r w:rsidRPr="00FE472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relationship with children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Fixed effects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Coefficient (</w:t>
            </w:r>
            <w:r w:rsidRPr="00FE472C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zh-CN"/>
              </w:rPr>
              <w:t>SE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Coefficient (</w:t>
            </w:r>
            <w:r w:rsidRPr="00FE472C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zh-CN"/>
              </w:rPr>
              <w:t>SE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Coefficient (</w:t>
            </w:r>
            <w:r w:rsidRPr="00FE472C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zh-CN"/>
              </w:rPr>
              <w:t>SE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Coefficient (</w:t>
            </w:r>
            <w:r w:rsidRPr="00FE472C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zh-CN"/>
              </w:rPr>
              <w:t>SE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Cognitive functioning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Intercept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26.91***(0.07)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26.91***(0.07)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26.96***(0.07)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26.93***(0.07)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-0.10***(0.004)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-0.10***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-0.09***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-0.10*** (0.004)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-0.68***(0.07)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-0.74***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-0.54***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-0.76*** (0.07)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Depressive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-0.12***(0.02)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-0.13***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-0.15***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-0.15*** (0.02)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-0.02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-0.08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-0.20**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-0.10 (0.07)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-0.20*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-0.32**(0.10)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-0.36**(0.10)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-0.33**(0.10)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Heart-related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0.35*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0.21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0.06 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0.11 (0.15)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-0.41***(0.07)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-0.50***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-0.52***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-0.52*** (0.07)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Exercise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0.47***(0.06)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0.51***(0.06)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0.45***(0.07)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0.56***(0.06)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0.02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0.06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0.09 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0.07 (0.09)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Social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-0.05***(0.01)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-0.05***(0.01)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-0.04**(0.01)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-0.05***(0.01)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0.65***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0.65***(0.03)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0.68***(0.03)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0.67***(0.03)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Baseline s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atisfaction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0.02***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0.01***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0.01** (0.002)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Age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baseline s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atisfaction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0.001***(0.0001)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0.001*** 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0.001*** (0.0002)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0.001** (0.0002)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Slope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-0.33***(0.02)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-0.33***(0.02)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-0.33***(0.02)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-0.33***(0.02)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Age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-0.03***(0.001)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-0.03***(0.001)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-0.03***(0.001)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-0.03***(0.001)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Gender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-0.01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-0.04 (0.02)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Depressive symptoms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-0.002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-0.002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-0.0002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-0.0004 (0.007)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Hypertension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0.05*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0.05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0.06*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0.05* (0.02)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Diabetes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-0.04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-0.04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-0.02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 (0.03)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Heart-related diseases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-0.09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-0.10*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-0.13*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-0.10* (0.05)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ADL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-0.02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-0.02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-0.04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-0.03 (0.03)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Exercise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-0.01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-0.01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-0.02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-0.01 (0.02)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Smoking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-0.05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-0.05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-0.02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-0.05 (0.03)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Social contact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0.02***(0.004)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0.02***(0.004)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0.02***(0.004)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0.02***(0.004)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Education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-0.004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-0.005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0.006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-0.002 (0.01)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Baseline satisfaction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0.0003 (0.0005)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0.0005 (0.0005)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-0.00004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-0.0003 (0.001)</w:t>
            </w:r>
          </w:p>
        </w:tc>
      </w:tr>
      <w:tr w:rsidR="0001511B" w:rsidRPr="00FE472C" w:rsidTr="000B1A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Age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baseline satisfaction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0.0002***(0.00005)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0.0002**(0.00004)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0.0002**(0.0001)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1B" w:rsidRPr="00FE472C" w:rsidRDefault="0001511B" w:rsidP="000B1A4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0.0002***(0.0001)</w:t>
            </w:r>
          </w:p>
        </w:tc>
      </w:tr>
    </w:tbl>
    <w:p w:rsidR="0001511B" w:rsidRPr="0065142E" w:rsidRDefault="0001511B" w:rsidP="0001511B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9048F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Note.</w:t>
      </w:r>
      <w:r w:rsidRPr="0029048F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S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CN"/>
        </w:rPr>
        <w:t>ati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sfaction with health and economic status: </w:t>
      </w:r>
      <w:r w:rsidRPr="00563916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n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=8016; satisfaction with relationship with spouses: </w:t>
      </w:r>
      <w:r w:rsidRPr="00563916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n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=6559; satisfaction with relationship with children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: </w:t>
      </w:r>
      <w:r w:rsidRPr="00563916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=7820.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On single-item measures with a scale of 0-100, participants rated how satisfied they were with their health, economic status, relationship with spouses, and relationship with children. Higher scores indicated higher satisfaction.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Except time, all variables were baseline measures. 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Gender: 0=men, 1=women. ADL=activities of daily living (functional limitations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range=0-7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). </w:t>
      </w:r>
      <w:r w:rsidRPr="0029048F">
        <w:rPr>
          <w:rFonts w:ascii="Times New Roman" w:eastAsia="Gulim" w:hAnsi="Times New Roman" w:cs="Times New Roman"/>
          <w:sz w:val="24"/>
          <w:szCs w:val="24"/>
        </w:rPr>
        <w:t>Social contact: Participants self-reported how often they visit close friends or relatives, 1=Almost every day, 2=Once a week</w:t>
      </w:r>
      <w:r w:rsidRPr="0029048F">
        <w:rPr>
          <w:rFonts w:ascii="Times New Roman" w:hAnsi="Times New Roman" w:cs="Times New Roman"/>
          <w:sz w:val="24"/>
          <w:szCs w:val="24"/>
          <w:lang w:eastAsia="zh-CN"/>
        </w:rPr>
        <w:t>, 3=</w:t>
      </w:r>
      <w:r w:rsidRPr="0029048F">
        <w:rPr>
          <w:rFonts w:ascii="Times New Roman" w:eastAsia="Gulim" w:hAnsi="Times New Roman" w:cs="Times New Roman"/>
          <w:sz w:val="24"/>
          <w:szCs w:val="24"/>
        </w:rPr>
        <w:t>two or three times a week</w:t>
      </w:r>
      <w:r w:rsidRPr="0029048F">
        <w:rPr>
          <w:rFonts w:ascii="Times New Roman" w:hAnsi="Times New Roman" w:cs="Times New Roman"/>
          <w:sz w:val="24"/>
          <w:szCs w:val="24"/>
          <w:lang w:eastAsia="zh-CN"/>
        </w:rPr>
        <w:t>, 4=</w:t>
      </w:r>
      <w:r w:rsidRPr="0029048F">
        <w:rPr>
          <w:rFonts w:ascii="Times New Roman" w:eastAsia="Gulim" w:hAnsi="Times New Roman" w:cs="Times New Roman"/>
          <w:sz w:val="24"/>
          <w:szCs w:val="24"/>
        </w:rPr>
        <w:t>Once a month</w:t>
      </w:r>
      <w:r w:rsidRPr="0029048F">
        <w:rPr>
          <w:rFonts w:ascii="Times New Roman" w:hAnsi="Times New Roman" w:cs="Times New Roman"/>
          <w:sz w:val="24"/>
          <w:szCs w:val="24"/>
          <w:lang w:eastAsia="zh-CN"/>
        </w:rPr>
        <w:t>, 5=</w:t>
      </w:r>
      <w:r w:rsidRPr="0029048F">
        <w:rPr>
          <w:rFonts w:ascii="Times New Roman" w:eastAsia="Gulim" w:hAnsi="Times New Roman" w:cs="Times New Roman"/>
          <w:sz w:val="24"/>
          <w:szCs w:val="24"/>
        </w:rPr>
        <w:t>Twice a month (every two weeks)</w:t>
      </w:r>
      <w:r w:rsidRPr="0029048F">
        <w:rPr>
          <w:rFonts w:ascii="Times New Roman" w:hAnsi="Times New Roman" w:cs="Times New Roman"/>
          <w:sz w:val="24"/>
          <w:szCs w:val="24"/>
          <w:lang w:eastAsia="zh-CN"/>
        </w:rPr>
        <w:t>, 6=</w:t>
      </w:r>
      <w:r w:rsidRPr="0029048F">
        <w:rPr>
          <w:rFonts w:ascii="Times New Roman" w:eastAsia="Gulim" w:hAnsi="Times New Roman" w:cs="Times New Roman"/>
          <w:sz w:val="24"/>
          <w:szCs w:val="24"/>
        </w:rPr>
        <w:t>Once or twice a year</w:t>
      </w:r>
      <w:r w:rsidRPr="0029048F">
        <w:rPr>
          <w:rFonts w:ascii="Times New Roman" w:hAnsi="Times New Roman" w:cs="Times New Roman"/>
          <w:sz w:val="24"/>
          <w:szCs w:val="24"/>
          <w:lang w:eastAsia="zh-CN"/>
        </w:rPr>
        <w:t>, 7=</w:t>
      </w:r>
      <w:r w:rsidRPr="0029048F">
        <w:rPr>
          <w:rFonts w:ascii="Times New Roman" w:eastAsia="Gulim" w:hAnsi="Times New Roman" w:cs="Times New Roman"/>
          <w:sz w:val="24"/>
          <w:szCs w:val="24"/>
        </w:rPr>
        <w:t xml:space="preserve">Three or four </w:t>
      </w:r>
      <w:r w:rsidRPr="0029048F">
        <w:rPr>
          <w:rFonts w:ascii="Times New Roman" w:eastAsia="Gulim" w:hAnsi="Times New Roman" w:cs="Times New Roman"/>
          <w:sz w:val="24"/>
          <w:szCs w:val="24"/>
        </w:rPr>
        <w:lastRenderedPageBreak/>
        <w:t>times a year (once every three or four months)</w:t>
      </w:r>
      <w:r w:rsidRPr="0029048F">
        <w:rPr>
          <w:rFonts w:ascii="Times New Roman" w:hAnsi="Times New Roman" w:cs="Times New Roman"/>
          <w:sz w:val="24"/>
          <w:szCs w:val="24"/>
          <w:lang w:eastAsia="zh-CN"/>
        </w:rPr>
        <w:t>, 8=</w:t>
      </w:r>
      <w:r w:rsidRPr="0029048F">
        <w:rPr>
          <w:rFonts w:ascii="Times New Roman" w:eastAsia="Gulim" w:hAnsi="Times New Roman" w:cs="Times New Roman"/>
          <w:sz w:val="24"/>
          <w:szCs w:val="24"/>
        </w:rPr>
        <w:t xml:space="preserve">Five or six times a year (every two months), 9=Almost never a year, 10=No close friend or relative. The item </w:t>
      </w:r>
      <w:r w:rsidRPr="0029048F">
        <w:rPr>
          <w:rFonts w:ascii="Times New Roman" w:hAnsi="Times New Roman" w:cs="Times New Roman"/>
          <w:sz w:val="24"/>
          <w:szCs w:val="24"/>
        </w:rPr>
        <w:t>was reverse coded such that higher scores indicated more frequent contact (range=1-10).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Age </w:t>
      </w:r>
      <w:r w:rsidRPr="00346794">
        <w:rPr>
          <w:rFonts w:ascii="Times New Roman" w:hAnsi="Times New Roman" w:cs="Times New Roman"/>
          <w:sz w:val="24"/>
          <w:szCs w:val="24"/>
        </w:rPr>
        <w:t>×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Satisfaction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: Interaction between age and a domain 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satisfaction indicator.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As with overall life satisfaction, we also tested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6794">
        <w:rPr>
          <w:rFonts w:ascii="Times New Roman" w:hAnsi="Times New Roman" w:cs="Times New Roman"/>
          <w:sz w:val="24"/>
          <w:szCs w:val="24"/>
        </w:rPr>
        <w:t>ge × satisfaction × time</w:t>
      </w:r>
      <w:r>
        <w:rPr>
          <w:rFonts w:ascii="Times New Roman" w:hAnsi="Times New Roman" w:cs="Times New Roman"/>
          <w:sz w:val="24"/>
          <w:szCs w:val="24"/>
        </w:rPr>
        <w:t xml:space="preserve"> (last row of the table)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: the interaction between age, domain satisfaction, and time. This interaction is </w:t>
      </w:r>
      <w:r w:rsidRPr="00346794">
        <w:rPr>
          <w:rFonts w:ascii="Times New Roman" w:hAnsi="Times New Roman" w:cs="Times New Roman"/>
          <w:sz w:val="24"/>
          <w:szCs w:val="24"/>
        </w:rPr>
        <w:t>illustrate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4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46794">
        <w:rPr>
          <w:rFonts w:ascii="Times New Roman" w:hAnsi="Times New Roman" w:cs="Times New Roman"/>
          <w:sz w:val="24"/>
          <w:szCs w:val="24"/>
        </w:rPr>
        <w:t>Figure S1-S4</w:t>
      </w:r>
      <w:r>
        <w:rPr>
          <w:rFonts w:ascii="Times New Roman" w:hAnsi="Times New Roman" w:cs="Times New Roman"/>
          <w:sz w:val="24"/>
          <w:szCs w:val="24"/>
        </w:rPr>
        <w:t xml:space="preserve"> of this supplement</w:t>
      </w:r>
      <w:r w:rsidRPr="00346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626" w:rsidRDefault="0001511B" w:rsidP="0001511B">
      <w:pPr>
        <w:spacing w:line="48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*</w:t>
      </w:r>
      <w:r w:rsidRPr="0029048F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&lt;.05.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**</w:t>
      </w:r>
      <w:r w:rsidRPr="0029048F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&lt;.01.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***</w:t>
      </w:r>
      <w:r w:rsidRPr="0029048F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p</w:t>
      </w:r>
      <w:r w:rsidRPr="002904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&lt;.0001</w:t>
      </w:r>
    </w:p>
    <w:p w:rsidR="0014041B" w:rsidRDefault="0014041B" w:rsidP="001404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4041B" w:rsidSect="0001511B">
          <w:pgSz w:w="15840" w:h="1224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4041B" w:rsidRPr="00AE5DAC" w:rsidRDefault="0014041B" w:rsidP="001404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5DAC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5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41B" w:rsidRPr="00AE5DAC" w:rsidRDefault="0014041B" w:rsidP="00140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5DAC">
        <w:rPr>
          <w:rFonts w:ascii="Times New Roman" w:hAnsi="Times New Roman" w:cs="Times New Roman"/>
          <w:i/>
          <w:sz w:val="24"/>
          <w:szCs w:val="24"/>
        </w:rPr>
        <w:t>Multilevel models of</w:t>
      </w:r>
      <w:r>
        <w:rPr>
          <w:rFonts w:ascii="Times New Roman" w:hAnsi="Times New Roman" w:cs="Times New Roman"/>
          <w:i/>
          <w:sz w:val="24"/>
          <w:szCs w:val="24"/>
        </w:rPr>
        <w:t xml:space="preserve"> time-varying</w:t>
      </w:r>
      <w:r w:rsidRPr="00AE5DAC">
        <w:rPr>
          <w:rFonts w:ascii="Times New Roman" w:hAnsi="Times New Roman" w:cs="Times New Roman"/>
          <w:i/>
          <w:sz w:val="24"/>
          <w:szCs w:val="24"/>
        </w:rPr>
        <w:t xml:space="preserve"> domain satisfaction predicting cognitive functioning</w:t>
      </w:r>
    </w:p>
    <w:tbl>
      <w:tblPr>
        <w:tblW w:w="5000" w:type="pct"/>
        <w:tblCellSpacing w:w="11" w:type="dxa"/>
        <w:tblLook w:val="04A0" w:firstRow="1" w:lastRow="0" w:firstColumn="1" w:lastColumn="0" w:noHBand="0" w:noVBand="1"/>
      </w:tblPr>
      <w:tblGrid>
        <w:gridCol w:w="258"/>
        <w:gridCol w:w="2994"/>
        <w:gridCol w:w="1944"/>
        <w:gridCol w:w="245"/>
        <w:gridCol w:w="2185"/>
        <w:gridCol w:w="244"/>
        <w:gridCol w:w="2397"/>
        <w:gridCol w:w="244"/>
        <w:gridCol w:w="2449"/>
      </w:tblGrid>
      <w:tr w:rsidR="0014041B" w:rsidRPr="00AE5DAC" w:rsidTr="000B1A4F">
        <w:trPr>
          <w:trHeight w:val="315"/>
          <w:tblCellSpacing w:w="11" w:type="dxa"/>
        </w:trPr>
        <w:tc>
          <w:tcPr>
            <w:tcW w:w="123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Satisfaction with health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nil"/>
            </w:tcBorders>
          </w:tcPr>
          <w:p w:rsidR="0014041B" w:rsidRPr="00D3560F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41B" w:rsidRPr="00AE5DAC" w:rsidRDefault="0014041B" w:rsidP="000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Satisfaction with economic status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nil"/>
            </w:tcBorders>
          </w:tcPr>
          <w:p w:rsidR="0014041B" w:rsidRPr="00D3560F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41B" w:rsidRPr="005116C9" w:rsidRDefault="0014041B" w:rsidP="000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Satisfaction with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relationship with </w:t>
            </w:r>
            <w:r w:rsidRPr="00AE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spouse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nil"/>
            </w:tcBorders>
          </w:tcPr>
          <w:p w:rsidR="0014041B" w:rsidRPr="00D3560F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41B" w:rsidRPr="005116C9" w:rsidRDefault="0014041B" w:rsidP="000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Satisfaction with relationship with children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123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743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Coefficient </w:t>
            </w:r>
            <w:r w:rsidRPr="00AE5D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(SE)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Coefficient </w:t>
            </w:r>
            <w:r w:rsidRPr="00AE5D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(SE)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Coefficient </w:t>
            </w:r>
            <w:r w:rsidRPr="00AE5D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(SE)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Coefficient </w:t>
            </w:r>
            <w:r w:rsidRPr="00AE5D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(SE)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1235" w:type="pct"/>
            <w:gridSpan w:val="2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5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C</w:t>
            </w:r>
            <w:r w:rsidRPr="0002125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nitive functioning </w:t>
            </w:r>
          </w:p>
        </w:tc>
        <w:tc>
          <w:tcPr>
            <w:tcW w:w="743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Intercept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6.47***(0.08)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6.47***(0.08)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6.50***(0.08)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6.59***(0.09)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0.15***(0.003)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0.15***(0.003)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0.12***(0.004)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5D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E5D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0.15***(0.003)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-0.82***(0.06)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-0.81***(0.06)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-0.57***(0.07)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-0.86***(0.07)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0.74***(0.03)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0.74***(0.03)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0.74***(0.03)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0.72***(0.03)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1235" w:type="pct"/>
            <w:gridSpan w:val="2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Slope</w:t>
            </w:r>
          </w:p>
        </w:tc>
        <w:tc>
          <w:tcPr>
            <w:tcW w:w="743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left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Linear time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-0.21***(0.01)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-0.23***(0.01)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-0.16***(0.01)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-0.21***(0.01)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Depressive symptoms, 0-10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-0.18***(0.01)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-0.19***(0.01)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-0.19***(0.01)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-0.18***(0.01)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-0.15** (0.05)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-0.16** (0.05)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-0.18** (0.05)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-0.13* (0.06)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-0.24**(0.06)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-0.23**(0.06)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-0.13(0.07)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-0.28*** (0.07)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Heart-related disease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-0.21*(0.09)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-0.22*(0.09)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-0.32**(0.09)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-0.11(0.10)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ADL, 0-7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-1.37***(0.03)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-1.44***(0.02)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-1.51***(0.03)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Times New Roman" w:hAnsi="Times New Roman" w:cs="Times New Roman"/>
                <w:sz w:val="24"/>
                <w:szCs w:val="24"/>
              </w:rPr>
              <w:t>-1.25***(0.03)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0.46***(0.04)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0.49***(0.04)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0.37***(0.04)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0.51***(0.04)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0.09 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0.10 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0.19** (0.06)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-0.02 (0.07)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 xml:space="preserve">Social contact, 1-10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0.09***(0.01)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0.10***(0.01)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0.09***(0.01)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0.09***(0.01)</w:t>
            </w:r>
          </w:p>
        </w:tc>
      </w:tr>
      <w:tr w:rsidR="0014041B" w:rsidRPr="00AE5DAC" w:rsidTr="000B1A4F">
        <w:trPr>
          <w:trHeight w:val="315"/>
          <w:tblCellSpacing w:w="11" w:type="dxa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41B" w:rsidRPr="00AE5DAC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 xml:space="preserve">Satisfaction, 0-100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0.02***(0.001)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0.01***(0.001)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0.01***(0.001)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41B" w:rsidRPr="00AE5DAC" w:rsidRDefault="0014041B" w:rsidP="000B1A4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hAnsi="Times New Roman" w:cs="Times New Roman"/>
                <w:sz w:val="24"/>
                <w:szCs w:val="24"/>
              </w:rPr>
              <w:t>0.01***(0.002)</w:t>
            </w:r>
          </w:p>
        </w:tc>
      </w:tr>
    </w:tbl>
    <w:p w:rsidR="0014041B" w:rsidRPr="00AE5DAC" w:rsidRDefault="0014041B" w:rsidP="0014041B">
      <w:pPr>
        <w:spacing w:line="48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AE5DAC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Note.</w:t>
      </w:r>
      <w:r w:rsidRPr="00AE5DAC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S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CN"/>
        </w:rPr>
        <w:t>ati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sfaction with health and economic status: </w:t>
      </w:r>
      <w:r w:rsidRPr="00563916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n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=8016; satisfaction with relationship with spouses: </w:t>
      </w:r>
      <w:r w:rsidRPr="00563916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n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=6559; satisfaction with relationship with children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: </w:t>
      </w:r>
      <w:r w:rsidRPr="00563916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=7820. </w:t>
      </w:r>
      <w:r w:rsidRPr="00AE5DA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Gender: 0=men, 1=women. ADL=activities of daily living (functional limitations). </w:t>
      </w:r>
      <w:r w:rsidRPr="00A22E3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“Satisfaction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”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row (last row of the table) presents the </w:t>
      </w:r>
      <w:r w:rsidRPr="00A22E39">
        <w:rPr>
          <w:rFonts w:ascii="Times New Roman" w:hAnsi="Times New Roman" w:cs="Times New Roman"/>
          <w:sz w:val="24"/>
          <w:szCs w:val="24"/>
        </w:rPr>
        <w:t xml:space="preserve">within-person associations between </w:t>
      </w:r>
      <w:r>
        <w:rPr>
          <w:rFonts w:ascii="Times New Roman" w:hAnsi="Times New Roman" w:cs="Times New Roman"/>
          <w:sz w:val="24"/>
          <w:szCs w:val="24"/>
        </w:rPr>
        <w:t xml:space="preserve">time-varying </w:t>
      </w:r>
      <w:r w:rsidRPr="00A22E39">
        <w:rPr>
          <w:rFonts w:ascii="Times New Roman" w:hAnsi="Times New Roman" w:cs="Times New Roman"/>
          <w:sz w:val="24"/>
          <w:szCs w:val="24"/>
        </w:rPr>
        <w:t>domain satisfaction and cognitive functioning, suggesting that on occasions when individuals have higher levels of satisfaction than their own average, they could also be expected to have higher cognitive functioning.</w:t>
      </w:r>
    </w:p>
    <w:p w:rsidR="0014041B" w:rsidRDefault="0014041B" w:rsidP="0014041B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5DAC">
        <w:rPr>
          <w:rFonts w:ascii="Times New Roman" w:hAnsi="Times New Roman" w:cs="Times New Roman" w:hint="eastAsia"/>
          <w:color w:val="000000"/>
          <w:kern w:val="2"/>
          <w:sz w:val="24"/>
          <w:szCs w:val="24"/>
          <w:lang w:eastAsia="zh-CN"/>
        </w:rPr>
        <w:t>*</w:t>
      </w:r>
      <w:r w:rsidRPr="00AE5DAC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p</w:t>
      </w:r>
      <w:r w:rsidRPr="00AE5DAC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&lt;.05. **</w:t>
      </w:r>
      <w:r w:rsidRPr="00AE5DAC">
        <w:rPr>
          <w:rFonts w:ascii="Times New Roman" w:hAnsi="Times New Roman" w:cs="Times New Roman"/>
          <w:i/>
          <w:color w:val="000000"/>
          <w:kern w:val="2"/>
          <w:sz w:val="24"/>
          <w:szCs w:val="24"/>
          <w:lang w:eastAsia="zh-CN"/>
        </w:rPr>
        <w:t>p</w:t>
      </w:r>
      <w:r w:rsidRPr="00AE5DAC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&lt;.01.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5DAC">
        <w:rPr>
          <w:rFonts w:ascii="Times New Roman" w:eastAsia="Times New Roman" w:hAnsi="Times New Roman" w:cs="Times New Roman"/>
          <w:i/>
          <w:iCs/>
          <w:sz w:val="24"/>
          <w:szCs w:val="24"/>
        </w:rPr>
        <w:t>***p&lt;</w:t>
      </w:r>
      <w:r w:rsidRPr="00AE5DAC">
        <w:rPr>
          <w:rFonts w:ascii="Times New Roman" w:eastAsia="Times New Roman" w:hAnsi="Times New Roman" w:cs="Times New Roman"/>
          <w:iCs/>
          <w:sz w:val="24"/>
          <w:szCs w:val="24"/>
        </w:rPr>
        <w:t>.0001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4041B" w:rsidRPr="0014041B" w:rsidRDefault="0014041B" w:rsidP="0014041B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19D8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lastRenderedPageBreak/>
        <w:t>Table S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3.</w:t>
      </w:r>
      <w:r w:rsidRPr="002819D8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14041B" w:rsidRPr="00122DF8" w:rsidRDefault="0014041B" w:rsidP="0014041B">
      <w:pPr>
        <w:widowControl w:val="0"/>
        <w:spacing w:after="0" w:line="48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E70DB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C</w:t>
      </w:r>
      <w:r w:rsidRPr="00122DF8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 xml:space="preserve">ox regression analyses of 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 xml:space="preserve">baseline </w:t>
      </w:r>
      <w:r w:rsidRPr="00122DF8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domain satisfaction predicting risk of incident dementia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2176"/>
        <w:gridCol w:w="1848"/>
        <w:gridCol w:w="2207"/>
        <w:gridCol w:w="2288"/>
      </w:tblGrid>
      <w:tr w:rsidR="0014041B" w:rsidRPr="00122DF8" w:rsidTr="000B1A4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Satisfaction with health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Satisfaction with </w:t>
            </w:r>
          </w:p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Satisfaction with</w:t>
            </w:r>
          </w:p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relationship with spouse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Satisfaction with </w:t>
            </w:r>
          </w:p>
          <w:p w:rsidR="0014041B" w:rsidRPr="00122DF8" w:rsidRDefault="0014041B" w:rsidP="000B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relationship with children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2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Mean (</w:t>
            </w:r>
            <w:r w:rsidRPr="00122DF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SD</w:t>
            </w:r>
            <w:r w:rsidRPr="00122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), 0-100, </w:t>
            </w:r>
          </w:p>
          <w:p w:rsidR="0014041B" w:rsidRPr="00122DF8" w:rsidRDefault="0014041B" w:rsidP="000B1A4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2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Dementia cases /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2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DengXian" w:hAnsi="Times New Roman" w:cs="Times New Roman"/>
                <w:sz w:val="24"/>
                <w:szCs w:val="24"/>
              </w:rPr>
              <w:t>48.40 (24.14)/</w:t>
            </w: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58.34 (23.56)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DengXian" w:hAnsi="Times New Roman" w:cs="Times New Roman"/>
                <w:sz w:val="24"/>
                <w:szCs w:val="24"/>
              </w:rPr>
              <w:t>42.51 (23.83)/</w:t>
            </w: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49.30 (23.73)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DengXian" w:hAnsi="Times New Roman" w:cs="Times New Roman"/>
                <w:sz w:val="24"/>
                <w:szCs w:val="24"/>
              </w:rPr>
              <w:t>69.25 (19.28)/</w:t>
            </w: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72.05 (19.00)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DengXian" w:hAnsi="Times New Roman" w:cs="Times New Roman"/>
                <w:sz w:val="24"/>
                <w:szCs w:val="24"/>
              </w:rPr>
              <w:t>71.27 (20.25)/</w:t>
            </w: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75.11 (18.86)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1, # dementia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1384/8021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1384/8021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897/6564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1342/7825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1,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0.76 (0.72-0.80)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0.82 (0.78-0.86)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0.91 (0.86-0.97)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0.91 (0.87-0.95)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Sensitivity analyses/Robustness check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1.1, # dementia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770/7407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770/7407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546/6213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751/7234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1.1,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0.77 (0.72-0.82)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0.83 (0.77-0.89)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(0.85-1.00)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(0.86-0.98)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Depressive symptoms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2, # dementia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1384/8021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1384/8021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897/6564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1342/7825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2,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0.77 (0.73-0.81)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0.83 (0.78-0.87)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(0.86-0.98)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(0.88-0.97)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Cardiovascular and ADL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3, # dementia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1384/8021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1384/8021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897/6564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1342/7825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3, HR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0.77 (0.73-0.81)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0.83 (0.79-0.88)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(0.87-0.98)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(0.88-0.97)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Behavioral, social, and education covariates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4, # dementia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1382/8016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1382/8016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896/6560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1340/7820</w:t>
            </w:r>
          </w:p>
        </w:tc>
      </w:tr>
      <w:tr w:rsidR="0014041B" w:rsidRPr="00122DF8" w:rsidTr="000B1A4F">
        <w:trPr>
          <w:trHeight w:val="34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Model 4, HR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0.81 (0.77-0.85)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0.88 (0.84-0.94)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0.97 (0.91-1.03)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41B" w:rsidRPr="00122DF8" w:rsidRDefault="0014041B" w:rsidP="000B1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F8">
              <w:rPr>
                <w:rFonts w:ascii="Times New Roman" w:eastAsia="Times New Roman" w:hAnsi="Times New Roman" w:cs="Times New Roman"/>
                <w:sz w:val="24"/>
                <w:szCs w:val="24"/>
              </w:rPr>
              <w:t>0.96 (0.91-1.01)</w:t>
            </w:r>
          </w:p>
        </w:tc>
      </w:tr>
    </w:tbl>
    <w:p w:rsidR="0014041B" w:rsidRPr="008F35F0" w:rsidRDefault="0014041B" w:rsidP="00140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5F0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8F35F0">
        <w:rPr>
          <w:rFonts w:ascii="Times New Roman" w:hAnsi="Times New Roman" w:cs="Times New Roman"/>
          <w:sz w:val="24"/>
          <w:szCs w:val="24"/>
        </w:rPr>
        <w:t xml:space="preserve">Model 1 and Model 1.1 include the covariates age and gender; Model 1.1 excludes cases of incident dementia occurred at the first and second follow-ups; Model 2 </w:t>
      </w:r>
      <w:r>
        <w:rPr>
          <w:rFonts w:ascii="Times New Roman" w:hAnsi="Times New Roman" w:cs="Times New Roman"/>
          <w:sz w:val="24"/>
          <w:szCs w:val="24"/>
        </w:rPr>
        <w:t>was Model 1 plus depressive symptoms</w:t>
      </w:r>
      <w:r w:rsidRPr="008F35F0">
        <w:rPr>
          <w:rFonts w:ascii="Times New Roman" w:hAnsi="Times New Roman" w:cs="Times New Roman"/>
          <w:sz w:val="24"/>
          <w:szCs w:val="24"/>
        </w:rPr>
        <w:t xml:space="preserve">; Model 3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8F35F0">
        <w:rPr>
          <w:rFonts w:ascii="Times New Roman" w:hAnsi="Times New Roman" w:cs="Times New Roman"/>
          <w:sz w:val="24"/>
          <w:szCs w:val="24"/>
        </w:rPr>
        <w:t>Model 2 plus cardiovascular and ADL factors; Model 4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8F35F0">
        <w:rPr>
          <w:rFonts w:ascii="Times New Roman" w:hAnsi="Times New Roman" w:cs="Times New Roman"/>
          <w:sz w:val="24"/>
          <w:szCs w:val="24"/>
        </w:rPr>
        <w:t xml:space="preserve"> Model 3 plus health behaviors</w:t>
      </w:r>
      <w:r>
        <w:rPr>
          <w:rFonts w:ascii="Times New Roman" w:hAnsi="Times New Roman" w:cs="Times New Roman"/>
          <w:sz w:val="24"/>
          <w:szCs w:val="24"/>
        </w:rPr>
        <w:t xml:space="preserve"> (exercise and smoking)</w:t>
      </w:r>
      <w:r w:rsidRPr="008F35F0">
        <w:rPr>
          <w:rFonts w:ascii="Times New Roman" w:hAnsi="Times New Roman" w:cs="Times New Roman"/>
          <w:sz w:val="24"/>
          <w:szCs w:val="24"/>
        </w:rPr>
        <w:t xml:space="preserve">, social contact, and education. </w:t>
      </w:r>
    </w:p>
    <w:p w:rsidR="0017333E" w:rsidRDefault="0014041B" w:rsidP="0014041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17333E" w:rsidSect="0001511B">
          <w:pgSz w:w="15840" w:h="1224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8F35F0">
        <w:rPr>
          <w:rFonts w:ascii="Times New Roman" w:hAnsi="Times New Roman" w:cs="Times New Roman"/>
          <w:sz w:val="24"/>
          <w:szCs w:val="24"/>
        </w:rPr>
        <w:t>HR = Hazard Ratio; CI = Confidence Interval. All HR values are significant (</w:t>
      </w:r>
      <w:r w:rsidRPr="008F35F0">
        <w:rPr>
          <w:rFonts w:ascii="Times New Roman" w:hAnsi="Times New Roman" w:cs="Times New Roman"/>
          <w:i/>
          <w:sz w:val="24"/>
          <w:szCs w:val="24"/>
        </w:rPr>
        <w:t>p</w:t>
      </w:r>
      <w:r w:rsidRPr="008F35F0">
        <w:rPr>
          <w:rFonts w:ascii="Times New Roman" w:hAnsi="Times New Roman" w:cs="Times New Roman"/>
          <w:sz w:val="24"/>
          <w:szCs w:val="24"/>
        </w:rPr>
        <w:t xml:space="preserve">&lt;.05) except </w:t>
      </w:r>
      <w:r>
        <w:rPr>
          <w:rFonts w:ascii="Times New Roman" w:hAnsi="Times New Roman" w:cs="Times New Roman"/>
          <w:sz w:val="24"/>
          <w:szCs w:val="24"/>
        </w:rPr>
        <w:t xml:space="preserve">the HRs for </w:t>
      </w:r>
      <w:r w:rsidRPr="008F35F0">
        <w:rPr>
          <w:rFonts w:ascii="Times New Roman" w:hAnsi="Times New Roman" w:cs="Times New Roman"/>
          <w:sz w:val="24"/>
          <w:szCs w:val="24"/>
        </w:rPr>
        <w:t>satisfaction with relationships with spouse and children in Model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33E" w:rsidRDefault="0017333E" w:rsidP="0017333E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09B00C89" wp14:editId="41DD8FD4">
            <wp:extent cx="4572000" cy="2743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333E" w:rsidRPr="007A49AF" w:rsidRDefault="0017333E" w:rsidP="0017333E">
      <w:pPr>
        <w:spacing w:line="48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8632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Figure S1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Three-way interaction between age, satisfaction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with health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and time predicting cognitive functioning</w:t>
      </w:r>
    </w:p>
    <w:p w:rsidR="0017333E" w:rsidRDefault="0017333E" w:rsidP="0017333E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sectPr w:rsidR="0017333E" w:rsidSect="0017333E">
          <w:pgSz w:w="12240" w:h="15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333E" w:rsidRDefault="0017333E" w:rsidP="0017333E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5F7EB5CB" wp14:editId="1B111CC4">
            <wp:extent cx="4572000" cy="274320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333E" w:rsidRDefault="0017333E" w:rsidP="0017333E">
      <w:pPr>
        <w:spacing w:line="48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sectPr w:rsidR="0017333E" w:rsidSect="0017333E">
          <w:pgSz w:w="12240" w:h="15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Figure S2.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Three-way interaction between age, satisfaction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with economic status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and time predicting cognitive functioning</w:t>
      </w:r>
    </w:p>
    <w:p w:rsidR="0017333E" w:rsidRDefault="0017333E" w:rsidP="001733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352CAF20" wp14:editId="0E47377E">
            <wp:extent cx="4572000" cy="27432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333E" w:rsidRDefault="0017333E" w:rsidP="0017333E">
      <w:pPr>
        <w:spacing w:line="48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sectPr w:rsidR="0017333E" w:rsidSect="0017333E">
          <w:pgSz w:w="12240" w:h="15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Figure S3.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Three-way interaction between age,</w:t>
      </w:r>
      <w:r w:rsidRPr="00D910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satisfaction with </w:t>
      </w:r>
      <w:r w:rsidRPr="00D9101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relationship with spouses</w:t>
      </w:r>
      <w:r w:rsidRPr="00D910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and time predicting cognitive functioning</w:t>
      </w:r>
    </w:p>
    <w:p w:rsidR="0017333E" w:rsidRDefault="0017333E" w:rsidP="0017333E">
      <w:pPr>
        <w:spacing w:line="48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E35105E" wp14:editId="54C1DB43">
            <wp:extent cx="4572000" cy="27432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41B" w:rsidRPr="00F47542" w:rsidRDefault="0017333E" w:rsidP="0017333E">
      <w:pPr>
        <w:spacing w:line="48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Figure S4.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Three-way interaction between age, satisfaction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with relationship with children</w:t>
      </w:r>
      <w:r w:rsidRPr="005863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and time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predicting cognitive functioning</w:t>
      </w:r>
    </w:p>
    <w:sectPr w:rsidR="0014041B" w:rsidRPr="00F47542" w:rsidSect="0017333E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CF" w:rsidRDefault="00A20ECF" w:rsidP="0001511B">
      <w:pPr>
        <w:spacing w:after="0" w:line="240" w:lineRule="auto"/>
      </w:pPr>
      <w:r>
        <w:separator/>
      </w:r>
    </w:p>
  </w:endnote>
  <w:endnote w:type="continuationSeparator" w:id="0">
    <w:p w:rsidR="00A20ECF" w:rsidRDefault="00A20ECF" w:rsidP="000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CF" w:rsidRDefault="00A20ECF" w:rsidP="0001511B">
      <w:pPr>
        <w:spacing w:after="0" w:line="240" w:lineRule="auto"/>
      </w:pPr>
      <w:r>
        <w:separator/>
      </w:r>
    </w:p>
  </w:footnote>
  <w:footnote w:type="continuationSeparator" w:id="0">
    <w:p w:rsidR="00A20ECF" w:rsidRDefault="00A20ECF" w:rsidP="0001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A"/>
    <w:rsid w:val="0001511B"/>
    <w:rsid w:val="000D685A"/>
    <w:rsid w:val="0014041B"/>
    <w:rsid w:val="0017333E"/>
    <w:rsid w:val="002025DA"/>
    <w:rsid w:val="00415748"/>
    <w:rsid w:val="0041621E"/>
    <w:rsid w:val="004266E2"/>
    <w:rsid w:val="006A1EF8"/>
    <w:rsid w:val="00725626"/>
    <w:rsid w:val="00802EE0"/>
    <w:rsid w:val="00A20ECF"/>
    <w:rsid w:val="00BF40BA"/>
    <w:rsid w:val="00D176FB"/>
    <w:rsid w:val="00D81E58"/>
    <w:rsid w:val="00D9527E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C2B9A"/>
  <w15:chartTrackingRefBased/>
  <w15:docId w15:val="{3C26E911-403F-491F-B85E-A4676065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B"/>
    <w:pPr>
      <w:spacing w:after="160" w:line="259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1"/>
    <w:qFormat/>
    <w:rsid w:val="000D685A"/>
    <w:pPr>
      <w:keepNext/>
      <w:keepLines/>
      <w:widowControl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24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A1EF8"/>
    <w:pPr>
      <w:keepNext/>
      <w:keepLines/>
      <w:widowControl w:val="0"/>
      <w:spacing w:before="260" w:after="260" w:line="240" w:lineRule="auto"/>
      <w:outlineLvl w:val="1"/>
    </w:pPr>
    <w:rPr>
      <w:rFonts w:ascii="Times New Roman" w:eastAsia="SimSun" w:hAnsi="Times New Roman" w:cstheme="majorBidi"/>
      <w:bCs/>
      <w:i/>
      <w:kern w:val="2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A1EF8"/>
    <w:rPr>
      <w:rFonts w:ascii="Times New Roman" w:eastAsia="SimSun" w:hAnsi="Times New Roman" w:cstheme="majorBidi"/>
      <w:bCs/>
      <w:i/>
      <w:sz w:val="24"/>
      <w:szCs w:val="32"/>
    </w:rPr>
  </w:style>
  <w:style w:type="character" w:customStyle="1" w:styleId="10">
    <w:name w:val="标题 1 字符"/>
    <w:basedOn w:val="a0"/>
    <w:uiPriority w:val="9"/>
    <w:rsid w:val="000D685A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0D685A"/>
    <w:rPr>
      <w:rFonts w:ascii="Times New Roman" w:eastAsia="SimSun" w:hAnsi="Times New Roman" w:cs="Times New Roman"/>
      <w:b/>
      <w:bCs/>
      <w:kern w:val="44"/>
      <w:sz w:val="24"/>
      <w:szCs w:val="44"/>
    </w:rPr>
  </w:style>
  <w:style w:type="paragraph" w:styleId="a3">
    <w:name w:val="header"/>
    <w:basedOn w:val="a"/>
    <w:link w:val="a4"/>
    <w:uiPriority w:val="99"/>
    <w:unhideWhenUsed/>
    <w:rsid w:val="0001511B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151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11B"/>
    <w:pPr>
      <w:widowControl w:val="0"/>
      <w:tabs>
        <w:tab w:val="center" w:pos="4513"/>
        <w:tab w:val="right" w:pos="902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15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nghe\OneDrive%20-%20Florida%20State%20University\SWB_Dement_project\new%20revision\interac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nghe\OneDrive%20-%20Florida%20State%20University\SWB_Dement_project\new%20revision\interact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nghe\OneDrive%20-%20Florida%20State%20University\SWB_Dement_project\new%20revision\interact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nghe\OneDrive%20-%20Florida%20State%20University\SWB_Dement_project\new%20revision\interacti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Satisfaction</a:t>
            </a:r>
            <a:r>
              <a:rPr lang="en-US" altLang="zh-CN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with h</a:t>
            </a:r>
            <a:r>
              <a:rPr lang="en-US" altLang="zh-CN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ealth</a:t>
            </a:r>
            <a:endParaRPr lang="zh-CN" alt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HEALTH!$G$3</c:f>
              <c:strCache>
                <c:ptCount val="1"/>
                <c:pt idx="0">
                  <c:v>Low satisfaction with health (M−1SD) </c:v>
                </c:pt>
              </c:strCache>
            </c:strRef>
          </c:tx>
          <c:spPr>
            <a:ln w="28575" cap="rnd">
              <a:solidFill>
                <a:schemeClr val="tx1">
                  <a:alpha val="99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70-44E4-A736-BC1DEFE48690}"/>
              </c:ext>
            </c:extLst>
          </c:dPt>
          <c:cat>
            <c:multiLvlStrRef>
              <c:f>HEALTH!$H$1:$K$2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HEALTH!$H$3:$K$3</c:f>
              <c:numCache>
                <c:formatCode>General</c:formatCode>
                <c:ptCount val="4"/>
                <c:pt idx="0">
                  <c:v>27.58</c:v>
                </c:pt>
                <c:pt idx="1">
                  <c:v>26.12</c:v>
                </c:pt>
                <c:pt idx="2">
                  <c:v>24.96</c:v>
                </c:pt>
                <c:pt idx="3">
                  <c:v>21.82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70-44E4-A736-BC1DEFE48690}"/>
            </c:ext>
          </c:extLst>
        </c:ser>
        <c:ser>
          <c:idx val="1"/>
          <c:order val="1"/>
          <c:tx>
            <c:strRef>
              <c:f>HEALTH!$G$4</c:f>
              <c:strCache>
                <c:ptCount val="1"/>
                <c:pt idx="0">
                  <c:v>High satisfaction with health (M+1SD)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7570-44E4-A736-BC1DEFE48690}"/>
              </c:ext>
            </c:extLst>
          </c:dPt>
          <c:cat>
            <c:multiLvlStrRef>
              <c:f>HEALTH!$H$1:$K$2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HEALTH!$H$4:$K$4</c:f>
              <c:numCache>
                <c:formatCode>General</c:formatCode>
                <c:ptCount val="4"/>
                <c:pt idx="0">
                  <c:v>28.02</c:v>
                </c:pt>
                <c:pt idx="1">
                  <c:v>26.64</c:v>
                </c:pt>
                <c:pt idx="2">
                  <c:v>25.93</c:v>
                </c:pt>
                <c:pt idx="3">
                  <c:v>23.67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570-44E4-A736-BC1DEFE48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464223"/>
        <c:axId val="150459647"/>
      </c:lineChart>
      <c:catAx>
        <c:axId val="15046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50459647"/>
        <c:crosses val="autoZero"/>
        <c:auto val="1"/>
        <c:lblAlgn val="ctr"/>
        <c:lblOffset val="100"/>
        <c:noMultiLvlLbl val="0"/>
      </c:catAx>
      <c:valAx>
        <c:axId val="150459647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Cognitive functioning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5046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Satisfaction with economic status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Econ!$G$3</c:f>
              <c:strCache>
                <c:ptCount val="1"/>
                <c:pt idx="0">
                  <c:v>Low satisfaction with economic status (M−1SD) 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F0E-4D69-A6AE-817FA7F780AE}"/>
              </c:ext>
            </c:extLst>
          </c:dPt>
          <c:cat>
            <c:multiLvlStrRef>
              <c:f>Econ!$H$1:$K$2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Econ!$H$3:$K$3</c:f>
              <c:numCache>
                <c:formatCode>General</c:formatCode>
                <c:ptCount val="4"/>
                <c:pt idx="0">
                  <c:v>27.63</c:v>
                </c:pt>
                <c:pt idx="1">
                  <c:v>26.57</c:v>
                </c:pt>
                <c:pt idx="2">
                  <c:v>25.19</c:v>
                </c:pt>
                <c:pt idx="3">
                  <c:v>21.76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0E-4D69-A6AE-817FA7F780AE}"/>
            </c:ext>
          </c:extLst>
        </c:ser>
        <c:ser>
          <c:idx val="1"/>
          <c:order val="1"/>
          <c:tx>
            <c:strRef>
              <c:f>Econ!$G$4</c:f>
              <c:strCache>
                <c:ptCount val="1"/>
                <c:pt idx="0">
                  <c:v>High satisfaction with economic status (M+1SD)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4F0E-4D69-A6AE-817FA7F780AE}"/>
              </c:ext>
            </c:extLst>
          </c:dPt>
          <c:cat>
            <c:multiLvlStrRef>
              <c:f>Econ!$H$1:$K$2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Econ!$H$4:$K$4</c:f>
              <c:numCache>
                <c:formatCode>General</c:formatCode>
                <c:ptCount val="4"/>
                <c:pt idx="0">
                  <c:v>28.09</c:v>
                </c:pt>
                <c:pt idx="1">
                  <c:v>27.59</c:v>
                </c:pt>
                <c:pt idx="2">
                  <c:v>25.67</c:v>
                </c:pt>
                <c:pt idx="3">
                  <c:v>23.1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F0E-4D69-A6AE-817FA7F78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3513215"/>
        <c:axId val="563521535"/>
      </c:lineChart>
      <c:catAx>
        <c:axId val="563513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521535"/>
        <c:crosses val="autoZero"/>
        <c:auto val="1"/>
        <c:lblAlgn val="ctr"/>
        <c:lblOffset val="100"/>
        <c:noMultiLvlLbl val="0"/>
      </c:catAx>
      <c:valAx>
        <c:axId val="563521535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Cognitive functioning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513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Satisfaction with relationship with spouses</a:t>
            </a:r>
            <a:endParaRPr lang="zh-CN" alt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spouse!$G$3</c:f>
              <c:strCache>
                <c:ptCount val="1"/>
                <c:pt idx="0">
                  <c:v>Low satisfaction with relationship with spouse (M−1SD)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8F-493D-854F-6697ACCAA94D}"/>
              </c:ext>
            </c:extLst>
          </c:dPt>
          <c:cat>
            <c:multiLvlStrRef>
              <c:f>spouse!$H$1:$K$2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spouse!$H$3:$K$3</c:f>
              <c:numCache>
                <c:formatCode>General</c:formatCode>
                <c:ptCount val="4"/>
                <c:pt idx="0">
                  <c:v>27.71</c:v>
                </c:pt>
                <c:pt idx="1">
                  <c:v>27.06</c:v>
                </c:pt>
                <c:pt idx="2">
                  <c:v>25.37</c:v>
                </c:pt>
                <c:pt idx="3">
                  <c:v>22.61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8F-493D-854F-6697ACCAA94D}"/>
            </c:ext>
          </c:extLst>
        </c:ser>
        <c:ser>
          <c:idx val="1"/>
          <c:order val="1"/>
          <c:tx>
            <c:strRef>
              <c:f>spouse!$G$4</c:f>
              <c:strCache>
                <c:ptCount val="1"/>
                <c:pt idx="0">
                  <c:v>High satisfaction with relationship with spouse (M+1SD)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18F-493D-854F-6697ACCAA94D}"/>
              </c:ext>
            </c:extLst>
          </c:dPt>
          <c:cat>
            <c:multiLvlStrRef>
              <c:f>spouse!$H$1:$K$2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spouse!$H$4:$K$4</c:f>
              <c:numCache>
                <c:formatCode>General</c:formatCode>
                <c:ptCount val="4"/>
                <c:pt idx="0">
                  <c:v>28.07</c:v>
                </c:pt>
                <c:pt idx="1">
                  <c:v>27.64</c:v>
                </c:pt>
                <c:pt idx="2">
                  <c:v>25.77</c:v>
                </c:pt>
                <c:pt idx="3">
                  <c:v>23.49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8F-493D-854F-6697ACCAA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3525279"/>
        <c:axId val="563519455"/>
      </c:lineChart>
      <c:catAx>
        <c:axId val="56352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519455"/>
        <c:crosses val="autoZero"/>
        <c:auto val="1"/>
        <c:lblAlgn val="ctr"/>
        <c:lblOffset val="100"/>
        <c:noMultiLvlLbl val="0"/>
      </c:catAx>
      <c:valAx>
        <c:axId val="563519455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Cognitive functioning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52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Satisfaction with relationship with children</a:t>
            </a:r>
            <a:endParaRPr lang="zh-CN" alt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child!$G$3</c:f>
              <c:strCache>
                <c:ptCount val="1"/>
                <c:pt idx="0">
                  <c:v>Low satisfaction with relationship with children (M−1SD)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ED-4380-9995-33DD409EB502}"/>
              </c:ext>
            </c:extLst>
          </c:dPt>
          <c:cat>
            <c:multiLvlStrRef>
              <c:f>child!$H$1:$K$2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child!$H$3:$K$3</c:f>
              <c:numCache>
                <c:formatCode>General</c:formatCode>
                <c:ptCount val="4"/>
                <c:pt idx="0">
                  <c:v>27.71</c:v>
                </c:pt>
                <c:pt idx="1">
                  <c:v>27.13</c:v>
                </c:pt>
                <c:pt idx="2">
                  <c:v>25.28</c:v>
                </c:pt>
                <c:pt idx="3">
                  <c:v>22.28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ED-4380-9995-33DD409EB502}"/>
            </c:ext>
          </c:extLst>
        </c:ser>
        <c:ser>
          <c:idx val="1"/>
          <c:order val="1"/>
          <c:tx>
            <c:strRef>
              <c:f>child!$G$4</c:f>
              <c:strCache>
                <c:ptCount val="1"/>
                <c:pt idx="0">
                  <c:v>High satisfaction with relationship with children (M+1SD)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17ED-4380-9995-33DD409EB502}"/>
              </c:ext>
            </c:extLst>
          </c:dPt>
          <c:cat>
            <c:multiLvlStrRef>
              <c:f>child!$H$1:$K$2</c:f>
              <c:multiLvlStrCache>
                <c:ptCount val="4"/>
                <c:lvl>
                  <c:pt idx="0">
                    <c:v>Wave 1</c:v>
                  </c:pt>
                  <c:pt idx="1">
                    <c:v>Wave 7</c:v>
                  </c:pt>
                  <c:pt idx="2">
                    <c:v>Wave 1</c:v>
                  </c:pt>
                  <c:pt idx="3">
                    <c:v>Wave 7</c:v>
                  </c:pt>
                </c:lvl>
                <c:lvl>
                  <c:pt idx="0">
                    <c:v>Younger individuals (&lt;60)</c:v>
                  </c:pt>
                  <c:pt idx="2">
                    <c:v>Older individuals (≥60)</c:v>
                  </c:pt>
                </c:lvl>
              </c:multiLvlStrCache>
            </c:multiLvlStrRef>
          </c:cat>
          <c:val>
            <c:numRef>
              <c:f>child!$H$4:$K$4</c:f>
              <c:numCache>
                <c:formatCode>General</c:formatCode>
                <c:ptCount val="4"/>
                <c:pt idx="0">
                  <c:v>28.05</c:v>
                </c:pt>
                <c:pt idx="1">
                  <c:v>27.67</c:v>
                </c:pt>
                <c:pt idx="2">
                  <c:v>25.68</c:v>
                </c:pt>
                <c:pt idx="3">
                  <c:v>23.4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ED-4380-9995-33DD409E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682927"/>
        <c:axId val="442675439"/>
      </c:lineChart>
      <c:catAx>
        <c:axId val="442682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42675439"/>
        <c:crosses val="autoZero"/>
        <c:auto val="1"/>
        <c:lblAlgn val="ctr"/>
        <c:lblOffset val="100"/>
        <c:noMultiLvlLbl val="0"/>
      </c:catAx>
      <c:valAx>
        <c:axId val="442675439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Cognitive functioning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42682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Xianghe Zhu</dc:creator>
  <cp:keywords/>
  <dc:description/>
  <cp:lastModifiedBy>Xianghe Zhu</cp:lastModifiedBy>
  <cp:revision>10</cp:revision>
  <cp:lastPrinted>2022-03-11T23:20:00Z</cp:lastPrinted>
  <dcterms:created xsi:type="dcterms:W3CDTF">2022-03-11T23:02:00Z</dcterms:created>
  <dcterms:modified xsi:type="dcterms:W3CDTF">2022-03-11T23:35:00Z</dcterms:modified>
</cp:coreProperties>
</file>