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6" w:rsidRDefault="00FA0AF6" w:rsidP="00561047">
      <w:pPr>
        <w:spacing w:after="0" w:line="480" w:lineRule="auto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SUPPLEMENTARY DATA</w:t>
      </w:r>
    </w:p>
    <w:p w:rsidR="00561047" w:rsidRPr="00DF0381" w:rsidRDefault="00561047" w:rsidP="00561047">
      <w:pPr>
        <w:spacing w:after="0" w:line="480" w:lineRule="auto"/>
        <w:rPr>
          <w:rFonts w:ascii="Arial" w:hAnsi="Arial"/>
          <w:b/>
          <w:sz w:val="24"/>
          <w:lang w:val="en-GB"/>
        </w:rPr>
      </w:pPr>
      <w:r w:rsidRPr="00DF0381">
        <w:rPr>
          <w:rFonts w:ascii="Arial" w:hAnsi="Arial"/>
          <w:b/>
          <w:sz w:val="24"/>
          <w:lang w:val="en-GB"/>
        </w:rPr>
        <w:t>Supplementa</w:t>
      </w:r>
      <w:r w:rsidR="00FA0AF6">
        <w:rPr>
          <w:rFonts w:ascii="Arial" w:hAnsi="Arial"/>
          <w:b/>
          <w:sz w:val="24"/>
          <w:lang w:val="en-GB"/>
        </w:rPr>
        <w:t xml:space="preserve">ry table S1. </w:t>
      </w:r>
      <w:r w:rsidRPr="00DF0381">
        <w:rPr>
          <w:rFonts w:ascii="Arial" w:hAnsi="Arial"/>
          <w:b/>
          <w:sz w:val="24"/>
          <w:lang w:val="en-GB"/>
        </w:rPr>
        <w:t>Complete inclusion/exclusion criteria for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0AF6" w:rsidTr="002348CD">
        <w:tc>
          <w:tcPr>
            <w:tcW w:w="9242" w:type="dxa"/>
          </w:tcPr>
          <w:p w:rsidR="00FA0AF6" w:rsidRPr="007959C5" w:rsidRDefault="00FA0AF6" w:rsidP="002348CD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b/>
                <w:sz w:val="24"/>
              </w:rPr>
              <w:t>Inclusion criteria</w:t>
            </w:r>
          </w:p>
        </w:tc>
      </w:tr>
      <w:tr w:rsidR="00FA0AF6" w:rsidTr="002348CD">
        <w:tc>
          <w:tcPr>
            <w:tcW w:w="9242" w:type="dxa"/>
          </w:tcPr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 xml:space="preserve">Able to understand the study procedures, the risks involved and willing to provide written </w:t>
            </w:r>
            <w:r w:rsidRPr="00DF0381">
              <w:rPr>
                <w:rFonts w:ascii="Arial" w:hAnsi="Arial" w:cs="Arial"/>
              </w:rPr>
              <w:t>informed consent</w:t>
            </w:r>
            <w:r w:rsidRPr="00DF0381">
              <w:rPr>
                <w:rFonts w:ascii="Arial" w:hAnsi="Arial"/>
              </w:rPr>
              <w:t xml:space="preserve"> before the first trial related activity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>Willing to adhere to the visit/protocol schedules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 w:cs="Arial"/>
              </w:rPr>
              <w:t>Aged ≥</w:t>
            </w:r>
            <w:r w:rsidRPr="00DF0381">
              <w:rPr>
                <w:rFonts w:ascii="Arial" w:hAnsi="Arial"/>
              </w:rPr>
              <w:t>18 and ≤85 years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>Male or female; female of childbearing potential who agrees to use non</w:t>
            </w:r>
            <w:r w:rsidRPr="00DF0381">
              <w:rPr>
                <w:rFonts w:ascii="Arial" w:hAnsi="Arial"/>
              </w:rPr>
              <w:noBreakHyphen/>
              <w:t>hormonal contraception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>Meets the diagnosis of gout as per the American Rheumatism Association Criteria for the Classification of Acute Arthritis of Primary Gout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 w:cs="Arial"/>
              </w:rPr>
              <w:t>Serum uric acid (</w:t>
            </w:r>
            <w:r w:rsidRPr="00DF0381">
              <w:rPr>
                <w:rFonts w:ascii="Arial" w:hAnsi="Arial"/>
              </w:rPr>
              <w:t>sUA</w:t>
            </w:r>
            <w:r w:rsidRPr="00DF0381">
              <w:rPr>
                <w:rFonts w:ascii="Arial" w:hAnsi="Arial" w:cs="Arial"/>
              </w:rPr>
              <w:t>)</w:t>
            </w:r>
            <w:r w:rsidRPr="00DF0381">
              <w:rPr>
                <w:rFonts w:ascii="Arial" w:hAnsi="Arial"/>
              </w:rPr>
              <w:t xml:space="preserve"> level ≥6.5 mg/</w:t>
            </w:r>
            <w:r w:rsidRPr="00DF0381">
              <w:rPr>
                <w:rFonts w:ascii="Arial" w:hAnsi="Arial" w:cs="Arial"/>
              </w:rPr>
              <w:t>dl</w:t>
            </w:r>
            <w:r w:rsidRPr="00DF0381">
              <w:rPr>
                <w:rFonts w:ascii="Arial" w:hAnsi="Arial"/>
              </w:rPr>
              <w:t xml:space="preserve"> at the Screening and Day </w:t>
            </w:r>
            <w:r w:rsidRPr="00DF0381">
              <w:rPr>
                <w:rFonts w:ascii="Arial" w:hAnsi="Arial" w:cs="Arial"/>
              </w:rPr>
              <w:t>–</w:t>
            </w:r>
            <w:r w:rsidRPr="00DF0381">
              <w:rPr>
                <w:rFonts w:ascii="Arial" w:hAnsi="Arial"/>
              </w:rPr>
              <w:t>7 Visits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 xml:space="preserve">Must be able to take gout flare prophylaxis with colchicine or </w:t>
            </w:r>
            <w:r w:rsidRPr="00DF0381">
              <w:rPr>
                <w:rFonts w:ascii="Arial" w:hAnsi="Arial" w:cs="Arial"/>
              </w:rPr>
              <w:t>non-steroidal anti-inflammatory drug (</w:t>
            </w:r>
            <w:r w:rsidRPr="00DF0381">
              <w:rPr>
                <w:rFonts w:ascii="Arial" w:hAnsi="Arial"/>
              </w:rPr>
              <w:t>NSAID</w:t>
            </w:r>
            <w:r w:rsidRPr="00DF0381">
              <w:rPr>
                <w:rFonts w:ascii="Arial" w:hAnsi="Arial" w:cs="Arial"/>
              </w:rPr>
              <w:t xml:space="preserve">; </w:t>
            </w:r>
            <w:r w:rsidRPr="00DF0381">
              <w:rPr>
                <w:rFonts w:ascii="Arial" w:hAnsi="Arial"/>
              </w:rPr>
              <w:t xml:space="preserve">including Cox-2 selective NSAID) ± </w:t>
            </w:r>
            <w:r w:rsidRPr="00DF0381">
              <w:rPr>
                <w:rFonts w:ascii="Arial" w:hAnsi="Arial" w:cs="Arial"/>
              </w:rPr>
              <w:t>proton pump inhibitors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>History (either by medical record or patient interview) of intolerance or a contraindication to either allopurinol or febuxostat</w:t>
            </w:r>
          </w:p>
          <w:p w:rsidR="00FA0AF6" w:rsidRPr="00DF0381" w:rsidRDefault="00FA0AF6" w:rsidP="002348CD">
            <w:pPr>
              <w:pStyle w:val="C-NumberedList"/>
              <w:tabs>
                <w:tab w:val="clear" w:pos="720"/>
              </w:tabs>
              <w:spacing w:before="0" w:after="0" w:line="480" w:lineRule="auto"/>
              <w:ind w:left="360"/>
              <w:rPr>
                <w:rFonts w:ascii="Arial" w:hAnsi="Arial"/>
              </w:rPr>
            </w:pPr>
            <w:r w:rsidRPr="00DF0381">
              <w:rPr>
                <w:rFonts w:ascii="Arial" w:hAnsi="Arial"/>
              </w:rPr>
              <w:t>Body mass index (BMI) &lt;45 kg/m</w:t>
            </w:r>
            <w:r w:rsidRPr="00DF0381">
              <w:rPr>
                <w:rFonts w:ascii="Arial" w:hAnsi="Arial"/>
                <w:vertAlign w:val="superscript"/>
              </w:rPr>
              <w:t>2</w:t>
            </w:r>
          </w:p>
          <w:p w:rsidR="00FA0AF6" w:rsidRDefault="00FA0AF6" w:rsidP="002348CD"/>
        </w:tc>
      </w:tr>
      <w:tr w:rsidR="00FA0AF6" w:rsidTr="002348CD">
        <w:tc>
          <w:tcPr>
            <w:tcW w:w="9242" w:type="dxa"/>
          </w:tcPr>
          <w:p w:rsidR="00FA0AF6" w:rsidRPr="007959C5" w:rsidRDefault="00FA0AF6" w:rsidP="002348CD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b/>
                <w:sz w:val="24"/>
              </w:rPr>
              <w:t>Exclusion criteria</w:t>
            </w:r>
          </w:p>
        </w:tc>
      </w:tr>
      <w:tr w:rsidR="00FA0AF6" w:rsidTr="002348CD">
        <w:tc>
          <w:tcPr>
            <w:tcW w:w="9242" w:type="dxa"/>
          </w:tcPr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An acute gout flare that has not resolved at least 7 days prior to the Baseline visit (Day 1)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lastRenderedPageBreak/>
              <w:t>Taking any other approved urate-lowering medication that is indicated for the treatment of gout (</w:t>
            </w:r>
            <w:r w:rsidRPr="00DF0381">
              <w:rPr>
                <w:rFonts w:ascii="Arial" w:hAnsi="Arial" w:cs="Arial"/>
                <w:sz w:val="24"/>
                <w:szCs w:val="24"/>
              </w:rPr>
              <w:t>e.g.</w:t>
            </w:r>
            <w:r w:rsidRPr="00DF0381">
              <w:rPr>
                <w:rFonts w:ascii="Arial" w:hAnsi="Arial"/>
                <w:sz w:val="24"/>
              </w:rPr>
              <w:t xml:space="preserve"> another </w:t>
            </w:r>
            <w:r w:rsidRPr="00DF0381">
              <w:rPr>
                <w:rFonts w:ascii="Arial" w:hAnsi="Arial" w:cs="Arial"/>
                <w:sz w:val="24"/>
                <w:szCs w:val="24"/>
              </w:rPr>
              <w:t>xanthine oxidase inhibitor</w:t>
            </w:r>
            <w:r w:rsidRPr="00DF0381">
              <w:rPr>
                <w:rFonts w:ascii="Arial" w:hAnsi="Arial"/>
                <w:sz w:val="24"/>
              </w:rPr>
              <w:t xml:space="preserve"> or uricosuric agent), at the Screening Visit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Documented history or suspicion of kidney stones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Previously participated in a clinical study involving lesinurad (RDEA594) or RDEA806 and received active treatment or placebo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Pregnant or breastfeeding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Consumes more than 14 drinks of alcohol per week (</w:t>
            </w:r>
            <w:r w:rsidRPr="00DF0381">
              <w:rPr>
                <w:rFonts w:ascii="Arial" w:hAnsi="Arial" w:cs="Arial"/>
                <w:sz w:val="24"/>
                <w:szCs w:val="24"/>
              </w:rPr>
              <w:t>e.g.</w:t>
            </w:r>
            <w:r w:rsidRPr="00DF0381">
              <w:rPr>
                <w:rFonts w:ascii="Arial" w:hAnsi="Arial"/>
                <w:sz w:val="24"/>
              </w:rPr>
              <w:t xml:space="preserve"> 1 drink = 5 oz [150 </w:t>
            </w:r>
            <w:r w:rsidRPr="00DF0381">
              <w:rPr>
                <w:rFonts w:ascii="Arial" w:hAnsi="Arial" w:cs="Arial"/>
                <w:sz w:val="24"/>
                <w:szCs w:val="24"/>
              </w:rPr>
              <w:t>ml</w:t>
            </w:r>
            <w:r w:rsidRPr="00DF0381">
              <w:rPr>
                <w:rFonts w:ascii="Arial" w:hAnsi="Arial"/>
                <w:sz w:val="24"/>
              </w:rPr>
              <w:t xml:space="preserve">] of wine, 12 oz [360 </w:t>
            </w:r>
            <w:r w:rsidRPr="00DF0381">
              <w:rPr>
                <w:rFonts w:ascii="Arial" w:hAnsi="Arial" w:cs="Arial"/>
                <w:sz w:val="24"/>
                <w:szCs w:val="24"/>
              </w:rPr>
              <w:t>ml</w:t>
            </w:r>
            <w:r w:rsidRPr="00DF0381">
              <w:rPr>
                <w:rFonts w:ascii="Arial" w:hAnsi="Arial"/>
                <w:sz w:val="24"/>
              </w:rPr>
              <w:t xml:space="preserve">] of beer or 1.5 oz [45 </w:t>
            </w:r>
            <w:r w:rsidRPr="00DF0381">
              <w:rPr>
                <w:rFonts w:ascii="Arial" w:hAnsi="Arial" w:cs="Arial"/>
                <w:sz w:val="24"/>
                <w:szCs w:val="24"/>
              </w:rPr>
              <w:t>ml</w:t>
            </w:r>
            <w:r w:rsidRPr="00DF0381">
              <w:rPr>
                <w:rFonts w:ascii="Arial" w:hAnsi="Arial"/>
                <w:sz w:val="24"/>
              </w:rPr>
              <w:t>] of hard liquor)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History or suspicion of drug abuse within the past 5 years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History of myositis/myopathy or rhabdomyolysis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Requires or may require systemic immunosuppressive or immunomodulatory treatment (</w:t>
            </w:r>
            <w:r w:rsidRPr="00DF0381">
              <w:rPr>
                <w:rFonts w:ascii="Arial" w:hAnsi="Arial" w:cs="Arial"/>
                <w:sz w:val="24"/>
                <w:szCs w:val="24"/>
              </w:rPr>
              <w:t>e.g.</w:t>
            </w:r>
            <w:r w:rsidRPr="00DF0381">
              <w:rPr>
                <w:rFonts w:ascii="Arial" w:hAnsi="Arial"/>
                <w:sz w:val="24"/>
              </w:rPr>
              <w:t xml:space="preserve"> azathioprine, 6-mercaptopurine, cyclosporine)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Known or suspected HIV infection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Positive test for active hepatitis B or hepatitis C infection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History of malignancy within the previous 5 years with the exception of non-melanoma skin cancer that has been treated with no evidence of recurrence, treated cervical dysplasia or treated </w:t>
            </w:r>
            <w:r w:rsidRPr="00DF0381">
              <w:rPr>
                <w:rFonts w:ascii="Arial" w:hAnsi="Arial"/>
                <w:i/>
                <w:sz w:val="24"/>
              </w:rPr>
              <w:t>in situ</w:t>
            </w:r>
            <w:r w:rsidRPr="00DF0381">
              <w:rPr>
                <w:rFonts w:ascii="Arial" w:hAnsi="Arial"/>
                <w:sz w:val="24"/>
              </w:rPr>
              <w:t xml:space="preserve"> Grade 1 cervical cancer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In the last 12 months, unstable angina, New York Heart Association (NYHA) class III or IV heart failure, myocardial infarction, stroke, or deep venous thrombosis</w:t>
            </w:r>
            <w:r w:rsidRPr="00DF0381">
              <w:rPr>
                <w:rFonts w:ascii="Arial" w:hAnsi="Arial" w:cs="Arial"/>
                <w:sz w:val="24"/>
                <w:szCs w:val="24"/>
              </w:rPr>
              <w:t>;</w:t>
            </w:r>
            <w:r w:rsidRPr="00DF0381">
              <w:rPr>
                <w:rFonts w:ascii="Arial" w:hAnsi="Arial"/>
                <w:sz w:val="24"/>
              </w:rPr>
              <w:t xml:space="preserve"> or subjects currently receiving anticoagulants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lastRenderedPageBreak/>
              <w:t xml:space="preserve">Uncontrolled hypertension (systolic pressure above 160 or diastolic pressure above 95 </w:t>
            </w:r>
            <w:r w:rsidRPr="00DF0381">
              <w:rPr>
                <w:rFonts w:ascii="Arial" w:hAnsi="Arial" w:cs="Arial"/>
                <w:sz w:val="24"/>
                <w:szCs w:val="24"/>
              </w:rPr>
              <w:t>mmHg</w:t>
            </w:r>
            <w:r w:rsidRPr="00DF0381">
              <w:rPr>
                <w:rFonts w:ascii="Arial" w:hAnsi="Arial"/>
                <w:sz w:val="24"/>
              </w:rPr>
              <w:t xml:space="preserve"> on repeat measurements on two separate visits during the Screening Period)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An estimated creatinine clearance &lt;30 </w:t>
            </w:r>
            <w:r w:rsidRPr="00DF0381">
              <w:rPr>
                <w:rFonts w:ascii="Arial" w:hAnsi="Arial" w:cs="Arial"/>
                <w:sz w:val="24"/>
                <w:szCs w:val="24"/>
              </w:rPr>
              <w:t>ml</w:t>
            </w:r>
            <w:r w:rsidRPr="00DF0381">
              <w:rPr>
                <w:rFonts w:ascii="Arial" w:hAnsi="Arial"/>
                <w:sz w:val="24"/>
              </w:rPr>
              <w:t>/min calculated by the Cockcroft Gault formula using ideal body weight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 w:cs="Arial"/>
                <w:sz w:val="24"/>
                <w:szCs w:val="24"/>
              </w:rPr>
              <w:t>Haemoglobin &lt;</w:t>
            </w:r>
            <w:r w:rsidRPr="00DF0381">
              <w:rPr>
                <w:rFonts w:ascii="Arial" w:hAnsi="Arial"/>
                <w:sz w:val="24"/>
              </w:rPr>
              <w:t>10 g/</w:t>
            </w:r>
            <w:r w:rsidRPr="00DF0381">
              <w:rPr>
                <w:rFonts w:ascii="Arial" w:hAnsi="Arial" w:cs="Arial"/>
                <w:sz w:val="24"/>
                <w:szCs w:val="24"/>
              </w:rPr>
              <w:t>dl</w:t>
            </w:r>
            <w:r w:rsidRPr="00DF0381">
              <w:rPr>
                <w:rFonts w:ascii="Arial" w:hAnsi="Arial"/>
                <w:sz w:val="24"/>
              </w:rPr>
              <w:t xml:space="preserve"> (males) or &lt;9 g/</w:t>
            </w:r>
            <w:r w:rsidRPr="00DF0381">
              <w:rPr>
                <w:rFonts w:ascii="Arial" w:hAnsi="Arial" w:cs="Arial"/>
                <w:sz w:val="24"/>
                <w:szCs w:val="24"/>
              </w:rPr>
              <w:t>dl</w:t>
            </w:r>
            <w:r w:rsidRPr="00DF0381">
              <w:rPr>
                <w:rFonts w:ascii="Arial" w:hAnsi="Arial"/>
                <w:sz w:val="24"/>
              </w:rPr>
              <w:t xml:space="preserve"> (females) at any time during the Screening Period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An alanine aminotransferase or aspartate aminotransferase </w:t>
            </w:r>
            <w:r w:rsidRPr="00DF0381">
              <w:rPr>
                <w:rFonts w:ascii="Arial" w:hAnsi="Arial" w:cs="Arial"/>
                <w:sz w:val="24"/>
                <w:szCs w:val="24"/>
              </w:rPr>
              <w:sym w:font="Symbol" w:char="F03E"/>
            </w:r>
            <w:r w:rsidRPr="00DF0381">
              <w:rPr>
                <w:rFonts w:ascii="Arial" w:hAnsi="Arial"/>
                <w:sz w:val="24"/>
              </w:rPr>
              <w:t>2.</w:t>
            </w:r>
            <w:r w:rsidRPr="00DF03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4"/>
            </w:r>
            <w:r w:rsidRPr="00DF0381">
              <w:rPr>
                <w:rFonts w:ascii="Arial" w:hAnsi="Arial"/>
                <w:sz w:val="24"/>
              </w:rPr>
              <w:t xml:space="preserve"> upper limit of normal (ULN) at any time during the Screening Period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A gamma glutamyl transferase </w:t>
            </w:r>
            <w:r w:rsidRPr="00DF0381">
              <w:rPr>
                <w:rFonts w:ascii="Arial" w:hAnsi="Arial" w:cs="Arial"/>
                <w:sz w:val="24"/>
                <w:szCs w:val="24"/>
              </w:rPr>
              <w:t>&gt;3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4"/>
            </w:r>
            <w:r w:rsidRPr="00DF0381">
              <w:rPr>
                <w:rFonts w:ascii="Arial" w:hAnsi="Arial"/>
                <w:sz w:val="24"/>
              </w:rPr>
              <w:t xml:space="preserve"> ULN at any time during the Screening Period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A creatine kinase </w:t>
            </w:r>
            <w:r w:rsidRPr="00DF0381">
              <w:rPr>
                <w:rFonts w:ascii="Arial" w:hAnsi="Arial" w:cs="Arial"/>
                <w:sz w:val="24"/>
                <w:szCs w:val="24"/>
              </w:rPr>
              <w:t>&gt;</w:t>
            </w:r>
            <w:r w:rsidRPr="00DF0381">
              <w:rPr>
                <w:rFonts w:ascii="Arial" w:hAnsi="Arial"/>
                <w:sz w:val="24"/>
              </w:rPr>
              <w:t>2.</w:t>
            </w:r>
            <w:r w:rsidRPr="00DF038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4"/>
            </w:r>
            <w:r w:rsidRPr="00DF0381">
              <w:rPr>
                <w:rFonts w:ascii="Arial" w:hAnsi="Arial"/>
                <w:sz w:val="24"/>
              </w:rPr>
              <w:t xml:space="preserve"> ULN at any time during the Screening Period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Active peptic ulcer disease requiring treatment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Active liver disease or hepatic dysfunction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Receiving chronic treatment with more than 325 mg salicylates per day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Taking valpromide, progabide, valproic acid or other known inhibitors of epoxide hydrolase</w:t>
            </w:r>
          </w:p>
          <w:p w:rsidR="00FA0AF6" w:rsidRPr="00DF0381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Received an investigational therapy within 8 weeks or 5 half-lives (whichever is longer) prior to the Screening Visit; this does not include locally marketed products used in clinical trials</w:t>
            </w:r>
          </w:p>
          <w:p w:rsidR="00FA0AF6" w:rsidRPr="007959C5" w:rsidRDefault="00FA0AF6" w:rsidP="00FA0A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Any other medical or psychological condition, which in the opinion of the Investigator and/or Medical Monitor, might create undue risk to the subject or interfere with the subject’s ability to comply with the protocol requirements, or to complete the study</w:t>
            </w:r>
          </w:p>
        </w:tc>
      </w:tr>
    </w:tbl>
    <w:p w:rsidR="00561047" w:rsidRPr="00DF0381" w:rsidRDefault="00561047" w:rsidP="00561047">
      <w:pPr>
        <w:rPr>
          <w:lang w:val="en-GB"/>
        </w:rPr>
      </w:pPr>
      <w:r w:rsidRPr="00DF0381">
        <w:rPr>
          <w:lang w:val="en-GB"/>
        </w:rPr>
        <w:lastRenderedPageBreak/>
        <w:br w:type="page"/>
      </w:r>
      <w:bookmarkStart w:id="0" w:name="_GoBack"/>
      <w:bookmarkEnd w:id="0"/>
    </w:p>
    <w:p w:rsidR="00561047" w:rsidRPr="00012F67" w:rsidRDefault="00FA0AF6" w:rsidP="00561047">
      <w:pPr>
        <w:spacing w:after="0" w:line="480" w:lineRule="auto"/>
        <w:rPr>
          <w:rFonts w:ascii="Arial" w:hAnsi="Arial"/>
          <w:b/>
          <w:sz w:val="24"/>
          <w:lang w:val="en-GB"/>
        </w:rPr>
      </w:pPr>
      <w:r w:rsidRPr="00012F67">
        <w:rPr>
          <w:rFonts w:ascii="Arial" w:hAnsi="Arial"/>
          <w:b/>
          <w:sz w:val="24"/>
          <w:lang w:val="en-GB"/>
        </w:rPr>
        <w:lastRenderedPageBreak/>
        <w:t>S</w:t>
      </w:r>
      <w:r w:rsidR="00561047" w:rsidRPr="00012F67">
        <w:rPr>
          <w:rFonts w:ascii="Arial" w:hAnsi="Arial"/>
          <w:b/>
          <w:sz w:val="24"/>
          <w:lang w:val="en-GB"/>
        </w:rPr>
        <w:t xml:space="preserve">upplementary </w:t>
      </w:r>
      <w:r w:rsidRPr="00012F67">
        <w:rPr>
          <w:rFonts w:ascii="Arial" w:hAnsi="Arial"/>
          <w:b/>
          <w:sz w:val="24"/>
          <w:lang w:val="en-GB"/>
        </w:rPr>
        <w:t>Table</w:t>
      </w:r>
      <w:r w:rsidR="00561047" w:rsidRPr="00012F67">
        <w:rPr>
          <w:rFonts w:ascii="Arial" w:hAnsi="Arial"/>
          <w:b/>
          <w:sz w:val="24"/>
          <w:lang w:val="en-GB"/>
        </w:rPr>
        <w:t xml:space="preserve"> </w:t>
      </w:r>
      <w:r w:rsidRPr="00012F67">
        <w:rPr>
          <w:rFonts w:ascii="Arial" w:hAnsi="Arial"/>
          <w:b/>
          <w:sz w:val="24"/>
          <w:lang w:val="en-GB"/>
        </w:rPr>
        <w:t>S</w:t>
      </w:r>
      <w:r w:rsidR="00561047" w:rsidRPr="00012F67">
        <w:rPr>
          <w:rFonts w:ascii="Arial" w:hAnsi="Arial"/>
          <w:b/>
          <w:sz w:val="24"/>
          <w:lang w:val="en-GB"/>
        </w:rPr>
        <w:t>2</w:t>
      </w:r>
      <w:r w:rsidRPr="00012F67">
        <w:rPr>
          <w:rFonts w:ascii="Arial" w:hAnsi="Arial"/>
          <w:b/>
          <w:sz w:val="24"/>
          <w:lang w:val="en-GB"/>
        </w:rPr>
        <w:t>.</w:t>
      </w:r>
      <w:r w:rsidR="00012F67" w:rsidRPr="00012F67">
        <w:rPr>
          <w:rFonts w:ascii="Arial" w:hAnsi="Arial"/>
          <w:b/>
          <w:sz w:val="24"/>
          <w:lang w:val="en-GB"/>
        </w:rPr>
        <w:t xml:space="preserve"> </w:t>
      </w:r>
      <w:r w:rsidR="00012F67" w:rsidRPr="00012F67">
        <w:rPr>
          <w:rFonts w:ascii="Arial" w:hAnsi="Arial"/>
          <w:b/>
          <w:sz w:val="24"/>
          <w:lang w:val="en-GB"/>
        </w:rPr>
        <w:t>Preferred terms for renal-related and kidney stone treatment-emergent adverse events</w:t>
      </w:r>
      <w:r w:rsidRPr="00012F67">
        <w:rPr>
          <w:rFonts w:ascii="Arial" w:hAnsi="Arial"/>
          <w:b/>
          <w:sz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</w:tblGrid>
      <w:tr w:rsidR="00FA0AF6" w:rsidTr="00FA0AF6">
        <w:tc>
          <w:tcPr>
            <w:tcW w:w="6138" w:type="dxa"/>
          </w:tcPr>
          <w:p w:rsidR="00FA0AF6" w:rsidRPr="007959C5" w:rsidRDefault="00FA0AF6" w:rsidP="00FA0AF6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b/>
                <w:sz w:val="24"/>
              </w:rPr>
              <w:t>Renal-related TEAEs</w:t>
            </w:r>
          </w:p>
        </w:tc>
      </w:tr>
      <w:tr w:rsidR="00FA0AF6" w:rsidTr="00FA0AF6">
        <w:tc>
          <w:tcPr>
            <w:tcW w:w="6138" w:type="dxa"/>
          </w:tcPr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Acute prerenal failure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Anuria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Azotemia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Blood creatinine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Blood creatinine increased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Blood urea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Blood urea increased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Blood urea nitrogen/creatinine ratio increased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Creatinine renal clearance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Creatinine renal clearance decreased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Cystatin C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Cystatin C increased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Glomerular filtration rate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Glomerular filtration rate decreased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Hypercreatininemia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Inulin renal clearance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Inulin renal clearance decreased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Nephropathy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Nephropathy toxic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Obstructive uropathy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Oliguria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Postrenal failure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cortical necrosis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failure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failure acute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failure chronic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function test abnormal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impairment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lastRenderedPageBreak/>
              <w:t>Renal injury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papillary necrosis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tubular atrophy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tubular disorder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tubular necrosis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Urate nephropathy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Urea renal clearance decreased</w:t>
            </w:r>
          </w:p>
          <w:p w:rsidR="00FA0AF6" w:rsidRPr="007959C5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Urine output decreased</w:t>
            </w:r>
          </w:p>
        </w:tc>
      </w:tr>
      <w:tr w:rsidR="00FA0AF6" w:rsidTr="00FA0AF6">
        <w:tc>
          <w:tcPr>
            <w:tcW w:w="6138" w:type="dxa"/>
          </w:tcPr>
          <w:p w:rsidR="00FA0AF6" w:rsidRPr="007959C5" w:rsidRDefault="00FA0AF6" w:rsidP="00FA0AF6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b/>
                <w:sz w:val="24"/>
              </w:rPr>
              <w:lastRenderedPageBreak/>
              <w:t>Kidney Stone TEAEs</w:t>
            </w:r>
          </w:p>
        </w:tc>
      </w:tr>
      <w:tr w:rsidR="00FA0AF6" w:rsidTr="00FA0AF6">
        <w:tc>
          <w:tcPr>
            <w:tcW w:w="6138" w:type="dxa"/>
          </w:tcPr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Calculus bladder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Calculus ureteric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Calculus urethral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Calculus urinary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Nephrolithiasis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Renal stone removal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Stag horn calculus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Ureteric calculus removal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Ureterolithotomy</w:t>
            </w:r>
          </w:p>
          <w:p w:rsidR="00FA0AF6" w:rsidRPr="00DF0381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Urinary calculus removal</w:t>
            </w:r>
          </w:p>
          <w:p w:rsidR="00FA0AF6" w:rsidRPr="007959C5" w:rsidRDefault="00FA0AF6" w:rsidP="00FA0AF6">
            <w:pPr>
              <w:spacing w:line="36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Urinary stone analysis</w:t>
            </w:r>
          </w:p>
        </w:tc>
      </w:tr>
    </w:tbl>
    <w:p w:rsidR="00561047" w:rsidRPr="00DF0381" w:rsidRDefault="00012F67" w:rsidP="00561047">
      <w:pPr>
        <w:spacing w:after="0" w:line="48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TEAE: </w:t>
      </w:r>
      <w:r w:rsidRPr="00012F67">
        <w:rPr>
          <w:rFonts w:ascii="Arial" w:hAnsi="Arial"/>
          <w:sz w:val="24"/>
          <w:lang w:val="en-GB"/>
        </w:rPr>
        <w:t>tr</w:t>
      </w:r>
      <w:r>
        <w:rPr>
          <w:rFonts w:ascii="Arial" w:hAnsi="Arial"/>
          <w:sz w:val="24"/>
          <w:lang w:val="en-GB"/>
        </w:rPr>
        <w:t xml:space="preserve">eatment-emergent adverse event. </w:t>
      </w:r>
      <w:r w:rsidR="00561047" w:rsidRPr="00DF0381">
        <w:rPr>
          <w:rFonts w:ascii="Arial" w:hAnsi="Arial"/>
          <w:sz w:val="24"/>
          <w:lang w:val="en-GB"/>
        </w:rPr>
        <w:br w:type="page"/>
      </w:r>
    </w:p>
    <w:p w:rsidR="00561047" w:rsidRPr="00012F67" w:rsidRDefault="00FA0AF6" w:rsidP="00561047">
      <w:pPr>
        <w:spacing w:after="0" w:line="480" w:lineRule="auto"/>
        <w:rPr>
          <w:rFonts w:ascii="Arial" w:hAnsi="Arial"/>
          <w:b/>
          <w:sz w:val="24"/>
          <w:lang w:val="en-GB"/>
        </w:rPr>
      </w:pPr>
      <w:r w:rsidRPr="00012F67">
        <w:rPr>
          <w:rFonts w:ascii="Arial" w:hAnsi="Arial"/>
          <w:b/>
          <w:sz w:val="24"/>
          <w:lang w:val="en-GB"/>
        </w:rPr>
        <w:t>Supplementary Table S</w:t>
      </w:r>
      <w:r w:rsidR="00561047" w:rsidRPr="00012F67">
        <w:rPr>
          <w:rFonts w:ascii="Arial" w:hAnsi="Arial"/>
          <w:b/>
          <w:sz w:val="24"/>
          <w:lang w:val="en-GB"/>
        </w:rPr>
        <w:t>3</w:t>
      </w:r>
      <w:r w:rsidRPr="00012F67">
        <w:rPr>
          <w:rFonts w:ascii="Arial" w:hAnsi="Arial"/>
          <w:b/>
          <w:sz w:val="24"/>
          <w:lang w:val="en-GB"/>
        </w:rPr>
        <w:t>.</w:t>
      </w:r>
      <w:r w:rsidR="00012F67" w:rsidRPr="00012F67">
        <w:rPr>
          <w:rFonts w:ascii="Arial" w:hAnsi="Arial"/>
          <w:b/>
          <w:sz w:val="24"/>
          <w:lang w:val="en-GB"/>
        </w:rPr>
        <w:t xml:space="preserve"> </w:t>
      </w:r>
      <w:r w:rsidR="00012F67" w:rsidRPr="00012F67">
        <w:rPr>
          <w:rFonts w:ascii="Arial" w:hAnsi="Arial"/>
          <w:b/>
          <w:sz w:val="24"/>
          <w:lang w:val="en-GB"/>
        </w:rPr>
        <w:t xml:space="preserve">Definitions of </w:t>
      </w:r>
      <w:r w:rsidR="00012F67" w:rsidRPr="00012F67">
        <w:rPr>
          <w:rFonts w:ascii="Arial" w:hAnsi="Arial"/>
          <w:b/>
          <w:sz w:val="24"/>
        </w:rPr>
        <w:t>m</w:t>
      </w:r>
      <w:r w:rsidR="00012F67" w:rsidRPr="00012F67">
        <w:rPr>
          <w:rFonts w:ascii="Arial" w:hAnsi="Arial"/>
          <w:b/>
          <w:sz w:val="24"/>
        </w:rPr>
        <w:t>ajor adverse cardiovascular events</w:t>
      </w:r>
      <w:r w:rsidR="00012F67" w:rsidRPr="00012F67">
        <w:rPr>
          <w:rFonts w:ascii="Arial" w:hAnsi="Arial"/>
          <w:b/>
          <w:sz w:val="24"/>
          <w:lang w:val="en-GB"/>
        </w:rPr>
        <w:t xml:space="preserve"> and </w:t>
      </w:r>
      <w:r w:rsidR="00012F67" w:rsidRPr="00012F67">
        <w:rPr>
          <w:rFonts w:ascii="Arial" w:hAnsi="Arial"/>
          <w:b/>
          <w:sz w:val="24"/>
          <w:lang w:val="en-GB"/>
        </w:rPr>
        <w:t xml:space="preserve">non-major adverse cardiovascular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0AF6" w:rsidTr="002348CD">
        <w:tc>
          <w:tcPr>
            <w:tcW w:w="9242" w:type="dxa"/>
          </w:tcPr>
          <w:p w:rsidR="00FA0AF6" w:rsidRPr="007959C5" w:rsidRDefault="00012F67" w:rsidP="002348CD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MACE</w:t>
            </w:r>
          </w:p>
        </w:tc>
      </w:tr>
      <w:tr w:rsidR="00FA0AF6" w:rsidTr="002348CD">
        <w:tc>
          <w:tcPr>
            <w:tcW w:w="9242" w:type="dxa"/>
          </w:tcPr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 xml:space="preserve">All deaths (both CV and non-CV deaths) </w:t>
            </w:r>
          </w:p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Nonfatal myocardial infarction</w:t>
            </w:r>
          </w:p>
          <w:p w:rsidR="00FA0AF6" w:rsidRPr="007959C5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Nonfatal stroke</w:t>
            </w:r>
          </w:p>
        </w:tc>
      </w:tr>
      <w:tr w:rsidR="00FA0AF6" w:rsidTr="002348CD">
        <w:tc>
          <w:tcPr>
            <w:tcW w:w="9242" w:type="dxa"/>
          </w:tcPr>
          <w:p w:rsidR="00FA0AF6" w:rsidRDefault="00012F67" w:rsidP="00FA0AF6">
            <w:pPr>
              <w:spacing w:line="480" w:lineRule="auto"/>
            </w:pPr>
            <w:r>
              <w:rPr>
                <w:rFonts w:ascii="Arial" w:hAnsi="Arial"/>
                <w:b/>
                <w:sz w:val="24"/>
              </w:rPr>
              <w:t>non-MACE</w:t>
            </w:r>
          </w:p>
        </w:tc>
      </w:tr>
      <w:tr w:rsidR="00FA0AF6" w:rsidTr="002348CD">
        <w:tc>
          <w:tcPr>
            <w:tcW w:w="9242" w:type="dxa"/>
          </w:tcPr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Unstable angina with urgent coronary revascularization</w:t>
            </w:r>
          </w:p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Cerebral revascularization (elective and non-elective)</w:t>
            </w:r>
          </w:p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Hospitalized congestive heart failure</w:t>
            </w:r>
          </w:p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Arrhythmias not associated with ischemia</w:t>
            </w:r>
          </w:p>
          <w:p w:rsidR="00FA0AF6" w:rsidRPr="00DF0381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Venous and peripheral arterial vascular thrombotic events (e.g. pulmonary embolism, deep venous thrombosis, arterial dissection, thrombosis and peripheral arterial ischemia)</w:t>
            </w:r>
          </w:p>
          <w:p w:rsidR="00FA0AF6" w:rsidRPr="007959C5" w:rsidRDefault="00FA0AF6" w:rsidP="002348CD">
            <w:pPr>
              <w:spacing w:line="480" w:lineRule="auto"/>
              <w:rPr>
                <w:rFonts w:ascii="Arial" w:hAnsi="Arial"/>
                <w:sz w:val="24"/>
              </w:rPr>
            </w:pPr>
            <w:r w:rsidRPr="00DF0381">
              <w:rPr>
                <w:rFonts w:ascii="Arial" w:hAnsi="Arial"/>
                <w:sz w:val="24"/>
              </w:rPr>
              <w:t>Transient ischemic attack</w:t>
            </w:r>
          </w:p>
        </w:tc>
      </w:tr>
    </w:tbl>
    <w:p w:rsidR="00561047" w:rsidRPr="00012F67" w:rsidRDefault="00012F67" w:rsidP="00012F67">
      <w:pPr>
        <w:spacing w:after="0" w:line="480" w:lineRule="auto"/>
        <w:rPr>
          <w:rFonts w:ascii="Arial" w:hAnsi="Arial"/>
          <w:sz w:val="24"/>
          <w:lang w:val="en-GB"/>
        </w:rPr>
      </w:pPr>
      <w:r w:rsidRPr="00012F67">
        <w:rPr>
          <w:rFonts w:ascii="Arial" w:hAnsi="Arial"/>
          <w:sz w:val="24"/>
          <w:lang w:val="en-GB"/>
        </w:rPr>
        <w:t>MACE: major adverse cardiovascular events</w:t>
      </w:r>
      <w:r>
        <w:rPr>
          <w:rFonts w:ascii="Arial" w:hAnsi="Arial"/>
          <w:sz w:val="24"/>
          <w:lang w:val="en-GB"/>
        </w:rPr>
        <w:t>.</w:t>
      </w:r>
    </w:p>
    <w:p w:rsidR="00561047" w:rsidRDefault="00561047" w:rsidP="00561047">
      <w:pPr>
        <w:rPr>
          <w:lang w:val="en-GB"/>
        </w:rPr>
      </w:pPr>
      <w:r>
        <w:rPr>
          <w:lang w:val="en-GB"/>
        </w:rPr>
        <w:br w:type="page"/>
      </w:r>
    </w:p>
    <w:p w:rsidR="00561047" w:rsidRPr="00012F67" w:rsidRDefault="00561047" w:rsidP="00012F67">
      <w:pPr>
        <w:rPr>
          <w:rFonts w:ascii="Arial" w:hAnsi="Arial"/>
          <w:b/>
          <w:sz w:val="24"/>
          <w:lang w:val="en-GB"/>
        </w:rPr>
      </w:pPr>
      <w:r w:rsidRPr="00012F67">
        <w:rPr>
          <w:rFonts w:ascii="Arial" w:hAnsi="Arial"/>
          <w:b/>
          <w:sz w:val="24"/>
          <w:lang w:val="en-GB"/>
        </w:rPr>
        <w:t xml:space="preserve">Supplementary </w:t>
      </w:r>
      <w:r w:rsidR="00FA0AF6" w:rsidRPr="00012F67">
        <w:rPr>
          <w:rFonts w:ascii="Arial" w:hAnsi="Arial"/>
          <w:b/>
          <w:sz w:val="24"/>
          <w:lang w:val="en-GB"/>
        </w:rPr>
        <w:t xml:space="preserve">Figure S1. </w:t>
      </w:r>
      <w:r w:rsidR="00012F67" w:rsidRPr="00012F67">
        <w:rPr>
          <w:rFonts w:ascii="Arial" w:hAnsi="Arial"/>
          <w:b/>
          <w:sz w:val="24"/>
          <w:lang w:val="en-GB"/>
        </w:rPr>
        <w:t>Proportion of patients achieving sUA &lt;6.0 mg/dL and sUA levels by visit in core study</w:t>
      </w:r>
    </w:p>
    <w:p w:rsidR="00561047" w:rsidRPr="00DF0381" w:rsidRDefault="00561047" w:rsidP="00561047">
      <w:pPr>
        <w:rPr>
          <w:lang w:val="en-GB"/>
        </w:rPr>
      </w:pPr>
    </w:p>
    <w:p w:rsidR="00561047" w:rsidRPr="00DF0381" w:rsidRDefault="00012F67" w:rsidP="00561047">
      <w:pPr>
        <w:rPr>
          <w:lang w:val="en-GB"/>
        </w:rPr>
      </w:pPr>
      <w:r>
        <w:rPr>
          <w:noProof/>
        </w:rPr>
        <w:drawing>
          <wp:inline distT="0" distB="0" distL="0" distR="0" wp14:anchorId="26DD2850" wp14:editId="0D603B50">
            <wp:extent cx="5402580" cy="5669280"/>
            <wp:effectExtent l="0" t="0" r="7620" b="7620"/>
            <wp:docPr id="2" name="Picture 2" descr="\\us-hac-fp010.na.pxl.int\CLIENTS\ASTRA\Lesinurad\Manuscripts\2014\LIGHT\Figures\Submission TIFFs\GS0758 AZ Lesi LIGHT 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-hac-fp010.na.pxl.int\CLIENTS\ASTRA\Lesinurad\Manuscripts\2014\LIGHT\Figures\Submission TIFFs\GS0758 AZ Lesi LIGHT fig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47" w:rsidRDefault="00561047" w:rsidP="00561047">
      <w:pPr>
        <w:pStyle w:val="ListParagraph"/>
        <w:spacing w:line="360" w:lineRule="auto"/>
        <w:ind w:left="360"/>
        <w:rPr>
          <w:lang w:val="en-GB"/>
        </w:rPr>
      </w:pPr>
    </w:p>
    <w:p w:rsidR="00FA0AF6" w:rsidRPr="00DF0381" w:rsidRDefault="00FA0AF6" w:rsidP="00FA0AF6">
      <w:pPr>
        <w:rPr>
          <w:rFonts w:ascii="Arial" w:hAnsi="Arial"/>
          <w:sz w:val="24"/>
          <w:lang w:val="en-GB"/>
        </w:rPr>
      </w:pPr>
      <w:r w:rsidRPr="00DF0381">
        <w:rPr>
          <w:rFonts w:ascii="Arial" w:hAnsi="Arial"/>
          <w:sz w:val="24"/>
          <w:lang w:val="en-GB"/>
        </w:rPr>
        <w:t>(A) Proportion of patients achieving sUA target of &lt;6.0 mg/</w:t>
      </w:r>
      <w:r w:rsidRPr="00DF0381">
        <w:rPr>
          <w:rFonts w:ascii="Arial" w:hAnsi="Arial" w:cs="Arial"/>
          <w:sz w:val="24"/>
          <w:szCs w:val="24"/>
          <w:lang w:val="en-GB"/>
        </w:rPr>
        <w:t>dl</w:t>
      </w:r>
      <w:r w:rsidRPr="00DF0381">
        <w:rPr>
          <w:rFonts w:ascii="Arial" w:hAnsi="Arial"/>
          <w:sz w:val="24"/>
          <w:lang w:val="en-GB"/>
        </w:rPr>
        <w:t xml:space="preserve"> at each study month of the core study (</w:t>
      </w:r>
      <w:r w:rsidRPr="00DF0381">
        <w:rPr>
          <w:rFonts w:ascii="Arial" w:hAnsi="Arial" w:cs="Arial"/>
          <w:sz w:val="24"/>
          <w:szCs w:val="24"/>
          <w:lang w:val="en-GB"/>
        </w:rPr>
        <w:t>nonresponder</w:t>
      </w:r>
      <w:r w:rsidRPr="00DF0381">
        <w:rPr>
          <w:rFonts w:ascii="Arial" w:hAnsi="Arial"/>
          <w:sz w:val="24"/>
          <w:lang w:val="en-GB"/>
        </w:rPr>
        <w:t xml:space="preserve"> imputation – ITT population); (B) </w:t>
      </w:r>
      <w:r w:rsidRPr="00DF0381">
        <w:rPr>
          <w:rFonts w:ascii="Arial" w:hAnsi="Arial" w:cs="Arial"/>
          <w:sz w:val="24"/>
          <w:szCs w:val="24"/>
          <w:lang w:val="en-GB"/>
        </w:rPr>
        <w:t>mean ±SD</w:t>
      </w:r>
      <w:r w:rsidRPr="00DF0381">
        <w:rPr>
          <w:rFonts w:ascii="Arial" w:hAnsi="Arial"/>
          <w:sz w:val="24"/>
          <w:lang w:val="en-GB"/>
        </w:rPr>
        <w:t xml:space="preserve"> serum uric acid levels by visit (observed cases, core study – ITT population</w:t>
      </w:r>
      <w:r w:rsidRPr="00DF0381">
        <w:rPr>
          <w:rFonts w:ascii="Arial" w:hAnsi="Arial" w:cs="Arial"/>
          <w:sz w:val="24"/>
          <w:szCs w:val="24"/>
          <w:lang w:val="en-GB"/>
        </w:rPr>
        <w:t xml:space="preserve">). </w:t>
      </w:r>
      <w:r w:rsidRPr="00DF0381">
        <w:rPr>
          <w:rFonts w:ascii="Arial" w:hAnsi="Arial"/>
          <w:sz w:val="24"/>
          <w:lang w:val="en-GB"/>
        </w:rPr>
        <w:t>*P &lt;</w:t>
      </w:r>
      <w:r>
        <w:rPr>
          <w:rFonts w:ascii="Arial" w:hAnsi="Arial"/>
          <w:sz w:val="24"/>
          <w:lang w:val="en-GB"/>
        </w:rPr>
        <w:t xml:space="preserve"> </w:t>
      </w:r>
      <w:r w:rsidRPr="00DF0381">
        <w:rPr>
          <w:rFonts w:ascii="Arial" w:hAnsi="Arial"/>
          <w:sz w:val="24"/>
          <w:lang w:val="en-GB"/>
        </w:rPr>
        <w:t xml:space="preserve">0.001 </w:t>
      </w:r>
      <w:r w:rsidRPr="00DF0381">
        <w:rPr>
          <w:rFonts w:ascii="Arial" w:hAnsi="Arial"/>
          <w:i/>
          <w:sz w:val="24"/>
          <w:lang w:val="en-GB"/>
        </w:rPr>
        <w:t>vs</w:t>
      </w:r>
      <w:r w:rsidRPr="00DF0381">
        <w:rPr>
          <w:rFonts w:ascii="Arial" w:hAnsi="Arial"/>
          <w:sz w:val="24"/>
          <w:lang w:val="en-GB"/>
        </w:rPr>
        <w:t xml:space="preserve"> PBO.</w:t>
      </w:r>
      <w:r w:rsidRPr="00FA0AF6">
        <w:rPr>
          <w:rFonts w:ascii="Arial" w:hAnsi="Arial" w:cs="Arial"/>
          <w:sz w:val="24"/>
          <w:szCs w:val="24"/>
          <w:lang w:val="en-GB"/>
        </w:rPr>
        <w:t xml:space="preserve"> </w:t>
      </w:r>
      <w:r w:rsidRPr="00DF0381">
        <w:rPr>
          <w:rFonts w:ascii="Arial" w:hAnsi="Arial" w:cs="Arial"/>
          <w:sz w:val="24"/>
          <w:szCs w:val="24"/>
          <w:lang w:val="en-GB"/>
        </w:rPr>
        <w:t xml:space="preserve">ITT: intent-to-treat; </w:t>
      </w:r>
      <w:r w:rsidRPr="00DF0381">
        <w:rPr>
          <w:rFonts w:ascii="Arial" w:hAnsi="Arial"/>
          <w:sz w:val="24"/>
          <w:lang w:val="en-GB"/>
        </w:rPr>
        <w:t>LESU</w:t>
      </w:r>
      <w:r w:rsidRPr="00DF0381">
        <w:rPr>
          <w:rFonts w:ascii="Arial" w:hAnsi="Arial" w:cs="Arial"/>
          <w:sz w:val="24"/>
          <w:szCs w:val="24"/>
          <w:lang w:val="en-GB"/>
        </w:rPr>
        <w:t>:</w:t>
      </w:r>
      <w:r w:rsidRPr="00DF0381">
        <w:rPr>
          <w:rFonts w:ascii="Arial" w:hAnsi="Arial"/>
          <w:sz w:val="24"/>
          <w:lang w:val="en-GB"/>
        </w:rPr>
        <w:t xml:space="preserve"> lesinurad</w:t>
      </w:r>
      <w:r w:rsidRPr="00DF0381">
        <w:rPr>
          <w:rFonts w:ascii="Arial" w:hAnsi="Arial" w:cs="Arial"/>
          <w:sz w:val="24"/>
          <w:szCs w:val="24"/>
          <w:lang w:val="en-GB"/>
        </w:rPr>
        <w:t>; PBO: placebo; sUA: serum uric acid.</w:t>
      </w:r>
    </w:p>
    <w:p w:rsidR="007F6EA4" w:rsidRDefault="007F6EA4" w:rsidP="00FA0AF6"/>
    <w:sectPr w:rsidR="007F6E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0B" w:rsidRDefault="00FA0AF6">
      <w:pPr>
        <w:spacing w:after="0" w:line="240" w:lineRule="auto"/>
      </w:pPr>
      <w:r>
        <w:separator/>
      </w:r>
    </w:p>
  </w:endnote>
  <w:endnote w:type="continuationSeparator" w:id="0">
    <w:p w:rsidR="00646B0B" w:rsidRDefault="00FA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05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21F" w:rsidRDefault="00561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21F" w:rsidRDefault="0001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0B" w:rsidRDefault="00FA0AF6">
      <w:pPr>
        <w:spacing w:after="0" w:line="240" w:lineRule="auto"/>
      </w:pPr>
      <w:r>
        <w:separator/>
      </w:r>
    </w:p>
  </w:footnote>
  <w:footnote w:type="continuationSeparator" w:id="0">
    <w:p w:rsidR="00646B0B" w:rsidRDefault="00FA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F" w:rsidRDefault="0001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7A1"/>
    <w:multiLevelType w:val="hybridMultilevel"/>
    <w:tmpl w:val="CF1C2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54B39"/>
    <w:multiLevelType w:val="multilevel"/>
    <w:tmpl w:val="7EAE66EA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47"/>
    <w:rsid w:val="00012F67"/>
    <w:rsid w:val="00561047"/>
    <w:rsid w:val="00646B0B"/>
    <w:rsid w:val="007F6EA4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F807"/>
  <w15:docId w15:val="{734A8650-06C4-4EE5-8B19-4E7DC96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47"/>
  </w:style>
  <w:style w:type="paragraph" w:styleId="Footer">
    <w:name w:val="footer"/>
    <w:basedOn w:val="Normal"/>
    <w:link w:val="FooterChar"/>
    <w:uiPriority w:val="99"/>
    <w:unhideWhenUsed/>
    <w:rsid w:val="0056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47"/>
  </w:style>
  <w:style w:type="paragraph" w:customStyle="1" w:styleId="C-NumberedList">
    <w:name w:val="C-Numbered List"/>
    <w:rsid w:val="00561047"/>
    <w:pPr>
      <w:numPr>
        <w:numId w:val="2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561047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PAREXEL, International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Claus, Tom</dc:creator>
  <cp:lastModifiedBy>Sarah Miles</cp:lastModifiedBy>
  <cp:revision>2</cp:revision>
  <dcterms:created xsi:type="dcterms:W3CDTF">2017-08-15T11:49:00Z</dcterms:created>
  <dcterms:modified xsi:type="dcterms:W3CDTF">2017-08-15T11:49:00Z</dcterms:modified>
</cp:coreProperties>
</file>