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76" w:rsidRDefault="006E0871">
      <w:pPr>
        <w:rPr>
          <w:b/>
        </w:rPr>
      </w:pPr>
      <w:r>
        <w:rPr>
          <w:b/>
        </w:rPr>
        <w:t>SUPPLEMENTARY DATA</w:t>
      </w:r>
    </w:p>
    <w:p w:rsidR="006E0871" w:rsidRDefault="006E0871">
      <w:pPr>
        <w:rPr>
          <w:b/>
        </w:rPr>
      </w:pPr>
      <w:r>
        <w:rPr>
          <w:b/>
        </w:rPr>
        <w:t>Supplementary figure S1. MR1 has no effect on trabecular or cortical bone</w:t>
      </w:r>
    </w:p>
    <w:p w:rsidR="006E0871" w:rsidRDefault="006E0871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572125" cy="61280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_Figure_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2686" r="10353" b="22107"/>
                    <a:stretch/>
                  </pic:blipFill>
                  <pic:spPr bwMode="auto">
                    <a:xfrm>
                      <a:off x="0" y="0"/>
                      <a:ext cx="5596992" cy="615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871" w:rsidRPr="006E0871" w:rsidRDefault="006E0871">
      <w:r>
        <w:t xml:space="preserve">Mice were administered Ig (control) or MR1 for 6 months, beginning at 5 months of age and femoral trabecular and cortical bone analysed by </w:t>
      </w:r>
      <w:r>
        <w:rPr>
          <w:rFonts w:cstheme="minorHAnsi"/>
        </w:rPr>
        <w:t>µ</w:t>
      </w:r>
      <w:r>
        <w:t xml:space="preserve">CT. </w:t>
      </w:r>
      <w:r>
        <w:rPr>
          <w:b/>
        </w:rPr>
        <w:t>(A)</w:t>
      </w:r>
      <w:r>
        <w:t xml:space="preserve"> Representative </w:t>
      </w:r>
      <w:r>
        <w:rPr>
          <w:rFonts w:cstheme="minorHAnsi"/>
        </w:rPr>
        <w:t>µ</w:t>
      </w:r>
      <w:r>
        <w:rPr>
          <w:rFonts w:cstheme="minorHAnsi"/>
        </w:rPr>
        <w:t>CT reconstructions of trabecular and cortical bone. The white scale bar = 500</w:t>
      </w:r>
      <w:r>
        <w:rPr>
          <w:rFonts w:cstheme="minorHAnsi"/>
        </w:rPr>
        <w:t>µ</w:t>
      </w:r>
      <w:r>
        <w:rPr>
          <w:rFonts w:cstheme="minorHAnsi"/>
        </w:rPr>
        <w:t xml:space="preserve">m. Quantitative </w:t>
      </w:r>
      <w:proofErr w:type="spellStart"/>
      <w:r>
        <w:rPr>
          <w:rFonts w:cstheme="minorHAnsi"/>
        </w:rPr>
        <w:t>microarchitectural</w:t>
      </w:r>
      <w:proofErr w:type="spellEnd"/>
      <w:r>
        <w:rPr>
          <w:rFonts w:cstheme="minorHAnsi"/>
        </w:rPr>
        <w:t xml:space="preserve"> indices of femoral bone volume and structure were further determined. </w:t>
      </w:r>
      <w:r>
        <w:rPr>
          <w:rFonts w:cstheme="minorHAnsi"/>
          <w:b/>
        </w:rPr>
        <w:t>(B)</w:t>
      </w:r>
      <w:r>
        <w:rPr>
          <w:rFonts w:cstheme="minorHAnsi"/>
        </w:rPr>
        <w:t xml:space="preserve"> TV, </w:t>
      </w:r>
      <w:r>
        <w:rPr>
          <w:rFonts w:cstheme="minorHAnsi"/>
          <w:b/>
        </w:rPr>
        <w:t xml:space="preserve">(C) </w:t>
      </w:r>
      <w:r>
        <w:rPr>
          <w:rFonts w:cstheme="minorHAnsi"/>
        </w:rPr>
        <w:t xml:space="preserve">BV, </w:t>
      </w:r>
      <w:r>
        <w:rPr>
          <w:rFonts w:cstheme="minorHAnsi"/>
          <w:b/>
        </w:rPr>
        <w:t>(D)</w:t>
      </w:r>
      <w:r>
        <w:rPr>
          <w:rFonts w:cstheme="minorHAnsi"/>
        </w:rPr>
        <w:t xml:space="preserve"> BV/TV, </w:t>
      </w:r>
      <w:r>
        <w:rPr>
          <w:rFonts w:cstheme="minorHAnsi"/>
          <w:b/>
        </w:rPr>
        <w:t xml:space="preserve">(E) </w:t>
      </w:r>
      <w:proofErr w:type="spellStart"/>
      <w:r>
        <w:rPr>
          <w:rFonts w:cstheme="minorHAnsi"/>
        </w:rPr>
        <w:t>Tb.N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 xml:space="preserve">(F) </w:t>
      </w:r>
      <w:proofErr w:type="spellStart"/>
      <w:r>
        <w:rPr>
          <w:rFonts w:cstheme="minorHAnsi"/>
        </w:rPr>
        <w:t>Tb.Th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 xml:space="preserve">(G) </w:t>
      </w:r>
      <w:proofErr w:type="spellStart"/>
      <w:r>
        <w:rPr>
          <w:rFonts w:cstheme="minorHAnsi"/>
        </w:rPr>
        <w:t>Tb.Sp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 xml:space="preserve">(H) </w:t>
      </w:r>
      <w:r>
        <w:rPr>
          <w:rFonts w:cstheme="minorHAnsi"/>
        </w:rPr>
        <w:t xml:space="preserve">TV.D and </w:t>
      </w:r>
      <w:r>
        <w:rPr>
          <w:rFonts w:cstheme="minorHAnsi"/>
          <w:b/>
        </w:rPr>
        <w:t>(I)</w:t>
      </w:r>
      <w:r>
        <w:rPr>
          <w:rFonts w:cstheme="minorHAnsi"/>
        </w:rPr>
        <w:t xml:space="preserve"> SMI. Cortical indices: </w:t>
      </w:r>
      <w:r>
        <w:rPr>
          <w:rFonts w:cstheme="minorHAnsi"/>
          <w:b/>
        </w:rPr>
        <w:t>(J)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Ct.Th</w:t>
      </w:r>
      <w:proofErr w:type="spellEnd"/>
      <w:r>
        <w:rPr>
          <w:rFonts w:cstheme="minorHAnsi"/>
        </w:rPr>
        <w:t>,</w:t>
      </w:r>
      <w:r>
        <w:rPr>
          <w:rFonts w:cstheme="minorHAnsi"/>
          <w:b/>
        </w:rPr>
        <w:t xml:space="preserve"> (K)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Ct.Ar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b/>
        </w:rPr>
        <w:t xml:space="preserve">(L) </w:t>
      </w:r>
      <w:proofErr w:type="spellStart"/>
      <w:r>
        <w:rPr>
          <w:rFonts w:cstheme="minorHAnsi"/>
        </w:rPr>
        <w:t>Tt.A</w:t>
      </w:r>
      <w:proofErr w:type="spellEnd"/>
      <w:r>
        <w:rPr>
          <w:rFonts w:cstheme="minorHAnsi"/>
        </w:rPr>
        <w:t xml:space="preserve">) and </w:t>
      </w:r>
      <w:r>
        <w:rPr>
          <w:rFonts w:cstheme="minorHAnsi"/>
          <w:b/>
        </w:rPr>
        <w:t xml:space="preserve">(M) </w:t>
      </w:r>
      <w:proofErr w:type="spellStart"/>
      <w:r>
        <w:rPr>
          <w:rFonts w:cstheme="minorHAnsi"/>
        </w:rPr>
        <w:t>Ct.Ar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Tt.Ar</w:t>
      </w:r>
      <w:proofErr w:type="spellEnd"/>
      <w:r>
        <w:rPr>
          <w:rFonts w:cstheme="minorHAnsi"/>
        </w:rPr>
        <w:t>. p=ns for B-M, Students t-test. N=</w:t>
      </w:r>
      <w:proofErr w:type="gramStart"/>
      <w:r>
        <w:rPr>
          <w:rFonts w:cstheme="minorHAnsi"/>
        </w:rPr>
        <w:t>7</w:t>
      </w:r>
      <w:proofErr w:type="gramEnd"/>
      <w:r>
        <w:rPr>
          <w:rFonts w:cstheme="minorHAnsi"/>
        </w:rPr>
        <w:t xml:space="preserve"> Ig and 8 MR1 mice/group. All data presented as mean (SD). </w:t>
      </w:r>
      <w:bookmarkStart w:id="0" w:name="_GoBack"/>
      <w:bookmarkEnd w:id="0"/>
    </w:p>
    <w:sectPr w:rsidR="006E0871" w:rsidRPr="006E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71"/>
    <w:rsid w:val="006E0871"/>
    <w:rsid w:val="007A3C76"/>
    <w:rsid w:val="00BC2C0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E9A9"/>
  <w15:chartTrackingRefBased/>
  <w15:docId w15:val="{8C60D805-1EEB-4B36-88C6-A80F7BC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1</cp:revision>
  <dcterms:created xsi:type="dcterms:W3CDTF">2017-12-06T12:04:00Z</dcterms:created>
  <dcterms:modified xsi:type="dcterms:W3CDTF">2017-12-06T12:14:00Z</dcterms:modified>
</cp:coreProperties>
</file>