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CB" w:rsidRPr="002969CB" w:rsidRDefault="002969CB" w:rsidP="002969CB">
      <w:pPr>
        <w:pStyle w:val="Heading1"/>
      </w:pPr>
      <w:r w:rsidRPr="002969CB">
        <w:t>Whole Brain Analyses</w:t>
      </w:r>
    </w:p>
    <w:p w:rsidR="002969CB" w:rsidRDefault="002969CB" w:rsidP="002969CB">
      <w:pPr>
        <w:ind w:firstLine="720"/>
      </w:pPr>
      <w:r>
        <w:t>Whole brain analyses were conducted (a) to visualize activation of the sentences against baseline (fixation) and (b) to explore any other regions outside of our ROIs that might show interac</w:t>
      </w:r>
      <w:r>
        <w:t>tions between Valence and Self-R</w:t>
      </w:r>
      <w:r>
        <w:t>elevance. For these analyses, we set a voxel-level threshold of p &lt; 0.001, and we report any cluster tha</w:t>
      </w:r>
      <w:bookmarkStart w:id="0" w:name="_GoBack"/>
      <w:bookmarkEnd w:id="0"/>
      <w:r>
        <w:t>t was significant at a cluster-level FWE-corrected threshold of p &lt; 0.05.</w:t>
      </w:r>
    </w:p>
    <w:p w:rsidR="002969CB" w:rsidRDefault="002969CB" w:rsidP="002969CB">
      <w:pPr>
        <w:ind w:firstLine="720"/>
      </w:pPr>
      <w:r>
        <w:t>When compared to baseline, all six conditions activated visual areas in the occipital and temporal lobes as well as a large network of regions generally associated with sentence processing including lateral temporal lobe and ventrolateral prefrontal cortex. These results are shown below in Tables S1-S6.</w:t>
      </w:r>
    </w:p>
    <w:p w:rsidR="002969CB" w:rsidRDefault="002969CB" w:rsidP="002969CB">
      <w:r>
        <w:tab/>
        <w:t xml:space="preserve">The 3 x 2 ANOVA examining all six conditions did not reveal significant effects of Valence, Self-Relevance, or a Valence </w:t>
      </w:r>
      <w:proofErr w:type="gramStart"/>
      <w:r>
        <w:t>x</w:t>
      </w:r>
      <w:proofErr w:type="gramEnd"/>
      <w:r>
        <w:t xml:space="preserve"> Self-Relevance interaction that reached cluster-level significance in any region in the whole brain analysis.</w:t>
      </w:r>
    </w:p>
    <w:p w:rsidR="002969CB" w:rsidRDefault="002969CB" w:rsidP="007712CB">
      <w:pPr>
        <w:jc w:val="center"/>
        <w:rPr>
          <w:b/>
        </w:rPr>
      </w:pPr>
    </w:p>
    <w:p w:rsidR="002969CB" w:rsidRDefault="002969CB" w:rsidP="007712CB">
      <w:pPr>
        <w:jc w:val="center"/>
        <w:rPr>
          <w:b/>
        </w:rPr>
      </w:pPr>
    </w:p>
    <w:p w:rsidR="002969CB" w:rsidRDefault="002969CB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7712CB" w:rsidRPr="00C91A65" w:rsidRDefault="007712CB" w:rsidP="007712CB">
      <w:pPr>
        <w:jc w:val="center"/>
        <w:rPr>
          <w:b/>
        </w:rPr>
      </w:pPr>
      <w:r w:rsidRPr="007712CB">
        <w:rPr>
          <w:b/>
        </w:rPr>
        <w:lastRenderedPageBreak/>
        <w:t>Table S1: Other-Neutral versus</w:t>
      </w:r>
      <w:r w:rsidRPr="00C91A65">
        <w:rPr>
          <w:b/>
        </w:rPr>
        <w:t xml:space="preserve"> Fixation (whole brain)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690"/>
        <w:gridCol w:w="556"/>
        <w:gridCol w:w="1244"/>
        <w:gridCol w:w="900"/>
        <w:gridCol w:w="1612"/>
        <w:gridCol w:w="1358"/>
      </w:tblGrid>
      <w:tr w:rsidR="007712CB" w:rsidRPr="00C91A65" w:rsidTr="0008219B">
        <w:trPr>
          <w:trHeight w:val="62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R/L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Peak voxel p-value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z-score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MNI (x, y, z)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Cluster level p-value (FWE)</w:t>
            </w:r>
          </w:p>
        </w:tc>
      </w:tr>
      <w:tr w:rsidR="007712CB" w:rsidRPr="00C91A65" w:rsidTr="0008219B">
        <w:trPr>
          <w:trHeight w:val="936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Supplementary motor area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0, 10, 58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CB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p(FWE) &lt; 0.0001,</w:t>
            </w:r>
          </w:p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k = 565</w:t>
            </w:r>
          </w:p>
        </w:tc>
      </w:tr>
      <w:tr w:rsidR="007712CB" w:rsidRPr="00C91A65" w:rsidTr="0008219B">
        <w:trPr>
          <w:trHeight w:val="312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 xml:space="preserve">Inferior frontal gyrus (pars </w:t>
            </w:r>
            <w:proofErr w:type="spellStart"/>
            <w:r w:rsidRPr="006815D5">
              <w:rPr>
                <w:rFonts w:eastAsia="Times New Roman"/>
                <w:color w:val="000000"/>
                <w:sz w:val="20"/>
                <w:szCs w:val="20"/>
              </w:rPr>
              <w:t>triangularis</w:t>
            </w:r>
            <w:proofErr w:type="spellEnd"/>
            <w:r w:rsidRPr="006815D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0.0301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-50, 24, 4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CB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p(FWE) &lt; 0.0001,</w:t>
            </w:r>
          </w:p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k = 4426</w:t>
            </w:r>
          </w:p>
        </w:tc>
      </w:tr>
      <w:tr w:rsidR="007712CB" w:rsidRPr="00C91A65" w:rsidTr="0008219B">
        <w:trPr>
          <w:trHeight w:val="312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Middle temporal cortex (anterior)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-52, 4, -20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712CB" w:rsidRPr="00C91A65" w:rsidTr="0008219B">
        <w:trPr>
          <w:trHeight w:val="312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Middle temporal cortex (pole)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0.0745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-40, 18, -32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712CB" w:rsidRPr="00C91A65" w:rsidTr="0008219B">
        <w:trPr>
          <w:trHeight w:val="936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-38, 0, 50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CB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p(FWE) = 0.0001,</w:t>
            </w:r>
          </w:p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k = 860</w:t>
            </w:r>
          </w:p>
        </w:tc>
      </w:tr>
      <w:tr w:rsidR="007712CB" w:rsidRPr="00C91A65" w:rsidTr="0008219B">
        <w:trPr>
          <w:trHeight w:val="936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Occipital cortex (</w:t>
            </w:r>
            <w:proofErr w:type="spellStart"/>
            <w:r w:rsidRPr="006815D5">
              <w:rPr>
                <w:rFonts w:eastAsia="Times New Roman"/>
                <w:color w:val="000000"/>
                <w:sz w:val="20"/>
                <w:szCs w:val="20"/>
              </w:rPr>
              <w:t>calcarine</w:t>
            </w:r>
            <w:proofErr w:type="spellEnd"/>
            <w:r w:rsidRPr="006815D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0.0515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18, -66,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CB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p(FWE) &lt; 0.0001,</w:t>
            </w:r>
          </w:p>
          <w:p w:rsidR="007712CB" w:rsidRPr="006815D5" w:rsidRDefault="007712CB" w:rsidP="000821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15D5">
              <w:rPr>
                <w:rFonts w:eastAsia="Times New Roman"/>
                <w:color w:val="000000"/>
                <w:sz w:val="20"/>
                <w:szCs w:val="20"/>
              </w:rPr>
              <w:t>k = 1890</w:t>
            </w:r>
          </w:p>
        </w:tc>
      </w:tr>
    </w:tbl>
    <w:p w:rsidR="007712CB" w:rsidRDefault="007712CB">
      <w:pPr>
        <w:spacing w:line="240" w:lineRule="auto"/>
        <w:jc w:val="left"/>
        <w:rPr>
          <w:b/>
        </w:rPr>
      </w:pPr>
    </w:p>
    <w:p w:rsidR="007712CB" w:rsidRDefault="007712CB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7477CE" w:rsidRPr="00AF278B" w:rsidRDefault="007712CB" w:rsidP="007477CE">
      <w:pPr>
        <w:spacing w:line="240" w:lineRule="auto"/>
        <w:jc w:val="center"/>
        <w:rPr>
          <w:b/>
        </w:rPr>
      </w:pPr>
      <w:r>
        <w:rPr>
          <w:b/>
        </w:rPr>
        <w:lastRenderedPageBreak/>
        <w:t>Table S2</w:t>
      </w:r>
      <w:r w:rsidR="007477CE" w:rsidRPr="00AF278B">
        <w:rPr>
          <w:b/>
        </w:rPr>
        <w:t>: Other-Positive versus Fixation (whole brain)</w:t>
      </w:r>
    </w:p>
    <w:p w:rsidR="007477CE" w:rsidRPr="00AF278B" w:rsidRDefault="007477CE" w:rsidP="007477CE">
      <w:pPr>
        <w:spacing w:line="240" w:lineRule="auto"/>
        <w:jc w:val="left"/>
        <w:rPr>
          <w:sz w:val="20"/>
        </w:rPr>
      </w:pPr>
    </w:p>
    <w:tbl>
      <w:tblPr>
        <w:tblW w:w="9483" w:type="dxa"/>
        <w:jc w:val="center"/>
        <w:tblLook w:val="04A0" w:firstRow="1" w:lastRow="0" w:firstColumn="1" w:lastColumn="0" w:noHBand="0" w:noVBand="1"/>
      </w:tblPr>
      <w:tblGrid>
        <w:gridCol w:w="3887"/>
        <w:gridCol w:w="556"/>
        <w:gridCol w:w="1295"/>
        <w:gridCol w:w="917"/>
        <w:gridCol w:w="1397"/>
        <w:gridCol w:w="1431"/>
      </w:tblGrid>
      <w:tr w:rsidR="007477CE" w:rsidRPr="00AF278B" w:rsidTr="003256A9">
        <w:trPr>
          <w:trHeight w:val="62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R/L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Peak voxel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z-score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MNI (x, y, z)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Cluster level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 (FWE)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triangularis)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-54, 22, 6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4370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(anterior)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-54, -4, -16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(lingual)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-14, -30, -4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= 0.0437,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228</w:t>
            </w: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Supplementary motor area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-4, 12, 56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= 0.0009,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516</w:t>
            </w: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(lateral)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0.0324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-16, -94, -8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4675</w:t>
            </w: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0.0771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-38, -2, 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969</w:t>
            </w: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(pole)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0.0813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56, 6, -16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773</w:t>
            </w:r>
          </w:p>
        </w:tc>
      </w:tr>
    </w:tbl>
    <w:p w:rsidR="007477CE" w:rsidRPr="00AF278B" w:rsidRDefault="007477CE" w:rsidP="007477CE">
      <w:pPr>
        <w:pStyle w:val="TableFigureCaption"/>
        <w:rPr>
          <w:b/>
        </w:rPr>
      </w:pPr>
    </w:p>
    <w:p w:rsidR="007477CE" w:rsidRPr="00AF278B" w:rsidRDefault="007477CE" w:rsidP="007477CE">
      <w:pPr>
        <w:spacing w:line="240" w:lineRule="auto"/>
        <w:jc w:val="left"/>
        <w:rPr>
          <w:b/>
          <w:sz w:val="20"/>
        </w:rPr>
      </w:pPr>
      <w:r w:rsidRPr="00AF278B">
        <w:rPr>
          <w:b/>
        </w:rPr>
        <w:br w:type="page"/>
      </w:r>
    </w:p>
    <w:p w:rsidR="007477CE" w:rsidRPr="00AF278B" w:rsidRDefault="00F519BE" w:rsidP="007477CE">
      <w:pPr>
        <w:jc w:val="center"/>
        <w:rPr>
          <w:b/>
        </w:rPr>
      </w:pPr>
      <w:r>
        <w:rPr>
          <w:b/>
        </w:rPr>
        <w:lastRenderedPageBreak/>
        <w:t>Table S3</w:t>
      </w:r>
      <w:r w:rsidR="007477CE" w:rsidRPr="00AF278B">
        <w:rPr>
          <w:b/>
        </w:rPr>
        <w:t>: Other-Negative versus Fixation (whole brain)</w:t>
      </w:r>
    </w:p>
    <w:tbl>
      <w:tblPr>
        <w:tblW w:w="9483" w:type="dxa"/>
        <w:jc w:val="center"/>
        <w:tblLook w:val="04A0" w:firstRow="1" w:lastRow="0" w:firstColumn="1" w:lastColumn="0" w:noHBand="0" w:noVBand="1"/>
      </w:tblPr>
      <w:tblGrid>
        <w:gridCol w:w="3887"/>
        <w:gridCol w:w="673"/>
        <w:gridCol w:w="1271"/>
        <w:gridCol w:w="891"/>
        <w:gridCol w:w="1450"/>
        <w:gridCol w:w="1311"/>
      </w:tblGrid>
      <w:tr w:rsidR="007477CE" w:rsidRPr="00AF278B" w:rsidTr="003256A9">
        <w:trPr>
          <w:trHeight w:val="936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R/L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Peak voxel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z-score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MNI (x, y, z)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Cluster level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 (FWE)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opercularis)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-56, 18, 18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5760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triangularis)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-58, 20, 24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orbitalis)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-46, 24, -6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temporal cortex (pole)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-46, 8, -22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(posterior)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0.0639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-56, -48, 14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(anterior)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-54, -26, -4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945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(anterior)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62, 0, -16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1906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(pole)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44, 18, -30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Supplementary motor area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0.0782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-2, 10, 62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= 0.0003,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921</w:t>
            </w:r>
          </w:p>
        </w:tc>
      </w:tr>
      <w:tr w:rsidR="007477CE" w:rsidRPr="00AF278B" w:rsidTr="003256A9">
        <w:trPr>
          <w:trHeight w:val="540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(medial)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-8, 60, 42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0.0358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-38, -2, 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= 0.0008,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781</w:t>
            </w: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(calcarine)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0.0568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20, -90, -2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2113</w:t>
            </w: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(lateral)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0.0676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-34, -92, -4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2481</w:t>
            </w:r>
          </w:p>
        </w:tc>
      </w:tr>
    </w:tbl>
    <w:p w:rsidR="007477CE" w:rsidRPr="00AF278B" w:rsidRDefault="007477CE" w:rsidP="007477CE">
      <w:pPr>
        <w:pStyle w:val="TableFigureCaption"/>
        <w:jc w:val="center"/>
        <w:rPr>
          <w:b/>
        </w:rPr>
      </w:pPr>
    </w:p>
    <w:p w:rsidR="007477CE" w:rsidRPr="00AF278B" w:rsidRDefault="007477CE" w:rsidP="007477CE">
      <w:pPr>
        <w:spacing w:line="240" w:lineRule="auto"/>
        <w:jc w:val="left"/>
        <w:rPr>
          <w:b/>
          <w:sz w:val="20"/>
        </w:rPr>
      </w:pPr>
      <w:r w:rsidRPr="00AF278B">
        <w:rPr>
          <w:b/>
        </w:rPr>
        <w:br w:type="page"/>
      </w:r>
    </w:p>
    <w:p w:rsidR="007477CE" w:rsidRPr="00AF278B" w:rsidRDefault="00004689" w:rsidP="007477CE">
      <w:pPr>
        <w:jc w:val="center"/>
        <w:rPr>
          <w:b/>
        </w:rPr>
      </w:pPr>
      <w:r>
        <w:rPr>
          <w:b/>
        </w:rPr>
        <w:lastRenderedPageBreak/>
        <w:t>Table S4</w:t>
      </w:r>
      <w:r w:rsidR="007477CE" w:rsidRPr="00AF278B">
        <w:rPr>
          <w:b/>
        </w:rPr>
        <w:t>: Self-Neutral versus Fixation (whole brain)</w:t>
      </w:r>
    </w:p>
    <w:tbl>
      <w:tblPr>
        <w:tblW w:w="9483" w:type="dxa"/>
        <w:jc w:val="center"/>
        <w:tblLook w:val="04A0" w:firstRow="1" w:lastRow="0" w:firstColumn="1" w:lastColumn="0" w:noHBand="0" w:noVBand="1"/>
      </w:tblPr>
      <w:tblGrid>
        <w:gridCol w:w="4133"/>
        <w:gridCol w:w="676"/>
        <w:gridCol w:w="1023"/>
        <w:gridCol w:w="1036"/>
        <w:gridCol w:w="1523"/>
        <w:gridCol w:w="1092"/>
      </w:tblGrid>
      <w:tr w:rsidR="007477CE" w:rsidRPr="00AF278B" w:rsidTr="003256A9">
        <w:trPr>
          <w:trHeight w:val="624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R/L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Peak voxel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z-score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MNI (x, y, z)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Cluster level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 (FWE)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opercularis)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-52, 18, 20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4967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triangularis)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-54, 22, 2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orbitalis)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-48, 24, -8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(posterior)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0.0459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-56, -44, 4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(anterior)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-54, -4, -16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5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-38, 0, 50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1104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(lingual)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0.0553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-20, -88, -14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2460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(lateral)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0.0217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-24, -104, -2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(calcarine)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0.0852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20, -90, -2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1876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(lateral)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40, -86, -8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(lateral)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0.0547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-14, 32, 64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= 0.0028,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444</w:t>
            </w:r>
          </w:p>
        </w:tc>
      </w:tr>
    </w:tbl>
    <w:p w:rsidR="007477CE" w:rsidRPr="00AF278B" w:rsidRDefault="007477CE" w:rsidP="007477CE">
      <w:pPr>
        <w:pStyle w:val="TableFigureCaption"/>
        <w:jc w:val="center"/>
        <w:rPr>
          <w:b/>
        </w:rPr>
      </w:pPr>
    </w:p>
    <w:p w:rsidR="007477CE" w:rsidRPr="00AF278B" w:rsidRDefault="007477CE" w:rsidP="007477CE">
      <w:pPr>
        <w:spacing w:line="240" w:lineRule="auto"/>
        <w:jc w:val="left"/>
        <w:rPr>
          <w:b/>
          <w:sz w:val="20"/>
        </w:rPr>
      </w:pPr>
      <w:r w:rsidRPr="00AF278B">
        <w:rPr>
          <w:b/>
        </w:rPr>
        <w:br w:type="page"/>
      </w:r>
    </w:p>
    <w:p w:rsidR="007477CE" w:rsidRPr="00AF278B" w:rsidRDefault="00AF278B" w:rsidP="007477CE">
      <w:pPr>
        <w:jc w:val="center"/>
        <w:rPr>
          <w:b/>
        </w:rPr>
      </w:pPr>
      <w:r w:rsidRPr="00AF278B">
        <w:rPr>
          <w:b/>
        </w:rPr>
        <w:lastRenderedPageBreak/>
        <w:t>Table S</w:t>
      </w:r>
      <w:r w:rsidR="00004689">
        <w:rPr>
          <w:b/>
        </w:rPr>
        <w:t>5</w:t>
      </w:r>
      <w:r w:rsidR="007477CE" w:rsidRPr="00AF278B">
        <w:rPr>
          <w:b/>
        </w:rPr>
        <w:t>: Self-Positive versus Fixation (whole brain)</w:t>
      </w: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766"/>
        <w:gridCol w:w="556"/>
        <w:gridCol w:w="1140"/>
        <w:gridCol w:w="899"/>
        <w:gridCol w:w="1377"/>
        <w:gridCol w:w="1744"/>
      </w:tblGrid>
      <w:tr w:rsidR="007477CE" w:rsidRPr="00AF278B" w:rsidTr="003256A9">
        <w:trPr>
          <w:trHeight w:val="624"/>
          <w:jc w:val="center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R/L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Peak voxel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z-score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MNI (x, y, z)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Cluster level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 (FWE)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triangularis)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0.0228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-52, 22, 0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5426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orbitalis)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-50, 24, -4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temporal cortex (pole)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0.0728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-44, 10, -22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(posterior)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-54, -30, -2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(anterior)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-52, -4, -18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624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-44, -16, 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1442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Supplementary motor area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2, 10, 60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1091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(medial)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-6, 64, 28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(calcarine)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0.0323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18, -90, 2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5228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(lingual)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0.0694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-20, -90, -14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(lateral)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0.0608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40, -86, -8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624"/>
          <w:jc w:val="center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temporal cortex (pole)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0.0696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42, 12, -24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1028</w:t>
            </w:r>
          </w:p>
        </w:tc>
      </w:tr>
    </w:tbl>
    <w:p w:rsidR="007477CE" w:rsidRPr="00AF278B" w:rsidRDefault="007477CE" w:rsidP="007477CE">
      <w:pPr>
        <w:pStyle w:val="TableFigureCaption"/>
        <w:jc w:val="center"/>
        <w:rPr>
          <w:b/>
        </w:rPr>
      </w:pPr>
    </w:p>
    <w:p w:rsidR="007477CE" w:rsidRPr="00AF278B" w:rsidRDefault="007477CE" w:rsidP="007477CE">
      <w:pPr>
        <w:spacing w:line="240" w:lineRule="auto"/>
        <w:jc w:val="left"/>
        <w:rPr>
          <w:b/>
          <w:sz w:val="20"/>
        </w:rPr>
      </w:pPr>
      <w:r w:rsidRPr="00AF278B">
        <w:rPr>
          <w:b/>
        </w:rPr>
        <w:br w:type="page"/>
      </w:r>
    </w:p>
    <w:p w:rsidR="007477CE" w:rsidRPr="00AF278B" w:rsidRDefault="00AF278B" w:rsidP="007477CE">
      <w:pPr>
        <w:jc w:val="center"/>
        <w:rPr>
          <w:b/>
        </w:rPr>
      </w:pPr>
      <w:r w:rsidRPr="00AF278B">
        <w:rPr>
          <w:b/>
        </w:rPr>
        <w:lastRenderedPageBreak/>
        <w:t>Table S</w:t>
      </w:r>
      <w:r w:rsidR="00004689">
        <w:rPr>
          <w:b/>
        </w:rPr>
        <w:t>6</w:t>
      </w:r>
      <w:r w:rsidR="007477CE" w:rsidRPr="00AF278B">
        <w:rPr>
          <w:b/>
        </w:rPr>
        <w:t>: Self-Negative versus Fixation (whole brain)</w:t>
      </w:r>
    </w:p>
    <w:tbl>
      <w:tblPr>
        <w:tblW w:w="9483" w:type="dxa"/>
        <w:jc w:val="center"/>
        <w:tblLook w:val="04A0" w:firstRow="1" w:lastRow="0" w:firstColumn="1" w:lastColumn="0" w:noHBand="0" w:noVBand="1"/>
      </w:tblPr>
      <w:tblGrid>
        <w:gridCol w:w="4024"/>
        <w:gridCol w:w="574"/>
        <w:gridCol w:w="1362"/>
        <w:gridCol w:w="772"/>
        <w:gridCol w:w="1523"/>
        <w:gridCol w:w="1228"/>
      </w:tblGrid>
      <w:tr w:rsidR="007477CE" w:rsidRPr="00AF278B" w:rsidTr="003256A9">
        <w:trPr>
          <w:trHeight w:val="936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R/L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Peak voxel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z-score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MNI (x, y, z)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Cluster level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 (FWE)</w:t>
            </w:r>
          </w:p>
        </w:tc>
      </w:tr>
      <w:tr w:rsidR="007477CE" w:rsidRPr="00AF278B" w:rsidTr="003256A9">
        <w:trPr>
          <w:trHeight w:val="315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opercularis)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0.0938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-50, 18, 20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5855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frontal gyrus (pars orbitalis)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-46, 24, -4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temporal cortex (pole)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0.0846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-46, 24, -14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(anterior)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-52, -8, -18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(pole)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-44, 12, -30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Inferior temporal cortex (anterior)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0.0796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-44, -8, -30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5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-40, 0, 58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929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temporal cortex (pole)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46, 12, -22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1419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(anterior)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54, 4, -18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Middle temporal cortex (pole)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0.0756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48, 18, -34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Supplementary motor area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0.0223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-4, 10, 56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1419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(medial)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-10, 56, 46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(lingual)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0.0349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-20, -90, -12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2698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(lateral)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0.0226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-16, -96, -8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(calcarine)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0.0817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20, -88, 0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</w:t>
            </w:r>
          </w:p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k = 2117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Occipital cortex (lateral)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0.0312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42, -86, -8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477CE" w:rsidRPr="00AF278B" w:rsidRDefault="007477CE" w:rsidP="007477CE">
      <w:pPr>
        <w:pStyle w:val="TableFigureCaption"/>
        <w:jc w:val="center"/>
        <w:rPr>
          <w:b/>
          <w:szCs w:val="20"/>
        </w:rPr>
      </w:pPr>
    </w:p>
    <w:p w:rsidR="007477CE" w:rsidRPr="00AF278B" w:rsidRDefault="007477CE" w:rsidP="007477CE">
      <w:pPr>
        <w:spacing w:line="240" w:lineRule="auto"/>
        <w:jc w:val="left"/>
        <w:rPr>
          <w:b/>
        </w:rPr>
      </w:pPr>
      <w:r w:rsidRPr="00AF278B">
        <w:rPr>
          <w:b/>
        </w:rPr>
        <w:br w:type="page"/>
      </w:r>
    </w:p>
    <w:p w:rsidR="007477CE" w:rsidRPr="00AF278B" w:rsidRDefault="00AF278B" w:rsidP="007477CE">
      <w:pPr>
        <w:jc w:val="center"/>
        <w:rPr>
          <w:b/>
        </w:rPr>
      </w:pPr>
      <w:r w:rsidRPr="00AF278B">
        <w:rPr>
          <w:b/>
        </w:rPr>
        <w:lastRenderedPageBreak/>
        <w:t>Table S</w:t>
      </w:r>
      <w:r w:rsidR="00004689">
        <w:rPr>
          <w:b/>
        </w:rPr>
        <w:t>7</w:t>
      </w:r>
      <w:r w:rsidR="007477CE" w:rsidRPr="00AF278B">
        <w:rPr>
          <w:b/>
        </w:rPr>
        <w:t>: Each Condition versus Fixation in the mPFC ROI</w:t>
      </w:r>
    </w:p>
    <w:tbl>
      <w:tblPr>
        <w:tblW w:w="10020" w:type="dxa"/>
        <w:jc w:val="center"/>
        <w:tblLook w:val="04A0" w:firstRow="1" w:lastRow="0" w:firstColumn="1" w:lastColumn="0" w:noHBand="0" w:noVBand="1"/>
      </w:tblPr>
      <w:tblGrid>
        <w:gridCol w:w="3500"/>
        <w:gridCol w:w="539"/>
        <w:gridCol w:w="960"/>
        <w:gridCol w:w="880"/>
        <w:gridCol w:w="1580"/>
        <w:gridCol w:w="2561"/>
      </w:tblGrid>
      <w:tr w:rsidR="007477CE" w:rsidRPr="00AF278B" w:rsidTr="003256A9">
        <w:trPr>
          <w:trHeight w:val="1248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R/L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Peak voxel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z-score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MNI (x, y, z)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Cluster level </w:t>
            </w:r>
            <w:r w:rsidRPr="00AF278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-value (FWE)</w:t>
            </w: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Self Relevant Positive – Fixation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(lateral)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-10, 60, 38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 k = 727</w:t>
            </w: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Supplementary motor area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-8, 18, 68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(medial)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-6, 64, 28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Self Relevant Neutral – Fixation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(lateral)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-14, 32, 64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= 0.0003, k = 444</w:t>
            </w: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(medial)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-10, 64, 26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Self Relevant Negative – Fixation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(lateral)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-10, 56, 46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&lt; 0.0001, k = 970</w:t>
            </w: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Supplementary motor area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0.0506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-4, 18, 70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(medial)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-8, 60, 26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Other Relevant Positive – Fixation</w:t>
            </w: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Supplementary motor area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-8, 18, 66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= 0.0165, k = 157</w:t>
            </w: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(lateral)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-12, 58, 42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= 0.0359, k = 115</w:t>
            </w: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Other Relevant Neutral – Fixation</w:t>
            </w:r>
          </w:p>
        </w:tc>
      </w:tr>
      <w:tr w:rsidR="007477CE" w:rsidRPr="00AF278B" w:rsidTr="003256A9">
        <w:trPr>
          <w:trHeight w:val="936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(medial)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0.0523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-10, 64, 30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= 0.0433, k = 123</w:t>
            </w: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Other Relevant Negative – Fixation</w:t>
            </w:r>
          </w:p>
        </w:tc>
      </w:tr>
      <w:tr w:rsidR="007477CE" w:rsidRPr="00AF278B" w:rsidTr="003256A9">
        <w:trPr>
          <w:trHeight w:val="312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(lateral)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0.0857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-12, 36, 62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AF278B">
              <w:rPr>
                <w:rFonts w:eastAsia="Times New Roman"/>
                <w:color w:val="000000"/>
                <w:sz w:val="20"/>
                <w:szCs w:val="20"/>
              </w:rPr>
              <w:t>(FWE) = 0.0006, k = 562</w:t>
            </w:r>
          </w:p>
        </w:tc>
      </w:tr>
      <w:tr w:rsidR="007477CE" w:rsidRPr="00AF278B" w:rsidTr="003256A9">
        <w:trPr>
          <w:trHeight w:val="276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Supplementary motor area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-8, 24, 70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77CE" w:rsidRPr="00444E4B" w:rsidTr="003256A9">
        <w:trPr>
          <w:trHeight w:val="276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Superior frontal cortex (medial)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AF278B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CE" w:rsidRPr="0079587E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278B">
              <w:rPr>
                <w:rFonts w:eastAsia="Times New Roman"/>
                <w:color w:val="000000"/>
                <w:sz w:val="20"/>
                <w:szCs w:val="20"/>
              </w:rPr>
              <w:t>-8, 60, 42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CE" w:rsidRPr="0079587E" w:rsidRDefault="007477CE" w:rsidP="003256A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477CE" w:rsidRPr="006815D5" w:rsidRDefault="007477CE" w:rsidP="007477CE"/>
    <w:p w:rsidR="00D21F4B" w:rsidRDefault="00D21F4B"/>
    <w:sectPr w:rsidR="00D2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4"/>
    <w:rsid w:val="00004689"/>
    <w:rsid w:val="000B1934"/>
    <w:rsid w:val="002969CB"/>
    <w:rsid w:val="002B482E"/>
    <w:rsid w:val="002D3F8B"/>
    <w:rsid w:val="00344E50"/>
    <w:rsid w:val="003B640F"/>
    <w:rsid w:val="00523DB6"/>
    <w:rsid w:val="006E5E87"/>
    <w:rsid w:val="007477CE"/>
    <w:rsid w:val="007712CB"/>
    <w:rsid w:val="008A7D91"/>
    <w:rsid w:val="00A43B9A"/>
    <w:rsid w:val="00AF278B"/>
    <w:rsid w:val="00B24C57"/>
    <w:rsid w:val="00C55B34"/>
    <w:rsid w:val="00CE1992"/>
    <w:rsid w:val="00D129AC"/>
    <w:rsid w:val="00D21F4B"/>
    <w:rsid w:val="00DD444E"/>
    <w:rsid w:val="00E15F47"/>
    <w:rsid w:val="00ED416F"/>
    <w:rsid w:val="00F519BE"/>
    <w:rsid w:val="00F819CF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5D30"/>
  <w15:chartTrackingRefBased/>
  <w15:docId w15:val="{E2F9C270-AF41-4FC9-9D14-651D2DB9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CB"/>
    <w:pPr>
      <w:spacing w:line="480" w:lineRule="auto"/>
      <w:jc w:val="both"/>
    </w:pPr>
    <w:rPr>
      <w:kern w:val="1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CB"/>
    <w:pPr>
      <w:keepNext/>
      <w:spacing w:before="120"/>
      <w:jc w:val="center"/>
      <w:outlineLvl w:val="0"/>
    </w:pPr>
    <w:rPr>
      <w:rFonts w:ascii="Arial Black" w:eastAsiaTheme="majorEastAsia" w:hAnsi="Arial Black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9CB"/>
    <w:pPr>
      <w:keepNext/>
      <w:jc w:val="left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9CB"/>
    <w:pPr>
      <w:keepNext/>
      <w:jc w:val="left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9CB"/>
    <w:pPr>
      <w:keepNext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9CB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9CB"/>
    <w:pPr>
      <w:spacing w:before="240" w:after="60"/>
      <w:outlineLvl w:val="5"/>
    </w:pPr>
    <w:rPr>
      <w:b/>
      <w:bCs/>
      <w:kern w:val="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9CB"/>
    <w:pPr>
      <w:spacing w:before="240" w:after="60"/>
      <w:outlineLvl w:val="6"/>
    </w:pPr>
    <w:rPr>
      <w:kern w:val="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9CB"/>
    <w:pPr>
      <w:spacing w:before="240" w:after="60"/>
      <w:outlineLvl w:val="7"/>
    </w:pPr>
    <w:rPr>
      <w:i/>
      <w:iCs/>
      <w:kern w:val="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9CB"/>
    <w:pPr>
      <w:spacing w:before="240" w:after="60"/>
      <w:outlineLvl w:val="8"/>
    </w:pPr>
    <w:rPr>
      <w:rFonts w:asciiTheme="majorHAnsi" w:eastAsiaTheme="majorEastAsia" w:hAnsiTheme="majorHAnsi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9CB"/>
    <w:rPr>
      <w:rFonts w:ascii="Arial Black" w:eastAsiaTheme="majorEastAsia" w:hAnsi="Arial Black"/>
      <w:b/>
      <w:bCs/>
      <w:kern w:val="16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69CB"/>
    <w:rPr>
      <w:rFonts w:eastAsiaTheme="majorEastAsia"/>
      <w:b/>
      <w:bCs/>
      <w:iCs/>
      <w:kern w:val="16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69CB"/>
    <w:rPr>
      <w:rFonts w:eastAsiaTheme="majorEastAsia"/>
      <w:bCs/>
      <w:kern w:val="16"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9CB"/>
    <w:rPr>
      <w:bCs/>
      <w:i/>
      <w:kern w:val="16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9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9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9CB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9CB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9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69CB"/>
    <w:pPr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69CB"/>
    <w:rPr>
      <w:rFonts w:eastAsiaTheme="majorEastAsia"/>
      <w:b/>
      <w:bCs/>
      <w:kern w:val="28"/>
      <w:sz w:val="2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9CB"/>
    <w:pPr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9CB"/>
    <w:rPr>
      <w:rFonts w:asciiTheme="majorHAns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/>
    <w:rsid w:val="002969CB"/>
    <w:rPr>
      <w:b/>
      <w:bCs/>
    </w:rPr>
  </w:style>
  <w:style w:type="character" w:styleId="Emphasis">
    <w:name w:val="Emphasis"/>
    <w:basedOn w:val="DefaultParagraphFont"/>
    <w:uiPriority w:val="20"/>
    <w:qFormat/>
    <w:rsid w:val="002969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69CB"/>
    <w:rPr>
      <w:szCs w:val="32"/>
    </w:rPr>
  </w:style>
  <w:style w:type="paragraph" w:styleId="ListParagraph">
    <w:name w:val="List Paragraph"/>
    <w:basedOn w:val="Normal"/>
    <w:uiPriority w:val="34"/>
    <w:qFormat/>
    <w:rsid w:val="002969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9CB"/>
    <w:rPr>
      <w:i/>
      <w:kern w:val="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969CB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9CB"/>
    <w:pPr>
      <w:ind w:left="720" w:right="720"/>
    </w:pPr>
    <w:rPr>
      <w:b/>
      <w:i/>
      <w:kern w:val="0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9CB"/>
    <w:rPr>
      <w:b/>
      <w:i/>
      <w:sz w:val="24"/>
    </w:rPr>
  </w:style>
  <w:style w:type="character" w:styleId="SubtleEmphasis">
    <w:name w:val="Subtle Emphasis"/>
    <w:uiPriority w:val="19"/>
    <w:qFormat/>
    <w:rsid w:val="002969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69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69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69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69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9CB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F819C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19CF"/>
    <w:rPr>
      <w:kern w:val="16"/>
      <w:szCs w:val="20"/>
    </w:rPr>
  </w:style>
  <w:style w:type="paragraph" w:customStyle="1" w:styleId="Footnote">
    <w:name w:val="Footnote"/>
    <w:basedOn w:val="Normal"/>
    <w:rsid w:val="00A43B9A"/>
    <w:pPr>
      <w:spacing w:line="240" w:lineRule="auto"/>
    </w:pPr>
    <w:rPr>
      <w:sz w:val="20"/>
    </w:rPr>
  </w:style>
  <w:style w:type="paragraph" w:customStyle="1" w:styleId="TableFigureCaption">
    <w:name w:val="Table/Figure Caption"/>
    <w:basedOn w:val="Normal"/>
    <w:rsid w:val="007477CE"/>
    <w:pPr>
      <w:spacing w:before="120" w:after="240" w:line="240" w:lineRule="auto"/>
    </w:pPr>
    <w:rPr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2EF3-B0CC-4405-A406-7341C4F4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Eric C.</dc:creator>
  <cp:keywords/>
  <dc:description/>
  <cp:lastModifiedBy>efields</cp:lastModifiedBy>
  <cp:revision>6</cp:revision>
  <dcterms:created xsi:type="dcterms:W3CDTF">2019-04-30T20:36:00Z</dcterms:created>
  <dcterms:modified xsi:type="dcterms:W3CDTF">2019-04-30T22:00:00Z</dcterms:modified>
</cp:coreProperties>
</file>