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0E88CD" w14:textId="77777777" w:rsidR="00536FF2" w:rsidRPr="00EC2D56" w:rsidRDefault="00536FF2" w:rsidP="00536FF2">
      <w:pPr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-US"/>
        </w:rPr>
      </w:pPr>
      <w:bookmarkStart w:id="0" w:name="_Hlk65245863"/>
      <w:r>
        <w:rPr>
          <w:rFonts w:cstheme="minorHAnsi"/>
          <w:b/>
          <w:bCs/>
          <w:sz w:val="24"/>
          <w:szCs w:val="24"/>
          <w:lang w:val="en-US"/>
        </w:rPr>
        <w:t xml:space="preserve">Sleep symptomatology is </w:t>
      </w:r>
      <w:r w:rsidRPr="00EC2D56">
        <w:rPr>
          <w:rFonts w:cstheme="minorHAnsi"/>
          <w:b/>
          <w:bCs/>
          <w:sz w:val="24"/>
          <w:szCs w:val="24"/>
          <w:lang w:val="en-US"/>
        </w:rPr>
        <w:t>associate</w:t>
      </w:r>
      <w:r>
        <w:rPr>
          <w:rFonts w:cstheme="minorHAnsi"/>
          <w:b/>
          <w:bCs/>
          <w:sz w:val="24"/>
          <w:szCs w:val="24"/>
          <w:lang w:val="en-US"/>
        </w:rPr>
        <w:t>d</w:t>
      </w:r>
      <w:r w:rsidRPr="00EC2D56">
        <w:rPr>
          <w:rFonts w:cstheme="minorHAnsi"/>
          <w:b/>
          <w:bCs/>
          <w:sz w:val="24"/>
          <w:szCs w:val="24"/>
          <w:lang w:val="en-US"/>
        </w:rPr>
        <w:t xml:space="preserve"> with greater </w:t>
      </w:r>
      <w:r>
        <w:rPr>
          <w:rFonts w:cstheme="minorHAnsi"/>
          <w:b/>
          <w:bCs/>
          <w:sz w:val="24"/>
          <w:szCs w:val="24"/>
          <w:lang w:val="en-US"/>
        </w:rPr>
        <w:t xml:space="preserve">subjective </w:t>
      </w:r>
      <w:r w:rsidRPr="00EC2D56">
        <w:rPr>
          <w:rFonts w:cstheme="minorHAnsi"/>
          <w:b/>
          <w:bCs/>
          <w:sz w:val="24"/>
          <w:szCs w:val="24"/>
          <w:lang w:val="en-US"/>
        </w:rPr>
        <w:t>cognitive concerns: Findings from the community-based Healthy Brain Project</w:t>
      </w:r>
    </w:p>
    <w:p w14:paraId="4FA2DD64" w14:textId="77777777" w:rsidR="00536FF2" w:rsidRPr="007A1965" w:rsidRDefault="00536FF2" w:rsidP="00536FF2">
      <w:pPr>
        <w:spacing w:after="0" w:line="360" w:lineRule="auto"/>
        <w:rPr>
          <w:rFonts w:cstheme="minorHAnsi"/>
          <w:b/>
          <w:bCs/>
          <w:sz w:val="24"/>
          <w:szCs w:val="24"/>
          <w:lang w:val="en-US"/>
        </w:rPr>
      </w:pPr>
    </w:p>
    <w:p w14:paraId="361412A8" w14:textId="77777777" w:rsidR="00536FF2" w:rsidRPr="00EC2D56" w:rsidRDefault="00536FF2" w:rsidP="00536FF2">
      <w:pPr>
        <w:spacing w:after="0" w:line="360" w:lineRule="auto"/>
        <w:jc w:val="center"/>
        <w:rPr>
          <w:rFonts w:cstheme="minorHAnsi"/>
          <w:bCs/>
          <w:sz w:val="24"/>
          <w:szCs w:val="24"/>
          <w:vertAlign w:val="superscript"/>
          <w:lang w:val="en-US"/>
        </w:rPr>
      </w:pPr>
      <w:r w:rsidRPr="00EC2D56">
        <w:rPr>
          <w:rFonts w:cstheme="minorHAnsi"/>
          <w:bCs/>
          <w:sz w:val="24"/>
          <w:szCs w:val="24"/>
          <w:lang w:val="en-US"/>
        </w:rPr>
        <w:t xml:space="preserve">Jessica </w:t>
      </w:r>
      <w:proofErr w:type="spellStart"/>
      <w:r w:rsidRPr="00EC2D56">
        <w:rPr>
          <w:rFonts w:cstheme="minorHAnsi"/>
          <w:bCs/>
          <w:sz w:val="24"/>
          <w:szCs w:val="24"/>
          <w:lang w:val="en-US"/>
        </w:rPr>
        <w:t>Nicolazzo</w:t>
      </w:r>
      <w:proofErr w:type="spellEnd"/>
      <w:r>
        <w:rPr>
          <w:rFonts w:cstheme="minorHAnsi"/>
          <w:bCs/>
          <w:sz w:val="24"/>
          <w:szCs w:val="24"/>
          <w:lang w:val="en-US"/>
        </w:rPr>
        <w:t>*</w:t>
      </w:r>
      <w:r w:rsidRPr="00EC2D56">
        <w:rPr>
          <w:rFonts w:cstheme="minorHAnsi"/>
          <w:bCs/>
          <w:sz w:val="24"/>
          <w:szCs w:val="24"/>
          <w:vertAlign w:val="superscript"/>
          <w:lang w:val="en-US"/>
        </w:rPr>
        <w:t>1</w:t>
      </w:r>
      <w:r w:rsidRPr="00EC2D56">
        <w:rPr>
          <w:rFonts w:cstheme="minorHAnsi"/>
          <w:bCs/>
          <w:sz w:val="24"/>
          <w:szCs w:val="24"/>
          <w:lang w:val="en-US"/>
        </w:rPr>
        <w:t xml:space="preserve">, </w:t>
      </w:r>
      <w:r>
        <w:rPr>
          <w:rFonts w:cstheme="minorHAnsi"/>
          <w:bCs/>
          <w:sz w:val="24"/>
          <w:szCs w:val="24"/>
          <w:lang w:val="en-US"/>
        </w:rPr>
        <w:t>Katharine</w:t>
      </w:r>
      <w:r w:rsidRPr="00F279B9">
        <w:rPr>
          <w:rFonts w:cstheme="minorHAnsi"/>
          <w:bCs/>
          <w:sz w:val="24"/>
          <w:szCs w:val="24"/>
          <w:lang w:val="en-US"/>
        </w:rPr>
        <w:t xml:space="preserve"> Xu*</w:t>
      </w:r>
      <w:r w:rsidRPr="00EC2D56">
        <w:rPr>
          <w:rFonts w:cstheme="minorHAnsi"/>
          <w:bCs/>
          <w:sz w:val="24"/>
          <w:szCs w:val="24"/>
          <w:vertAlign w:val="superscript"/>
          <w:lang w:val="en-US"/>
        </w:rPr>
        <w:t>2</w:t>
      </w:r>
      <w:r w:rsidRPr="00EC2D56">
        <w:rPr>
          <w:rFonts w:cstheme="minorHAnsi"/>
          <w:bCs/>
          <w:sz w:val="24"/>
          <w:szCs w:val="24"/>
          <w:lang w:val="en-US"/>
        </w:rPr>
        <w:t>, Alexandra Lavale</w:t>
      </w:r>
      <w:r w:rsidRPr="00EC2D56">
        <w:rPr>
          <w:rFonts w:cstheme="minorHAnsi"/>
          <w:bCs/>
          <w:sz w:val="24"/>
          <w:szCs w:val="24"/>
          <w:vertAlign w:val="superscript"/>
          <w:lang w:val="en-US"/>
        </w:rPr>
        <w:t>1</w:t>
      </w:r>
      <w:r w:rsidRPr="00EC2D56">
        <w:rPr>
          <w:rFonts w:cstheme="minorHAnsi"/>
          <w:bCs/>
          <w:sz w:val="24"/>
          <w:szCs w:val="24"/>
          <w:lang w:val="en-US"/>
        </w:rPr>
        <w:t>, Rachel Buck</w:t>
      </w:r>
      <w:r>
        <w:rPr>
          <w:rFonts w:cstheme="minorHAnsi"/>
          <w:bCs/>
          <w:sz w:val="24"/>
          <w:szCs w:val="24"/>
          <w:lang w:val="en-US"/>
        </w:rPr>
        <w:t>l</w:t>
      </w:r>
      <w:r w:rsidRPr="00EC2D56">
        <w:rPr>
          <w:rFonts w:cstheme="minorHAnsi"/>
          <w:bCs/>
          <w:sz w:val="24"/>
          <w:szCs w:val="24"/>
          <w:lang w:val="en-US"/>
        </w:rPr>
        <w:t>ey</w:t>
      </w:r>
      <w:r w:rsidRPr="00EC2D56">
        <w:rPr>
          <w:rFonts w:cstheme="minorHAnsi"/>
          <w:bCs/>
          <w:sz w:val="24"/>
          <w:szCs w:val="24"/>
          <w:vertAlign w:val="superscript"/>
          <w:lang w:val="en-US"/>
        </w:rPr>
        <w:t>2,3,4</w:t>
      </w:r>
      <w:r w:rsidRPr="00EC2D56">
        <w:rPr>
          <w:rFonts w:cstheme="minorHAnsi"/>
          <w:bCs/>
          <w:sz w:val="24"/>
          <w:szCs w:val="24"/>
          <w:lang w:val="en-US"/>
        </w:rPr>
        <w:t>, Nawaf Yassi</w:t>
      </w:r>
      <w:r w:rsidRPr="00EC2D56">
        <w:rPr>
          <w:rFonts w:cstheme="minorHAnsi"/>
          <w:bCs/>
          <w:sz w:val="24"/>
          <w:szCs w:val="24"/>
          <w:vertAlign w:val="superscript"/>
          <w:lang w:val="en-US"/>
        </w:rPr>
        <w:t>5,6</w:t>
      </w:r>
      <w:r w:rsidRPr="00EC2D56">
        <w:rPr>
          <w:rFonts w:cstheme="minorHAnsi"/>
          <w:bCs/>
          <w:sz w:val="24"/>
          <w:szCs w:val="24"/>
          <w:lang w:val="en-US"/>
        </w:rPr>
        <w:t xml:space="preserve">, </w:t>
      </w:r>
      <w:proofErr w:type="spellStart"/>
      <w:r>
        <w:rPr>
          <w:rFonts w:cstheme="minorHAnsi"/>
          <w:bCs/>
          <w:sz w:val="24"/>
          <w:szCs w:val="24"/>
          <w:lang w:val="en-US"/>
        </w:rPr>
        <w:t>Garun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S. Hamilton</w:t>
      </w:r>
      <w:r>
        <w:rPr>
          <w:rFonts w:cstheme="minorHAnsi"/>
          <w:bCs/>
          <w:sz w:val="24"/>
          <w:szCs w:val="24"/>
          <w:vertAlign w:val="superscript"/>
          <w:lang w:val="en-US"/>
        </w:rPr>
        <w:t>7,8,9</w:t>
      </w:r>
      <w:r>
        <w:rPr>
          <w:rFonts w:cstheme="minorHAnsi"/>
          <w:bCs/>
          <w:sz w:val="24"/>
          <w:szCs w:val="24"/>
          <w:lang w:val="en-US"/>
        </w:rPr>
        <w:t>, Paul Maruff</w:t>
      </w:r>
      <w:r>
        <w:rPr>
          <w:rFonts w:cstheme="minorHAnsi"/>
          <w:bCs/>
          <w:sz w:val="24"/>
          <w:szCs w:val="24"/>
          <w:vertAlign w:val="superscript"/>
          <w:lang w:val="en-US"/>
        </w:rPr>
        <w:t>10,11</w:t>
      </w:r>
      <w:r>
        <w:rPr>
          <w:rFonts w:cstheme="minorHAnsi"/>
          <w:bCs/>
          <w:sz w:val="24"/>
          <w:szCs w:val="24"/>
          <w:lang w:val="en-US"/>
        </w:rPr>
        <w:t xml:space="preserve">, </w:t>
      </w:r>
      <w:r w:rsidRPr="00EC2D56">
        <w:rPr>
          <w:rFonts w:cstheme="minorHAnsi"/>
          <w:bCs/>
          <w:sz w:val="24"/>
          <w:szCs w:val="24"/>
          <w:lang w:val="en-US"/>
        </w:rPr>
        <w:t>Andree-Ann Baril</w:t>
      </w:r>
      <w:r>
        <w:rPr>
          <w:rFonts w:cstheme="minorHAnsi"/>
          <w:bCs/>
          <w:sz w:val="24"/>
          <w:szCs w:val="24"/>
          <w:vertAlign w:val="superscript"/>
          <w:lang w:val="en-US"/>
        </w:rPr>
        <w:t>12</w:t>
      </w:r>
      <w:r w:rsidRPr="00EC2D56">
        <w:rPr>
          <w:rFonts w:cstheme="minorHAnsi"/>
          <w:bCs/>
          <w:sz w:val="24"/>
          <w:szCs w:val="24"/>
          <w:lang w:val="en-US"/>
        </w:rPr>
        <w:t xml:space="preserve">, Yen Ying </w:t>
      </w:r>
      <w:proofErr w:type="spellStart"/>
      <w:r w:rsidRPr="00EC2D56">
        <w:rPr>
          <w:rFonts w:cstheme="minorHAnsi"/>
          <w:bCs/>
          <w:sz w:val="24"/>
          <w:szCs w:val="24"/>
          <w:lang w:val="en-US"/>
        </w:rPr>
        <w:t>Lim</w:t>
      </w:r>
      <w:r w:rsidRPr="000B6FD4">
        <w:rPr>
          <w:rFonts w:cstheme="minorHAnsi"/>
          <w:bCs/>
          <w:sz w:val="24"/>
          <w:szCs w:val="24"/>
          <w:vertAlign w:val="superscript"/>
          <w:lang w:val="en-US"/>
        </w:rPr>
        <w:t>ł</w:t>
      </w:r>
      <w:proofErr w:type="spellEnd"/>
      <w:r>
        <w:rPr>
          <w:rFonts w:cstheme="minorHAnsi"/>
          <w:bCs/>
          <w:sz w:val="24"/>
          <w:szCs w:val="24"/>
          <w:vertAlign w:val="superscript"/>
          <w:lang w:val="en-US"/>
        </w:rPr>
        <w:t xml:space="preserve"> </w:t>
      </w:r>
      <w:r w:rsidRPr="00EC2D56">
        <w:rPr>
          <w:rFonts w:cstheme="minorHAnsi"/>
          <w:bCs/>
          <w:sz w:val="24"/>
          <w:szCs w:val="24"/>
          <w:vertAlign w:val="superscript"/>
          <w:lang w:val="en-US"/>
        </w:rPr>
        <w:t>1</w:t>
      </w:r>
      <w:r w:rsidRPr="00EC2D56">
        <w:rPr>
          <w:rFonts w:cstheme="minorHAnsi"/>
          <w:bCs/>
          <w:sz w:val="24"/>
          <w:szCs w:val="24"/>
          <w:lang w:val="en-US"/>
        </w:rPr>
        <w:t xml:space="preserve">, </w:t>
      </w:r>
      <w:r>
        <w:rPr>
          <w:rFonts w:cstheme="minorHAnsi"/>
          <w:bCs/>
          <w:sz w:val="24"/>
          <w:szCs w:val="24"/>
          <w:lang w:val="en-US"/>
        </w:rPr>
        <w:t xml:space="preserve">&amp; </w:t>
      </w:r>
      <w:r w:rsidRPr="00EC2D56">
        <w:rPr>
          <w:rFonts w:cstheme="minorHAnsi"/>
          <w:bCs/>
          <w:sz w:val="24"/>
          <w:szCs w:val="24"/>
          <w:lang w:val="en-US"/>
        </w:rPr>
        <w:t xml:space="preserve">Matthew P. </w:t>
      </w:r>
      <w:proofErr w:type="spellStart"/>
      <w:r w:rsidRPr="00EC2D56">
        <w:rPr>
          <w:rFonts w:cstheme="minorHAnsi"/>
          <w:bCs/>
          <w:sz w:val="24"/>
          <w:szCs w:val="24"/>
          <w:lang w:val="en-US"/>
        </w:rPr>
        <w:t>Pase</w:t>
      </w:r>
      <w:r w:rsidRPr="000B6FD4">
        <w:rPr>
          <w:rFonts w:cstheme="minorHAnsi"/>
          <w:bCs/>
          <w:sz w:val="24"/>
          <w:szCs w:val="24"/>
          <w:vertAlign w:val="superscript"/>
          <w:lang w:val="en-US"/>
        </w:rPr>
        <w:t>ł</w:t>
      </w:r>
      <w:proofErr w:type="spellEnd"/>
      <w:r>
        <w:rPr>
          <w:rFonts w:cstheme="minorHAnsi"/>
          <w:bCs/>
          <w:sz w:val="24"/>
          <w:szCs w:val="24"/>
          <w:vertAlign w:val="superscript"/>
          <w:lang w:val="en-US"/>
        </w:rPr>
        <w:t xml:space="preserve"> </w:t>
      </w:r>
      <w:r w:rsidRPr="00EC2D56">
        <w:rPr>
          <w:rFonts w:cstheme="minorHAnsi"/>
          <w:bCs/>
          <w:sz w:val="24"/>
          <w:szCs w:val="24"/>
          <w:vertAlign w:val="superscript"/>
          <w:lang w:val="en-US"/>
        </w:rPr>
        <w:t>1,</w:t>
      </w:r>
      <w:r>
        <w:rPr>
          <w:rFonts w:cstheme="minorHAnsi"/>
          <w:bCs/>
          <w:sz w:val="24"/>
          <w:szCs w:val="24"/>
          <w:vertAlign w:val="superscript"/>
          <w:lang w:val="en-US"/>
        </w:rPr>
        <w:t>13</w:t>
      </w:r>
    </w:p>
    <w:p w14:paraId="3B1C7BE4" w14:textId="77777777" w:rsidR="00536FF2" w:rsidRPr="000B6FD4" w:rsidRDefault="00536FF2" w:rsidP="00536FF2">
      <w:pPr>
        <w:spacing w:after="0" w:line="360" w:lineRule="auto"/>
        <w:jc w:val="center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lang w:val="en-US"/>
        </w:rPr>
        <w:t xml:space="preserve">*Joint first author; </w:t>
      </w:r>
      <w:proofErr w:type="spellStart"/>
      <w:r w:rsidRPr="000B6FD4">
        <w:rPr>
          <w:rFonts w:cstheme="minorHAnsi"/>
          <w:bCs/>
          <w:sz w:val="24"/>
          <w:szCs w:val="24"/>
          <w:vertAlign w:val="superscript"/>
          <w:lang w:val="en-US"/>
        </w:rPr>
        <w:t>ł</w:t>
      </w:r>
      <w:r>
        <w:rPr>
          <w:rFonts w:cstheme="minorHAnsi"/>
          <w:bCs/>
          <w:sz w:val="24"/>
          <w:szCs w:val="24"/>
          <w:lang w:val="en-US"/>
        </w:rPr>
        <w:t>Joint</w:t>
      </w:r>
      <w:proofErr w:type="spellEnd"/>
      <w:r>
        <w:rPr>
          <w:rFonts w:cstheme="minorHAnsi"/>
          <w:bCs/>
          <w:sz w:val="24"/>
          <w:szCs w:val="24"/>
          <w:lang w:val="en-US"/>
        </w:rPr>
        <w:t xml:space="preserve"> senior author</w:t>
      </w:r>
    </w:p>
    <w:bookmarkEnd w:id="0"/>
    <w:p w14:paraId="4EC9B0E5" w14:textId="77777777" w:rsidR="00536FF2" w:rsidRPr="00EC2D56" w:rsidRDefault="00536FF2" w:rsidP="00536FF2">
      <w:pPr>
        <w:spacing w:after="0" w:line="360" w:lineRule="auto"/>
        <w:jc w:val="center"/>
        <w:rPr>
          <w:rFonts w:cstheme="minorHAnsi"/>
          <w:bCs/>
          <w:sz w:val="24"/>
          <w:szCs w:val="24"/>
          <w:lang w:val="en-US"/>
        </w:rPr>
      </w:pPr>
    </w:p>
    <w:p w14:paraId="2A941D94" w14:textId="77777777" w:rsidR="00536FF2" w:rsidRPr="00EC2D56" w:rsidRDefault="00536FF2" w:rsidP="00536FF2">
      <w:pPr>
        <w:spacing w:after="0" w:line="360" w:lineRule="auto"/>
        <w:rPr>
          <w:rFonts w:cstheme="minorHAnsi"/>
          <w:bCs/>
          <w:sz w:val="24"/>
          <w:szCs w:val="24"/>
          <w:lang w:val="en-US"/>
        </w:rPr>
      </w:pPr>
      <w:r w:rsidRPr="00EC2D56">
        <w:rPr>
          <w:rFonts w:cstheme="minorHAnsi"/>
          <w:bCs/>
          <w:sz w:val="24"/>
          <w:szCs w:val="24"/>
          <w:vertAlign w:val="superscript"/>
          <w:lang w:val="en-US"/>
        </w:rPr>
        <w:t>1</w:t>
      </w:r>
      <w:r w:rsidRPr="00EC2D56">
        <w:rPr>
          <w:rFonts w:cstheme="minorHAnsi"/>
          <w:bCs/>
          <w:sz w:val="24"/>
          <w:szCs w:val="24"/>
          <w:lang w:val="en-US"/>
        </w:rPr>
        <w:t xml:space="preserve">The Turner Institute for Brain and Mental Health, </w:t>
      </w:r>
      <w:r>
        <w:rPr>
          <w:rFonts w:cstheme="minorHAnsi"/>
          <w:bCs/>
          <w:sz w:val="24"/>
          <w:szCs w:val="24"/>
          <w:lang w:val="en-US"/>
        </w:rPr>
        <w:t xml:space="preserve">Monash University, </w:t>
      </w:r>
      <w:r w:rsidRPr="00EC2D56">
        <w:rPr>
          <w:rFonts w:cstheme="minorHAnsi"/>
          <w:bCs/>
          <w:sz w:val="24"/>
          <w:szCs w:val="24"/>
          <w:lang w:val="en-US"/>
        </w:rPr>
        <w:t xml:space="preserve">Clayton, </w:t>
      </w:r>
      <w:r>
        <w:rPr>
          <w:rFonts w:cstheme="minorHAnsi"/>
          <w:bCs/>
          <w:sz w:val="24"/>
          <w:szCs w:val="24"/>
          <w:lang w:val="en-US"/>
        </w:rPr>
        <w:t xml:space="preserve">Victoria, </w:t>
      </w:r>
      <w:r w:rsidRPr="00EC2D56">
        <w:rPr>
          <w:rFonts w:cstheme="minorHAnsi"/>
          <w:bCs/>
          <w:sz w:val="24"/>
          <w:szCs w:val="24"/>
          <w:lang w:val="en-US"/>
        </w:rPr>
        <w:t>Australia</w:t>
      </w:r>
    </w:p>
    <w:p w14:paraId="0F3F8F2F" w14:textId="77777777" w:rsidR="00536FF2" w:rsidRPr="00EC2D56" w:rsidRDefault="00536FF2" w:rsidP="00536FF2">
      <w:pPr>
        <w:spacing w:after="0" w:line="360" w:lineRule="auto"/>
        <w:rPr>
          <w:sz w:val="24"/>
          <w:szCs w:val="24"/>
        </w:rPr>
      </w:pPr>
      <w:r w:rsidRPr="00EC2D56">
        <w:rPr>
          <w:sz w:val="24"/>
          <w:szCs w:val="24"/>
          <w:vertAlign w:val="superscript"/>
        </w:rPr>
        <w:t>2</w:t>
      </w:r>
      <w:r w:rsidRPr="00EC2D56">
        <w:rPr>
          <w:sz w:val="24"/>
          <w:szCs w:val="24"/>
        </w:rPr>
        <w:t xml:space="preserve"> Melbourne School of Psychological Sciences, University of Melbourne, Parkville, Victoria, Australia </w:t>
      </w:r>
      <w:r>
        <w:rPr>
          <w:sz w:val="24"/>
          <w:szCs w:val="24"/>
        </w:rPr>
        <w:br/>
      </w:r>
      <w:r w:rsidRPr="00EC2D56">
        <w:rPr>
          <w:sz w:val="24"/>
          <w:szCs w:val="24"/>
          <w:vertAlign w:val="superscript"/>
        </w:rPr>
        <w:t>3</w:t>
      </w:r>
      <w:r w:rsidRPr="00EC2D56">
        <w:rPr>
          <w:sz w:val="24"/>
          <w:szCs w:val="24"/>
        </w:rPr>
        <w:t xml:space="preserve"> Department of Neurology, Massachusetts General Hospital and Harvard Medical School, Boston, Massachusetts, USA </w:t>
      </w:r>
      <w:r w:rsidRPr="00EC2D56">
        <w:rPr>
          <w:sz w:val="24"/>
          <w:szCs w:val="24"/>
        </w:rPr>
        <w:br/>
      </w:r>
      <w:r w:rsidRPr="00EC2D56">
        <w:rPr>
          <w:sz w:val="24"/>
          <w:szCs w:val="24"/>
          <w:vertAlign w:val="superscript"/>
        </w:rPr>
        <w:t>4</w:t>
      </w:r>
      <w:r w:rsidRPr="00EC2D56">
        <w:rPr>
          <w:sz w:val="24"/>
          <w:szCs w:val="24"/>
        </w:rPr>
        <w:t xml:space="preserve"> </w:t>
      </w:r>
      <w:proofErr w:type="spellStart"/>
      <w:r w:rsidRPr="00EC2D56">
        <w:rPr>
          <w:sz w:val="24"/>
          <w:szCs w:val="24"/>
        </w:rPr>
        <w:t>Center</w:t>
      </w:r>
      <w:proofErr w:type="spellEnd"/>
      <w:r w:rsidRPr="00EC2D56">
        <w:rPr>
          <w:sz w:val="24"/>
          <w:szCs w:val="24"/>
        </w:rPr>
        <w:t xml:space="preserve"> for Alzheimer Research and Treatment, Department of Neurology, Brigham and Women</w:t>
      </w:r>
      <w:r>
        <w:rPr>
          <w:sz w:val="24"/>
          <w:szCs w:val="24"/>
        </w:rPr>
        <w:t>’</w:t>
      </w:r>
      <w:r w:rsidRPr="00EC2D56">
        <w:rPr>
          <w:sz w:val="24"/>
          <w:szCs w:val="24"/>
        </w:rPr>
        <w:t>s Hospital, Boston, Massachusetts, USA</w:t>
      </w:r>
    </w:p>
    <w:p w14:paraId="1464BE71" w14:textId="77777777" w:rsidR="00536FF2" w:rsidRDefault="00536FF2" w:rsidP="00536FF2">
      <w:pPr>
        <w:spacing w:after="0" w:line="360" w:lineRule="auto"/>
        <w:rPr>
          <w:sz w:val="24"/>
          <w:szCs w:val="24"/>
        </w:rPr>
      </w:pPr>
      <w:r w:rsidRPr="00EC2D56">
        <w:rPr>
          <w:sz w:val="24"/>
          <w:szCs w:val="24"/>
          <w:vertAlign w:val="superscript"/>
        </w:rPr>
        <w:t>5</w:t>
      </w:r>
      <w:r w:rsidRPr="00EC2D56">
        <w:rPr>
          <w:sz w:val="24"/>
          <w:szCs w:val="24"/>
        </w:rPr>
        <w:t xml:space="preserve"> Department of Medicine and Neurology, Melbourne Brain Centre at The Royal Melbourne Hospital, University of Melbourne, Parkville, Victoria, Australia </w:t>
      </w:r>
      <w:r w:rsidRPr="00EC2D56">
        <w:rPr>
          <w:sz w:val="24"/>
          <w:szCs w:val="24"/>
        </w:rPr>
        <w:br/>
      </w:r>
      <w:r w:rsidRPr="00EC2D56">
        <w:rPr>
          <w:sz w:val="24"/>
          <w:szCs w:val="24"/>
          <w:vertAlign w:val="superscript"/>
        </w:rPr>
        <w:t>6</w:t>
      </w:r>
      <w:r w:rsidRPr="00EC2D56">
        <w:rPr>
          <w:sz w:val="24"/>
          <w:szCs w:val="24"/>
        </w:rPr>
        <w:t xml:space="preserve"> Population Health and Immunity Division, The Walter and Eliza Hall Institute of Medical Research, Parkville, Victoria, Australia</w:t>
      </w:r>
    </w:p>
    <w:p w14:paraId="77EAA9A6" w14:textId="77777777" w:rsidR="00536FF2" w:rsidRPr="00F279B9" w:rsidRDefault="00536FF2" w:rsidP="00536FF2">
      <w:pPr>
        <w:spacing w:after="0" w:line="360" w:lineRule="auto"/>
        <w:rPr>
          <w:sz w:val="24"/>
          <w:szCs w:val="24"/>
        </w:rPr>
      </w:pPr>
      <w:r>
        <w:rPr>
          <w:sz w:val="20"/>
          <w:szCs w:val="20"/>
          <w:vertAlign w:val="superscript"/>
        </w:rPr>
        <w:t xml:space="preserve">7 </w:t>
      </w:r>
      <w:r w:rsidRPr="00F279B9">
        <w:rPr>
          <w:sz w:val="24"/>
          <w:szCs w:val="24"/>
        </w:rPr>
        <w:t>Monash Lung and Sleep, Monash Health, Melbourne, V</w:t>
      </w:r>
      <w:r>
        <w:rPr>
          <w:sz w:val="24"/>
          <w:szCs w:val="24"/>
        </w:rPr>
        <w:t>ictoria</w:t>
      </w:r>
      <w:r w:rsidRPr="00F279B9">
        <w:rPr>
          <w:sz w:val="24"/>
          <w:szCs w:val="24"/>
        </w:rPr>
        <w:t>, Australia</w:t>
      </w:r>
    </w:p>
    <w:p w14:paraId="007B32C7" w14:textId="77777777" w:rsidR="00536FF2" w:rsidRPr="00F279B9" w:rsidRDefault="00536FF2" w:rsidP="00536F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8 </w:t>
      </w:r>
      <w:r w:rsidRPr="00F279B9">
        <w:rPr>
          <w:sz w:val="24"/>
          <w:szCs w:val="24"/>
        </w:rPr>
        <w:t>School of Clinical Sciences, Monash University, Melbourne, V</w:t>
      </w:r>
      <w:r>
        <w:rPr>
          <w:sz w:val="24"/>
          <w:szCs w:val="24"/>
        </w:rPr>
        <w:t>ictoria</w:t>
      </w:r>
      <w:r w:rsidRPr="00F279B9">
        <w:rPr>
          <w:sz w:val="24"/>
          <w:szCs w:val="24"/>
        </w:rPr>
        <w:t>, Australia</w:t>
      </w:r>
    </w:p>
    <w:p w14:paraId="1157BE4F" w14:textId="77777777" w:rsidR="00536FF2" w:rsidRDefault="00536FF2" w:rsidP="00536F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9 </w:t>
      </w:r>
      <w:r w:rsidRPr="00F279B9">
        <w:rPr>
          <w:sz w:val="24"/>
          <w:szCs w:val="24"/>
        </w:rPr>
        <w:t>Monash Partners Epworth, Melbourne, V</w:t>
      </w:r>
      <w:r>
        <w:rPr>
          <w:sz w:val="24"/>
          <w:szCs w:val="24"/>
        </w:rPr>
        <w:t>ictoria</w:t>
      </w:r>
      <w:r w:rsidRPr="00F279B9">
        <w:rPr>
          <w:sz w:val="24"/>
          <w:szCs w:val="24"/>
        </w:rPr>
        <w:t>, Australia</w:t>
      </w:r>
    </w:p>
    <w:p w14:paraId="6E2C9126" w14:textId="77777777" w:rsidR="00536FF2" w:rsidRDefault="00536FF2" w:rsidP="00536FF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10 </w:t>
      </w:r>
      <w:proofErr w:type="spellStart"/>
      <w:r>
        <w:rPr>
          <w:sz w:val="24"/>
          <w:szCs w:val="24"/>
        </w:rPr>
        <w:t>Cogstate</w:t>
      </w:r>
      <w:proofErr w:type="spellEnd"/>
      <w:r>
        <w:rPr>
          <w:sz w:val="24"/>
          <w:szCs w:val="24"/>
        </w:rPr>
        <w:t xml:space="preserve"> Ltd., Melbourne, Victoria, Australia</w:t>
      </w:r>
    </w:p>
    <w:p w14:paraId="3EC949D7" w14:textId="77777777" w:rsidR="00536FF2" w:rsidRPr="00EC2D56" w:rsidRDefault="00536FF2" w:rsidP="00536FF2">
      <w:pPr>
        <w:spacing w:after="0" w:line="360" w:lineRule="auto"/>
        <w:rPr>
          <w:rFonts w:cstheme="minorHAnsi"/>
          <w:bCs/>
          <w:sz w:val="24"/>
          <w:szCs w:val="24"/>
          <w:lang w:val="en-US"/>
        </w:rPr>
      </w:pPr>
      <w:r>
        <w:rPr>
          <w:sz w:val="24"/>
          <w:szCs w:val="24"/>
          <w:vertAlign w:val="superscript"/>
        </w:rPr>
        <w:t xml:space="preserve">11 </w:t>
      </w:r>
      <w:r w:rsidRPr="00C55D99">
        <w:rPr>
          <w:sz w:val="24"/>
          <w:szCs w:val="24"/>
        </w:rPr>
        <w:t xml:space="preserve">The Florey Institutes of Neurosciences and Mental Health, Melbourne, </w:t>
      </w:r>
      <w:r>
        <w:rPr>
          <w:sz w:val="24"/>
          <w:szCs w:val="24"/>
        </w:rPr>
        <w:t xml:space="preserve">Victoria, </w:t>
      </w:r>
      <w:r w:rsidRPr="00C55D99">
        <w:rPr>
          <w:sz w:val="24"/>
          <w:szCs w:val="24"/>
        </w:rPr>
        <w:t>Australia</w:t>
      </w:r>
      <w:r w:rsidRPr="00EC2D56">
        <w:rPr>
          <w:sz w:val="24"/>
          <w:szCs w:val="24"/>
        </w:rPr>
        <w:br/>
      </w:r>
      <w:r>
        <w:rPr>
          <w:rFonts w:cstheme="minorHAnsi"/>
          <w:bCs/>
          <w:sz w:val="24"/>
          <w:szCs w:val="24"/>
          <w:vertAlign w:val="superscript"/>
          <w:lang w:val="en-US"/>
        </w:rPr>
        <w:t xml:space="preserve">12 </w:t>
      </w:r>
      <w:r w:rsidRPr="00EC2D56">
        <w:rPr>
          <w:rFonts w:cstheme="minorHAnsi"/>
          <w:bCs/>
          <w:sz w:val="24"/>
          <w:szCs w:val="24"/>
          <w:lang w:val="en-US"/>
        </w:rPr>
        <w:t>Department of Neurology, Boston University School of Medicine, Boston, MA, USA</w:t>
      </w:r>
    </w:p>
    <w:p w14:paraId="4B22960C" w14:textId="77777777" w:rsidR="00536FF2" w:rsidRPr="00EC2D56" w:rsidRDefault="00536FF2" w:rsidP="00536FF2">
      <w:pPr>
        <w:spacing w:after="0" w:line="360" w:lineRule="auto"/>
        <w:rPr>
          <w:rFonts w:cstheme="minorHAnsi"/>
          <w:bCs/>
          <w:sz w:val="24"/>
          <w:szCs w:val="24"/>
          <w:lang w:val="en-US"/>
        </w:rPr>
      </w:pPr>
      <w:r>
        <w:rPr>
          <w:rFonts w:cstheme="minorHAnsi"/>
          <w:bCs/>
          <w:sz w:val="24"/>
          <w:szCs w:val="24"/>
          <w:vertAlign w:val="superscript"/>
          <w:lang w:val="en-US"/>
        </w:rPr>
        <w:t xml:space="preserve">13 </w:t>
      </w:r>
      <w:r w:rsidRPr="00EC2D56">
        <w:rPr>
          <w:rFonts w:cstheme="minorHAnsi"/>
          <w:bCs/>
          <w:sz w:val="24"/>
          <w:szCs w:val="24"/>
          <w:lang w:val="en-US"/>
        </w:rPr>
        <w:t xml:space="preserve">Harvard T.H. Chan School of Public Health, MA, USA </w:t>
      </w:r>
    </w:p>
    <w:p w14:paraId="08E31524" w14:textId="77777777" w:rsidR="00536FF2" w:rsidRPr="007A1965" w:rsidRDefault="00536FF2" w:rsidP="00536FF2">
      <w:pPr>
        <w:spacing w:after="0" w:line="360" w:lineRule="auto"/>
        <w:rPr>
          <w:rFonts w:cstheme="minorHAnsi"/>
          <w:bCs/>
          <w:sz w:val="24"/>
          <w:szCs w:val="24"/>
          <w:lang w:val="en-US"/>
        </w:rPr>
      </w:pPr>
    </w:p>
    <w:p w14:paraId="0AAEC432" w14:textId="77777777" w:rsidR="00536FF2" w:rsidRPr="00EC2D56" w:rsidRDefault="00536FF2" w:rsidP="00536FF2">
      <w:pPr>
        <w:spacing w:after="0" w:line="360" w:lineRule="auto"/>
        <w:rPr>
          <w:rFonts w:cstheme="minorHAnsi"/>
          <w:b/>
          <w:bCs/>
          <w:sz w:val="24"/>
          <w:szCs w:val="24"/>
          <w:lang w:val="en-US"/>
        </w:rPr>
      </w:pPr>
      <w:r w:rsidRPr="00EC2D56">
        <w:rPr>
          <w:rFonts w:cstheme="minorHAnsi"/>
          <w:b/>
          <w:bCs/>
          <w:sz w:val="24"/>
          <w:szCs w:val="24"/>
          <w:lang w:val="en-US"/>
        </w:rPr>
        <w:t>Correspondence to:</w:t>
      </w:r>
    </w:p>
    <w:p w14:paraId="6DA97BE4" w14:textId="77777777" w:rsidR="00536FF2" w:rsidRPr="007A1965" w:rsidRDefault="00536FF2" w:rsidP="00536FF2">
      <w:pPr>
        <w:spacing w:after="0" w:line="360" w:lineRule="auto"/>
        <w:rPr>
          <w:rFonts w:cstheme="minorHAnsi"/>
          <w:bCs/>
          <w:sz w:val="24"/>
          <w:szCs w:val="24"/>
          <w:lang w:val="en-US"/>
        </w:rPr>
      </w:pPr>
      <w:r w:rsidRPr="007A1965">
        <w:rPr>
          <w:rFonts w:cstheme="minorHAnsi"/>
          <w:bCs/>
          <w:sz w:val="24"/>
          <w:szCs w:val="24"/>
          <w:lang w:val="en-US"/>
        </w:rPr>
        <w:t>A/Prof Matthew Pase</w:t>
      </w:r>
      <w:r w:rsidRPr="007A1965">
        <w:rPr>
          <w:rFonts w:cstheme="minorHAnsi"/>
          <w:bCs/>
          <w:sz w:val="24"/>
          <w:szCs w:val="24"/>
          <w:lang w:val="en-US"/>
        </w:rPr>
        <w:br/>
        <w:t>18 Innovation Walk, Monash University, Clayton, Australia, 3800</w:t>
      </w:r>
      <w:r w:rsidRPr="007A1965">
        <w:rPr>
          <w:rFonts w:cstheme="minorHAnsi"/>
          <w:bCs/>
          <w:sz w:val="24"/>
          <w:szCs w:val="24"/>
          <w:lang w:val="en-US"/>
        </w:rPr>
        <w:br/>
      </w:r>
      <w:hyperlink r:id="rId7" w:history="1">
        <w:r w:rsidRPr="007A1965">
          <w:rPr>
            <w:rStyle w:val="Hyperlink"/>
            <w:rFonts w:cstheme="minorHAnsi"/>
            <w:bCs/>
            <w:sz w:val="24"/>
            <w:szCs w:val="24"/>
            <w:lang w:val="en-US"/>
          </w:rPr>
          <w:t>matthewpase@gmail.com</w:t>
        </w:r>
      </w:hyperlink>
      <w:r w:rsidRPr="007A1965">
        <w:rPr>
          <w:rFonts w:cstheme="minorHAnsi"/>
          <w:bCs/>
          <w:sz w:val="24"/>
          <w:szCs w:val="24"/>
          <w:lang w:val="en-US"/>
        </w:rPr>
        <w:t xml:space="preserve"> | + 61 401 267 924</w:t>
      </w:r>
    </w:p>
    <w:p w14:paraId="40068FC1" w14:textId="73ACDFAD" w:rsidR="00D01698" w:rsidRPr="00D01698" w:rsidRDefault="00D01698">
      <w:pPr>
        <w:rPr>
          <w:rFonts w:cstheme="minorHAnsi"/>
          <w:b/>
          <w:bCs/>
          <w:sz w:val="24"/>
          <w:szCs w:val="24"/>
          <w:lang w:val="en-US"/>
        </w:rPr>
      </w:pPr>
      <w:bookmarkStart w:id="1" w:name="_Hlk65245108"/>
      <w:r w:rsidRPr="00D01698">
        <w:rPr>
          <w:rFonts w:cstheme="minorHAnsi"/>
          <w:b/>
          <w:bCs/>
          <w:sz w:val="24"/>
          <w:szCs w:val="24"/>
          <w:lang w:val="en-US"/>
        </w:rPr>
        <w:lastRenderedPageBreak/>
        <w:t>Contents</w:t>
      </w:r>
    </w:p>
    <w:p w14:paraId="4A0DEC01" w14:textId="7C0A5739" w:rsidR="00D01698" w:rsidRPr="00D01698" w:rsidRDefault="00D01698">
      <w:pPr>
        <w:rPr>
          <w:rFonts w:cstheme="minorHAnsi"/>
          <w:b/>
          <w:bCs/>
          <w:sz w:val="24"/>
          <w:szCs w:val="24"/>
          <w:lang w:val="en-US"/>
        </w:rPr>
      </w:pPr>
      <w:r w:rsidRPr="00D01698">
        <w:rPr>
          <w:rFonts w:cstheme="minorHAnsi"/>
          <w:b/>
          <w:bCs/>
          <w:sz w:val="24"/>
          <w:szCs w:val="24"/>
          <w:lang w:val="en-US"/>
        </w:rPr>
        <w:t xml:space="preserve">Supplemental Methods. </w:t>
      </w:r>
      <w:r w:rsidRPr="00D01698">
        <w:rPr>
          <w:rFonts w:cstheme="minorHAnsi"/>
          <w:bCs/>
          <w:sz w:val="24"/>
          <w:szCs w:val="24"/>
        </w:rPr>
        <w:t>Copy of the Modified Cognitive Function Instrument</w:t>
      </w:r>
    </w:p>
    <w:p w14:paraId="7752DCF8" w14:textId="37300593" w:rsidR="00D01698" w:rsidRPr="00D01698" w:rsidRDefault="00D01698">
      <w:pPr>
        <w:rPr>
          <w:rFonts w:cstheme="minorHAnsi"/>
          <w:b/>
          <w:bCs/>
          <w:sz w:val="24"/>
          <w:szCs w:val="24"/>
          <w:lang w:val="en-US"/>
        </w:rPr>
      </w:pPr>
      <w:r w:rsidRPr="00D01698">
        <w:rPr>
          <w:rFonts w:cstheme="minorHAnsi"/>
          <w:b/>
          <w:bCs/>
          <w:sz w:val="24"/>
          <w:szCs w:val="24"/>
          <w:lang w:val="en-US"/>
        </w:rPr>
        <w:t xml:space="preserve">Supplemental Table 1. </w:t>
      </w:r>
      <w:r w:rsidRPr="00D01698">
        <w:rPr>
          <w:rFonts w:cstheme="minorHAnsi"/>
          <w:bCs/>
          <w:sz w:val="24"/>
          <w:szCs w:val="24"/>
          <w:lang w:val="en-US"/>
        </w:rPr>
        <w:t>Inter-correlations between scores on the Pittsburgh Sleep Quality Index (PSQI), Epworth Sleepiness Scale (ESS), and Insomnia Severity Index (ISI)</w:t>
      </w:r>
    </w:p>
    <w:p w14:paraId="48529937" w14:textId="23CCB164" w:rsidR="00D01698" w:rsidRPr="00D01698" w:rsidRDefault="00D01698">
      <w:pPr>
        <w:rPr>
          <w:rFonts w:cstheme="minorHAnsi"/>
          <w:b/>
          <w:bCs/>
          <w:sz w:val="24"/>
          <w:szCs w:val="24"/>
          <w:lang w:val="en-US"/>
        </w:rPr>
      </w:pPr>
      <w:r w:rsidRPr="00D01698">
        <w:rPr>
          <w:rFonts w:cstheme="minorHAnsi"/>
          <w:b/>
          <w:bCs/>
          <w:sz w:val="24"/>
          <w:szCs w:val="24"/>
        </w:rPr>
        <w:t xml:space="preserve">Supplementary Table 2. </w:t>
      </w:r>
      <w:r w:rsidRPr="00D01698">
        <w:rPr>
          <w:rFonts w:cstheme="minorHAnsi"/>
          <w:bCs/>
          <w:sz w:val="24"/>
          <w:szCs w:val="24"/>
        </w:rPr>
        <w:t>Omnibus variable level tests for interactions between sleep symptomatology (low, moderate, high) and APOE Ɛ4 carrier (yes/no), sex (male/female), depressive symptoms (</w:t>
      </w:r>
      <w:r w:rsidRPr="00D01698">
        <w:rPr>
          <w:rFonts w:cstheme="minorHAnsi"/>
          <w:sz w:val="24"/>
          <w:szCs w:val="24"/>
          <w:lang w:val="en-US"/>
        </w:rPr>
        <w:t>(HADS depression scores &gt; 7 vs. the remainder of the sample</w:t>
      </w:r>
      <w:r w:rsidRPr="00D01698">
        <w:rPr>
          <w:rFonts w:cstheme="minorHAnsi"/>
          <w:bCs/>
          <w:sz w:val="24"/>
          <w:szCs w:val="24"/>
        </w:rPr>
        <w:t>), and subjective cognitive concerns (</w:t>
      </w:r>
      <w:r w:rsidRPr="00D01698">
        <w:rPr>
          <w:rFonts w:cstheme="minorHAnsi"/>
          <w:sz w:val="24"/>
          <w:szCs w:val="24"/>
          <w:lang w:val="en-US"/>
        </w:rPr>
        <w:t>top quartile [most concerns] of the CFI vs. the remainder of the sample</w:t>
      </w:r>
      <w:r w:rsidRPr="00D01698">
        <w:rPr>
          <w:rFonts w:cstheme="minorHAnsi"/>
          <w:bCs/>
          <w:sz w:val="24"/>
          <w:szCs w:val="24"/>
        </w:rPr>
        <w:t>)</w:t>
      </w:r>
    </w:p>
    <w:p w14:paraId="0BB07E49" w14:textId="66DEF935" w:rsidR="00D01698" w:rsidRPr="00D01698" w:rsidRDefault="00D01698">
      <w:pPr>
        <w:rPr>
          <w:rFonts w:cstheme="minorHAnsi"/>
          <w:b/>
          <w:bCs/>
          <w:sz w:val="24"/>
          <w:szCs w:val="24"/>
          <w:lang w:val="en-US"/>
        </w:rPr>
      </w:pPr>
      <w:r w:rsidRPr="00D01698">
        <w:rPr>
          <w:rFonts w:cstheme="minorHAnsi"/>
          <w:b/>
          <w:bCs/>
          <w:sz w:val="24"/>
          <w:szCs w:val="24"/>
          <w:lang w:val="en-US"/>
        </w:rPr>
        <w:t xml:space="preserve">Supplemental Figure 1. </w:t>
      </w:r>
      <w:r w:rsidRPr="00D01698">
        <w:rPr>
          <w:rFonts w:cstheme="minorHAnsi"/>
          <w:bCs/>
          <w:sz w:val="24"/>
          <w:szCs w:val="24"/>
          <w:lang w:val="en-US"/>
        </w:rPr>
        <w:t xml:space="preserve">Frequency distributions of the Pittsburgh Sleep Quality Index (A), Epworth Sleepiness Scale (B), and Insomnia Severity </w:t>
      </w:r>
      <w:r w:rsidR="00AD3295">
        <w:rPr>
          <w:rFonts w:cstheme="minorHAnsi"/>
          <w:bCs/>
          <w:sz w:val="24"/>
          <w:szCs w:val="24"/>
          <w:lang w:val="en-US"/>
        </w:rPr>
        <w:t>Index</w:t>
      </w:r>
      <w:r w:rsidRPr="00D01698">
        <w:rPr>
          <w:rFonts w:cstheme="minorHAnsi"/>
          <w:bCs/>
          <w:sz w:val="24"/>
          <w:szCs w:val="24"/>
          <w:lang w:val="en-US"/>
        </w:rPr>
        <w:t xml:space="preserve"> (C)</w:t>
      </w:r>
    </w:p>
    <w:p w14:paraId="1D198620" w14:textId="773B490C" w:rsidR="00D01698" w:rsidRDefault="00D01698">
      <w:pPr>
        <w:rPr>
          <w:b/>
          <w:bCs/>
          <w:lang w:val="en-US"/>
        </w:rPr>
      </w:pPr>
    </w:p>
    <w:p w14:paraId="386E3FE1" w14:textId="78957194" w:rsidR="00D01698" w:rsidRDefault="00D01698">
      <w:pPr>
        <w:rPr>
          <w:b/>
          <w:bCs/>
          <w:lang w:val="en-US"/>
        </w:rPr>
      </w:pPr>
    </w:p>
    <w:p w14:paraId="1833289D" w14:textId="7DA9CD99" w:rsidR="00D01698" w:rsidRDefault="00D01698">
      <w:pPr>
        <w:rPr>
          <w:b/>
          <w:bCs/>
          <w:lang w:val="en-US"/>
        </w:rPr>
      </w:pPr>
    </w:p>
    <w:p w14:paraId="76415A1E" w14:textId="442B34B3" w:rsidR="00D01698" w:rsidRDefault="00D01698">
      <w:pPr>
        <w:rPr>
          <w:b/>
          <w:bCs/>
          <w:lang w:val="en-US"/>
        </w:rPr>
      </w:pPr>
    </w:p>
    <w:p w14:paraId="48917DFC" w14:textId="109B06EA" w:rsidR="00D01698" w:rsidRDefault="00D01698">
      <w:pPr>
        <w:rPr>
          <w:b/>
          <w:bCs/>
          <w:lang w:val="en-US"/>
        </w:rPr>
      </w:pPr>
    </w:p>
    <w:p w14:paraId="2664F4BC" w14:textId="0A0D8CD8" w:rsidR="00D01698" w:rsidRDefault="00D01698">
      <w:pPr>
        <w:rPr>
          <w:b/>
          <w:bCs/>
          <w:lang w:val="en-US"/>
        </w:rPr>
      </w:pPr>
    </w:p>
    <w:p w14:paraId="44E0E4F4" w14:textId="02BC3E1C" w:rsidR="00D01698" w:rsidRDefault="00D01698">
      <w:pPr>
        <w:rPr>
          <w:b/>
          <w:bCs/>
          <w:lang w:val="en-US"/>
        </w:rPr>
      </w:pPr>
    </w:p>
    <w:p w14:paraId="0AA76701" w14:textId="1A02CFD8" w:rsidR="00D01698" w:rsidRDefault="00D01698">
      <w:pPr>
        <w:rPr>
          <w:b/>
          <w:bCs/>
          <w:lang w:val="en-US"/>
        </w:rPr>
      </w:pPr>
    </w:p>
    <w:p w14:paraId="78EC483D" w14:textId="05412CFE" w:rsidR="00536FF2" w:rsidRDefault="00536FF2">
      <w:pPr>
        <w:rPr>
          <w:b/>
          <w:bCs/>
          <w:lang w:val="en-US"/>
        </w:rPr>
      </w:pPr>
    </w:p>
    <w:p w14:paraId="3067CE49" w14:textId="1961A156" w:rsidR="00536FF2" w:rsidRDefault="00536FF2">
      <w:pPr>
        <w:rPr>
          <w:b/>
          <w:bCs/>
          <w:lang w:val="en-US"/>
        </w:rPr>
      </w:pPr>
    </w:p>
    <w:p w14:paraId="51771969" w14:textId="6116C1AF" w:rsidR="00536FF2" w:rsidRDefault="00536FF2">
      <w:pPr>
        <w:rPr>
          <w:b/>
          <w:bCs/>
          <w:lang w:val="en-US"/>
        </w:rPr>
      </w:pPr>
    </w:p>
    <w:p w14:paraId="41115009" w14:textId="50382D9A" w:rsidR="00536FF2" w:rsidRDefault="00536FF2">
      <w:pPr>
        <w:rPr>
          <w:b/>
          <w:bCs/>
          <w:lang w:val="en-US"/>
        </w:rPr>
      </w:pPr>
    </w:p>
    <w:p w14:paraId="163A5FF7" w14:textId="5880333D" w:rsidR="00536FF2" w:rsidRDefault="00536FF2">
      <w:pPr>
        <w:rPr>
          <w:b/>
          <w:bCs/>
          <w:lang w:val="en-US"/>
        </w:rPr>
      </w:pPr>
    </w:p>
    <w:p w14:paraId="493A80F4" w14:textId="6471E9A7" w:rsidR="00536FF2" w:rsidRDefault="00536FF2">
      <w:pPr>
        <w:rPr>
          <w:b/>
          <w:bCs/>
          <w:lang w:val="en-US"/>
        </w:rPr>
      </w:pPr>
    </w:p>
    <w:p w14:paraId="011DA3C8" w14:textId="6920E9A6" w:rsidR="00536FF2" w:rsidRDefault="00536FF2">
      <w:pPr>
        <w:rPr>
          <w:b/>
          <w:bCs/>
          <w:lang w:val="en-US"/>
        </w:rPr>
      </w:pPr>
    </w:p>
    <w:p w14:paraId="2EB075C6" w14:textId="42A30485" w:rsidR="00536FF2" w:rsidRDefault="00536FF2">
      <w:pPr>
        <w:rPr>
          <w:b/>
          <w:bCs/>
          <w:lang w:val="en-US"/>
        </w:rPr>
      </w:pPr>
    </w:p>
    <w:p w14:paraId="02F1491F" w14:textId="77777777" w:rsidR="00536FF2" w:rsidRDefault="00536FF2">
      <w:pPr>
        <w:rPr>
          <w:b/>
          <w:bCs/>
          <w:lang w:val="en-US"/>
        </w:rPr>
      </w:pPr>
      <w:bookmarkStart w:id="2" w:name="_GoBack"/>
      <w:bookmarkEnd w:id="2"/>
    </w:p>
    <w:p w14:paraId="278E11FC" w14:textId="1054B58F" w:rsidR="00D01698" w:rsidRDefault="00D01698">
      <w:pPr>
        <w:rPr>
          <w:b/>
          <w:bCs/>
          <w:lang w:val="en-US"/>
        </w:rPr>
      </w:pPr>
    </w:p>
    <w:p w14:paraId="1CC5ED97" w14:textId="70388DFF" w:rsidR="00D01698" w:rsidRDefault="00D01698">
      <w:pPr>
        <w:rPr>
          <w:b/>
          <w:bCs/>
          <w:lang w:val="en-US"/>
        </w:rPr>
      </w:pPr>
    </w:p>
    <w:p w14:paraId="44AC6F2A" w14:textId="26317E18" w:rsidR="00D01698" w:rsidRDefault="00D01698">
      <w:pPr>
        <w:rPr>
          <w:b/>
          <w:bCs/>
          <w:lang w:val="en-US"/>
        </w:rPr>
      </w:pPr>
    </w:p>
    <w:p w14:paraId="53BF1E68" w14:textId="65FE64C1" w:rsidR="00D01698" w:rsidRDefault="00D01698">
      <w:pPr>
        <w:rPr>
          <w:b/>
          <w:bCs/>
          <w:lang w:val="en-US"/>
        </w:rPr>
      </w:pPr>
    </w:p>
    <w:p w14:paraId="64064AA4" w14:textId="1F724C1C" w:rsidR="00D01698" w:rsidRPr="00D01698" w:rsidRDefault="00D01698" w:rsidP="00D01698">
      <w:pPr>
        <w:rPr>
          <w:b/>
          <w:bCs/>
          <w:sz w:val="24"/>
          <w:szCs w:val="24"/>
        </w:rPr>
      </w:pPr>
      <w:r w:rsidRPr="00D01698">
        <w:rPr>
          <w:b/>
          <w:bCs/>
          <w:sz w:val="24"/>
          <w:szCs w:val="24"/>
        </w:rPr>
        <w:lastRenderedPageBreak/>
        <w:t xml:space="preserve">Supplemental Methods. </w:t>
      </w:r>
      <w:r w:rsidRPr="00D01698">
        <w:rPr>
          <w:bCs/>
          <w:sz w:val="24"/>
          <w:szCs w:val="24"/>
        </w:rPr>
        <w:t>Copy of the Modified Cognitive Function Instrument</w:t>
      </w:r>
      <w:r w:rsidRPr="00D01698">
        <w:rPr>
          <w:b/>
          <w:bCs/>
          <w:sz w:val="24"/>
          <w:szCs w:val="24"/>
        </w:rPr>
        <w:t xml:space="preserve"> </w:t>
      </w:r>
    </w:p>
    <w:p w14:paraId="606A6EA9" w14:textId="77777777" w:rsidR="00D01698" w:rsidRPr="00D01698" w:rsidRDefault="00D01698" w:rsidP="00D01698">
      <w:pPr>
        <w:rPr>
          <w:sz w:val="24"/>
          <w:szCs w:val="24"/>
        </w:rPr>
      </w:pPr>
      <w:r w:rsidRPr="00D01698">
        <w:rPr>
          <w:sz w:val="24"/>
          <w:szCs w:val="24"/>
        </w:rPr>
        <w:t>This survey is related to how you think your mental function has been over the PAST YEAR. Please do not refer to your long-term traits in relation to mental function but think in terms of whether there has been a CHANGE in the past year.</w:t>
      </w:r>
    </w:p>
    <w:p w14:paraId="6E24379D" w14:textId="77777777" w:rsidR="00D01698" w:rsidRPr="00D01698" w:rsidRDefault="00D01698" w:rsidP="00D01698">
      <w:pPr>
        <w:rPr>
          <w:sz w:val="24"/>
          <w:szCs w:val="24"/>
        </w:rPr>
      </w:pPr>
      <w:r w:rsidRPr="00D01698">
        <w:rPr>
          <w:sz w:val="24"/>
          <w:szCs w:val="24"/>
        </w:rPr>
        <w:t>All of the following items have the following responses: “Yes, and I find it concerning”, “Yes, but I do not find it concerning”, “No”, “Not applicable to me”.</w:t>
      </w:r>
    </w:p>
    <w:p w14:paraId="7E76634A" w14:textId="77777777" w:rsidR="00D01698" w:rsidRPr="00D01698" w:rsidRDefault="00D01698" w:rsidP="00D01698">
      <w:pPr>
        <w:rPr>
          <w:sz w:val="24"/>
          <w:szCs w:val="24"/>
        </w:rPr>
      </w:pPr>
      <w:r w:rsidRPr="00D01698">
        <w:rPr>
          <w:sz w:val="24"/>
          <w:szCs w:val="24"/>
        </w:rPr>
        <w:t>1.</w:t>
      </w:r>
      <w:r w:rsidRPr="00D01698">
        <w:rPr>
          <w:sz w:val="24"/>
          <w:szCs w:val="24"/>
        </w:rPr>
        <w:tab/>
        <w:t>Thinking back over the past year, have you noticed any decline in your memory or thinking?</w:t>
      </w:r>
    </w:p>
    <w:p w14:paraId="1ECC0565" w14:textId="77777777" w:rsidR="00D01698" w:rsidRPr="00D01698" w:rsidRDefault="00D01698" w:rsidP="00D01698">
      <w:pPr>
        <w:ind w:left="720" w:hanging="720"/>
        <w:rPr>
          <w:sz w:val="24"/>
          <w:szCs w:val="24"/>
        </w:rPr>
      </w:pPr>
      <w:r w:rsidRPr="00D01698">
        <w:rPr>
          <w:sz w:val="24"/>
          <w:szCs w:val="24"/>
        </w:rPr>
        <w:t>2.</w:t>
      </w:r>
      <w:r w:rsidRPr="00D01698">
        <w:rPr>
          <w:sz w:val="24"/>
          <w:szCs w:val="24"/>
        </w:rPr>
        <w:tab/>
        <w:t>Thinking back over the past year, have you noticed any decline in your ability to recall important information (i.e., conversations you've had with your family or friends)?</w:t>
      </w:r>
    </w:p>
    <w:p w14:paraId="13F7C2BE" w14:textId="77777777" w:rsidR="00D01698" w:rsidRPr="00D01698" w:rsidRDefault="00D01698" w:rsidP="00D01698">
      <w:pPr>
        <w:rPr>
          <w:sz w:val="24"/>
          <w:szCs w:val="24"/>
        </w:rPr>
      </w:pPr>
      <w:r w:rsidRPr="00D01698">
        <w:rPr>
          <w:sz w:val="24"/>
          <w:szCs w:val="24"/>
        </w:rPr>
        <w:t>3.</w:t>
      </w:r>
      <w:r w:rsidRPr="00D01698">
        <w:rPr>
          <w:sz w:val="24"/>
          <w:szCs w:val="24"/>
        </w:rPr>
        <w:tab/>
        <w:t>Thinking back over the past year, have you noticed any decline in your ability to recall short-term information (i.e., shopping lists)?</w:t>
      </w:r>
    </w:p>
    <w:p w14:paraId="22F6BEB4" w14:textId="77777777" w:rsidR="00D01698" w:rsidRPr="00D01698" w:rsidRDefault="00D01698" w:rsidP="00D01698">
      <w:pPr>
        <w:rPr>
          <w:sz w:val="24"/>
          <w:szCs w:val="24"/>
        </w:rPr>
      </w:pPr>
      <w:r w:rsidRPr="00D01698">
        <w:rPr>
          <w:sz w:val="24"/>
          <w:szCs w:val="24"/>
        </w:rPr>
        <w:t>4.</w:t>
      </w:r>
      <w:r w:rsidRPr="00D01698">
        <w:rPr>
          <w:sz w:val="24"/>
          <w:szCs w:val="24"/>
        </w:rPr>
        <w:tab/>
        <w:t>Thinking back over the past year, have you noticed a decline in your ability to remember the names of acquaintances?</w:t>
      </w:r>
    </w:p>
    <w:p w14:paraId="6EFEC466" w14:textId="77777777" w:rsidR="00D01698" w:rsidRPr="00D01698" w:rsidRDefault="00D01698" w:rsidP="00D01698">
      <w:pPr>
        <w:ind w:left="720" w:hanging="720"/>
        <w:rPr>
          <w:sz w:val="24"/>
          <w:szCs w:val="24"/>
        </w:rPr>
      </w:pPr>
      <w:r w:rsidRPr="00D01698">
        <w:rPr>
          <w:sz w:val="24"/>
          <w:szCs w:val="24"/>
        </w:rPr>
        <w:t>5.</w:t>
      </w:r>
      <w:r w:rsidRPr="00D01698">
        <w:rPr>
          <w:sz w:val="24"/>
          <w:szCs w:val="24"/>
        </w:rPr>
        <w:tab/>
        <w:t>Thinking back over the past year, have you noticed a decline in your ability to remember appointments, dates/times of family events and/or meeting times?</w:t>
      </w:r>
    </w:p>
    <w:p w14:paraId="3EC1620F" w14:textId="77777777" w:rsidR="00D01698" w:rsidRPr="00D01698" w:rsidRDefault="00D01698" w:rsidP="00D01698">
      <w:pPr>
        <w:rPr>
          <w:sz w:val="24"/>
          <w:szCs w:val="24"/>
        </w:rPr>
      </w:pPr>
      <w:r w:rsidRPr="00D01698">
        <w:rPr>
          <w:sz w:val="24"/>
          <w:szCs w:val="24"/>
        </w:rPr>
        <w:t>6.</w:t>
      </w:r>
      <w:r w:rsidRPr="00D01698">
        <w:rPr>
          <w:sz w:val="24"/>
          <w:szCs w:val="24"/>
        </w:rPr>
        <w:tab/>
        <w:t>Thinking back over the past year, have you noticed a decline in your ability to organise your finances (i.e., pay bills, keep track of investments, etc)?</w:t>
      </w:r>
    </w:p>
    <w:p w14:paraId="1BDBAD99" w14:textId="77777777" w:rsidR="00D01698" w:rsidRPr="00D01698" w:rsidRDefault="00D01698" w:rsidP="00D01698">
      <w:pPr>
        <w:rPr>
          <w:sz w:val="24"/>
          <w:szCs w:val="24"/>
        </w:rPr>
      </w:pPr>
      <w:r w:rsidRPr="00D01698">
        <w:rPr>
          <w:sz w:val="24"/>
          <w:szCs w:val="24"/>
        </w:rPr>
        <w:t>7.</w:t>
      </w:r>
      <w:r w:rsidRPr="00D01698">
        <w:rPr>
          <w:sz w:val="24"/>
          <w:szCs w:val="24"/>
        </w:rPr>
        <w:tab/>
        <w:t>Thinking back over the past year, have you tended to become more disoriented or become lost more often in unfamiliar suburbs?</w:t>
      </w:r>
    </w:p>
    <w:p w14:paraId="559F7962" w14:textId="77777777" w:rsidR="00D01698" w:rsidRPr="00D01698" w:rsidRDefault="00D01698" w:rsidP="00D01698">
      <w:pPr>
        <w:rPr>
          <w:sz w:val="24"/>
          <w:szCs w:val="24"/>
        </w:rPr>
      </w:pPr>
      <w:r w:rsidRPr="00D01698">
        <w:rPr>
          <w:sz w:val="24"/>
          <w:szCs w:val="24"/>
        </w:rPr>
        <w:t>8.</w:t>
      </w:r>
      <w:r w:rsidRPr="00D01698">
        <w:rPr>
          <w:sz w:val="24"/>
          <w:szCs w:val="24"/>
        </w:rPr>
        <w:tab/>
        <w:t>Thinking back over the past year, have you been misplacing things more often?</w:t>
      </w:r>
    </w:p>
    <w:p w14:paraId="62008449" w14:textId="77777777" w:rsidR="00D01698" w:rsidRPr="00D01698" w:rsidRDefault="00D01698" w:rsidP="00D01698">
      <w:pPr>
        <w:rPr>
          <w:sz w:val="24"/>
          <w:szCs w:val="24"/>
        </w:rPr>
      </w:pPr>
      <w:r w:rsidRPr="00D01698">
        <w:rPr>
          <w:sz w:val="24"/>
          <w:szCs w:val="24"/>
        </w:rPr>
        <w:t>9.</w:t>
      </w:r>
      <w:r w:rsidRPr="00D01698">
        <w:rPr>
          <w:sz w:val="24"/>
          <w:szCs w:val="24"/>
        </w:rPr>
        <w:tab/>
        <w:t>Thinking back over the past year, have you been requiring more written reminders than you needed a year ago?</w:t>
      </w:r>
    </w:p>
    <w:p w14:paraId="48DFBCA3" w14:textId="77777777" w:rsidR="00D01698" w:rsidRPr="00D01698" w:rsidRDefault="00D01698" w:rsidP="00D01698">
      <w:pPr>
        <w:rPr>
          <w:sz w:val="24"/>
          <w:szCs w:val="24"/>
        </w:rPr>
      </w:pPr>
      <w:r w:rsidRPr="00D01698">
        <w:rPr>
          <w:sz w:val="24"/>
          <w:szCs w:val="24"/>
        </w:rPr>
        <w:t>10.</w:t>
      </w:r>
      <w:r w:rsidRPr="00D01698">
        <w:rPr>
          <w:sz w:val="24"/>
          <w:szCs w:val="24"/>
        </w:rPr>
        <w:tab/>
        <w:t>Thinking back over the past year, are you becoming more absent-minded and distracted (i.e., entering a room and forgetting your purpose)?</w:t>
      </w:r>
    </w:p>
    <w:p w14:paraId="4A548411" w14:textId="77777777" w:rsidR="00D01698" w:rsidRPr="00D01698" w:rsidRDefault="00D01698" w:rsidP="00D01698">
      <w:pPr>
        <w:rPr>
          <w:sz w:val="24"/>
          <w:szCs w:val="24"/>
        </w:rPr>
      </w:pPr>
      <w:r w:rsidRPr="00D01698">
        <w:rPr>
          <w:sz w:val="24"/>
          <w:szCs w:val="24"/>
        </w:rPr>
        <w:t>11.</w:t>
      </w:r>
      <w:r w:rsidRPr="00D01698">
        <w:rPr>
          <w:sz w:val="24"/>
          <w:szCs w:val="24"/>
        </w:rPr>
        <w:tab/>
        <w:t>Thinking back over the past year, are you increasingly relying on others to complete tasks that you used to do before (i.e., finances)?</w:t>
      </w:r>
    </w:p>
    <w:p w14:paraId="275B6BA0" w14:textId="77777777" w:rsidR="00D01698" w:rsidRPr="00D01698" w:rsidRDefault="00D01698" w:rsidP="00D01698">
      <w:pPr>
        <w:rPr>
          <w:sz w:val="24"/>
          <w:szCs w:val="24"/>
        </w:rPr>
      </w:pPr>
      <w:r w:rsidRPr="00D01698">
        <w:rPr>
          <w:sz w:val="24"/>
          <w:szCs w:val="24"/>
        </w:rPr>
        <w:t>12.</w:t>
      </w:r>
      <w:r w:rsidRPr="00D01698">
        <w:rPr>
          <w:sz w:val="24"/>
          <w:szCs w:val="24"/>
        </w:rPr>
        <w:tab/>
        <w:t>Thinking back over the past year, are you finding it more difficult to think of the right word to use in a conversation?</w:t>
      </w:r>
    </w:p>
    <w:p w14:paraId="793C9EBB" w14:textId="77777777" w:rsidR="00D01698" w:rsidRPr="00D01698" w:rsidRDefault="00D01698" w:rsidP="00D01698">
      <w:pPr>
        <w:rPr>
          <w:sz w:val="24"/>
          <w:szCs w:val="24"/>
        </w:rPr>
      </w:pPr>
      <w:r w:rsidRPr="00D01698">
        <w:rPr>
          <w:sz w:val="24"/>
          <w:szCs w:val="24"/>
        </w:rPr>
        <w:t>13.</w:t>
      </w:r>
      <w:r w:rsidRPr="00D01698">
        <w:rPr>
          <w:sz w:val="24"/>
          <w:szCs w:val="24"/>
        </w:rPr>
        <w:tab/>
        <w:t>Thinking back over the past year, have family or friends commented that they have noticed a change in your memory or thinking abilities?</w:t>
      </w:r>
    </w:p>
    <w:p w14:paraId="25A26252" w14:textId="77777777" w:rsidR="00D01698" w:rsidRPr="00D01698" w:rsidRDefault="00D01698" w:rsidP="00D01698">
      <w:pPr>
        <w:rPr>
          <w:sz w:val="24"/>
          <w:szCs w:val="24"/>
        </w:rPr>
      </w:pPr>
      <w:r w:rsidRPr="00D01698">
        <w:rPr>
          <w:sz w:val="24"/>
          <w:szCs w:val="24"/>
        </w:rPr>
        <w:t>14.</w:t>
      </w:r>
      <w:r w:rsidRPr="00D01698">
        <w:rPr>
          <w:sz w:val="24"/>
          <w:szCs w:val="24"/>
        </w:rPr>
        <w:tab/>
        <w:t xml:space="preserve">Thinking back over the past year, have you visited a doctor in relation to a concern about your memory or thinking? </w:t>
      </w:r>
    </w:p>
    <w:p w14:paraId="61A2BD54" w14:textId="77777777" w:rsidR="00D01698" w:rsidRPr="00D01698" w:rsidRDefault="00D01698" w:rsidP="00D01698">
      <w:pPr>
        <w:rPr>
          <w:sz w:val="24"/>
          <w:szCs w:val="24"/>
        </w:rPr>
      </w:pPr>
      <w:r w:rsidRPr="00D01698">
        <w:rPr>
          <w:sz w:val="24"/>
          <w:szCs w:val="24"/>
        </w:rPr>
        <w:t>15.</w:t>
      </w:r>
      <w:r w:rsidRPr="00D01698">
        <w:rPr>
          <w:sz w:val="24"/>
          <w:szCs w:val="24"/>
        </w:rPr>
        <w:tab/>
        <w:t xml:space="preserve">Do you think you have troubles with your memory or thinking? </w:t>
      </w:r>
    </w:p>
    <w:p w14:paraId="02596532" w14:textId="56C5A4DF" w:rsidR="0085379C" w:rsidRPr="00D01698" w:rsidRDefault="00EE4C2C">
      <w:pPr>
        <w:rPr>
          <w:sz w:val="24"/>
          <w:szCs w:val="24"/>
        </w:rPr>
      </w:pPr>
      <w:r w:rsidRPr="00D01698">
        <w:rPr>
          <w:b/>
          <w:bCs/>
          <w:sz w:val="24"/>
          <w:szCs w:val="24"/>
          <w:lang w:val="en-US"/>
        </w:rPr>
        <w:lastRenderedPageBreak/>
        <w:t>Supplementary Table 1.</w:t>
      </w:r>
      <w:r w:rsidRPr="00D01698">
        <w:rPr>
          <w:bCs/>
          <w:sz w:val="24"/>
          <w:szCs w:val="24"/>
          <w:lang w:val="en-US"/>
        </w:rPr>
        <w:t xml:space="preserve"> Inter-correlations between scores on the Pittsburgh Sleep Quality Index (PSQI), Epworth Sleepiness Scale (ESS), and Insomnia Severity Index (ISI)</w:t>
      </w:r>
    </w:p>
    <w:tbl>
      <w:tblPr>
        <w:tblStyle w:val="TableGrid"/>
        <w:tblpPr w:leftFromText="180" w:rightFromText="180" w:vertAnchor="text" w:horzAnchor="page" w:tblpX="3468" w:tblpY="-2"/>
        <w:tblW w:w="0" w:type="auto"/>
        <w:tblLook w:val="04A0" w:firstRow="1" w:lastRow="0" w:firstColumn="1" w:lastColumn="0" w:noHBand="0" w:noVBand="1"/>
      </w:tblPr>
      <w:tblGrid>
        <w:gridCol w:w="647"/>
        <w:gridCol w:w="1338"/>
        <w:gridCol w:w="709"/>
        <w:gridCol w:w="992"/>
      </w:tblGrid>
      <w:tr w:rsidR="00EE4C2C" w14:paraId="7CA51006" w14:textId="77777777" w:rsidTr="00EE4C2C">
        <w:tc>
          <w:tcPr>
            <w:tcW w:w="647" w:type="dxa"/>
            <w:tcBorders>
              <w:left w:val="nil"/>
              <w:bottom w:val="single" w:sz="4" w:space="0" w:color="auto"/>
              <w:right w:val="nil"/>
            </w:tcBorders>
          </w:tcPr>
          <w:p w14:paraId="4C44981B" w14:textId="77777777" w:rsidR="00EE4C2C" w:rsidRDefault="00EE4C2C" w:rsidP="00EE4C2C">
            <w:bookmarkStart w:id="3" w:name="_Hlk65245112"/>
            <w:bookmarkEnd w:id="1"/>
          </w:p>
        </w:tc>
        <w:tc>
          <w:tcPr>
            <w:tcW w:w="1338" w:type="dxa"/>
            <w:tcBorders>
              <w:left w:val="nil"/>
              <w:bottom w:val="single" w:sz="4" w:space="0" w:color="auto"/>
              <w:right w:val="nil"/>
            </w:tcBorders>
          </w:tcPr>
          <w:p w14:paraId="7E8C17CD" w14:textId="77777777" w:rsidR="00EE4C2C" w:rsidRDefault="00EE4C2C" w:rsidP="00EE4C2C">
            <w:pPr>
              <w:jc w:val="center"/>
            </w:pPr>
            <w:r w:rsidRPr="00D74D19">
              <w:rPr>
                <w:b/>
                <w:bCs/>
                <w:lang w:val="en-US"/>
              </w:rPr>
              <w:t>PSQI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nil"/>
            </w:tcBorders>
          </w:tcPr>
          <w:p w14:paraId="5F7A0510" w14:textId="77777777" w:rsidR="00EE4C2C" w:rsidRDefault="00EE4C2C" w:rsidP="00EE4C2C">
            <w:pPr>
              <w:jc w:val="center"/>
            </w:pPr>
            <w:r w:rsidRPr="00D74D19">
              <w:rPr>
                <w:b/>
                <w:bCs/>
                <w:lang w:val="en-US"/>
              </w:rPr>
              <w:t>ESS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14:paraId="67211EBC" w14:textId="77777777" w:rsidR="00EE4C2C" w:rsidRDefault="00EE4C2C" w:rsidP="00EE4C2C">
            <w:pPr>
              <w:jc w:val="center"/>
            </w:pPr>
            <w:r w:rsidRPr="00D74D19">
              <w:rPr>
                <w:b/>
                <w:bCs/>
                <w:lang w:val="en-US"/>
              </w:rPr>
              <w:t>ISI</w:t>
            </w:r>
          </w:p>
        </w:tc>
      </w:tr>
      <w:tr w:rsidR="00EE4C2C" w14:paraId="3CE1C5CC" w14:textId="77777777" w:rsidTr="00EE4C2C">
        <w:tc>
          <w:tcPr>
            <w:tcW w:w="647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6364AE70" w14:textId="77777777" w:rsidR="00EE4C2C" w:rsidRDefault="00EE4C2C" w:rsidP="00EE4C2C">
            <w:r w:rsidRPr="00D74D19">
              <w:rPr>
                <w:b/>
                <w:bCs/>
                <w:lang w:val="en-US"/>
              </w:rPr>
              <w:t>PSQI</w:t>
            </w:r>
          </w:p>
        </w:tc>
        <w:tc>
          <w:tcPr>
            <w:tcW w:w="1338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2884ED0F" w14:textId="77777777" w:rsidR="00EE4C2C" w:rsidRDefault="00EE4C2C" w:rsidP="00EE4C2C">
            <w:pPr>
              <w:jc w:val="center"/>
            </w:pPr>
            <w:r>
              <w:t>-</w:t>
            </w:r>
          </w:p>
        </w:tc>
        <w:tc>
          <w:tcPr>
            <w:tcW w:w="709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0E872148" w14:textId="77777777" w:rsidR="00EE4C2C" w:rsidRDefault="00EE4C2C" w:rsidP="00EE4C2C">
            <w:pPr>
              <w:jc w:val="center"/>
            </w:pPr>
            <w:r>
              <w:rPr>
                <w:lang w:val="en-US"/>
              </w:rPr>
              <w:t>0.06</w:t>
            </w:r>
          </w:p>
        </w:tc>
        <w:tc>
          <w:tcPr>
            <w:tcW w:w="992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14:paraId="71148FE9" w14:textId="77777777" w:rsidR="00EE4C2C" w:rsidRDefault="00EE4C2C" w:rsidP="00EE4C2C">
            <w:pPr>
              <w:jc w:val="center"/>
            </w:pPr>
            <w:r>
              <w:rPr>
                <w:lang w:val="en-US"/>
              </w:rPr>
              <w:t>0.60</w:t>
            </w:r>
          </w:p>
        </w:tc>
      </w:tr>
      <w:tr w:rsidR="00EE4C2C" w14:paraId="40E77CAC" w14:textId="77777777" w:rsidTr="00EE4C2C">
        <w:tc>
          <w:tcPr>
            <w:tcW w:w="64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C6DE92B" w14:textId="77777777" w:rsidR="00EE4C2C" w:rsidRDefault="00EE4C2C" w:rsidP="00EE4C2C">
            <w:r w:rsidRPr="00D74D19">
              <w:rPr>
                <w:b/>
                <w:bCs/>
                <w:lang w:val="en-US"/>
              </w:rPr>
              <w:t>ESS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5F96EA17" w14:textId="77777777" w:rsidR="00EE4C2C" w:rsidRDefault="00EE4C2C" w:rsidP="00EE4C2C">
            <w:pPr>
              <w:jc w:val="center"/>
            </w:pPr>
            <w:r>
              <w:rPr>
                <w:lang w:val="en-US"/>
              </w:rPr>
              <w:t>0.06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B9F5B88" w14:textId="77777777" w:rsidR="00EE4C2C" w:rsidRDefault="00EE4C2C" w:rsidP="00EE4C2C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6B874ED0" w14:textId="77777777" w:rsidR="00EE4C2C" w:rsidRDefault="00EE4C2C" w:rsidP="00EE4C2C">
            <w:pPr>
              <w:jc w:val="center"/>
            </w:pPr>
            <w:r>
              <w:rPr>
                <w:lang w:val="en-US"/>
              </w:rPr>
              <w:t>0.09</w:t>
            </w:r>
          </w:p>
        </w:tc>
      </w:tr>
      <w:tr w:rsidR="00EE4C2C" w14:paraId="39AA1931" w14:textId="77777777" w:rsidTr="00EE4C2C">
        <w:tc>
          <w:tcPr>
            <w:tcW w:w="647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0BA696BF" w14:textId="77777777" w:rsidR="00EE4C2C" w:rsidRDefault="00EE4C2C" w:rsidP="00EE4C2C">
            <w:r w:rsidRPr="00D74D19">
              <w:rPr>
                <w:b/>
                <w:bCs/>
                <w:lang w:val="en-US"/>
              </w:rPr>
              <w:t>ISI</w:t>
            </w:r>
          </w:p>
        </w:tc>
        <w:tc>
          <w:tcPr>
            <w:tcW w:w="1338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10F1E313" w14:textId="77777777" w:rsidR="00EE4C2C" w:rsidRDefault="00EE4C2C" w:rsidP="00EE4C2C">
            <w:pPr>
              <w:jc w:val="center"/>
            </w:pPr>
            <w:r>
              <w:rPr>
                <w:lang w:val="en-US"/>
              </w:rPr>
              <w:t>0.60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2AA10088" w14:textId="77777777" w:rsidR="00EE4C2C" w:rsidRDefault="00EE4C2C" w:rsidP="00EE4C2C">
            <w:pPr>
              <w:jc w:val="center"/>
            </w:pPr>
            <w:r>
              <w:rPr>
                <w:lang w:val="en-US"/>
              </w:rPr>
              <w:t>0.09</w:t>
            </w: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auto"/>
              <w:right w:val="nil"/>
            </w:tcBorders>
          </w:tcPr>
          <w:p w14:paraId="7D9E36D2" w14:textId="77777777" w:rsidR="00EE4C2C" w:rsidRDefault="00EE4C2C" w:rsidP="00EE4C2C">
            <w:pPr>
              <w:jc w:val="center"/>
            </w:pPr>
            <w:r>
              <w:t>-</w:t>
            </w:r>
          </w:p>
        </w:tc>
      </w:tr>
      <w:tr w:rsidR="00EE4C2C" w:rsidRPr="00D01698" w14:paraId="6EE6FFBC" w14:textId="77777777" w:rsidTr="00EE4C2C"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</w:tcPr>
          <w:p w14:paraId="4D952CDD" w14:textId="2E801B0F" w:rsidR="00EE4C2C" w:rsidRPr="00D01698" w:rsidRDefault="00EE4C2C" w:rsidP="00D01698">
            <w:pPr>
              <w:jc w:val="center"/>
              <w:rPr>
                <w:sz w:val="24"/>
                <w:szCs w:val="24"/>
                <w:lang w:val="en-US"/>
              </w:rPr>
            </w:pPr>
            <w:r w:rsidRPr="00D01698">
              <w:rPr>
                <w:sz w:val="24"/>
                <w:szCs w:val="24"/>
                <w:lang w:val="en-US"/>
              </w:rPr>
              <w:t xml:space="preserve">All correlation coefficients </w:t>
            </w:r>
            <w:r w:rsidR="00530E9F">
              <w:rPr>
                <w:sz w:val="24"/>
                <w:szCs w:val="24"/>
                <w:lang w:val="en-US"/>
              </w:rPr>
              <w:t>are</w:t>
            </w:r>
            <w:r w:rsidRPr="00D01698">
              <w:rPr>
                <w:sz w:val="24"/>
                <w:szCs w:val="24"/>
                <w:lang w:val="en-US"/>
              </w:rPr>
              <w:t xml:space="preserve"> significant at p&lt;0.05</w:t>
            </w:r>
          </w:p>
        </w:tc>
      </w:tr>
      <w:bookmarkEnd w:id="3"/>
    </w:tbl>
    <w:p w14:paraId="3DFE2FCA" w14:textId="0F1AF6F4" w:rsidR="00944E6D" w:rsidRPr="00D01698" w:rsidRDefault="00944E6D">
      <w:pPr>
        <w:rPr>
          <w:sz w:val="24"/>
          <w:szCs w:val="24"/>
        </w:rPr>
      </w:pPr>
    </w:p>
    <w:p w14:paraId="18809C93" w14:textId="19037425" w:rsidR="00D57774" w:rsidRPr="00D01698" w:rsidRDefault="00D57774">
      <w:pPr>
        <w:rPr>
          <w:sz w:val="24"/>
          <w:szCs w:val="24"/>
        </w:rPr>
      </w:pPr>
    </w:p>
    <w:p w14:paraId="348B6085" w14:textId="6202A72E" w:rsidR="00D57774" w:rsidRPr="00D01698" w:rsidRDefault="00D57774">
      <w:pPr>
        <w:rPr>
          <w:sz w:val="24"/>
          <w:szCs w:val="24"/>
        </w:rPr>
      </w:pPr>
    </w:p>
    <w:p w14:paraId="1AD479E3" w14:textId="6454BBB3" w:rsidR="00D57774" w:rsidRDefault="00D57774"/>
    <w:p w14:paraId="21B1B1BF" w14:textId="38FCBF8F" w:rsidR="00D57774" w:rsidRDefault="00D57774"/>
    <w:p w14:paraId="534D9C40" w14:textId="63703224" w:rsidR="00D57774" w:rsidRDefault="00D57774"/>
    <w:p w14:paraId="624088AF" w14:textId="60C89A35" w:rsidR="00D57774" w:rsidRDefault="00D57774"/>
    <w:p w14:paraId="0AD0CE08" w14:textId="077CB62B" w:rsidR="00D57774" w:rsidRDefault="00D57774"/>
    <w:p w14:paraId="56653802" w14:textId="04227AE6" w:rsidR="00D57774" w:rsidRDefault="00D57774"/>
    <w:p w14:paraId="39D178AF" w14:textId="340FB514" w:rsidR="00D57774" w:rsidRDefault="00D57774"/>
    <w:p w14:paraId="59A2A27F" w14:textId="4F40C0FF" w:rsidR="00D57774" w:rsidRDefault="00D57774"/>
    <w:p w14:paraId="0238CED5" w14:textId="58636CD6" w:rsidR="00D57774" w:rsidRDefault="00D57774"/>
    <w:p w14:paraId="79533511" w14:textId="0827D087" w:rsidR="00D57774" w:rsidRDefault="00D57774"/>
    <w:p w14:paraId="7A778E8D" w14:textId="57A4AA50" w:rsidR="00D57774" w:rsidRDefault="00D57774"/>
    <w:p w14:paraId="632698E6" w14:textId="5AC4A797" w:rsidR="00D57774" w:rsidRDefault="00D57774"/>
    <w:p w14:paraId="455E253F" w14:textId="47C7B01D" w:rsidR="00D57774" w:rsidRDefault="00D57774"/>
    <w:p w14:paraId="52BC1449" w14:textId="146326DD" w:rsidR="00D57774" w:rsidRDefault="00D57774"/>
    <w:p w14:paraId="3AD6A6CE" w14:textId="57CA015B" w:rsidR="00D57774" w:rsidRDefault="00D57774"/>
    <w:p w14:paraId="7BA2D5B3" w14:textId="30ED2578" w:rsidR="00D57774" w:rsidRDefault="00D57774"/>
    <w:p w14:paraId="14C346BC" w14:textId="227D617B" w:rsidR="00D57774" w:rsidRDefault="00D57774"/>
    <w:p w14:paraId="3F117497" w14:textId="1BB29495" w:rsidR="00D57774" w:rsidRDefault="00D57774"/>
    <w:p w14:paraId="2CFAD5CC" w14:textId="2DE8B965" w:rsidR="00D57774" w:rsidRDefault="00D57774"/>
    <w:p w14:paraId="541D19B4" w14:textId="77777777" w:rsidR="00D57774" w:rsidRDefault="00D57774"/>
    <w:p w14:paraId="2D2C8BE2" w14:textId="01BFC3AC" w:rsidR="007950DC" w:rsidRDefault="007950DC"/>
    <w:p w14:paraId="34C24439" w14:textId="1BC01508" w:rsidR="00EE4C2C" w:rsidRDefault="00EE4C2C"/>
    <w:p w14:paraId="32F3819D" w14:textId="42C0363B" w:rsidR="00EE4C2C" w:rsidRDefault="00EE4C2C"/>
    <w:p w14:paraId="62ED593C" w14:textId="11F84ED3" w:rsidR="00EE4C2C" w:rsidRDefault="00EE4C2C"/>
    <w:p w14:paraId="7DF4BD67" w14:textId="77777777" w:rsidR="00D01698" w:rsidRDefault="00D01698"/>
    <w:p w14:paraId="6D3443E4" w14:textId="091D6ABB" w:rsidR="00D57774" w:rsidRDefault="00D577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4"/>
        <w:gridCol w:w="1696"/>
        <w:gridCol w:w="1150"/>
        <w:gridCol w:w="1758"/>
        <w:gridCol w:w="1718"/>
      </w:tblGrid>
      <w:tr w:rsidR="00D57774" w:rsidRPr="00D01698" w14:paraId="1C3996B3" w14:textId="77777777" w:rsidTr="003A4EAA">
        <w:tc>
          <w:tcPr>
            <w:tcW w:w="9016" w:type="dxa"/>
            <w:gridSpan w:val="5"/>
            <w:tcBorders>
              <w:top w:val="nil"/>
              <w:left w:val="nil"/>
              <w:right w:val="nil"/>
            </w:tcBorders>
          </w:tcPr>
          <w:p w14:paraId="7B6CE928" w14:textId="039ACAA8" w:rsidR="00D57774" w:rsidRPr="00D01698" w:rsidRDefault="00D57774" w:rsidP="003A4EA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698">
              <w:rPr>
                <w:rFonts w:cstheme="minorHAnsi"/>
                <w:b/>
                <w:bCs/>
                <w:sz w:val="24"/>
                <w:szCs w:val="24"/>
              </w:rPr>
              <w:lastRenderedPageBreak/>
              <w:t xml:space="preserve">Supplementary Table 2. </w:t>
            </w:r>
            <w:r w:rsidRPr="00D01698">
              <w:rPr>
                <w:rFonts w:cstheme="minorHAnsi"/>
                <w:bCs/>
                <w:sz w:val="24"/>
                <w:szCs w:val="24"/>
              </w:rPr>
              <w:t xml:space="preserve">Omnibus variable level tests for interactions between sleep symptomatology (low, moderate, high) and APOE Ɛ4 carrier (yes/no), sex (male/female), depressive symptoms </w:t>
            </w:r>
            <w:r w:rsidRPr="00D01698">
              <w:rPr>
                <w:rFonts w:cstheme="minorHAnsi"/>
                <w:sz w:val="24"/>
                <w:szCs w:val="24"/>
                <w:lang w:val="en-US"/>
              </w:rPr>
              <w:t>(HADS depression scores &gt; 7 vs. the remainder of the sample</w:t>
            </w:r>
            <w:r w:rsidRPr="00D01698">
              <w:rPr>
                <w:rFonts w:cstheme="minorHAnsi"/>
                <w:bCs/>
                <w:sz w:val="24"/>
                <w:szCs w:val="24"/>
              </w:rPr>
              <w:t>), and subjective cognitive concerns (</w:t>
            </w:r>
            <w:r w:rsidRPr="00D01698">
              <w:rPr>
                <w:rFonts w:cstheme="minorHAnsi"/>
                <w:sz w:val="24"/>
                <w:szCs w:val="24"/>
                <w:lang w:val="en-US"/>
              </w:rPr>
              <w:t>top quartile [most concerns] of the CFI vs. the remainder of the sample</w:t>
            </w:r>
            <w:r w:rsidRPr="00D01698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</w:tr>
      <w:tr w:rsidR="00D57774" w:rsidRPr="00D01698" w14:paraId="31BAD787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68570B8B" w14:textId="77777777" w:rsidR="00D57774" w:rsidRPr="00D01698" w:rsidRDefault="00D57774" w:rsidP="003A4EAA">
            <w:pPr>
              <w:jc w:val="center"/>
              <w:rPr>
                <w:rFonts w:cstheme="minorHAnsi"/>
                <w:b/>
              </w:rPr>
            </w:pPr>
            <w:r w:rsidRPr="00D01698">
              <w:rPr>
                <w:rFonts w:cstheme="minorHAnsi"/>
                <w:b/>
              </w:rPr>
              <w:t>Interaction term</w:t>
            </w: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6E62CE60" w14:textId="77777777" w:rsidR="00D57774" w:rsidRPr="00D01698" w:rsidRDefault="00D57774" w:rsidP="003A4EAA">
            <w:pPr>
              <w:jc w:val="center"/>
              <w:rPr>
                <w:rFonts w:cstheme="minorHAnsi"/>
                <w:b/>
              </w:rPr>
            </w:pPr>
            <w:r w:rsidRPr="00D01698">
              <w:rPr>
                <w:rFonts w:cstheme="minorHAnsi"/>
                <w:b/>
              </w:rPr>
              <w:t>Outcome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5F9434E1" w14:textId="77777777" w:rsidR="00D57774" w:rsidRPr="00D01698" w:rsidRDefault="00D57774" w:rsidP="003A4EAA">
            <w:pPr>
              <w:jc w:val="center"/>
              <w:rPr>
                <w:rFonts w:cstheme="minorHAnsi"/>
                <w:b/>
                <w:bCs/>
              </w:rPr>
            </w:pPr>
            <w:r w:rsidRPr="00D01698">
              <w:rPr>
                <w:rFonts w:cstheme="minorHAnsi"/>
                <w:b/>
                <w:bCs/>
              </w:rPr>
              <w:t>N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53BD8D41" w14:textId="77777777" w:rsidR="00D57774" w:rsidRPr="00D01698" w:rsidRDefault="00D57774" w:rsidP="003A4EAA">
            <w:pPr>
              <w:jc w:val="center"/>
              <w:rPr>
                <w:rFonts w:cstheme="minorHAnsi"/>
                <w:b/>
              </w:rPr>
            </w:pPr>
            <w:r w:rsidRPr="00D01698">
              <w:rPr>
                <w:rFonts w:cstheme="minorHAnsi"/>
                <w:b/>
                <w:bCs/>
              </w:rPr>
              <w:t>F (df)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29E0D792" w14:textId="77777777" w:rsidR="00D57774" w:rsidRPr="00D01698" w:rsidRDefault="00D57774" w:rsidP="003A4EAA">
            <w:pPr>
              <w:jc w:val="center"/>
              <w:rPr>
                <w:rFonts w:cstheme="minorHAnsi"/>
                <w:b/>
              </w:rPr>
            </w:pPr>
            <w:r w:rsidRPr="00D01698">
              <w:rPr>
                <w:rFonts w:cstheme="minorHAnsi"/>
                <w:b/>
              </w:rPr>
              <w:t>p</w:t>
            </w:r>
          </w:p>
        </w:tc>
      </w:tr>
      <w:tr w:rsidR="00D57774" w:rsidRPr="00D01698" w14:paraId="551CF23F" w14:textId="77777777" w:rsidTr="003A4EAA">
        <w:tc>
          <w:tcPr>
            <w:tcW w:w="4390" w:type="dxa"/>
            <w:gridSpan w:val="2"/>
            <w:tcBorders>
              <w:left w:val="nil"/>
              <w:right w:val="nil"/>
            </w:tcBorders>
          </w:tcPr>
          <w:p w14:paraId="67EB2790" w14:textId="77777777" w:rsidR="00D57774" w:rsidRPr="00D01698" w:rsidRDefault="00D57774" w:rsidP="003A4EAA">
            <w:pPr>
              <w:rPr>
                <w:rFonts w:cstheme="minorHAnsi"/>
                <w:b/>
              </w:rPr>
            </w:pPr>
            <w:r w:rsidRPr="00D01698">
              <w:rPr>
                <w:rFonts w:cstheme="minorHAnsi"/>
                <w:b/>
              </w:rPr>
              <w:t>Depression x Sleep Symptomatology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4359B121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62ED1574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3C5CF482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</w:tr>
      <w:tr w:rsidR="00D57774" w:rsidRPr="00D01698" w14:paraId="3AEBF92C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52863E9E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031D042D" w14:textId="33DE1801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DET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0B35DE7C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1293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2CA4EE01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0.39 (2, 1279)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4E4B5440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0.68</w:t>
            </w:r>
          </w:p>
        </w:tc>
      </w:tr>
      <w:tr w:rsidR="00D57774" w:rsidRPr="00D01698" w14:paraId="5CAB6E74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09C2EDF2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162F120B" w14:textId="6A4B9CA0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IDN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26D3DB28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1292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288B58FC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0.49 (2, 1278)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04E19205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0.61</w:t>
            </w:r>
          </w:p>
        </w:tc>
      </w:tr>
      <w:tr w:rsidR="00D57774" w:rsidRPr="00D01698" w14:paraId="384995FD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37B95186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5B796568" w14:textId="71C4A427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OCL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5B343DEA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1293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7E3832DD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1.55 (2, 1279)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4D0447F6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0.21</w:t>
            </w:r>
          </w:p>
        </w:tc>
      </w:tr>
      <w:tr w:rsidR="00D57774" w:rsidRPr="00D01698" w14:paraId="37074867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7A0BDAC8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33D51CA0" w14:textId="1FDA59F1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OBK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11B7E43E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1293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56BBE840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1.49 (2, 1279)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01C9D544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0.23</w:t>
            </w:r>
          </w:p>
        </w:tc>
      </w:tr>
      <w:tr w:rsidR="00D57774" w:rsidRPr="00D01698" w14:paraId="088F8A72" w14:textId="77777777" w:rsidTr="003A4EAA">
        <w:trPr>
          <w:trHeight w:val="70"/>
        </w:trPr>
        <w:tc>
          <w:tcPr>
            <w:tcW w:w="2694" w:type="dxa"/>
            <w:tcBorders>
              <w:left w:val="nil"/>
              <w:right w:val="nil"/>
            </w:tcBorders>
          </w:tcPr>
          <w:p w14:paraId="2D7161D3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71C2B44A" w14:textId="16B92A13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CFI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558B7683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1200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624E74B3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1.66 (2, 1186)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76DFF38E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0.19</w:t>
            </w:r>
          </w:p>
        </w:tc>
      </w:tr>
      <w:tr w:rsidR="00D57774" w:rsidRPr="00D01698" w14:paraId="1116AC6B" w14:textId="77777777" w:rsidTr="003A4EAA">
        <w:tc>
          <w:tcPr>
            <w:tcW w:w="5540" w:type="dxa"/>
            <w:gridSpan w:val="3"/>
            <w:tcBorders>
              <w:left w:val="nil"/>
              <w:right w:val="nil"/>
            </w:tcBorders>
          </w:tcPr>
          <w:p w14:paraId="05BEF4A2" w14:textId="77777777" w:rsidR="00D57774" w:rsidRPr="00D01698" w:rsidRDefault="00D57774" w:rsidP="003A4EAA">
            <w:pPr>
              <w:rPr>
                <w:rFonts w:cstheme="minorHAnsi"/>
              </w:rPr>
            </w:pPr>
            <w:r w:rsidRPr="00D01698">
              <w:rPr>
                <w:rFonts w:cstheme="minorHAnsi"/>
                <w:b/>
              </w:rPr>
              <w:t>Sex x Sleep Symptomology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09BBADB1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000313AE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</w:tr>
      <w:tr w:rsidR="00D57774" w:rsidRPr="00D01698" w14:paraId="5B237359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2DE12CD0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3280E1BF" w14:textId="588FE53B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DET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156124BC" w14:textId="77777777" w:rsidR="00D57774" w:rsidRPr="00D01698" w:rsidRDefault="00D57774" w:rsidP="00C21DB4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1293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4ACAEEF0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0.49 (2, 1279)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663D5CF1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0.61</w:t>
            </w:r>
          </w:p>
        </w:tc>
      </w:tr>
      <w:tr w:rsidR="00D57774" w:rsidRPr="00D01698" w14:paraId="14D97E52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7A0D0973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61308519" w14:textId="2359E978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IDN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1D6F07E5" w14:textId="77777777" w:rsidR="00D57774" w:rsidRPr="00D01698" w:rsidRDefault="00D57774" w:rsidP="00C21DB4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1292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478EA0AD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0.88 (2, 1278)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45B6E770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0.41</w:t>
            </w:r>
          </w:p>
        </w:tc>
      </w:tr>
      <w:tr w:rsidR="00D57774" w:rsidRPr="00D01698" w14:paraId="0056CB7C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76CFBFF7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1B045F11" w14:textId="4B5E5CB0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OCL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11BFDE3A" w14:textId="77777777" w:rsidR="00D57774" w:rsidRPr="00D01698" w:rsidRDefault="00D57774" w:rsidP="00C21DB4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1293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08BD22C0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0.02 (2, 1279)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5AEAE4C2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0.98</w:t>
            </w:r>
          </w:p>
        </w:tc>
      </w:tr>
      <w:tr w:rsidR="00D57774" w:rsidRPr="00D01698" w14:paraId="42F29E2D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1CC901D5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6657FB2E" w14:textId="7E169956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OBK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584C01C8" w14:textId="77777777" w:rsidR="00D57774" w:rsidRPr="00D01698" w:rsidRDefault="00D57774" w:rsidP="00C21DB4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1293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76ED28F9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1.64 (2, 1279)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0349D810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0.19</w:t>
            </w:r>
          </w:p>
        </w:tc>
      </w:tr>
      <w:tr w:rsidR="00D57774" w:rsidRPr="00D01698" w14:paraId="521B2336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70AAFF4F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6B117E2C" w14:textId="44056A6F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CFI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19223D39" w14:textId="77777777" w:rsidR="00D57774" w:rsidRPr="00D01698" w:rsidRDefault="00D57774" w:rsidP="00C21DB4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1200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51936216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0.15 (2, 1186)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1E26D08B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0.86</w:t>
            </w:r>
          </w:p>
        </w:tc>
      </w:tr>
      <w:tr w:rsidR="00D57774" w:rsidRPr="00D01698" w14:paraId="247BA088" w14:textId="77777777" w:rsidTr="003A4EAA">
        <w:tc>
          <w:tcPr>
            <w:tcW w:w="4390" w:type="dxa"/>
            <w:gridSpan w:val="2"/>
            <w:tcBorders>
              <w:left w:val="nil"/>
              <w:right w:val="nil"/>
            </w:tcBorders>
          </w:tcPr>
          <w:p w14:paraId="7622A9BA" w14:textId="77777777" w:rsidR="00D57774" w:rsidRPr="00D01698" w:rsidRDefault="00D57774" w:rsidP="003A4EAA">
            <w:pPr>
              <w:rPr>
                <w:rFonts w:cstheme="minorHAnsi"/>
              </w:rPr>
            </w:pPr>
            <w:r w:rsidRPr="00D01698">
              <w:rPr>
                <w:rFonts w:cstheme="minorHAnsi"/>
                <w:b/>
              </w:rPr>
              <w:t xml:space="preserve">APOE x Sleep Symptomatology 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2AD63FFB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786139F3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44F92134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</w:tr>
      <w:tr w:rsidR="00D57774" w:rsidRPr="00D01698" w14:paraId="082BA0E9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35CA56AD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2E6BF973" w14:textId="1ED0F746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DET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7F4D7901" w14:textId="77777777" w:rsidR="00D57774" w:rsidRPr="00D01698" w:rsidRDefault="00D57774" w:rsidP="00C21DB4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689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5A281F76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0.29 (2, 674)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504BD4B2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0.75</w:t>
            </w:r>
          </w:p>
        </w:tc>
      </w:tr>
      <w:tr w:rsidR="00D57774" w:rsidRPr="00D01698" w14:paraId="5ADDCD06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0CC8C1DF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0CC23679" w14:textId="51AAEED4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IDN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11B064C0" w14:textId="77777777" w:rsidR="00D57774" w:rsidRPr="00D01698" w:rsidRDefault="00D57774" w:rsidP="00C21DB4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689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3715D458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0.34 (2, 674)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5B800F74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0.71</w:t>
            </w:r>
          </w:p>
        </w:tc>
      </w:tr>
      <w:tr w:rsidR="00D57774" w:rsidRPr="00D01698" w14:paraId="618D0CB1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0A0F5100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08A31D1C" w14:textId="25990FE9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OCL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74A05FCF" w14:textId="77777777" w:rsidR="00D57774" w:rsidRPr="00D01698" w:rsidRDefault="00D57774" w:rsidP="00C21DB4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689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47888195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0.35 (2, 674)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5AE014DB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0.71</w:t>
            </w:r>
          </w:p>
        </w:tc>
      </w:tr>
      <w:tr w:rsidR="00D57774" w:rsidRPr="00D01698" w14:paraId="5D3E1DC4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7B2CDB28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02E08D37" w14:textId="7C042FC3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OBK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7B9617DF" w14:textId="77777777" w:rsidR="00D57774" w:rsidRPr="00D01698" w:rsidRDefault="00D57774" w:rsidP="00C21DB4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689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481EBC40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1.77 (2, 674)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5E28C5EE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0.17</w:t>
            </w:r>
          </w:p>
        </w:tc>
      </w:tr>
      <w:tr w:rsidR="00D57774" w:rsidRPr="00D01698" w14:paraId="67A1E81B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3308CE08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73D4DCF9" w14:textId="47A94F0A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CFI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482E3504" w14:textId="77777777" w:rsidR="00D57774" w:rsidRPr="00D01698" w:rsidRDefault="00D57774" w:rsidP="00C21DB4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657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2FB4BE55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1.62 (2, 642)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43F6A197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0.20</w:t>
            </w:r>
          </w:p>
        </w:tc>
      </w:tr>
      <w:tr w:rsidR="00D57774" w:rsidRPr="00D01698" w14:paraId="378EF7E7" w14:textId="77777777" w:rsidTr="003A4EAA">
        <w:tc>
          <w:tcPr>
            <w:tcW w:w="7298" w:type="dxa"/>
            <w:gridSpan w:val="4"/>
            <w:tcBorders>
              <w:left w:val="nil"/>
              <w:right w:val="nil"/>
            </w:tcBorders>
          </w:tcPr>
          <w:p w14:paraId="4952543C" w14:textId="77777777" w:rsidR="00D57774" w:rsidRPr="00D01698" w:rsidRDefault="00D57774" w:rsidP="003A4EAA">
            <w:pPr>
              <w:rPr>
                <w:rFonts w:cstheme="minorHAnsi"/>
              </w:rPr>
            </w:pPr>
            <w:r w:rsidRPr="00D01698">
              <w:rPr>
                <w:rFonts w:cstheme="minorHAnsi"/>
                <w:b/>
              </w:rPr>
              <w:t xml:space="preserve">Subjective Cognitive Concerns </w:t>
            </w:r>
            <w:proofErr w:type="gramStart"/>
            <w:r w:rsidRPr="00D01698">
              <w:rPr>
                <w:rFonts w:cstheme="minorHAnsi"/>
                <w:b/>
              </w:rPr>
              <w:t>x</w:t>
            </w:r>
            <w:proofErr w:type="gramEnd"/>
            <w:r w:rsidRPr="00D01698">
              <w:rPr>
                <w:rFonts w:cstheme="minorHAnsi"/>
                <w:b/>
              </w:rPr>
              <w:t xml:space="preserve"> Sleep Symptomatology 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7676685F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</w:tr>
      <w:tr w:rsidR="00D57774" w:rsidRPr="00D01698" w14:paraId="1B46D024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02C92845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7A1AA040" w14:textId="454A0E92" w:rsidR="00D57774" w:rsidRPr="00D01698" w:rsidRDefault="00D57774" w:rsidP="0086039D">
            <w:pPr>
              <w:jc w:val="center"/>
              <w:rPr>
                <w:rFonts w:cstheme="minorHAnsi"/>
                <w:b/>
              </w:rPr>
            </w:pPr>
            <w:r w:rsidRPr="00D01698">
              <w:rPr>
                <w:rFonts w:cstheme="minorHAnsi"/>
                <w:b/>
              </w:rPr>
              <w:t>DET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6A82B880" w14:textId="77777777" w:rsidR="00D57774" w:rsidRPr="00D01698" w:rsidRDefault="00D57774" w:rsidP="00C21DB4">
            <w:pPr>
              <w:jc w:val="center"/>
              <w:rPr>
                <w:rFonts w:cstheme="minorHAnsi"/>
                <w:b/>
              </w:rPr>
            </w:pPr>
            <w:r w:rsidRPr="00D01698">
              <w:rPr>
                <w:rFonts w:cstheme="minorHAnsi"/>
                <w:b/>
              </w:rPr>
              <w:t>1200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33ED0402" w14:textId="77777777" w:rsidR="00D57774" w:rsidRPr="00D01698" w:rsidRDefault="00D57774" w:rsidP="003A4EAA">
            <w:pPr>
              <w:jc w:val="center"/>
              <w:rPr>
                <w:rFonts w:cstheme="minorHAnsi"/>
                <w:b/>
              </w:rPr>
            </w:pPr>
            <w:r w:rsidRPr="00D01698">
              <w:rPr>
                <w:rFonts w:cstheme="minorHAnsi"/>
                <w:b/>
              </w:rPr>
              <w:t>3.12 (2, 1185)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26BF7DB8" w14:textId="77777777" w:rsidR="00D57774" w:rsidRPr="00D01698" w:rsidRDefault="00D57774" w:rsidP="003A4EAA">
            <w:pPr>
              <w:jc w:val="center"/>
              <w:rPr>
                <w:rFonts w:cstheme="minorHAnsi"/>
                <w:b/>
                <w:bCs/>
              </w:rPr>
            </w:pPr>
            <w:r w:rsidRPr="00D01698">
              <w:rPr>
                <w:rFonts w:cstheme="minorHAnsi"/>
                <w:b/>
                <w:bCs/>
              </w:rPr>
              <w:t>0.045</w:t>
            </w:r>
          </w:p>
        </w:tc>
      </w:tr>
      <w:tr w:rsidR="00D57774" w:rsidRPr="00D01698" w14:paraId="47478AE8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06ABB5D2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046AEA5F" w14:textId="451DCC02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IDN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14ADF104" w14:textId="77777777" w:rsidR="00D57774" w:rsidRPr="00D01698" w:rsidRDefault="00D57774" w:rsidP="00C21DB4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1199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7003EA43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0.21 (2, 1184)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613EF4F0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0.21</w:t>
            </w:r>
          </w:p>
        </w:tc>
      </w:tr>
      <w:tr w:rsidR="00D57774" w:rsidRPr="00D01698" w14:paraId="7531532D" w14:textId="77777777" w:rsidTr="003A4EAA">
        <w:tc>
          <w:tcPr>
            <w:tcW w:w="2694" w:type="dxa"/>
            <w:tcBorders>
              <w:left w:val="nil"/>
              <w:right w:val="nil"/>
            </w:tcBorders>
          </w:tcPr>
          <w:p w14:paraId="1EA8B974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right w:val="nil"/>
            </w:tcBorders>
          </w:tcPr>
          <w:p w14:paraId="49DF6271" w14:textId="232841D2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OCL</w:t>
            </w:r>
          </w:p>
        </w:tc>
        <w:tc>
          <w:tcPr>
            <w:tcW w:w="1150" w:type="dxa"/>
            <w:tcBorders>
              <w:left w:val="nil"/>
              <w:right w:val="nil"/>
            </w:tcBorders>
          </w:tcPr>
          <w:p w14:paraId="19D077F3" w14:textId="77777777" w:rsidR="00D57774" w:rsidRPr="00D01698" w:rsidRDefault="00D57774" w:rsidP="00C21DB4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1200</w:t>
            </w:r>
          </w:p>
        </w:tc>
        <w:tc>
          <w:tcPr>
            <w:tcW w:w="1758" w:type="dxa"/>
            <w:tcBorders>
              <w:left w:val="nil"/>
              <w:right w:val="nil"/>
            </w:tcBorders>
          </w:tcPr>
          <w:p w14:paraId="6D965228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2.84 (2, 1185)</w:t>
            </w:r>
          </w:p>
        </w:tc>
        <w:tc>
          <w:tcPr>
            <w:tcW w:w="1718" w:type="dxa"/>
            <w:tcBorders>
              <w:left w:val="nil"/>
              <w:right w:val="nil"/>
            </w:tcBorders>
          </w:tcPr>
          <w:p w14:paraId="3ADAC12B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0.06</w:t>
            </w:r>
          </w:p>
        </w:tc>
      </w:tr>
      <w:tr w:rsidR="00D57774" w:rsidRPr="00D01698" w14:paraId="46E009A6" w14:textId="77777777" w:rsidTr="003A4EAA">
        <w:tc>
          <w:tcPr>
            <w:tcW w:w="2694" w:type="dxa"/>
            <w:tcBorders>
              <w:left w:val="nil"/>
              <w:bottom w:val="single" w:sz="4" w:space="0" w:color="auto"/>
              <w:right w:val="nil"/>
            </w:tcBorders>
          </w:tcPr>
          <w:p w14:paraId="0050ED46" w14:textId="77777777" w:rsidR="00D57774" w:rsidRPr="00D01698" w:rsidRDefault="00D57774" w:rsidP="003A4EAA">
            <w:pPr>
              <w:rPr>
                <w:rFonts w:cstheme="minorHAnsi"/>
              </w:rPr>
            </w:pP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</w:tcPr>
          <w:p w14:paraId="3BAB36B9" w14:textId="5A71C7A4" w:rsidR="00D57774" w:rsidRPr="00D01698" w:rsidRDefault="00D57774" w:rsidP="0086039D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OBK</w:t>
            </w:r>
          </w:p>
        </w:tc>
        <w:tc>
          <w:tcPr>
            <w:tcW w:w="1150" w:type="dxa"/>
            <w:tcBorders>
              <w:left w:val="nil"/>
              <w:bottom w:val="single" w:sz="4" w:space="0" w:color="auto"/>
              <w:right w:val="nil"/>
            </w:tcBorders>
          </w:tcPr>
          <w:p w14:paraId="325F3C10" w14:textId="77777777" w:rsidR="00D57774" w:rsidRPr="00D01698" w:rsidRDefault="00D57774" w:rsidP="00C21DB4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1200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nil"/>
            </w:tcBorders>
          </w:tcPr>
          <w:p w14:paraId="0A900669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1.74 (2, 1185)</w:t>
            </w:r>
          </w:p>
        </w:tc>
        <w:tc>
          <w:tcPr>
            <w:tcW w:w="1718" w:type="dxa"/>
            <w:tcBorders>
              <w:left w:val="nil"/>
              <w:bottom w:val="single" w:sz="4" w:space="0" w:color="auto"/>
              <w:right w:val="nil"/>
            </w:tcBorders>
          </w:tcPr>
          <w:p w14:paraId="5252A064" w14:textId="77777777" w:rsidR="00D57774" w:rsidRPr="00D01698" w:rsidRDefault="00D57774" w:rsidP="003A4EAA">
            <w:pPr>
              <w:jc w:val="center"/>
              <w:rPr>
                <w:rFonts w:cstheme="minorHAnsi"/>
              </w:rPr>
            </w:pPr>
            <w:r w:rsidRPr="00D01698">
              <w:rPr>
                <w:rFonts w:cstheme="minorHAnsi"/>
              </w:rPr>
              <w:t>0.18</w:t>
            </w:r>
          </w:p>
        </w:tc>
      </w:tr>
      <w:tr w:rsidR="00D57774" w:rsidRPr="00D01698" w14:paraId="55031F35" w14:textId="77777777" w:rsidTr="00D01698">
        <w:trPr>
          <w:trHeight w:val="2717"/>
        </w:trPr>
        <w:tc>
          <w:tcPr>
            <w:tcW w:w="9016" w:type="dxa"/>
            <w:gridSpan w:val="5"/>
            <w:tcBorders>
              <w:left w:val="nil"/>
              <w:bottom w:val="nil"/>
              <w:right w:val="nil"/>
            </w:tcBorders>
          </w:tcPr>
          <w:p w14:paraId="1BDEFFAC" w14:textId="6CDB37A2" w:rsidR="00D57774" w:rsidRPr="00D01698" w:rsidRDefault="00D57774" w:rsidP="00D0169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01698">
              <w:rPr>
                <w:rFonts w:cstheme="minorHAnsi"/>
                <w:sz w:val="24"/>
                <w:szCs w:val="24"/>
                <w:lang w:val="en-US"/>
              </w:rPr>
              <w:t xml:space="preserve">CFI = cognitive function instrument (subjective cognitive concerns), DET = Detection, IDN = Identification, OCL = One Card Learning, OBK = One-Back. </w:t>
            </w:r>
            <w:r w:rsidRPr="00D01698">
              <w:rPr>
                <w:rFonts w:cstheme="minorHAnsi"/>
                <w:sz w:val="24"/>
                <w:szCs w:val="24"/>
              </w:rPr>
              <w:t xml:space="preserve">DET and IDN are measures of speed; OCL and OBK are measures of accuracy. DET and IDN scores were reverse coded such that higher responses indicate better performance. </w:t>
            </w:r>
            <w:r w:rsidRPr="00D01698">
              <w:rPr>
                <w:rFonts w:cstheme="minorHAnsi"/>
                <w:sz w:val="24"/>
                <w:szCs w:val="24"/>
                <w:lang w:val="en-US"/>
              </w:rPr>
              <w:t xml:space="preserve">All analyses were adjusted for the effects of age, sex, years of education, levels of depression and anxiety symptoms (using the HADS), BMI, smoking status, and self-reported history of diabetes and hypertension. </w:t>
            </w:r>
            <w:r w:rsidRPr="00D01698">
              <w:rPr>
                <w:rFonts w:cstheme="minorHAnsi"/>
                <w:sz w:val="24"/>
                <w:szCs w:val="24"/>
              </w:rPr>
              <w:t xml:space="preserve">Continuous HADS depression scores were not entered in the model evaluating the moderating effects of </w:t>
            </w:r>
            <w:r w:rsidR="000A3F0B" w:rsidRPr="00D01698">
              <w:rPr>
                <w:rFonts w:cstheme="minorHAnsi"/>
                <w:sz w:val="24"/>
                <w:szCs w:val="24"/>
              </w:rPr>
              <w:t xml:space="preserve">the </w:t>
            </w:r>
            <w:r w:rsidRPr="00D01698">
              <w:rPr>
                <w:rFonts w:cstheme="minorHAnsi"/>
                <w:sz w:val="24"/>
                <w:szCs w:val="24"/>
              </w:rPr>
              <w:t xml:space="preserve">binary depression variable </w:t>
            </w:r>
            <w:r w:rsidRPr="00D01698">
              <w:rPr>
                <w:rFonts w:cstheme="minorHAnsi"/>
                <w:sz w:val="24"/>
                <w:szCs w:val="24"/>
                <w:lang w:val="en-US"/>
              </w:rPr>
              <w:t>(</w:t>
            </w:r>
            <w:r w:rsidR="00574EE9" w:rsidRPr="00D01698">
              <w:rPr>
                <w:rFonts w:cstheme="minorHAnsi"/>
                <w:sz w:val="24"/>
                <w:szCs w:val="24"/>
                <w:lang w:val="en-US"/>
              </w:rPr>
              <w:t>binary depression scores were used instead).</w:t>
            </w:r>
          </w:p>
        </w:tc>
      </w:tr>
    </w:tbl>
    <w:p w14:paraId="489446CC" w14:textId="7B6FE933" w:rsidR="00D57774" w:rsidRDefault="00D57774"/>
    <w:p w14:paraId="0F524F6D" w14:textId="63BDD2DA" w:rsidR="00D57774" w:rsidRDefault="00D57774"/>
    <w:p w14:paraId="2F5EFC30" w14:textId="77777777" w:rsidR="008D0419" w:rsidRDefault="008D0419">
      <w:pPr>
        <w:sectPr w:rsidR="008D0419" w:rsidSect="00D5777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0FF6282" w14:textId="48F48704" w:rsidR="00F572B2" w:rsidRDefault="00F572B2"/>
    <w:p w14:paraId="596C6F2B" w14:textId="18A7A34B" w:rsidR="00811D43" w:rsidRDefault="009065C9" w:rsidP="00811D43">
      <w:pPr>
        <w:rPr>
          <w:lang w:val="en-US"/>
        </w:rPr>
      </w:pPr>
      <w:bookmarkStart w:id="4" w:name="_Hlk61359973"/>
      <w:r>
        <w:rPr>
          <w:noProof/>
          <w:lang w:val="en-US"/>
        </w:rPr>
        <w:drawing>
          <wp:inline distT="0" distB="0" distL="0" distR="0" wp14:anchorId="7230338F" wp14:editId="22BB0A41">
            <wp:extent cx="8863330" cy="2879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es_sleep_updated (1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2879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5261E" w14:textId="7D79BD10" w:rsidR="00811D43" w:rsidRPr="008D0419" w:rsidRDefault="00811D43" w:rsidP="00811D43">
      <w:pPr>
        <w:rPr>
          <w:bCs/>
          <w:sz w:val="24"/>
          <w:szCs w:val="24"/>
          <w:lang w:val="en-US"/>
        </w:rPr>
      </w:pPr>
      <w:bookmarkStart w:id="5" w:name="_Hlk65245212"/>
      <w:r w:rsidRPr="008D0419">
        <w:rPr>
          <w:b/>
          <w:bCs/>
          <w:sz w:val="24"/>
          <w:szCs w:val="24"/>
          <w:lang w:val="en-US"/>
        </w:rPr>
        <w:t xml:space="preserve">Supplementary Figure 1. </w:t>
      </w:r>
      <w:r w:rsidRPr="008D0419">
        <w:rPr>
          <w:bCs/>
          <w:sz w:val="24"/>
          <w:szCs w:val="24"/>
          <w:lang w:val="en-US"/>
        </w:rPr>
        <w:t xml:space="preserve">Frequency distributions of </w:t>
      </w:r>
      <w:r w:rsidR="009065C9" w:rsidRPr="008D0419">
        <w:rPr>
          <w:bCs/>
          <w:sz w:val="24"/>
          <w:szCs w:val="24"/>
          <w:lang w:val="en-US"/>
        </w:rPr>
        <w:t xml:space="preserve">the </w:t>
      </w:r>
      <w:r w:rsidRPr="008D0419">
        <w:rPr>
          <w:bCs/>
          <w:sz w:val="24"/>
          <w:szCs w:val="24"/>
          <w:lang w:val="en-US"/>
        </w:rPr>
        <w:t xml:space="preserve">Pittsburgh Sleep Quality Index (A), Epworth Sleepiness Scale (B), and Insomnia Severity </w:t>
      </w:r>
      <w:r w:rsidR="00530E9F">
        <w:rPr>
          <w:bCs/>
          <w:sz w:val="24"/>
          <w:szCs w:val="24"/>
          <w:lang w:val="en-US"/>
        </w:rPr>
        <w:t>Index</w:t>
      </w:r>
      <w:r w:rsidRPr="008D0419">
        <w:rPr>
          <w:bCs/>
          <w:sz w:val="24"/>
          <w:szCs w:val="24"/>
          <w:lang w:val="en-US"/>
        </w:rPr>
        <w:t xml:space="preserve"> (C)</w:t>
      </w:r>
      <w:bookmarkEnd w:id="4"/>
      <w:bookmarkEnd w:id="5"/>
    </w:p>
    <w:sectPr w:rsidR="00811D43" w:rsidRPr="008D0419" w:rsidSect="008D04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C57AC" w14:textId="77777777" w:rsidR="00E22A26" w:rsidRDefault="00E22A26" w:rsidP="00C01265">
      <w:pPr>
        <w:spacing w:after="0" w:line="240" w:lineRule="auto"/>
      </w:pPr>
      <w:r>
        <w:separator/>
      </w:r>
    </w:p>
  </w:endnote>
  <w:endnote w:type="continuationSeparator" w:id="0">
    <w:p w14:paraId="50D8D20B" w14:textId="77777777" w:rsidR="00E22A26" w:rsidRDefault="00E22A26" w:rsidP="00C0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B1BE3D" w14:textId="77777777" w:rsidR="00E22A26" w:rsidRDefault="00E22A26" w:rsidP="00C01265">
      <w:pPr>
        <w:spacing w:after="0" w:line="240" w:lineRule="auto"/>
      </w:pPr>
      <w:r>
        <w:separator/>
      </w:r>
    </w:p>
  </w:footnote>
  <w:footnote w:type="continuationSeparator" w:id="0">
    <w:p w14:paraId="0E3F14F0" w14:textId="77777777" w:rsidR="00E22A26" w:rsidRDefault="00E22A26" w:rsidP="00C0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U1MDM0tDQ3NjW1NDNQ0lEKTi0uzszPAymwrAUAdV3YWywAAAA="/>
  </w:docVars>
  <w:rsids>
    <w:rsidRoot w:val="00FF21A6"/>
    <w:rsid w:val="00040432"/>
    <w:rsid w:val="00097DD3"/>
    <w:rsid w:val="000A3F0B"/>
    <w:rsid w:val="000D421D"/>
    <w:rsid w:val="001A0278"/>
    <w:rsid w:val="001B3BE9"/>
    <w:rsid w:val="001C548F"/>
    <w:rsid w:val="002B7BCB"/>
    <w:rsid w:val="002C5908"/>
    <w:rsid w:val="003224D9"/>
    <w:rsid w:val="00326BC1"/>
    <w:rsid w:val="00397ECF"/>
    <w:rsid w:val="003F0AE2"/>
    <w:rsid w:val="00415478"/>
    <w:rsid w:val="00424B36"/>
    <w:rsid w:val="004E3CFA"/>
    <w:rsid w:val="00530E9F"/>
    <w:rsid w:val="00531052"/>
    <w:rsid w:val="00536FF2"/>
    <w:rsid w:val="00574EE9"/>
    <w:rsid w:val="006429E1"/>
    <w:rsid w:val="00667CFB"/>
    <w:rsid w:val="00677A93"/>
    <w:rsid w:val="00696DBF"/>
    <w:rsid w:val="006B007B"/>
    <w:rsid w:val="007950DC"/>
    <w:rsid w:val="007A06AC"/>
    <w:rsid w:val="00811D43"/>
    <w:rsid w:val="00817124"/>
    <w:rsid w:val="0085379C"/>
    <w:rsid w:val="0086039D"/>
    <w:rsid w:val="00864B5B"/>
    <w:rsid w:val="00894B36"/>
    <w:rsid w:val="008D0419"/>
    <w:rsid w:val="009065C9"/>
    <w:rsid w:val="00944E6D"/>
    <w:rsid w:val="00966950"/>
    <w:rsid w:val="009B7B54"/>
    <w:rsid w:val="00A048A6"/>
    <w:rsid w:val="00AD0FD1"/>
    <w:rsid w:val="00AD3295"/>
    <w:rsid w:val="00AF1BDC"/>
    <w:rsid w:val="00B669E1"/>
    <w:rsid w:val="00BA05DD"/>
    <w:rsid w:val="00BB0622"/>
    <w:rsid w:val="00C01265"/>
    <w:rsid w:val="00C21DB4"/>
    <w:rsid w:val="00D01698"/>
    <w:rsid w:val="00D472C2"/>
    <w:rsid w:val="00D57774"/>
    <w:rsid w:val="00D80715"/>
    <w:rsid w:val="00D864AB"/>
    <w:rsid w:val="00D9089D"/>
    <w:rsid w:val="00DB4DA7"/>
    <w:rsid w:val="00DB5FF3"/>
    <w:rsid w:val="00DC1E4D"/>
    <w:rsid w:val="00E1020D"/>
    <w:rsid w:val="00E22A26"/>
    <w:rsid w:val="00E44B3E"/>
    <w:rsid w:val="00EE4C2C"/>
    <w:rsid w:val="00F151A5"/>
    <w:rsid w:val="00F2707E"/>
    <w:rsid w:val="00F513AB"/>
    <w:rsid w:val="00F572B2"/>
    <w:rsid w:val="00F77650"/>
    <w:rsid w:val="00F81719"/>
    <w:rsid w:val="00FF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5380F"/>
  <w15:chartTrackingRefBased/>
  <w15:docId w15:val="{A7A07283-BE08-4C86-A7F6-1FC575EF0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1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265"/>
  </w:style>
  <w:style w:type="paragraph" w:styleId="Footer">
    <w:name w:val="footer"/>
    <w:basedOn w:val="Normal"/>
    <w:link w:val="FooterChar"/>
    <w:uiPriority w:val="99"/>
    <w:unhideWhenUsed/>
    <w:rsid w:val="00C012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265"/>
  </w:style>
  <w:style w:type="paragraph" w:styleId="BalloonText">
    <w:name w:val="Balloon Text"/>
    <w:basedOn w:val="Normal"/>
    <w:link w:val="BalloonTextChar"/>
    <w:uiPriority w:val="99"/>
    <w:semiHidden/>
    <w:unhideWhenUsed/>
    <w:rsid w:val="00F57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B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6F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atthewpas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ED447B-4FB9-483E-9B5B-4559BF47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Nicolazzo</dc:creator>
  <cp:keywords/>
  <dc:description/>
  <cp:lastModifiedBy>Matthew Pase</cp:lastModifiedBy>
  <cp:revision>2</cp:revision>
  <dcterms:created xsi:type="dcterms:W3CDTF">2021-04-07T00:56:00Z</dcterms:created>
  <dcterms:modified xsi:type="dcterms:W3CDTF">2021-04-07T00:56:00Z</dcterms:modified>
</cp:coreProperties>
</file>