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D8434" w14:textId="7B5C526A" w:rsidR="00E229F8" w:rsidRPr="00A81507" w:rsidRDefault="00E229F8" w:rsidP="00A81507">
      <w:pPr>
        <w:spacing w:line="360" w:lineRule="auto"/>
        <w:rPr>
          <w:rFonts w:ascii="Times New Roman" w:hAnsi="Times New Roman" w:cs="Times New Roman"/>
          <w:sz w:val="24"/>
          <w:szCs w:val="24"/>
        </w:rPr>
      </w:pPr>
      <w:r w:rsidRPr="00A81507">
        <w:rPr>
          <w:rFonts w:ascii="Times New Roman" w:hAnsi="Times New Roman" w:cs="Times New Roman"/>
          <w:b/>
          <w:sz w:val="24"/>
          <w:szCs w:val="24"/>
        </w:rPr>
        <w:t xml:space="preserve">Table S1. Spectra sample sizes in each weekly dataset. </w:t>
      </w:r>
      <w:r w:rsidRPr="00A81507">
        <w:rPr>
          <w:rFonts w:ascii="Times New Roman" w:hAnsi="Times New Roman" w:cs="Times New Roman"/>
          <w:sz w:val="24"/>
          <w:szCs w:val="24"/>
        </w:rPr>
        <w:t>Symptomatic leaf sample numbers were low in weeks prior to week 6 and were not included in analyses. In all analyses, sample sizes (oak wilt vs. not oak wilt) were randomly sampled to balance sample sizes.</w:t>
      </w:r>
    </w:p>
    <w:p w14:paraId="00F58028" w14:textId="77777777" w:rsidR="00E229F8" w:rsidRPr="00A81507" w:rsidRDefault="00E229F8" w:rsidP="00A81507">
      <w:pPr>
        <w:spacing w:line="360" w:lineRule="auto"/>
        <w:rPr>
          <w:rFonts w:ascii="Times New Roman" w:hAnsi="Times New Roman" w:cs="Times New Roman"/>
          <w:sz w:val="24"/>
          <w:szCs w:val="24"/>
        </w:rPr>
      </w:pPr>
      <w:r w:rsidRPr="00A81507">
        <w:rPr>
          <w:rFonts w:ascii="Times New Roman" w:hAnsi="Times New Roman" w:cs="Times New Roman"/>
          <w:sz w:val="24"/>
          <w:szCs w:val="24"/>
        </w:rPr>
        <w:t xml:space="preserve"> </w:t>
      </w:r>
      <w:r w:rsidRPr="00A81507">
        <w:rPr>
          <w:rFonts w:ascii="Times New Roman" w:hAnsi="Times New Roman" w:cs="Times New Roman"/>
          <w:i/>
          <w:sz w:val="24"/>
          <w:szCs w:val="24"/>
        </w:rPr>
        <w:t xml:space="preserve"> </w:t>
      </w:r>
      <w:r w:rsidRPr="00A81507">
        <w:rPr>
          <w:rFonts w:ascii="Times New Roman" w:hAnsi="Times New Roman" w:cs="Times New Roman"/>
          <w:noProof/>
          <w:sz w:val="24"/>
          <w:szCs w:val="24"/>
        </w:rPr>
        <w:drawing>
          <wp:inline distT="0" distB="0" distL="0" distR="0" wp14:anchorId="49ACEE86" wp14:editId="0A475829">
            <wp:extent cx="5677535" cy="57251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7535" cy="5725160"/>
                    </a:xfrm>
                    <a:prstGeom prst="rect">
                      <a:avLst/>
                    </a:prstGeom>
                    <a:noFill/>
                    <a:ln>
                      <a:noFill/>
                    </a:ln>
                  </pic:spPr>
                </pic:pic>
              </a:graphicData>
            </a:graphic>
          </wp:inline>
        </w:drawing>
      </w:r>
    </w:p>
    <w:p w14:paraId="65423A06" w14:textId="77777777" w:rsidR="00E229F8" w:rsidRPr="00A81507" w:rsidRDefault="00E229F8" w:rsidP="00A81507">
      <w:pPr>
        <w:spacing w:line="360" w:lineRule="auto"/>
        <w:rPr>
          <w:rFonts w:ascii="Times New Roman" w:hAnsi="Times New Roman" w:cs="Times New Roman"/>
          <w:b/>
          <w:sz w:val="24"/>
          <w:szCs w:val="24"/>
        </w:rPr>
      </w:pPr>
    </w:p>
    <w:p w14:paraId="38B8DA90" w14:textId="77777777" w:rsidR="00E229F8" w:rsidRPr="00A81507" w:rsidRDefault="00E229F8" w:rsidP="00A81507">
      <w:pPr>
        <w:spacing w:line="360" w:lineRule="auto"/>
        <w:rPr>
          <w:rFonts w:ascii="Times New Roman" w:hAnsi="Times New Roman" w:cs="Times New Roman"/>
          <w:b/>
          <w:sz w:val="24"/>
          <w:szCs w:val="24"/>
        </w:rPr>
      </w:pPr>
    </w:p>
    <w:p w14:paraId="26A59836" w14:textId="77777777" w:rsidR="00E229F8" w:rsidRPr="00A81507" w:rsidRDefault="00E229F8" w:rsidP="00A81507">
      <w:pPr>
        <w:spacing w:line="360" w:lineRule="auto"/>
        <w:rPr>
          <w:rFonts w:ascii="Times New Roman" w:hAnsi="Times New Roman" w:cs="Times New Roman"/>
          <w:b/>
          <w:sz w:val="24"/>
          <w:szCs w:val="24"/>
        </w:rPr>
      </w:pPr>
    </w:p>
    <w:p w14:paraId="39CD178D" w14:textId="77777777" w:rsidR="00E229F8" w:rsidRPr="00A81507" w:rsidRDefault="00E229F8" w:rsidP="00A81507">
      <w:pPr>
        <w:spacing w:line="360" w:lineRule="auto"/>
        <w:rPr>
          <w:rFonts w:ascii="Times New Roman" w:hAnsi="Times New Roman" w:cs="Times New Roman"/>
          <w:b/>
          <w:sz w:val="24"/>
          <w:szCs w:val="24"/>
        </w:rPr>
      </w:pPr>
    </w:p>
    <w:p w14:paraId="52C2926C" w14:textId="35D75811" w:rsidR="00E229F8" w:rsidRPr="00A81507" w:rsidRDefault="00E229F8" w:rsidP="00A81507">
      <w:pPr>
        <w:spacing w:line="360" w:lineRule="auto"/>
        <w:rPr>
          <w:rFonts w:ascii="Times New Roman" w:hAnsi="Times New Roman" w:cs="Times New Roman"/>
          <w:sz w:val="24"/>
          <w:szCs w:val="24"/>
        </w:rPr>
      </w:pPr>
      <w:r w:rsidRPr="00A81507">
        <w:rPr>
          <w:rFonts w:ascii="Times New Roman" w:hAnsi="Times New Roman" w:cs="Times New Roman"/>
          <w:b/>
          <w:sz w:val="24"/>
          <w:szCs w:val="24"/>
        </w:rPr>
        <w:lastRenderedPageBreak/>
        <w:t xml:space="preserve">Table S2. Pairwise differences in instantaneous photosynthesis and stomatal conductance declines (difference from control) by treatment and leaf symptom status. </w:t>
      </w:r>
      <w:r w:rsidRPr="00A81507">
        <w:rPr>
          <w:rFonts w:ascii="Times New Roman" w:hAnsi="Times New Roman" w:cs="Times New Roman"/>
          <w:sz w:val="24"/>
          <w:szCs w:val="24"/>
        </w:rPr>
        <w:t>Values are the mean difference (units are photosynthesis = µmol</w:t>
      </w:r>
      <w:r w:rsidRPr="00A81507">
        <w:rPr>
          <w:rFonts w:ascii="Times New Roman" w:hAnsi="Times New Roman" w:cs="Times New Roman"/>
          <w:sz w:val="24"/>
          <w:szCs w:val="24"/>
          <w:vertAlign w:val="subscript"/>
        </w:rPr>
        <w:t>CO2</w:t>
      </w:r>
      <w:r w:rsidRPr="00A81507">
        <w:rPr>
          <w:rFonts w:ascii="Times New Roman" w:hAnsi="Times New Roman" w:cs="Times New Roman"/>
          <w:sz w:val="24"/>
          <w:szCs w:val="24"/>
        </w:rPr>
        <w:t xml:space="preserve"> m</w:t>
      </w:r>
      <w:r w:rsidRPr="00A81507">
        <w:rPr>
          <w:rFonts w:ascii="Times New Roman" w:hAnsi="Times New Roman" w:cs="Times New Roman"/>
          <w:sz w:val="24"/>
          <w:szCs w:val="24"/>
          <w:vertAlign w:val="superscript"/>
        </w:rPr>
        <w:t>-2</w:t>
      </w:r>
      <w:r w:rsidRPr="00A81507">
        <w:rPr>
          <w:rFonts w:ascii="Times New Roman" w:hAnsi="Times New Roman" w:cs="Times New Roman"/>
          <w:sz w:val="24"/>
          <w:szCs w:val="24"/>
        </w:rPr>
        <w:t xml:space="preserve"> s</w:t>
      </w:r>
      <w:r w:rsidRPr="00A81507">
        <w:rPr>
          <w:rFonts w:ascii="Times New Roman" w:hAnsi="Times New Roman" w:cs="Times New Roman"/>
          <w:sz w:val="24"/>
          <w:szCs w:val="24"/>
          <w:vertAlign w:val="superscript"/>
        </w:rPr>
        <w:t>-1</w:t>
      </w:r>
      <w:r w:rsidRPr="00A81507">
        <w:rPr>
          <w:rFonts w:ascii="Times New Roman" w:hAnsi="Times New Roman" w:cs="Times New Roman"/>
          <w:sz w:val="24"/>
          <w:szCs w:val="24"/>
        </w:rPr>
        <w:t xml:space="preserve"> and stomatal conductance = mol</w:t>
      </w:r>
      <w:r w:rsidRPr="00A81507">
        <w:rPr>
          <w:rFonts w:ascii="Times New Roman" w:hAnsi="Times New Roman" w:cs="Times New Roman"/>
          <w:sz w:val="24"/>
          <w:szCs w:val="24"/>
          <w:vertAlign w:val="subscript"/>
        </w:rPr>
        <w:t>H2O</w:t>
      </w:r>
      <w:r w:rsidRPr="00A81507">
        <w:rPr>
          <w:rFonts w:ascii="Times New Roman" w:hAnsi="Times New Roman" w:cs="Times New Roman"/>
          <w:sz w:val="24"/>
          <w:szCs w:val="24"/>
        </w:rPr>
        <w:t xml:space="preserve"> m</w:t>
      </w:r>
      <w:r w:rsidRPr="00A81507">
        <w:rPr>
          <w:rFonts w:ascii="Times New Roman" w:hAnsi="Times New Roman" w:cs="Times New Roman"/>
          <w:sz w:val="24"/>
          <w:szCs w:val="24"/>
          <w:vertAlign w:val="superscript"/>
        </w:rPr>
        <w:t>-2</w:t>
      </w:r>
      <w:r w:rsidRPr="00A81507">
        <w:rPr>
          <w:rFonts w:ascii="Times New Roman" w:hAnsi="Times New Roman" w:cs="Times New Roman"/>
          <w:sz w:val="24"/>
          <w:szCs w:val="24"/>
        </w:rPr>
        <w:t xml:space="preserve"> s</w:t>
      </w:r>
      <w:r w:rsidRPr="00A81507">
        <w:rPr>
          <w:rFonts w:ascii="Times New Roman" w:hAnsi="Times New Roman" w:cs="Times New Roman"/>
          <w:sz w:val="24"/>
          <w:szCs w:val="24"/>
          <w:vertAlign w:val="superscript"/>
        </w:rPr>
        <w:t>-1</w:t>
      </w:r>
      <w:r w:rsidRPr="00A81507">
        <w:rPr>
          <w:rFonts w:ascii="Times New Roman" w:hAnsi="Times New Roman" w:cs="Times New Roman"/>
          <w:sz w:val="24"/>
          <w:szCs w:val="24"/>
        </w:rPr>
        <w:t xml:space="preserve">) between columns and rows, followed by lower and upper limits of a 95% CI and significance of pairwise difference (* </w:t>
      </w:r>
      <w:r w:rsidR="000537E4" w:rsidRPr="000537E4">
        <w:rPr>
          <w:rFonts w:ascii="Times New Roman" w:hAnsi="Times New Roman" w:cs="Times New Roman"/>
          <w:i/>
          <w:sz w:val="24"/>
          <w:szCs w:val="24"/>
        </w:rPr>
        <w:t xml:space="preserve">P </w:t>
      </w:r>
      <w:r w:rsidRPr="00A81507">
        <w:rPr>
          <w:rFonts w:ascii="Times New Roman" w:hAnsi="Times New Roman" w:cs="Times New Roman"/>
          <w:sz w:val="24"/>
          <w:szCs w:val="24"/>
        </w:rPr>
        <w:t xml:space="preserve">&lt; 0.05, ** </w:t>
      </w:r>
      <w:r w:rsidR="000537E4" w:rsidRPr="000537E4">
        <w:rPr>
          <w:rFonts w:ascii="Times New Roman" w:hAnsi="Times New Roman" w:cs="Times New Roman"/>
          <w:i/>
          <w:sz w:val="24"/>
          <w:szCs w:val="24"/>
        </w:rPr>
        <w:t xml:space="preserve">P </w:t>
      </w:r>
      <w:r w:rsidRPr="00A81507">
        <w:rPr>
          <w:rFonts w:ascii="Times New Roman" w:hAnsi="Times New Roman" w:cs="Times New Roman"/>
          <w:sz w:val="24"/>
          <w:szCs w:val="24"/>
        </w:rPr>
        <w:t xml:space="preserve">&lt; 0.01, *** </w:t>
      </w:r>
      <w:r w:rsidR="000537E4" w:rsidRPr="000537E4">
        <w:rPr>
          <w:rFonts w:ascii="Times New Roman" w:hAnsi="Times New Roman" w:cs="Times New Roman"/>
          <w:i/>
          <w:sz w:val="24"/>
          <w:szCs w:val="24"/>
        </w:rPr>
        <w:t xml:space="preserve">P </w:t>
      </w:r>
      <w:r w:rsidRPr="00A81507">
        <w:rPr>
          <w:rFonts w:ascii="Times New Roman" w:hAnsi="Times New Roman" w:cs="Times New Roman"/>
          <w:sz w:val="24"/>
          <w:szCs w:val="24"/>
        </w:rPr>
        <w:t xml:space="preserve">&lt; 0.001) from a post-hoc Tukey test (α = 0.05). </w:t>
      </w:r>
    </w:p>
    <w:p w14:paraId="0D78291B" w14:textId="77777777" w:rsidR="00E229F8" w:rsidRPr="00A81507" w:rsidRDefault="00E229F8" w:rsidP="00A81507">
      <w:pPr>
        <w:spacing w:line="360" w:lineRule="auto"/>
        <w:rPr>
          <w:rFonts w:ascii="Times New Roman" w:hAnsi="Times New Roman" w:cs="Times New Roman"/>
          <w:b/>
          <w:sz w:val="24"/>
          <w:szCs w:val="24"/>
        </w:rPr>
      </w:pPr>
    </w:p>
    <w:p w14:paraId="55CDAB8D" w14:textId="77777777" w:rsidR="00E229F8" w:rsidRPr="00A81507" w:rsidRDefault="00E229F8" w:rsidP="00A81507">
      <w:pPr>
        <w:spacing w:line="360" w:lineRule="auto"/>
        <w:rPr>
          <w:rFonts w:ascii="Times New Roman" w:hAnsi="Times New Roman" w:cs="Times New Roman"/>
          <w:b/>
          <w:sz w:val="24"/>
          <w:szCs w:val="24"/>
        </w:rPr>
      </w:pPr>
      <w:r w:rsidRPr="00A81507">
        <w:rPr>
          <w:rFonts w:ascii="Times New Roman" w:hAnsi="Times New Roman" w:cs="Times New Roman"/>
          <w:noProof/>
          <w:sz w:val="24"/>
          <w:szCs w:val="24"/>
        </w:rPr>
        <w:drawing>
          <wp:inline distT="0" distB="0" distL="0" distR="0" wp14:anchorId="6E0DC953" wp14:editId="21F16A58">
            <wp:extent cx="5486400" cy="2751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751455"/>
                    </a:xfrm>
                    <a:prstGeom prst="rect">
                      <a:avLst/>
                    </a:prstGeom>
                    <a:noFill/>
                    <a:ln>
                      <a:noFill/>
                    </a:ln>
                  </pic:spPr>
                </pic:pic>
              </a:graphicData>
            </a:graphic>
          </wp:inline>
        </w:drawing>
      </w:r>
    </w:p>
    <w:p w14:paraId="4E3B29A5" w14:textId="77777777" w:rsidR="00E229F8" w:rsidRPr="00A81507" w:rsidRDefault="00E229F8" w:rsidP="00A81507">
      <w:pPr>
        <w:spacing w:line="360" w:lineRule="auto"/>
        <w:rPr>
          <w:rFonts w:ascii="Times New Roman" w:hAnsi="Times New Roman" w:cs="Times New Roman"/>
          <w:b/>
          <w:sz w:val="24"/>
          <w:szCs w:val="24"/>
        </w:rPr>
      </w:pPr>
    </w:p>
    <w:p w14:paraId="4EB98E96" w14:textId="77777777" w:rsidR="00E229F8" w:rsidRPr="00A81507" w:rsidRDefault="00E229F8" w:rsidP="00A81507">
      <w:pPr>
        <w:spacing w:line="360" w:lineRule="auto"/>
        <w:rPr>
          <w:rFonts w:ascii="Times New Roman" w:hAnsi="Times New Roman" w:cs="Times New Roman"/>
          <w:b/>
          <w:sz w:val="24"/>
          <w:szCs w:val="24"/>
        </w:rPr>
      </w:pPr>
    </w:p>
    <w:p w14:paraId="3F9FDCB2" w14:textId="77777777" w:rsidR="00E229F8" w:rsidRPr="00A81507" w:rsidRDefault="00E229F8" w:rsidP="00A81507">
      <w:pPr>
        <w:spacing w:line="360" w:lineRule="auto"/>
        <w:rPr>
          <w:rFonts w:ascii="Times New Roman" w:hAnsi="Times New Roman" w:cs="Times New Roman"/>
          <w:b/>
          <w:sz w:val="24"/>
          <w:szCs w:val="24"/>
        </w:rPr>
      </w:pPr>
    </w:p>
    <w:p w14:paraId="72E26816" w14:textId="77777777" w:rsidR="00E229F8" w:rsidRPr="00A81507" w:rsidRDefault="00E229F8" w:rsidP="00A81507">
      <w:pPr>
        <w:spacing w:line="360" w:lineRule="auto"/>
        <w:rPr>
          <w:rFonts w:ascii="Times New Roman" w:hAnsi="Times New Roman" w:cs="Times New Roman"/>
          <w:b/>
          <w:sz w:val="24"/>
          <w:szCs w:val="24"/>
        </w:rPr>
      </w:pPr>
    </w:p>
    <w:p w14:paraId="72C00282" w14:textId="77777777" w:rsidR="00E229F8" w:rsidRPr="00A81507" w:rsidRDefault="00E229F8" w:rsidP="00A81507">
      <w:pPr>
        <w:spacing w:line="360" w:lineRule="auto"/>
        <w:rPr>
          <w:rFonts w:ascii="Times New Roman" w:hAnsi="Times New Roman" w:cs="Times New Roman"/>
          <w:b/>
          <w:sz w:val="24"/>
          <w:szCs w:val="24"/>
        </w:rPr>
      </w:pPr>
    </w:p>
    <w:p w14:paraId="4B2D326E" w14:textId="77777777" w:rsidR="00E229F8" w:rsidRPr="00A81507" w:rsidRDefault="00E229F8" w:rsidP="00A81507">
      <w:pPr>
        <w:spacing w:line="360" w:lineRule="auto"/>
        <w:rPr>
          <w:rFonts w:ascii="Times New Roman" w:hAnsi="Times New Roman" w:cs="Times New Roman"/>
          <w:b/>
          <w:sz w:val="24"/>
          <w:szCs w:val="24"/>
        </w:rPr>
      </w:pPr>
    </w:p>
    <w:p w14:paraId="1FF493E2" w14:textId="77777777" w:rsidR="00E229F8" w:rsidRPr="00A81507" w:rsidRDefault="00E229F8" w:rsidP="00A81507">
      <w:pPr>
        <w:spacing w:line="360" w:lineRule="auto"/>
        <w:rPr>
          <w:rFonts w:ascii="Times New Roman" w:hAnsi="Times New Roman" w:cs="Times New Roman"/>
          <w:b/>
          <w:sz w:val="24"/>
          <w:szCs w:val="24"/>
        </w:rPr>
      </w:pPr>
    </w:p>
    <w:p w14:paraId="04DA0A7D" w14:textId="77777777" w:rsidR="00E229F8" w:rsidRPr="00A81507" w:rsidRDefault="00E229F8" w:rsidP="00A81507">
      <w:pPr>
        <w:spacing w:line="360" w:lineRule="auto"/>
        <w:rPr>
          <w:rFonts w:ascii="Times New Roman" w:hAnsi="Times New Roman" w:cs="Times New Roman"/>
          <w:b/>
          <w:sz w:val="24"/>
          <w:szCs w:val="24"/>
        </w:rPr>
      </w:pPr>
    </w:p>
    <w:p w14:paraId="3BD11887" w14:textId="77777777" w:rsidR="00E229F8" w:rsidRPr="00A81507" w:rsidRDefault="00E229F8" w:rsidP="00A81507">
      <w:pPr>
        <w:spacing w:line="360" w:lineRule="auto"/>
        <w:rPr>
          <w:rFonts w:ascii="Times New Roman" w:hAnsi="Times New Roman" w:cs="Times New Roman"/>
          <w:b/>
          <w:sz w:val="24"/>
          <w:szCs w:val="24"/>
        </w:rPr>
      </w:pPr>
    </w:p>
    <w:p w14:paraId="5E96A3BE" w14:textId="237C49A0" w:rsidR="00F37DD3" w:rsidRPr="00A81507" w:rsidRDefault="00E229F8" w:rsidP="00A81507">
      <w:pPr>
        <w:spacing w:line="360" w:lineRule="auto"/>
        <w:rPr>
          <w:rFonts w:ascii="Times New Roman" w:hAnsi="Times New Roman" w:cs="Times New Roman"/>
          <w:b/>
          <w:sz w:val="24"/>
          <w:szCs w:val="24"/>
        </w:rPr>
      </w:pPr>
      <w:r w:rsidRPr="00A81507">
        <w:rPr>
          <w:rFonts w:ascii="Times New Roman" w:hAnsi="Times New Roman" w:cs="Times New Roman"/>
          <w:b/>
          <w:sz w:val="24"/>
          <w:szCs w:val="24"/>
        </w:rPr>
        <w:lastRenderedPageBreak/>
        <w:t xml:space="preserve">Table S3. Oak wilt specific spectral regions. </w:t>
      </w:r>
      <w:r w:rsidRPr="00A81507">
        <w:rPr>
          <w:rFonts w:ascii="Times New Roman" w:hAnsi="Times New Roman" w:cs="Times New Roman"/>
          <w:sz w:val="24"/>
          <w:szCs w:val="24"/>
        </w:rPr>
        <w:t xml:space="preserve">Wavelengths and indices at which oak wilt inoculated individuals have significantly different reflectance values, including commonly used indices or reflectance values (at top, from Pontius et al. </w:t>
      </w:r>
      <w:r w:rsidRPr="00A81507">
        <w:rPr>
          <w:rFonts w:ascii="Times New Roman" w:hAnsi="Times New Roman" w:cs="Times New Roman"/>
          <w:sz w:val="24"/>
          <w:szCs w:val="24"/>
        </w:rPr>
        <w:fldChar w:fldCharType="begin" w:fldLock="1"/>
      </w:r>
      <w:r w:rsidR="00F37DD3">
        <w:rPr>
          <w:rFonts w:ascii="Times New Roman" w:hAnsi="Times New Roman" w:cs="Times New Roman"/>
          <w:sz w:val="24"/>
          <w:szCs w:val="24"/>
        </w:rPr>
        <w:instrText>ADDIN CSL_CITATION {"citationItems":[{"id":"ITEM-1","itemData":{"DOI":"10.1016/j.rse.2005.04.011","ISBN":"0034-4257","ISSN":"00344257","abstract":"In order to aid land managers in monitoring and controlling the ongoing hemlock woolly adelgid outbreak, more accurate landscape scale tools are required to locate the hemlock resource, identify infestation and spot early decline. To this end, NASA's Airborne Visible Infra-red Imaging Spectrometer was flown over the infestation front in the Catskills region of New York during the summer of 2001. Mixture Tuned Matched Filtering in ENVI was used to \"unmix\" spectra and quantify the hemlock signature contribution to each pixel. The resulting percent hemlock basal area coverage correctly identified hemlock dominated pixels (&gt; 40% basal area) with 83% accuracy. Key wavelengths and health indices were examined to determine if a subset of wavelengths could accurately predict an 11-class decline rating system. A linear regression based on reflectance at a chlorophyll sensitive wavelength (R683 nm), coupled with a water band index (R970/R900), was able to predict decline with 85% accuracy. The extreme accuracy at the low (0-3) end of the range indicated that these wavelengths might be used to assess early decline, before visual symptoms are apparent in the field. ?? 2005 Elsevier Inc. All rights reserved.","author":[{"dropping-particle":"","family":"Pontius","given":"Jennifer","non-dropping-particle":"","parse-names":false,"suffix":""},{"dropping-particle":"","family":"Hallett","given":"Richard","non-dropping-particle":"","parse-names":false,"suffix":""},{"dropping-particle":"","family":"Martin","given":"Mary","non-dropping-particle":"","parse-names":false,"suffix":""}],"container-title":"Remote Sensing of Environment","id":"ITEM-1","issue":"2","issued":{"date-parts":[["2005"]]},"page":"163-173","title":"Using AVIRIS to assess hemlock abundance and early decline in the Catskills, New York","type":"article-journal","volume":"97"},"uris":["http://www.mendeley.com/documents/?uuid=bb96fac6-b278-4451-a02e-53dffdaad1c1"]}],"mendeley":{"formattedCitation":"(Pontius et al., 2005)","manualFormatting":"( 2005)","plainTextFormattedCitation":"(Pontius et al., 2005)","previouslyFormattedCitation":"(Pontius et al., 2005)"},"properties":{"noteIndex":0},"schema":"https://github.com/citation-style-language/schema/raw/master/csl-citation.json"}</w:instrText>
      </w:r>
      <w:r w:rsidRPr="00A81507">
        <w:rPr>
          <w:rFonts w:ascii="Times New Roman" w:hAnsi="Times New Roman" w:cs="Times New Roman"/>
          <w:sz w:val="24"/>
          <w:szCs w:val="24"/>
        </w:rPr>
        <w:fldChar w:fldCharType="separate"/>
      </w:r>
      <w:r w:rsidRPr="00A81507">
        <w:rPr>
          <w:rFonts w:ascii="Times New Roman" w:hAnsi="Times New Roman" w:cs="Times New Roman"/>
          <w:noProof/>
          <w:sz w:val="24"/>
          <w:szCs w:val="24"/>
        </w:rPr>
        <w:t>( 2005)</w:t>
      </w:r>
      <w:r w:rsidRPr="00A81507">
        <w:rPr>
          <w:rFonts w:ascii="Times New Roman" w:hAnsi="Times New Roman" w:cs="Times New Roman"/>
          <w:sz w:val="24"/>
          <w:szCs w:val="24"/>
        </w:rPr>
        <w:fldChar w:fldCharType="end"/>
      </w:r>
      <w:r w:rsidRPr="00A81507">
        <w:rPr>
          <w:rFonts w:ascii="Times New Roman" w:hAnsi="Times New Roman" w:cs="Times New Roman"/>
          <w:sz w:val="24"/>
          <w:szCs w:val="24"/>
        </w:rPr>
        <w:t>). Reflectance percent values are mean difference between oak wilt and all other treatments. The minimum difference (min. diff %) in reflectance between the mean value of the oak wilt reflectance and the most similar treatment at that wavelength. * = oak wilt reflectance values are significantly different from all other treatment reflectance values (</w:t>
      </w:r>
      <w:r w:rsidR="000537E4" w:rsidRPr="000537E4">
        <w:rPr>
          <w:rFonts w:ascii="Times New Roman" w:hAnsi="Times New Roman" w:cs="Times New Roman"/>
          <w:i/>
          <w:sz w:val="24"/>
          <w:szCs w:val="24"/>
        </w:rPr>
        <w:t xml:space="preserve">P </w:t>
      </w:r>
      <w:r w:rsidRPr="00A81507">
        <w:rPr>
          <w:rFonts w:ascii="Times New Roman" w:hAnsi="Times New Roman" w:cs="Times New Roman"/>
          <w:sz w:val="24"/>
          <w:szCs w:val="24"/>
        </w:rPr>
        <w:t xml:space="preserve">&lt; 0.001). </w:t>
      </w:r>
      <w:proofErr w:type="spellStart"/>
      <w:r w:rsidRPr="00A81507">
        <w:rPr>
          <w:rFonts w:ascii="Times New Roman" w:hAnsi="Times New Roman" w:cs="Times New Roman"/>
          <w:sz w:val="24"/>
          <w:szCs w:val="24"/>
          <w:vertAlign w:val="superscript"/>
        </w:rPr>
        <w:t>wk</w:t>
      </w:r>
      <w:proofErr w:type="spellEnd"/>
      <w:r w:rsidRPr="00A81507">
        <w:rPr>
          <w:rFonts w:ascii="Times New Roman" w:hAnsi="Times New Roman" w:cs="Times New Roman"/>
          <w:sz w:val="24"/>
          <w:szCs w:val="24"/>
        </w:rPr>
        <w:t xml:space="preserve"> = interactive effect of treatment and experimental timing was significant (</w:t>
      </w:r>
      <w:r w:rsidR="000537E4" w:rsidRPr="00AF7492">
        <w:rPr>
          <w:rFonts w:ascii="Times New Roman" w:hAnsi="Times New Roman" w:cs="Times New Roman"/>
          <w:i/>
          <w:sz w:val="24"/>
          <w:szCs w:val="24"/>
        </w:rPr>
        <w:t>P</w:t>
      </w:r>
      <w:r w:rsidR="000537E4">
        <w:rPr>
          <w:rFonts w:ascii="Times New Roman" w:hAnsi="Times New Roman" w:cs="Times New Roman"/>
          <w:sz w:val="24"/>
          <w:szCs w:val="24"/>
        </w:rPr>
        <w:t xml:space="preserve"> </w:t>
      </w:r>
      <w:r w:rsidRPr="00A81507">
        <w:rPr>
          <w:rFonts w:ascii="Times New Roman" w:hAnsi="Times New Roman" w:cs="Times New Roman"/>
          <w:sz w:val="24"/>
          <w:szCs w:val="24"/>
        </w:rPr>
        <w:t>&lt;0.001). Species oak wilt reflectance values are mean difference between oak wilt and all other treatments (</w:t>
      </w:r>
      <w:proofErr w:type="spellStart"/>
      <w:r w:rsidRPr="00A81507">
        <w:rPr>
          <w:rFonts w:ascii="Times New Roman" w:hAnsi="Times New Roman" w:cs="Times New Roman"/>
          <w:i/>
          <w:sz w:val="24"/>
          <w:szCs w:val="24"/>
        </w:rPr>
        <w:t>ellip</w:t>
      </w:r>
      <w:proofErr w:type="spellEnd"/>
      <w:r w:rsidRPr="00A81507">
        <w:rPr>
          <w:rFonts w:ascii="Times New Roman" w:hAnsi="Times New Roman" w:cs="Times New Roman"/>
          <w:i/>
          <w:sz w:val="24"/>
          <w:szCs w:val="24"/>
        </w:rPr>
        <w:t xml:space="preserve"> </w:t>
      </w:r>
      <w:r w:rsidRPr="00A81507">
        <w:rPr>
          <w:rFonts w:ascii="Times New Roman" w:hAnsi="Times New Roman" w:cs="Times New Roman"/>
          <w:sz w:val="24"/>
          <w:szCs w:val="24"/>
        </w:rPr>
        <w:t xml:space="preserve">OW % or </w:t>
      </w:r>
      <w:r w:rsidRPr="00A81507">
        <w:rPr>
          <w:rFonts w:ascii="Times New Roman" w:hAnsi="Times New Roman" w:cs="Times New Roman"/>
          <w:i/>
          <w:sz w:val="24"/>
          <w:szCs w:val="24"/>
        </w:rPr>
        <w:t xml:space="preserve">macro </w:t>
      </w:r>
      <w:r w:rsidRPr="00A81507">
        <w:rPr>
          <w:rFonts w:ascii="Times New Roman" w:hAnsi="Times New Roman" w:cs="Times New Roman"/>
          <w:sz w:val="24"/>
          <w:szCs w:val="24"/>
        </w:rPr>
        <w:t>OW %) and are only shown if species is a significant predictor of reflectance.</w:t>
      </w:r>
      <w:r w:rsidR="00E830BC">
        <w:rPr>
          <w:rFonts w:ascii="Times New Roman" w:hAnsi="Times New Roman" w:cs="Times New Roman"/>
          <w:sz w:val="24"/>
          <w:szCs w:val="24"/>
        </w:rPr>
        <w:t xml:space="preserve"> Annotations included when available</w:t>
      </w:r>
      <w:r w:rsidR="00F37DD3">
        <w:rPr>
          <w:rFonts w:ascii="Times New Roman" w:hAnsi="Times New Roman" w:cs="Times New Roman"/>
          <w:sz w:val="24"/>
          <w:szCs w:val="24"/>
        </w:rPr>
        <w:t xml:space="preserve"> </w:t>
      </w:r>
      <w:r w:rsidR="00F37DD3">
        <w:rPr>
          <w:rFonts w:ascii="Times New Roman" w:hAnsi="Times New Roman" w:cs="Times New Roman"/>
          <w:sz w:val="24"/>
          <w:szCs w:val="24"/>
        </w:rPr>
        <w:fldChar w:fldCharType="begin" w:fldLock="1"/>
      </w:r>
      <w:r w:rsidR="00D830CC">
        <w:rPr>
          <w:rFonts w:ascii="Times New Roman" w:hAnsi="Times New Roman" w:cs="Times New Roman"/>
          <w:sz w:val="24"/>
          <w:szCs w:val="24"/>
        </w:rPr>
        <w:instrText>ADDIN CSL_CITATION {"citationItems":[{"id":"ITEM-1","itemData":{"DOI":"10.1002/j.1537-2197.1993.tb13796.x","ISSN":"00029122","author":[{"dropping-particle":"","family":"Carter","given":"Gregory A.","non-dropping-particle":"","parse-names":false,"suffix":""}],"container-title":"American Journal of Botany","id":"ITEM-1","issue":"3","issued":{"date-parts":[["1993"]]},"page":"239-243","title":"Responses of Leaf Spectral Reflectance To Plant Stress","type":"article-journal","volume":"80"},"uris":["http://www.mendeley.com/documents/?uuid=779e54a9-7ee3-4774-a411-5f35a9e2b0d1"]},{"id":"ITEM-2","itemData":{"DOI":"10.1080/014311697217396","ISBN":"0143-1161","ISSN":"13665901","PMID":"19970608406","abstract":"Abstract Water Index WI (R900/R970) was used for the estimation of plant water concentration (PWC) by ground-based, reflectance measurements. Reflectance and PWC were measured for adult plants growing in the field throughout an annual cycle and in potted seedlings submitted to progressive desiccation. The species studied were characteristicly Mediterranean: Pinus halepensis, Quercus ilex, Quercus coccifera, Arbutus unedo, Cistus albidus, Cistus monspeliensis, Phillyrea angustifolia, Pistacia lentiscus and Brachypodium retusum . WI was significantly correlated with PWC when all the species were considered together, and with almost all the species considered individually, especially when a wider range of PWC was obtained by extreme dessication of experimental plants. The correlations increased when normalizing WI by NDVI. The wavelength of the trough corresponding to water absorption band tended to shift from 970-980 nm to lower wavelengths 930-950 nm with decreasing PWCs. Infrared measurement of plant temperature and T leaf - T air provided worse assessment of PWC. A simple radiometer measuring plant reflectance at 680, 900, and 970nm could speed up the measurement of PWC, and be useful in wildfire risk evaluation and drought assessment. Water Index WI (R900/R970) was used for the estimation of plant water concentration (PWC) by ground-based, reflectance measurements. Reflectance and PWC were measured for adult plants growing in the field throughout an annual cycle and in potted seedlings submitted to progressive desiccation. The species studied were characteristicly Mediterranean: Pinus halepensis, Quercus ilex, Quercus coccifera, Arbutus unedo, Cistus albidus, Cistus monspeliensis, Phillyrea angustifolia, Pistacia lentiscus and Brachypodium retusum . WI was significantly correlated with PWC when all the species were considered together, and with almost all the species considered individually, especially when a wider range of PWC was obtained by extreme dessication of experimental plants. The correlations increased when normalizing WI by NDVI. The wavelength of the trough corresponding to water absorption band tended to shift from 970-980 nm to lower wavelengths 930-950 nm with decreasing PWCs. Infrared measurement of plant temperature and T leaf - T air provided worse assessment of PWC. A simple radiometer measuring plant reflectance at 680, 900, and 970nm could speed up the measurement of PWC, and be useful in wildfire risk evaluation and drought asse…","author":[{"dropping-particle":"","family":"Penuelas","given":"J.","non-dropping-particle":"","parse-names":false,"suffix":""},{"dropping-particle":"","family":"Pinol","given":"J.","non-dropping-particle":"","parse-names":false,"suffix":""},{"dropping-particle":"","family":"Ogaya","given":"R.","non-dropping-particle":"","parse-names":false,"suffix":""},{"dropping-particle":"","family":"Filella","given":"I.","non-dropping-particle":"","parse-names":false,"suffix":""}],"container-title":"International Journal of Remote Sensing","id":"ITEM-2","issue":"13","issued":{"date-parts":[["1997"]]},"page":"2869-2875","title":"Estimation of plant water concentration by the reflectance Water Index WI (R900/R970)","type":"article-journal","volume":"18"},"uris":["http://www.mendeley.com/documents/?uuid=ec7c2803-65cb-4775-948e-60553dbde1c7"]},{"id":"ITEM-3","itemData":{"DOI":"10.1016/0034-4257(80)90096-6","ISBN":"0034-4257","ISSN":"00344257","PMID":"245","abstract":"A stochastic leaf radiation model was used to predict leaf spectral reflectance as a function of leaf water content for a dicot leaf. Simulated spectral reflectances were analyzed to quantify reflectance differences between different equivalent water thicknesses. Simulated results coupled with consideration of atmoshperic transmission properties and the incident solar spectral irradiance at the earth's surface resulted in the conclusion that the 1.55–1.75 μm region was the best-suited wavelength interval for satellite—platform remote sensing of plant canopy water status in the 0.7–2.5 μm region of the spectrum. © 1980, All rights reserved.","author":[{"dropping-particle":"","family":"Tucker","given":"Compton J.","non-dropping-particle":"","parse-names":false,"suffix":""}],"container-title":"Remote Sensing of Environment","id":"ITEM-3","issue":"1","issued":{"date-parts":[["1980"]]},"page":"23-32","title":"Remote sensing of leaf water content in the near infrared","type":"article-journal","volume":"10"},"uris":["http://www.mendeley.com/documents/?uuid=b19f25b8-eac4-4259-ad96-a4cff54395eb"]},{"id":"ITEM-4","itemData":{"DOI":"10.1016/j.rse.2005.04.011","ISBN":"0034-4257","ISSN":"00344257","abstract":"In order to aid land managers in monitoring and controlling the ongoing hemlock woolly adelgid outbreak, more accurate landscape scale tools are required to locate the hemlock resource, identify infestation and spot early decline. To this end, NASA's Airborne Visible Infra-red Imaging Spectrometer was flown over the infestation front in the Catskills region of New York during the summer of 2001. Mixture Tuned Matched Filtering in ENVI was used to \"unmix\" spectra and quantify the hemlock signature contribution to each pixel. The resulting percent hemlock basal area coverage correctly identified hemlock dominated pixels (&gt; 40% basal area) with 83% accuracy. Key wavelengths and health indices were examined to determine if a subset of wavelengths could accurately predict an 11-class decline rating system. A linear regression based on reflectance at a chlorophyll sensitive wavelength (R683 nm), coupled with a water band index (R970/R900), was able to predict decline with 85% accuracy. The extreme accuracy at the low (0-3) end of the range indicated that these wavelengths might be used to assess early decline, before visual symptoms are apparent in the field. ?? 2005 Elsevier Inc. All rights reserved.","author":[{"dropping-particle":"","family":"Pontius","given":"Jennifer","non-dropping-particle":"","parse-names":false,"suffix":""},{"dropping-particle":"","family":"Hallett","given":"Richard","non-dropping-particle":"","parse-names":false,"suffix":""},{"dropping-particle":"","family":"Martin","given":"Mary","non-dropping-particle":"","parse-names":false,"suffix":""}],"container-title":"Remote Sensing of Environment","id":"ITEM-4","issue":"2","issued":{"date-parts":[["2005"]]},"page":"163-173","title":"Using AVIRIS to assess hemlock abundance and early decline in the Catskills, New York","type":"article-journal","volume":"97"},"uris":["http://www.mendeley.com/documents/?uuid=bb96fac6-b278-4451-a02e-53dffdaad1c1"]},{"id":"ITEM-5","itemData":{"DOI":"10.1080/014311698215919","ISBN":"0143-1161","ISSN":"13665901","abstract":"The possibility of estimating the concentration of individual photosynthetic pigments within vegetation from reflectance spectra offers great promise for the use of remote sensing to assess physiological status, species type and productivity. This study evaluates a number of spectral indices for estimating pigment concentrations at the leaf scale, using samples from deciduous trees at various stages of senescence. Two new indices (PSSR and PSND) are developed which have advantages over previous techniques. The optimal individual wavebands for pigment estimation are identified empirically as 680 nm for chlorophyll a, 635 nm for chlorophyll b and 470 nm for the carotenoids. These wavebands are justified theoretically and are shown to improve the performance of many of the spectral indices tested. Strong predictive models are demonstrated for chlorophyll a and b, but not for the carotenoids and the paper explores the reasons for this.","author":[{"dropping-particle":"","family":"Blackburn","given":"G. A.","non-dropping-particle":"","parse-names":false,"suffix":""}],"container-title":"International Journal of Remote Sensing","id":"ITEM-5","issue":"4","issued":{"date-parts":[["1998"]]},"page":"657-675","title":"Spectral indices for estimating photosynthetic pigment concentrations: A test using senescent tree leaves","type":"article-journal","volume":"19"},"uris":["http://www.mendeley.com/documents/?uuid=90a98e55-dad2-4112-9d70-749cc6e0cb21"]},{"id":"ITEM-6","itemData":{"DOI":"10.4314/wsa.v35i5.49201","ISBN":"0378-4738","ISSN":"18167950","PMID":"20093356903","abstract":"Abstract This review provides an overview of the use of remote sensing data, the development of spectral reflectance indices for detecting plant water stress, and the usefulness of field measurements for ground-truthing purposes. Reliable measurements of plant water stress over large areas are often required for management applications in the fields of agriculture, forestry, conservation and land rehabilitation. The use of remote sensing technologies and spectral reflectance data for determining spatial patterns of plant water stress is widely described in the scientific literature. Airborne, space-borne and hand-held remote sensing technologies are commonly used to investigate the spectral responses of vegetation to plant stress. Earlier studies utilised multispectral sensors which commonly collect four to seven spectral bands in the visible and near-infrared region of the electromagnetic spectrum. Advances in sensor and image processor technology over the past 3 decades now allow for the simultaneous collection of several hundred narrow spectral bands resulting in more detailed hyperspectral data. The availability of hyperspectral data has led to the identification of several spectral indices that have been shown to be useful in identifying plant stress. Such studies have revealed strong linear relationships between plant pigment concen- tration and the visible (VIS) and near-infrared (NIR) reflectance, while plant water content has been linked to specific bands in the short-wave infrared (SWIR) region of the spectrum. Ground-truthing is essential to identifying useful reflectance information for detecting plant water stress, and four commonly used ground-based methods viz. predawn leaf water poten- tial, leaf chlorophyll fluorescence, leaf pigment concentrations and leaf water content are reviewed for their, usefulness and practical application.","author":[{"dropping-particle":"","family":"Govender","given":"M.","non-dropping-particle":"","parse-names":false,"suffix":""},{"dropping-particle":"","family":"Dye","given":"P. J.","non-dropping-particle":"","parse-names":false,"suffix":""},{"dropping-particle":"","family":"Weiersbye","given":"I. M.","non-dropping-particle":"","parse-names":false,"suffix":""},{"dropping-particle":"","family":"Witkowski","given":"E. T.F.","non-dropping-particle":"","parse-names":false,"suffix":""},{"dropping-particle":"","family":"Ahmed","given":"F.","non-dropping-particle":"","parse-names":false,"suffix":""}],"container-title":"Water SA","id":"ITEM-6","issue":"5","issued":{"date-parts":[["2009"]]},"page":"741-752","title":"Review of commonly used remote sensing and ground-based technologies to measure plant water stress","type":"article-journal","volume":"35"},"uris":["http://www.mendeley.com/documents/?uuid=b3476c85-34d6-49dc-becd-f192f9a7d879"]},{"id":"ITEM-7","itemData":{"abstract":"Remotely sensed data are being used to estimate foliar chemical content. This paper reviews how stepwise multiple regression and deconvolution have been used to extract chemical information from foliar spectra, and concludes that both methods are useful, but neither is ideal. It is recommended that the focus of research be modeling in the long term and experimentation in the short term. Long-term research should increase our understanding of the interaction between radiation and foliar chemistry so that the focus of research can move from leaf model to canopy model to field experiment. Short-term research should aim to design experiments in which remotely sensed data are used to generate unambiguous and accurate estimates of foliar chemical content.","author":[{"dropping-particle":"","family":"Curran","given":"Paul J.","non-dropping-particle":"","parse-names":false,"suffix":""}],"container-title":"Remote Sensing of Environment","id":"ITEM-7","issued":{"date-parts":[["1989"]]},"page":"271-278","title":"Remote sensing of foliar chemistry","type":"article-journal","volume":"30"},"uris":["http://www.mendeley.com/documents/?uuid=c7dfe661-300e-4c3a-a24f-2f51c855fb61"]},{"id":"ITEM-8","itemData":{"DOI":"10.1080/10106040701204396","ISSN":"10106049","abstract":"Laboratory measurements of the spectral reflectance of six &lt;i&gt;Eucalyptus&lt;/i&gt; species were carried out over the 400&amp;ndash;2500&amp;nbsp;nm range using a spectroradiometer. The relationship between leaf spectral reflectance and water content was investigated to determine the best bands for predicting water content of leaves. Water availability is a critical factor in plant survival and development and water stress is one of the most common limitations of primary productivity. Estimation of water content of forests is an important component of fire modelling as it determines the likelihood and intensities of fire. For raw reflectance spectra, strong correlations were observed at 1175&amp;nbsp;nm and 1650&amp;nbsp;nm. For the first derivative of reflectance spectra, high correlations were obtained at 940&amp;nbsp;nm, 1000&amp;nbsp;nm and 2100&amp;nbsp;nm. It is suggested that the first derivative spectra is more reliable for the remote estimation of leaf water content as it is highly correlated with leaf water content and insensitive to differences in leaf structure. Statistically significant correlations were obtained for all species in the 2050&amp;ndash;2090&amp;nbsp;nm region of the first derivative spectra, suggesting that this region could be used to develop a general index for remote estimation of water content in a mixed forest environment. %U http://www.informaworld.com/10.1080/10106040701204396 %@ 1010-6049 %[ July 05, 2007","author":[{"dropping-particle":"","family":"Kumar","given":"L.","non-dropping-particle":"","parse-names":false,"suffix":""}],"container-title":"Geocarto International","id":"ITEM-8","issue":"1","issued":{"date-parts":[["2007"]]},"page":"3-16","title":"High-spectral resolution data for determining leaf water content in Eucalyptus species: Leaf level experiments","type":"article-journal","volume":"22"},"uris":["http://www.mendeley.com/documents/?uuid=3fb6864c-4b85-4609-beff-1dfc73f6ce48"]},{"id":"ITEM-9","itemData":{"DOI":"10.3390/rs70201225","ISSN":"20724292","abstract":"The invasive shrub, Acacia longifolia, native to southeastern Australia, has a negative impact on vegetation and ecosystem functioning in Portuguese dune ecosystems. In order to spectrally discriminate A. longifolia from other non-native and native species, we developed a classification model based on leaf reflectance spectra (350–2500 nm) and condensed leaf tannin content. High variation of leaf tannin content is common for Mediterranean shrub and tree species, in particular between N-fixing and non-N-fixing species, as well as within the genus, Acacia. However, variation in leaf tannin content has not been studied in coastal dune ecosystems in southwest Portugal. We hypothesized that condensed tannin concentration varies significantly across species, further allowing for distinguishing invasive, nitrogen-fixing A. longifolia from other vegetation based on leaf spectral reflectance data. Spectral field measurements were carried out using an ASD FieldSpec FR spectroradiometer attached to an ASD leaf clip in order to collect 750 in situ leaf reflectance spectra of seven frequent plant species at three study sites in southwest Portugal. We applied partial least squares (PLS) regression to predict the obtained leaf reflectance spectra of A. longifolia individuals to their corresponding tannin concentration. A. longifolia had the lowest tannin concentration of all investigated species. Four wavelength regions (675–710 nm, 1060–1170 nm, 1360–1450 nm and 1630–1740 nm) were identified as being highly correlated with tannin concentration. A spectra-based classification model of the different plant species was calculated using a principal component analysis-linear discriminant analysis (PCA-LDA). The best prediction of A. longifolia was achieved by using wavelength regions between 1360–1450 nm and 1630–1740 nm, resulting in a user’s accuracy of 98.9%. In comparison, selecting the entire wavelength range, the best user accuracy only reached 86.5% for A. longifolia individuals.","author":[{"dropping-particle":"","family":"Lehmann","given":"Jan Rudolf Karl","non-dropping-particle":"","parse-names":false,"suffix":""},{"dropping-particle":"","family":"Große-Stoltenberg","given":"André","non-dropping-particle":"","parse-names":false,"suffix":""},{"dropping-particle":"","family":"Römer","given":"Meike","non-dropping-particle":"","parse-names":false,"suffix":""},{"dropping-particle":"","family":"Oldeland","given":"Jens","non-dropping-particle":"","parse-names":false,"suffix":""}],"container-title":"Remote Sensing","id":"ITEM-9","issue":"2","issued":{"date-parts":[["2015"]]},"page":"1225-1241","title":"Field spectroscopy in the VNIR-SWIR region to discriminate between mediterranean native plants and exotic-invasive shrubs based on leaf tannin content","type":"article-journal","volume":"7"},"uris":["http://www.mendeley.com/documents/?uuid=c4451af4-c07c-45cd-8b8b-0dee1ec35383"]},{"id":"ITEM-10","itemData":{"author":[{"dropping-particle":"","family":"Elvidge","given":"Christopher D.","non-dropping-particle":"","parse-names":false,"suffix":""}],"container-title":"International Journal of Remote Sensing1","id":"ITEM-10","issue":"10","issued":{"date-parts":[["1990"]]},"page":"1775-1795","title":"Visible and near infrared reflectance characteristics of dry plant materials","type":"article-journal","volume":"11"},"uris":["http://www.mendeley.com/documents/?uuid=1b5c0034-8604-45a9-af09-9616abba6fe9"]},{"id":"ITEM-11","itemData":{"DOI":"10.1093/jxb/err294","ISBN":"0022-0957","ISSN":"00220957","PMID":"21984647","abstract":"Researchers from a number of disciplines have long sought the ability to estimate the functional attributes of plant canopies, such as photosynthetic capacity, using remotely sensed data. To date, however, this goal has not been fully realized. In this study, fresh-leaf reflectance spectroscopy (λ=450-2500 nm) and a partial least-squares regression (PLSR) analysis were used to estimate key determinants of photosynthetic capacity-namely the maximum rates of RuBP carboxylation (V(cmax)) and regeneration (J(max))-measured with standard gas exchange techniques on leaves of trembling aspen and eastern cottonwood trees. The trees were grown across an array of glasshouse temperature regimes. The PLSR models yielded accurate and precise estimates of V(cmax) and J(max) within and across species and glasshouse temperatures. These predictions were developed using unique contributions from different spectral regions. Most of the wavelengths selected were correlated with known absorption features related to leaf water content, nitrogen concentration, internal structure, and/or photosynthetic enzymes. In a field application of our PLSR models, spectral reflectance data effectively captured the short-term temperature sensitivities of V(cmax) and J(max) in aspen foliage. These findings highlight a promising strategy for developing remote sensing methods to characterize dynamic, environmentally sensitive aspects of canopy photosynthetic metabolism at broad scales.","author":[{"dropping-particle":"","family":"Serbin","given":"Shawn P.","non-dropping-particle":"","parse-names":false,"suffix":""},{"dropping-particle":"","family":"Dillaway","given":"Dylan N.","non-dropping-particle":"","parse-names":false,"suffix":""},{"dropping-particle":"","family":"Kruger","given":"Eric L.","non-dropping-particle":"","parse-names":false,"suffix":""},{"dropping-particle":"","family":"Townsend","given":"Philip A.","non-dropping-particle":"","parse-names":false,"suffix":""}],"container-title":"Journal of Experimental Botany","id":"ITEM-11","issue":"1","issued":{"date-parts":[["2012"]]},"page":"489-502","title":"Leaf optical properties reflect variation in photosynthetic metabolism and its sensitivity to temperature","type":"article-journal","volume":"63"},"uris":["http://www.mendeley.com/documents/?uuid=b99934de-2f29-4e34-b24d-028c5e39f14a"]},{"id":"ITEM-12","itemData":{"DOI":"10.1093/treephys/tpx106","ISSN":"0829-318X","author":[{"dropping-particle":"","family":"Cotrozzi","given":"Lorenzo","non-dropping-particle":"","parse-names":false,"suffix":""},{"dropping-particle":"","family":"Couture","given":"John J.","non-dropping-particle":"","parse-names":false,"suffix":""},{"dropping-particle":"","family":"Cavender-Bares","given":"Jeannine","non-dropping-particle":"","parse-names":false,"suffix":""},{"dropping-particle":"","family":"Kingdon","given":"Clayton C.","non-dropping-particle":"","parse-names":false,"suffix":""},{"dropping-particle":"","family":"Fallon","given":"Beth","non-dropping-particle":"","parse-names":false,"suffix":""},{"dropping-particle":"","family":"Pilz","given":"George","non-dropping-particle":"","parse-names":false,"suffix":""},{"dropping-particle":"","family":"Pellegrini","given":"Elisa","non-dropping-particle":"","parse-names":false,"suffix":""},{"dropping-particle":"","family":"Nali","given":"Cristina","non-dropping-particle":"","parse-names":false,"suffix":""},{"dropping-particle":"","family":"Townsend","given":"Philip A.","non-dropping-particle":"","parse-names":false,"suffix":""}],"container-title":"Tree Physiology","id":"ITEM-12","issue":"October","issued":{"date-parts":[["2017"]]},"page":"1-10","title":"Using foliar spectral properties to assess the effects of drought on plant water potential","type":"article-journal"},"uris":["http://www.mendeley.com/documents/?uuid=1bffcc4f-c761-4e2f-945d-d8064187a3ce"]}],"mendeley":{"formattedCitation":"(Blackburn, 1998; Carter, 1993; Cotrozzi et al., 2017; Curran, 1989; Elvidge, 1990; Govender, Dye, Weiersbye, Witkowski, &amp; Ahmed, 2009; Kumar, 2007; Lehmann, Große-Stoltenberg, Römer, &amp; Oldeland, 2015; Penuelas et al., 1997; Pontius et al., 2005; Serbin, Dillaway, Kruger, &amp; Townsend, 2012; Tucker, 1980)","plainTextFormattedCitation":"(Blackburn, 1998; Carter, 1993; Cotrozzi et al., 2017; Curran, 1989; Elvidge, 1990; Govender, Dye, Weiersbye, Witkowski, &amp; Ahmed, 2009; Kumar, 2007; Lehmann, Große-Stoltenberg, Römer, &amp; Oldeland, 2015; Penuelas et al., 1997; Pontius et al., 2005; Serbin, Dillaway, Kruger, &amp; Townsend, 2012; Tucker, 1980)","previouslyFormattedCitation":"(Blackburn, 1998; Carter, 1993; Cotrozzi et al., 2017; Curran, 1989; Elvidge, 1990; Govender, Dye, Weiersbye, Witkowski, &amp; Ahmed, 2009; Kumar, 2007; Lehmann, Große-Stoltenberg, Römer, &amp; Oldeland, 2015; Penuelas et al., 1997; Pontius et al., 2005; Serbin, Dillaway, Kruger, &amp; Townsend, 2012; Tucker, 1980)"},"properties":{"noteIndex":0},"schema":"https://github.com/citation-style-language/schema/raw/master/csl-citation.json"}</w:instrText>
      </w:r>
      <w:r w:rsidR="00F37DD3">
        <w:rPr>
          <w:rFonts w:ascii="Times New Roman" w:hAnsi="Times New Roman" w:cs="Times New Roman"/>
          <w:sz w:val="24"/>
          <w:szCs w:val="24"/>
        </w:rPr>
        <w:fldChar w:fldCharType="separate"/>
      </w:r>
      <w:r w:rsidR="00F37DD3" w:rsidRPr="00F37DD3">
        <w:rPr>
          <w:rFonts w:ascii="Times New Roman" w:hAnsi="Times New Roman" w:cs="Times New Roman"/>
          <w:noProof/>
          <w:sz w:val="24"/>
          <w:szCs w:val="24"/>
        </w:rPr>
        <w:t>(Blackburn, 1998; Carter, 1993; Cotrozzi et al., 2017; Curran, 1989; Elvidge, 1990; Govender, Dye, Weiersbye, Witkowski, &amp; Ahmed, 2009; Kumar, 2007; Lehmann, Große-Stoltenberg, Römer, &amp; Oldeland, 2015; Penuelas et al., 1997; Pontius et al., 2005; Serbin, Dillaway, Kruger, &amp; Townsend, 2012; Tucker, 1980)</w:t>
      </w:r>
      <w:r w:rsidR="00F37DD3">
        <w:rPr>
          <w:rFonts w:ascii="Times New Roman" w:hAnsi="Times New Roman" w:cs="Times New Roman"/>
          <w:sz w:val="24"/>
          <w:szCs w:val="24"/>
        </w:rPr>
        <w:fldChar w:fldCharType="end"/>
      </w:r>
      <w:r w:rsidR="00EE345D">
        <w:rPr>
          <w:rFonts w:ascii="Times New Roman" w:hAnsi="Times New Roman" w:cs="Times New Roman"/>
          <w:sz w:val="24"/>
          <w:szCs w:val="24"/>
        </w:rPr>
        <w:t xml:space="preserve">. </w:t>
      </w:r>
    </w:p>
    <w:p w14:paraId="1529AE2C" w14:textId="77777777" w:rsidR="00E229F8" w:rsidRPr="00A81507" w:rsidRDefault="00E229F8" w:rsidP="00A81507">
      <w:pPr>
        <w:spacing w:line="360" w:lineRule="auto"/>
        <w:rPr>
          <w:rFonts w:ascii="Times New Roman" w:hAnsi="Times New Roman" w:cs="Times New Roman"/>
          <w:b/>
          <w:sz w:val="24"/>
          <w:szCs w:val="24"/>
        </w:rPr>
      </w:pPr>
    </w:p>
    <w:p w14:paraId="7B0B832E" w14:textId="726B14EF" w:rsidR="00E229F8" w:rsidRPr="00A81507" w:rsidRDefault="00E229F8" w:rsidP="00A81507">
      <w:pPr>
        <w:spacing w:line="360" w:lineRule="auto"/>
        <w:rPr>
          <w:rFonts w:ascii="Times New Roman" w:hAnsi="Times New Roman" w:cs="Times New Roman"/>
          <w:b/>
          <w:sz w:val="24"/>
          <w:szCs w:val="24"/>
        </w:rPr>
      </w:pPr>
    </w:p>
    <w:p w14:paraId="03B47A92" w14:textId="31FB4B21" w:rsidR="00E229F8" w:rsidRPr="00A81507" w:rsidRDefault="00F37DD3" w:rsidP="00A81507">
      <w:pPr>
        <w:spacing w:after="0" w:line="360" w:lineRule="auto"/>
        <w:rPr>
          <w:rFonts w:ascii="Times New Roman" w:hAnsi="Times New Roman" w:cs="Times New Roman"/>
          <w:b/>
          <w:sz w:val="24"/>
          <w:szCs w:val="24"/>
        </w:rPr>
        <w:sectPr w:rsidR="00E229F8" w:rsidRPr="00A81507">
          <w:headerReference w:type="default" r:id="rId9"/>
          <w:pgSz w:w="12240" w:h="15840"/>
          <w:pgMar w:top="1440" w:right="1440" w:bottom="1440" w:left="1440" w:header="720" w:footer="720" w:gutter="0"/>
          <w:lnNumType w:countBy="1" w:restart="continuous"/>
          <w:cols w:space="720"/>
        </w:sectPr>
      </w:pPr>
      <w:r w:rsidRPr="00F37DD3">
        <w:rPr>
          <w:noProof/>
        </w:rPr>
        <w:lastRenderedPageBreak/>
        <w:drawing>
          <wp:inline distT="0" distB="0" distL="0" distR="0" wp14:anchorId="3FB6620F" wp14:editId="639DC8C8">
            <wp:extent cx="5943600" cy="6998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998385"/>
                    </a:xfrm>
                    <a:prstGeom prst="rect">
                      <a:avLst/>
                    </a:prstGeom>
                    <a:noFill/>
                    <a:ln>
                      <a:noFill/>
                    </a:ln>
                  </pic:spPr>
                </pic:pic>
              </a:graphicData>
            </a:graphic>
          </wp:inline>
        </w:drawing>
      </w:r>
    </w:p>
    <w:p w14:paraId="3DCED415" w14:textId="77777777" w:rsidR="00E229F8" w:rsidRPr="00A81507" w:rsidRDefault="00E229F8" w:rsidP="00A81507">
      <w:pPr>
        <w:spacing w:line="360" w:lineRule="auto"/>
        <w:rPr>
          <w:rFonts w:ascii="Times New Roman" w:hAnsi="Times New Roman" w:cs="Times New Roman"/>
          <w:b/>
          <w:sz w:val="24"/>
          <w:szCs w:val="24"/>
        </w:rPr>
      </w:pPr>
      <w:r w:rsidRPr="00A81507">
        <w:rPr>
          <w:rFonts w:ascii="Times New Roman" w:hAnsi="Times New Roman" w:cs="Times New Roman"/>
          <w:b/>
          <w:sz w:val="24"/>
          <w:szCs w:val="24"/>
        </w:rPr>
        <w:lastRenderedPageBreak/>
        <w:t>Table S4. PLS-DA oak wilt classification summary, all experimental times aggregated.</w:t>
      </w:r>
    </w:p>
    <w:p w14:paraId="42AB0770" w14:textId="77777777" w:rsidR="00E229F8" w:rsidRPr="00A81507" w:rsidRDefault="00E229F8" w:rsidP="00A81507">
      <w:pPr>
        <w:spacing w:line="360" w:lineRule="auto"/>
        <w:rPr>
          <w:rFonts w:ascii="Times New Roman" w:hAnsi="Times New Roman" w:cs="Times New Roman"/>
          <w:b/>
          <w:sz w:val="24"/>
          <w:szCs w:val="24"/>
        </w:rPr>
      </w:pPr>
      <w:r w:rsidRPr="00A81507">
        <w:rPr>
          <w:rFonts w:ascii="Times New Roman" w:hAnsi="Times New Roman" w:cs="Times New Roman"/>
          <w:noProof/>
          <w:sz w:val="24"/>
          <w:szCs w:val="24"/>
        </w:rPr>
        <w:drawing>
          <wp:inline distT="0" distB="0" distL="0" distR="0" wp14:anchorId="3CC29092" wp14:editId="0F310FC0">
            <wp:extent cx="7609205" cy="3283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9205" cy="3283585"/>
                    </a:xfrm>
                    <a:prstGeom prst="rect">
                      <a:avLst/>
                    </a:prstGeom>
                    <a:noFill/>
                    <a:ln>
                      <a:noFill/>
                    </a:ln>
                  </pic:spPr>
                </pic:pic>
              </a:graphicData>
            </a:graphic>
          </wp:inline>
        </w:drawing>
      </w:r>
    </w:p>
    <w:p w14:paraId="36493D6A" w14:textId="77777777" w:rsidR="00E229F8" w:rsidRPr="00A81507" w:rsidRDefault="00E229F8" w:rsidP="00A81507">
      <w:pPr>
        <w:spacing w:line="360" w:lineRule="auto"/>
        <w:rPr>
          <w:rFonts w:ascii="Times New Roman" w:hAnsi="Times New Roman" w:cs="Times New Roman"/>
          <w:b/>
          <w:sz w:val="24"/>
          <w:szCs w:val="24"/>
        </w:rPr>
      </w:pPr>
    </w:p>
    <w:p w14:paraId="32C5CA4D" w14:textId="77777777" w:rsidR="00E229F8" w:rsidRPr="00A81507" w:rsidRDefault="00E229F8" w:rsidP="00A81507">
      <w:pPr>
        <w:spacing w:line="360" w:lineRule="auto"/>
        <w:rPr>
          <w:rFonts w:ascii="Times New Roman" w:hAnsi="Times New Roman" w:cs="Times New Roman"/>
          <w:b/>
          <w:sz w:val="24"/>
          <w:szCs w:val="24"/>
        </w:rPr>
      </w:pPr>
    </w:p>
    <w:p w14:paraId="68EEA7B0" w14:textId="77777777" w:rsidR="00E229F8" w:rsidRPr="00A81507" w:rsidRDefault="00E229F8" w:rsidP="00A81507">
      <w:pPr>
        <w:spacing w:line="360" w:lineRule="auto"/>
        <w:rPr>
          <w:rFonts w:ascii="Times New Roman" w:hAnsi="Times New Roman" w:cs="Times New Roman"/>
          <w:b/>
          <w:sz w:val="24"/>
          <w:szCs w:val="24"/>
        </w:rPr>
      </w:pPr>
    </w:p>
    <w:p w14:paraId="26A4023A" w14:textId="77777777" w:rsidR="000E514D" w:rsidRPr="00A81507" w:rsidRDefault="000E514D" w:rsidP="00A81507">
      <w:pPr>
        <w:spacing w:line="360" w:lineRule="auto"/>
        <w:rPr>
          <w:rFonts w:ascii="Times New Roman" w:hAnsi="Times New Roman" w:cs="Times New Roman"/>
          <w:b/>
          <w:sz w:val="24"/>
          <w:szCs w:val="24"/>
        </w:rPr>
      </w:pPr>
    </w:p>
    <w:p w14:paraId="7CF62523" w14:textId="56A8D00E" w:rsidR="000E514D" w:rsidRDefault="000E514D" w:rsidP="00A81507">
      <w:pPr>
        <w:spacing w:line="360" w:lineRule="auto"/>
        <w:rPr>
          <w:rFonts w:ascii="Times New Roman" w:hAnsi="Times New Roman" w:cs="Times New Roman"/>
          <w:b/>
          <w:sz w:val="24"/>
          <w:szCs w:val="24"/>
        </w:rPr>
      </w:pPr>
    </w:p>
    <w:p w14:paraId="25428D31" w14:textId="3657E29B" w:rsidR="001840F3" w:rsidRDefault="001840F3" w:rsidP="00A81507">
      <w:pPr>
        <w:spacing w:line="360" w:lineRule="auto"/>
        <w:rPr>
          <w:rFonts w:ascii="Times New Roman" w:hAnsi="Times New Roman" w:cs="Times New Roman"/>
          <w:b/>
          <w:sz w:val="24"/>
          <w:szCs w:val="24"/>
        </w:rPr>
      </w:pPr>
    </w:p>
    <w:p w14:paraId="09FBA727" w14:textId="77777777" w:rsidR="00E229F8" w:rsidRPr="00A81507" w:rsidRDefault="00E229F8" w:rsidP="00A81507">
      <w:pPr>
        <w:spacing w:line="360" w:lineRule="auto"/>
        <w:rPr>
          <w:rFonts w:ascii="Times New Roman" w:hAnsi="Times New Roman" w:cs="Times New Roman"/>
          <w:b/>
          <w:sz w:val="24"/>
          <w:szCs w:val="24"/>
        </w:rPr>
      </w:pPr>
      <w:r w:rsidRPr="00A81507">
        <w:rPr>
          <w:rFonts w:ascii="Times New Roman" w:hAnsi="Times New Roman" w:cs="Times New Roman"/>
          <w:b/>
          <w:sz w:val="24"/>
          <w:szCs w:val="24"/>
        </w:rPr>
        <w:lastRenderedPageBreak/>
        <w:t>Table S5. PLS-DA oak wilt classification summary, time explicit and comparisons oak wilt or “not oak wilt”.</w:t>
      </w:r>
    </w:p>
    <w:p w14:paraId="16484B54" w14:textId="77777777" w:rsidR="00E229F8" w:rsidRPr="00A81507" w:rsidRDefault="00E229F8" w:rsidP="00A81507">
      <w:pPr>
        <w:spacing w:line="360" w:lineRule="auto"/>
        <w:rPr>
          <w:rFonts w:ascii="Times New Roman" w:hAnsi="Times New Roman" w:cs="Times New Roman"/>
          <w:b/>
          <w:sz w:val="24"/>
          <w:szCs w:val="24"/>
        </w:rPr>
      </w:pPr>
      <w:r w:rsidRPr="00A81507">
        <w:rPr>
          <w:rFonts w:ascii="Times New Roman" w:hAnsi="Times New Roman" w:cs="Times New Roman"/>
          <w:noProof/>
          <w:sz w:val="24"/>
          <w:szCs w:val="24"/>
        </w:rPr>
        <w:drawing>
          <wp:inline distT="0" distB="0" distL="0" distR="0" wp14:anchorId="68360300" wp14:editId="7B1E176C">
            <wp:extent cx="7601585" cy="41903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1585" cy="4190365"/>
                    </a:xfrm>
                    <a:prstGeom prst="rect">
                      <a:avLst/>
                    </a:prstGeom>
                    <a:noFill/>
                    <a:ln>
                      <a:noFill/>
                    </a:ln>
                  </pic:spPr>
                </pic:pic>
              </a:graphicData>
            </a:graphic>
          </wp:inline>
        </w:drawing>
      </w:r>
    </w:p>
    <w:p w14:paraId="6E7E85EB" w14:textId="77777777" w:rsidR="00E229F8" w:rsidRPr="00A81507" w:rsidRDefault="00E229F8" w:rsidP="00A81507">
      <w:pPr>
        <w:spacing w:line="360" w:lineRule="auto"/>
        <w:rPr>
          <w:rFonts w:ascii="Times New Roman" w:hAnsi="Times New Roman" w:cs="Times New Roman"/>
          <w:b/>
          <w:sz w:val="24"/>
          <w:szCs w:val="24"/>
        </w:rPr>
      </w:pPr>
    </w:p>
    <w:p w14:paraId="06E46F40" w14:textId="77777777" w:rsidR="00E229F8" w:rsidRPr="00A81507" w:rsidRDefault="00E229F8" w:rsidP="00A81507">
      <w:pPr>
        <w:spacing w:line="360" w:lineRule="auto"/>
        <w:rPr>
          <w:rFonts w:ascii="Times New Roman" w:hAnsi="Times New Roman" w:cs="Times New Roman"/>
          <w:b/>
          <w:sz w:val="24"/>
          <w:szCs w:val="24"/>
        </w:rPr>
      </w:pPr>
    </w:p>
    <w:p w14:paraId="048CACDD" w14:textId="77777777" w:rsidR="00E229F8" w:rsidRPr="00A81507" w:rsidRDefault="00E229F8" w:rsidP="00A81507">
      <w:pPr>
        <w:spacing w:line="360" w:lineRule="auto"/>
        <w:rPr>
          <w:rFonts w:ascii="Times New Roman" w:hAnsi="Times New Roman" w:cs="Times New Roman"/>
          <w:b/>
          <w:sz w:val="24"/>
          <w:szCs w:val="24"/>
        </w:rPr>
      </w:pPr>
    </w:p>
    <w:p w14:paraId="23D0601F" w14:textId="77777777" w:rsidR="00E229F8" w:rsidRPr="00A81507" w:rsidRDefault="00E229F8" w:rsidP="00A81507">
      <w:pPr>
        <w:spacing w:line="360" w:lineRule="auto"/>
        <w:rPr>
          <w:rFonts w:ascii="Times New Roman" w:hAnsi="Times New Roman" w:cs="Times New Roman"/>
          <w:b/>
          <w:sz w:val="24"/>
          <w:szCs w:val="24"/>
        </w:rPr>
      </w:pPr>
      <w:r w:rsidRPr="00A81507">
        <w:rPr>
          <w:rFonts w:ascii="Times New Roman" w:hAnsi="Times New Roman" w:cs="Times New Roman"/>
          <w:b/>
          <w:sz w:val="24"/>
          <w:szCs w:val="24"/>
        </w:rPr>
        <w:lastRenderedPageBreak/>
        <w:t>Table S6. PLS-DA species classification summary, all experimental times aggregated.</w:t>
      </w:r>
    </w:p>
    <w:p w14:paraId="0C0443D5" w14:textId="77777777" w:rsidR="00E229F8" w:rsidRPr="00A81507" w:rsidRDefault="00E229F8" w:rsidP="00A81507">
      <w:pPr>
        <w:spacing w:line="360" w:lineRule="auto"/>
        <w:rPr>
          <w:rFonts w:ascii="Times New Roman" w:hAnsi="Times New Roman" w:cs="Times New Roman"/>
          <w:b/>
          <w:sz w:val="24"/>
          <w:szCs w:val="24"/>
        </w:rPr>
      </w:pPr>
      <w:r w:rsidRPr="00A81507">
        <w:rPr>
          <w:rFonts w:ascii="Times New Roman" w:hAnsi="Times New Roman" w:cs="Times New Roman"/>
          <w:noProof/>
          <w:sz w:val="24"/>
          <w:szCs w:val="24"/>
        </w:rPr>
        <w:drawing>
          <wp:inline distT="0" distB="0" distL="0" distR="0" wp14:anchorId="4C75972D" wp14:editId="56356673">
            <wp:extent cx="5947410" cy="1144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410" cy="1144905"/>
                    </a:xfrm>
                    <a:prstGeom prst="rect">
                      <a:avLst/>
                    </a:prstGeom>
                    <a:noFill/>
                    <a:ln>
                      <a:noFill/>
                    </a:ln>
                  </pic:spPr>
                </pic:pic>
              </a:graphicData>
            </a:graphic>
          </wp:inline>
        </w:drawing>
      </w:r>
    </w:p>
    <w:p w14:paraId="1AAAE932" w14:textId="77777777" w:rsidR="00E229F8" w:rsidRPr="00A81507" w:rsidRDefault="00E229F8" w:rsidP="00A81507">
      <w:pPr>
        <w:spacing w:after="0" w:line="360" w:lineRule="auto"/>
        <w:rPr>
          <w:rFonts w:ascii="Times New Roman" w:hAnsi="Times New Roman" w:cs="Times New Roman"/>
          <w:b/>
          <w:sz w:val="24"/>
          <w:szCs w:val="24"/>
        </w:rPr>
        <w:sectPr w:rsidR="00E229F8" w:rsidRPr="00A81507">
          <w:pgSz w:w="15840" w:h="12240" w:orient="landscape"/>
          <w:pgMar w:top="1440" w:right="1440" w:bottom="1440" w:left="1440" w:header="720" w:footer="720" w:gutter="0"/>
          <w:lnNumType w:countBy="1" w:restart="continuous"/>
          <w:cols w:space="720"/>
        </w:sectPr>
      </w:pPr>
    </w:p>
    <w:p w14:paraId="29C0DA17" w14:textId="541F13B9" w:rsidR="00E229F8" w:rsidRPr="00A81507" w:rsidRDefault="00EE3C11" w:rsidP="00A81507">
      <w:pPr>
        <w:spacing w:line="360" w:lineRule="auto"/>
        <w:rPr>
          <w:rFonts w:ascii="Times New Roman" w:hAnsi="Times New Roman" w:cs="Times New Roman"/>
          <w:sz w:val="24"/>
          <w:szCs w:val="24"/>
        </w:rPr>
      </w:pPr>
      <w:r>
        <w:rPr>
          <w:noProof/>
        </w:rPr>
        <w:lastRenderedPageBreak/>
        <w:drawing>
          <wp:inline distT="0" distB="0" distL="0" distR="0" wp14:anchorId="474481EA" wp14:editId="7BCF1C3C">
            <wp:extent cx="5943600" cy="19227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922780"/>
                    </a:xfrm>
                    <a:prstGeom prst="rect">
                      <a:avLst/>
                    </a:prstGeom>
                  </pic:spPr>
                </pic:pic>
              </a:graphicData>
            </a:graphic>
          </wp:inline>
        </w:drawing>
      </w:r>
    </w:p>
    <w:p w14:paraId="667B5D4D" w14:textId="77777777" w:rsidR="00E229F8" w:rsidRPr="00A81507" w:rsidRDefault="00E229F8" w:rsidP="00A81507">
      <w:pPr>
        <w:pStyle w:val="Caption"/>
        <w:spacing w:line="360" w:lineRule="auto"/>
        <w:ind w:left="180" w:right="180"/>
        <w:rPr>
          <w:rFonts w:ascii="Times New Roman" w:hAnsi="Times New Roman" w:cs="Times New Roman"/>
          <w:b/>
          <w:i w:val="0"/>
          <w:color w:val="auto"/>
          <w:sz w:val="24"/>
          <w:szCs w:val="24"/>
        </w:rPr>
      </w:pPr>
    </w:p>
    <w:p w14:paraId="25B72E9D" w14:textId="59DF7784" w:rsidR="00E229F8" w:rsidRPr="00A81507" w:rsidRDefault="00E229F8" w:rsidP="00A81507">
      <w:pPr>
        <w:pStyle w:val="Caption"/>
        <w:spacing w:line="360" w:lineRule="auto"/>
        <w:ind w:left="180" w:right="180"/>
        <w:rPr>
          <w:rFonts w:ascii="Times New Roman" w:hAnsi="Times New Roman" w:cs="Times New Roman"/>
          <w:i w:val="0"/>
          <w:color w:val="auto"/>
          <w:sz w:val="24"/>
          <w:szCs w:val="24"/>
        </w:rPr>
      </w:pPr>
      <w:r w:rsidRPr="00A81507">
        <w:rPr>
          <w:rFonts w:ascii="Times New Roman" w:hAnsi="Times New Roman" w:cs="Times New Roman"/>
          <w:b/>
          <w:i w:val="0"/>
          <w:color w:val="auto"/>
          <w:sz w:val="24"/>
          <w:szCs w:val="24"/>
        </w:rPr>
        <w:t>Figure S1. Pre-dawn water potentials</w:t>
      </w:r>
      <w:r w:rsidRPr="00A81507">
        <w:rPr>
          <w:rFonts w:ascii="Times New Roman" w:hAnsi="Times New Roman" w:cs="Times New Roman"/>
          <w:i w:val="0"/>
          <w:color w:val="auto"/>
          <w:sz w:val="24"/>
          <w:szCs w:val="24"/>
        </w:rPr>
        <w:t xml:space="preserve">. Difference between mean control treatments of each species and treatments. </w:t>
      </w:r>
      <w:r w:rsidRPr="00A81507">
        <w:rPr>
          <w:rFonts w:ascii="Times New Roman" w:hAnsi="Times New Roman" w:cs="Times New Roman"/>
          <w:b/>
          <w:i w:val="0"/>
          <w:color w:val="auto"/>
          <w:sz w:val="24"/>
          <w:szCs w:val="24"/>
        </w:rPr>
        <w:t xml:space="preserve">a) </w:t>
      </w:r>
      <w:r w:rsidRPr="00A81507">
        <w:rPr>
          <w:rFonts w:ascii="Times New Roman" w:hAnsi="Times New Roman" w:cs="Times New Roman"/>
          <w:i w:val="0"/>
          <w:color w:val="auto"/>
          <w:sz w:val="24"/>
          <w:szCs w:val="24"/>
        </w:rPr>
        <w:t xml:space="preserve">2017 experimental data, </w:t>
      </w:r>
      <w:r w:rsidRPr="00A81507">
        <w:rPr>
          <w:rFonts w:ascii="Times New Roman" w:hAnsi="Times New Roman" w:cs="Times New Roman"/>
          <w:b/>
          <w:i w:val="0"/>
          <w:color w:val="auto"/>
          <w:sz w:val="24"/>
          <w:szCs w:val="24"/>
        </w:rPr>
        <w:t xml:space="preserve">b) </w:t>
      </w:r>
      <w:r w:rsidRPr="00A81507">
        <w:rPr>
          <w:rFonts w:ascii="Times New Roman" w:hAnsi="Times New Roman" w:cs="Times New Roman"/>
          <w:i w:val="0"/>
          <w:color w:val="auto"/>
          <w:sz w:val="24"/>
          <w:szCs w:val="24"/>
        </w:rPr>
        <w:t xml:space="preserve">2018 experimental data. Error bars show one standard error around the mean differences. Asterisks denote significant pairwise differences between drought and all other treatments (* </w:t>
      </w:r>
      <w:r w:rsidR="000537E4" w:rsidRPr="000537E4">
        <w:rPr>
          <w:rFonts w:ascii="Times New Roman" w:hAnsi="Times New Roman" w:cs="Times New Roman"/>
          <w:color w:val="auto"/>
          <w:sz w:val="24"/>
          <w:szCs w:val="24"/>
        </w:rPr>
        <w:t xml:space="preserve">P </w:t>
      </w:r>
      <w:r w:rsidRPr="00A81507">
        <w:rPr>
          <w:rFonts w:ascii="Times New Roman" w:hAnsi="Times New Roman" w:cs="Times New Roman"/>
          <w:i w:val="0"/>
          <w:color w:val="auto"/>
          <w:sz w:val="24"/>
          <w:szCs w:val="24"/>
        </w:rPr>
        <w:t xml:space="preserve">&lt; 0.05, ** </w:t>
      </w:r>
      <w:r w:rsidR="000537E4" w:rsidRPr="000537E4">
        <w:rPr>
          <w:rFonts w:ascii="Times New Roman" w:hAnsi="Times New Roman" w:cs="Times New Roman"/>
          <w:color w:val="auto"/>
          <w:sz w:val="24"/>
          <w:szCs w:val="24"/>
        </w:rPr>
        <w:t xml:space="preserve">P </w:t>
      </w:r>
      <w:r w:rsidRPr="00A81507">
        <w:rPr>
          <w:rFonts w:ascii="Times New Roman" w:hAnsi="Times New Roman" w:cs="Times New Roman"/>
          <w:i w:val="0"/>
          <w:color w:val="auto"/>
          <w:sz w:val="24"/>
          <w:szCs w:val="24"/>
        </w:rPr>
        <w:t xml:space="preserve">&lt; 0.01, *** </w:t>
      </w:r>
      <w:r w:rsidR="000537E4" w:rsidRPr="000537E4">
        <w:rPr>
          <w:rFonts w:ascii="Times New Roman" w:hAnsi="Times New Roman" w:cs="Times New Roman"/>
          <w:color w:val="auto"/>
          <w:sz w:val="24"/>
          <w:szCs w:val="24"/>
        </w:rPr>
        <w:t xml:space="preserve">P </w:t>
      </w:r>
      <w:r w:rsidRPr="00A81507">
        <w:rPr>
          <w:rFonts w:ascii="Times New Roman" w:hAnsi="Times New Roman" w:cs="Times New Roman"/>
          <w:i w:val="0"/>
          <w:color w:val="auto"/>
          <w:sz w:val="24"/>
          <w:szCs w:val="24"/>
        </w:rPr>
        <w:t>&lt; 0.001), significant differences from control, when all other pairwise differences are not significant, are denoted by “c”.</w:t>
      </w:r>
    </w:p>
    <w:p w14:paraId="7F83F621" w14:textId="6962650E" w:rsidR="00E229F8" w:rsidRPr="00A81507" w:rsidRDefault="00351D0C" w:rsidP="00A81507">
      <w:pPr>
        <w:keepNext/>
        <w:spacing w:line="360" w:lineRule="auto"/>
        <w:rPr>
          <w:rFonts w:ascii="Times New Roman" w:hAnsi="Times New Roman" w:cs="Times New Roman"/>
          <w:sz w:val="24"/>
          <w:szCs w:val="24"/>
        </w:rPr>
      </w:pPr>
      <w:r>
        <w:rPr>
          <w:noProof/>
        </w:rPr>
        <w:lastRenderedPageBreak/>
        <w:drawing>
          <wp:inline distT="0" distB="0" distL="0" distR="0" wp14:anchorId="7ECBC50A" wp14:editId="6A53139B">
            <wp:extent cx="5486411" cy="54864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11" cy="5486411"/>
                    </a:xfrm>
                    <a:prstGeom prst="rect">
                      <a:avLst/>
                    </a:prstGeom>
                  </pic:spPr>
                </pic:pic>
              </a:graphicData>
            </a:graphic>
          </wp:inline>
        </w:drawing>
      </w:r>
    </w:p>
    <w:p w14:paraId="04863991" w14:textId="77777777" w:rsidR="00E229F8" w:rsidRPr="00A81507" w:rsidRDefault="00E229F8" w:rsidP="00A81507">
      <w:pPr>
        <w:pStyle w:val="Caption"/>
        <w:spacing w:line="360" w:lineRule="auto"/>
        <w:ind w:left="180" w:right="-360"/>
        <w:rPr>
          <w:rFonts w:ascii="Times New Roman" w:hAnsi="Times New Roman" w:cs="Times New Roman"/>
          <w:i w:val="0"/>
          <w:color w:val="auto"/>
          <w:sz w:val="24"/>
          <w:szCs w:val="24"/>
        </w:rPr>
      </w:pPr>
      <w:r w:rsidRPr="00A81507">
        <w:rPr>
          <w:rFonts w:ascii="Times New Roman" w:hAnsi="Times New Roman" w:cs="Times New Roman"/>
          <w:b/>
          <w:i w:val="0"/>
          <w:color w:val="auto"/>
          <w:sz w:val="24"/>
          <w:szCs w:val="24"/>
        </w:rPr>
        <w:t>Figure S2. Symptom appearance by week of experiment</w:t>
      </w:r>
      <w:r w:rsidRPr="00A81507">
        <w:rPr>
          <w:rFonts w:ascii="Times New Roman" w:hAnsi="Times New Roman" w:cs="Times New Roman"/>
          <w:i w:val="0"/>
          <w:color w:val="auto"/>
          <w:sz w:val="24"/>
          <w:szCs w:val="24"/>
        </w:rPr>
        <w:t>, 2017 and 2018 experiments. 2017 does not include data for drought symptoms.</w:t>
      </w:r>
      <w:r w:rsidRPr="00A81507">
        <w:rPr>
          <w:rFonts w:ascii="Times New Roman" w:hAnsi="Times New Roman" w:cs="Times New Roman"/>
          <w:b/>
          <w:i w:val="0"/>
          <w:color w:val="auto"/>
          <w:sz w:val="24"/>
          <w:szCs w:val="24"/>
        </w:rPr>
        <w:t xml:space="preserve"> </w:t>
      </w:r>
      <w:proofErr w:type="spellStart"/>
      <w:proofErr w:type="gramStart"/>
      <w:r w:rsidRPr="00A81507">
        <w:rPr>
          <w:rFonts w:ascii="Times New Roman" w:hAnsi="Times New Roman" w:cs="Times New Roman"/>
          <w:b/>
          <w:i w:val="0"/>
          <w:color w:val="auto"/>
          <w:sz w:val="24"/>
          <w:szCs w:val="24"/>
        </w:rPr>
        <w:t>a,</w:t>
      </w:r>
      <w:proofErr w:type="gramEnd"/>
      <w:r w:rsidRPr="00A81507">
        <w:rPr>
          <w:rFonts w:ascii="Times New Roman" w:hAnsi="Times New Roman" w:cs="Times New Roman"/>
          <w:b/>
          <w:i w:val="0"/>
          <w:color w:val="auto"/>
          <w:sz w:val="24"/>
          <w:szCs w:val="24"/>
        </w:rPr>
        <w:t>b</w:t>
      </w:r>
      <w:proofErr w:type="spellEnd"/>
      <w:r w:rsidRPr="00A81507">
        <w:rPr>
          <w:rFonts w:ascii="Times New Roman" w:hAnsi="Times New Roman" w:cs="Times New Roman"/>
          <w:b/>
          <w:i w:val="0"/>
          <w:color w:val="auto"/>
          <w:sz w:val="24"/>
          <w:szCs w:val="24"/>
        </w:rPr>
        <w:t xml:space="preserve">) </w:t>
      </w:r>
      <w:r w:rsidRPr="00A81507">
        <w:rPr>
          <w:rFonts w:ascii="Times New Roman" w:hAnsi="Times New Roman" w:cs="Times New Roman"/>
          <w:i w:val="0"/>
          <w:color w:val="auto"/>
          <w:sz w:val="24"/>
          <w:szCs w:val="24"/>
        </w:rPr>
        <w:t xml:space="preserve">Percent of healthy leaves remaining. </w:t>
      </w:r>
      <w:proofErr w:type="spellStart"/>
      <w:proofErr w:type="gramStart"/>
      <w:r w:rsidRPr="00A81507">
        <w:rPr>
          <w:rFonts w:ascii="Times New Roman" w:hAnsi="Times New Roman" w:cs="Times New Roman"/>
          <w:b/>
          <w:i w:val="0"/>
          <w:color w:val="auto"/>
          <w:sz w:val="24"/>
          <w:szCs w:val="24"/>
        </w:rPr>
        <w:t>c,</w:t>
      </w:r>
      <w:proofErr w:type="gramEnd"/>
      <w:r w:rsidRPr="00A81507">
        <w:rPr>
          <w:rFonts w:ascii="Times New Roman" w:hAnsi="Times New Roman" w:cs="Times New Roman"/>
          <w:b/>
          <w:i w:val="0"/>
          <w:color w:val="auto"/>
          <w:sz w:val="24"/>
          <w:szCs w:val="24"/>
        </w:rPr>
        <w:t>d</w:t>
      </w:r>
      <w:proofErr w:type="spellEnd"/>
      <w:r w:rsidRPr="00A81507">
        <w:rPr>
          <w:rFonts w:ascii="Times New Roman" w:hAnsi="Times New Roman" w:cs="Times New Roman"/>
          <w:b/>
          <w:i w:val="0"/>
          <w:color w:val="auto"/>
          <w:sz w:val="24"/>
          <w:szCs w:val="24"/>
        </w:rPr>
        <w:t>)</w:t>
      </w:r>
      <w:r w:rsidRPr="00A81507">
        <w:rPr>
          <w:rFonts w:ascii="Times New Roman" w:hAnsi="Times New Roman" w:cs="Times New Roman"/>
          <w:i w:val="0"/>
          <w:color w:val="auto"/>
          <w:sz w:val="24"/>
          <w:szCs w:val="24"/>
        </w:rPr>
        <w:t xml:space="preserve"> Percent of leaves showing signs of wilting (browning, curling, and/or desiccation). </w:t>
      </w:r>
      <w:proofErr w:type="spellStart"/>
      <w:proofErr w:type="gramStart"/>
      <w:r w:rsidRPr="00A81507">
        <w:rPr>
          <w:rFonts w:ascii="Times New Roman" w:hAnsi="Times New Roman" w:cs="Times New Roman"/>
          <w:b/>
          <w:i w:val="0"/>
          <w:color w:val="auto"/>
          <w:sz w:val="24"/>
          <w:szCs w:val="24"/>
        </w:rPr>
        <w:t>e,</w:t>
      </w:r>
      <w:proofErr w:type="gramEnd"/>
      <w:r w:rsidRPr="00A81507">
        <w:rPr>
          <w:rFonts w:ascii="Times New Roman" w:hAnsi="Times New Roman" w:cs="Times New Roman"/>
          <w:b/>
          <w:i w:val="0"/>
          <w:color w:val="auto"/>
          <w:sz w:val="24"/>
          <w:szCs w:val="24"/>
        </w:rPr>
        <w:t>f</w:t>
      </w:r>
      <w:proofErr w:type="spellEnd"/>
      <w:r w:rsidRPr="00A81507">
        <w:rPr>
          <w:rFonts w:ascii="Times New Roman" w:hAnsi="Times New Roman" w:cs="Times New Roman"/>
          <w:b/>
          <w:i w:val="0"/>
          <w:color w:val="auto"/>
          <w:sz w:val="24"/>
          <w:szCs w:val="24"/>
        </w:rPr>
        <w:t xml:space="preserve">) </w:t>
      </w:r>
      <w:r w:rsidRPr="00A81507">
        <w:rPr>
          <w:rFonts w:ascii="Times New Roman" w:hAnsi="Times New Roman" w:cs="Times New Roman"/>
          <w:i w:val="0"/>
          <w:color w:val="auto"/>
          <w:sz w:val="24"/>
          <w:szCs w:val="24"/>
        </w:rPr>
        <w:t xml:space="preserve">Percent of leaves lost during the experiment. Bur oak blight percentages are calculated from the total of inoculated leaves, not total canopy. </w:t>
      </w:r>
    </w:p>
    <w:p w14:paraId="446DBC78" w14:textId="77777777" w:rsidR="00E229F8" w:rsidRPr="00A81507" w:rsidRDefault="00E229F8" w:rsidP="00A81507">
      <w:pPr>
        <w:spacing w:line="360" w:lineRule="auto"/>
        <w:rPr>
          <w:rFonts w:ascii="Times New Roman" w:hAnsi="Times New Roman" w:cs="Times New Roman"/>
          <w:b/>
          <w:iCs/>
          <w:sz w:val="24"/>
          <w:szCs w:val="24"/>
        </w:rPr>
      </w:pPr>
    </w:p>
    <w:p w14:paraId="40E417FE" w14:textId="77777777" w:rsidR="00E229F8" w:rsidRPr="00A81507" w:rsidRDefault="00E229F8" w:rsidP="00A81507">
      <w:pPr>
        <w:spacing w:line="360" w:lineRule="auto"/>
        <w:rPr>
          <w:rFonts w:ascii="Times New Roman" w:hAnsi="Times New Roman" w:cs="Times New Roman"/>
          <w:sz w:val="24"/>
          <w:szCs w:val="24"/>
        </w:rPr>
      </w:pPr>
      <w:r w:rsidRPr="00A81507">
        <w:rPr>
          <w:rFonts w:ascii="Times New Roman" w:hAnsi="Times New Roman" w:cs="Times New Roman"/>
          <w:noProof/>
          <w:sz w:val="24"/>
          <w:szCs w:val="24"/>
        </w:rPr>
        <w:lastRenderedPageBreak/>
        <w:drawing>
          <wp:inline distT="0" distB="0" distL="0" distR="0" wp14:anchorId="5A759B6A" wp14:editId="6CD81BFA">
            <wp:extent cx="2289810" cy="31807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9810" cy="3180715"/>
                    </a:xfrm>
                    <a:prstGeom prst="rect">
                      <a:avLst/>
                    </a:prstGeom>
                    <a:noFill/>
                    <a:ln>
                      <a:noFill/>
                    </a:ln>
                  </pic:spPr>
                </pic:pic>
              </a:graphicData>
            </a:graphic>
          </wp:inline>
        </w:drawing>
      </w:r>
    </w:p>
    <w:p w14:paraId="0979414B" w14:textId="668DF532" w:rsidR="00E229F8" w:rsidRPr="00A81507" w:rsidRDefault="00E229F8" w:rsidP="00A81507">
      <w:pPr>
        <w:spacing w:line="360" w:lineRule="auto"/>
        <w:rPr>
          <w:rFonts w:ascii="Times New Roman" w:hAnsi="Times New Roman" w:cs="Times New Roman"/>
          <w:sz w:val="24"/>
          <w:szCs w:val="24"/>
        </w:rPr>
      </w:pPr>
      <w:r w:rsidRPr="00A81507">
        <w:rPr>
          <w:rFonts w:ascii="Times New Roman" w:hAnsi="Times New Roman" w:cs="Times New Roman"/>
          <w:b/>
          <w:sz w:val="24"/>
          <w:szCs w:val="24"/>
        </w:rPr>
        <w:t xml:space="preserve">Figure </w:t>
      </w:r>
      <w:r w:rsidR="00C031BD" w:rsidRPr="00A81507">
        <w:rPr>
          <w:rFonts w:ascii="Times New Roman" w:hAnsi="Times New Roman" w:cs="Times New Roman"/>
          <w:b/>
          <w:sz w:val="24"/>
          <w:szCs w:val="24"/>
        </w:rPr>
        <w:t>S</w:t>
      </w:r>
      <w:r w:rsidR="00C031BD">
        <w:rPr>
          <w:rFonts w:ascii="Times New Roman" w:hAnsi="Times New Roman" w:cs="Times New Roman"/>
          <w:b/>
          <w:sz w:val="24"/>
          <w:szCs w:val="24"/>
        </w:rPr>
        <w:t>3</w:t>
      </w:r>
      <w:r w:rsidRPr="00A81507">
        <w:rPr>
          <w:rFonts w:ascii="Times New Roman" w:hAnsi="Times New Roman" w:cs="Times New Roman"/>
          <w:b/>
          <w:sz w:val="24"/>
          <w:szCs w:val="24"/>
        </w:rPr>
        <w:t xml:space="preserve">. PLS-DA Model performance by symptomatic leaf status. </w:t>
      </w:r>
      <w:r w:rsidRPr="00A81507">
        <w:rPr>
          <w:rFonts w:ascii="Times New Roman" w:hAnsi="Times New Roman" w:cs="Times New Roman"/>
          <w:sz w:val="24"/>
          <w:szCs w:val="24"/>
        </w:rPr>
        <w:t>Letters denote significant differences in oak wilt sensitivity between models, error bars are one standard deviation in model summary statistics from 100 model fitting iterations.</w:t>
      </w:r>
    </w:p>
    <w:p w14:paraId="0BCAA1CE" w14:textId="77777777" w:rsidR="00174E9B" w:rsidRPr="00A81507" w:rsidRDefault="00174E9B" w:rsidP="00A81507">
      <w:pPr>
        <w:spacing w:line="360" w:lineRule="auto"/>
        <w:rPr>
          <w:rFonts w:ascii="Times New Roman" w:hAnsi="Times New Roman" w:cs="Times New Roman"/>
          <w:sz w:val="24"/>
          <w:szCs w:val="24"/>
        </w:rPr>
      </w:pPr>
    </w:p>
    <w:p w14:paraId="77AE2137" w14:textId="77777777" w:rsidR="00E229F8" w:rsidRPr="00A81507" w:rsidRDefault="00E229F8" w:rsidP="00A81507">
      <w:pPr>
        <w:spacing w:line="360" w:lineRule="auto"/>
        <w:rPr>
          <w:rFonts w:ascii="Times New Roman" w:hAnsi="Times New Roman" w:cs="Times New Roman"/>
          <w:sz w:val="24"/>
          <w:szCs w:val="24"/>
        </w:rPr>
      </w:pPr>
    </w:p>
    <w:p w14:paraId="6E3D42D3" w14:textId="77777777" w:rsidR="00E229F8" w:rsidRPr="00A81507" w:rsidRDefault="00174E9B" w:rsidP="00A81507">
      <w:pPr>
        <w:spacing w:line="360" w:lineRule="auto"/>
        <w:rPr>
          <w:rFonts w:ascii="Times New Roman" w:hAnsi="Times New Roman" w:cs="Times New Roman"/>
          <w:sz w:val="24"/>
          <w:szCs w:val="24"/>
        </w:rPr>
      </w:pPr>
      <w:r w:rsidRPr="00A81507">
        <w:rPr>
          <w:rFonts w:ascii="Times New Roman" w:hAnsi="Times New Roman" w:cs="Times New Roman"/>
          <w:noProof/>
          <w:sz w:val="24"/>
          <w:szCs w:val="24"/>
        </w:rPr>
        <w:lastRenderedPageBreak/>
        <w:drawing>
          <wp:inline distT="0" distB="0" distL="0" distR="0" wp14:anchorId="39B64A4B" wp14:editId="214CFE7B">
            <wp:extent cx="5485714" cy="38000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5714" cy="3800000"/>
                    </a:xfrm>
                    <a:prstGeom prst="rect">
                      <a:avLst/>
                    </a:prstGeom>
                  </pic:spPr>
                </pic:pic>
              </a:graphicData>
            </a:graphic>
          </wp:inline>
        </w:drawing>
      </w:r>
    </w:p>
    <w:p w14:paraId="3F397EA1" w14:textId="19049CEE" w:rsidR="00E229F8" w:rsidRPr="00A81507" w:rsidRDefault="00E229F8" w:rsidP="00A81507">
      <w:pPr>
        <w:pStyle w:val="Caption"/>
        <w:spacing w:line="360" w:lineRule="auto"/>
        <w:ind w:left="180" w:right="-360"/>
        <w:rPr>
          <w:rFonts w:ascii="Times New Roman" w:hAnsi="Times New Roman" w:cs="Times New Roman"/>
          <w:i w:val="0"/>
          <w:color w:val="auto"/>
          <w:sz w:val="24"/>
          <w:szCs w:val="24"/>
        </w:rPr>
      </w:pPr>
      <w:r w:rsidRPr="00A81507">
        <w:rPr>
          <w:rFonts w:ascii="Times New Roman" w:hAnsi="Times New Roman" w:cs="Times New Roman"/>
          <w:b/>
          <w:i w:val="0"/>
          <w:color w:val="auto"/>
          <w:sz w:val="24"/>
          <w:szCs w:val="24"/>
        </w:rPr>
        <w:t>Figure S</w:t>
      </w:r>
      <w:r w:rsidR="00BD1D37">
        <w:rPr>
          <w:rFonts w:ascii="Times New Roman" w:hAnsi="Times New Roman" w:cs="Times New Roman"/>
          <w:b/>
          <w:i w:val="0"/>
          <w:color w:val="auto"/>
          <w:sz w:val="24"/>
          <w:szCs w:val="24"/>
        </w:rPr>
        <w:t>4</w:t>
      </w:r>
      <w:r w:rsidRPr="00A81507">
        <w:rPr>
          <w:rFonts w:ascii="Times New Roman" w:hAnsi="Times New Roman" w:cs="Times New Roman"/>
          <w:b/>
          <w:i w:val="0"/>
          <w:color w:val="auto"/>
          <w:sz w:val="24"/>
          <w:szCs w:val="24"/>
        </w:rPr>
        <w:t>. PLS-DA model</w:t>
      </w:r>
      <w:r w:rsidR="00174E9B" w:rsidRPr="00A81507">
        <w:rPr>
          <w:rFonts w:ascii="Times New Roman" w:hAnsi="Times New Roman" w:cs="Times New Roman"/>
          <w:b/>
          <w:i w:val="0"/>
          <w:color w:val="auto"/>
          <w:sz w:val="24"/>
          <w:szCs w:val="24"/>
        </w:rPr>
        <w:t xml:space="preserve"> accuracy, Kappa, and</w:t>
      </w:r>
      <w:r w:rsidRPr="00A81507">
        <w:rPr>
          <w:rFonts w:ascii="Times New Roman" w:hAnsi="Times New Roman" w:cs="Times New Roman"/>
          <w:b/>
          <w:i w:val="0"/>
          <w:color w:val="auto"/>
          <w:sz w:val="24"/>
          <w:szCs w:val="24"/>
        </w:rPr>
        <w:t xml:space="preserve"> sensitivity to oak wilt by week of experiment.</w:t>
      </w:r>
      <w:r w:rsidRPr="00A81507">
        <w:rPr>
          <w:rFonts w:ascii="Times New Roman" w:hAnsi="Times New Roman" w:cs="Times New Roman"/>
          <w:i w:val="0"/>
          <w:color w:val="auto"/>
          <w:sz w:val="24"/>
          <w:szCs w:val="24"/>
        </w:rPr>
        <w:t xml:space="preserve"> Model performance statistics from PLS-DA classifications of data into oak wilt or not oak wilt (all other treatments grouped)</w:t>
      </w:r>
      <w:r w:rsidR="00FA5261" w:rsidRPr="00A81507">
        <w:rPr>
          <w:rFonts w:ascii="Times New Roman" w:hAnsi="Times New Roman" w:cs="Times New Roman"/>
          <w:i w:val="0"/>
          <w:color w:val="auto"/>
          <w:sz w:val="24"/>
          <w:szCs w:val="24"/>
        </w:rPr>
        <w:t xml:space="preserve"> in spectral reflectance </w:t>
      </w:r>
      <w:r w:rsidR="008607B4" w:rsidRPr="00A81507">
        <w:rPr>
          <w:rFonts w:ascii="Times New Roman" w:hAnsi="Times New Roman" w:cs="Times New Roman"/>
          <w:i w:val="0"/>
          <w:color w:val="auto"/>
          <w:sz w:val="24"/>
          <w:szCs w:val="24"/>
        </w:rPr>
        <w:t xml:space="preserve">weekly </w:t>
      </w:r>
      <w:r w:rsidR="00FA5261" w:rsidRPr="00A81507">
        <w:rPr>
          <w:rFonts w:ascii="Times New Roman" w:hAnsi="Times New Roman" w:cs="Times New Roman"/>
          <w:i w:val="0"/>
          <w:color w:val="auto"/>
          <w:sz w:val="24"/>
          <w:szCs w:val="24"/>
        </w:rPr>
        <w:t xml:space="preserve">datasets of </w:t>
      </w:r>
      <w:r w:rsidR="00FA5261" w:rsidRPr="00A81507">
        <w:rPr>
          <w:rFonts w:ascii="Times New Roman" w:hAnsi="Times New Roman" w:cs="Times New Roman"/>
          <w:b/>
          <w:i w:val="0"/>
          <w:color w:val="auto"/>
          <w:sz w:val="24"/>
          <w:szCs w:val="24"/>
        </w:rPr>
        <w:t>a)</w:t>
      </w:r>
      <w:r w:rsidR="00FA5261" w:rsidRPr="00A81507">
        <w:rPr>
          <w:rFonts w:ascii="Times New Roman" w:hAnsi="Times New Roman" w:cs="Times New Roman"/>
          <w:i w:val="0"/>
          <w:color w:val="auto"/>
          <w:sz w:val="24"/>
          <w:szCs w:val="24"/>
        </w:rPr>
        <w:t xml:space="preserve"> asymptomatic leaves </w:t>
      </w:r>
      <w:r w:rsidR="00FA5261" w:rsidRPr="00A81507">
        <w:rPr>
          <w:rFonts w:ascii="Times New Roman" w:hAnsi="Times New Roman" w:cs="Times New Roman"/>
          <w:b/>
          <w:i w:val="0"/>
          <w:color w:val="auto"/>
          <w:sz w:val="24"/>
          <w:szCs w:val="24"/>
        </w:rPr>
        <w:t>b)</w:t>
      </w:r>
      <w:r w:rsidR="00FA5261" w:rsidRPr="00A81507">
        <w:rPr>
          <w:rFonts w:ascii="Times New Roman" w:hAnsi="Times New Roman" w:cs="Times New Roman"/>
          <w:i w:val="0"/>
          <w:color w:val="auto"/>
          <w:sz w:val="24"/>
          <w:szCs w:val="24"/>
        </w:rPr>
        <w:t xml:space="preserve"> symptomatic leaves, and c</w:t>
      </w:r>
      <w:r w:rsidR="00FA5261" w:rsidRPr="00A81507">
        <w:rPr>
          <w:rFonts w:ascii="Times New Roman" w:hAnsi="Times New Roman" w:cs="Times New Roman"/>
          <w:b/>
          <w:i w:val="0"/>
          <w:color w:val="auto"/>
          <w:sz w:val="24"/>
          <w:szCs w:val="24"/>
        </w:rPr>
        <w:t>)</w:t>
      </w:r>
      <w:r w:rsidR="00FA5261" w:rsidRPr="00A81507">
        <w:rPr>
          <w:rFonts w:ascii="Times New Roman" w:hAnsi="Times New Roman" w:cs="Times New Roman"/>
          <w:i w:val="0"/>
          <w:color w:val="auto"/>
          <w:sz w:val="24"/>
          <w:szCs w:val="24"/>
        </w:rPr>
        <w:t xml:space="preserve"> seedling canopies. </w:t>
      </w:r>
      <w:r w:rsidRPr="00A81507">
        <w:rPr>
          <w:rFonts w:ascii="Times New Roman" w:hAnsi="Times New Roman" w:cs="Times New Roman"/>
          <w:i w:val="0"/>
          <w:color w:val="auto"/>
          <w:sz w:val="24"/>
          <w:szCs w:val="24"/>
        </w:rPr>
        <w:t xml:space="preserve">Letters denote significant comparisons (post hoc Tukey test, </w:t>
      </w:r>
      <w:r w:rsidR="000537E4" w:rsidRPr="000537E4">
        <w:rPr>
          <w:rFonts w:ascii="Times New Roman" w:hAnsi="Times New Roman" w:cs="Times New Roman"/>
          <w:color w:val="auto"/>
          <w:sz w:val="24"/>
          <w:szCs w:val="24"/>
        </w:rPr>
        <w:t xml:space="preserve">P </w:t>
      </w:r>
      <w:r w:rsidRPr="00A81507">
        <w:rPr>
          <w:rFonts w:ascii="Times New Roman" w:hAnsi="Times New Roman" w:cs="Times New Roman"/>
          <w:i w:val="0"/>
          <w:color w:val="auto"/>
          <w:sz w:val="24"/>
          <w:szCs w:val="24"/>
        </w:rPr>
        <w:t xml:space="preserve">&lt; 0.001) between oak wilt sensitivities of each week’s models and error bars are one SD (100 iterations of model fitting). </w:t>
      </w:r>
    </w:p>
    <w:p w14:paraId="1BBBC892" w14:textId="77777777" w:rsidR="00E229F8" w:rsidRPr="00A81507" w:rsidRDefault="00E229F8" w:rsidP="00A81507">
      <w:pPr>
        <w:spacing w:line="360" w:lineRule="auto"/>
        <w:rPr>
          <w:rFonts w:ascii="Times New Roman" w:hAnsi="Times New Roman" w:cs="Times New Roman"/>
          <w:sz w:val="24"/>
          <w:szCs w:val="24"/>
        </w:rPr>
      </w:pPr>
    </w:p>
    <w:p w14:paraId="0E0A59F7" w14:textId="77777777" w:rsidR="00E229F8" w:rsidRPr="00A81507" w:rsidRDefault="00D213AD" w:rsidP="00A81507">
      <w:pPr>
        <w:spacing w:line="360" w:lineRule="auto"/>
        <w:rPr>
          <w:rFonts w:ascii="Times New Roman" w:hAnsi="Times New Roman" w:cs="Times New Roman"/>
          <w:sz w:val="24"/>
          <w:szCs w:val="24"/>
        </w:rPr>
      </w:pPr>
      <w:r w:rsidRPr="00A81507">
        <w:rPr>
          <w:rFonts w:ascii="Times New Roman" w:hAnsi="Times New Roman" w:cs="Times New Roman"/>
          <w:noProof/>
          <w:sz w:val="24"/>
          <w:szCs w:val="24"/>
        </w:rPr>
        <w:lastRenderedPageBreak/>
        <w:drawing>
          <wp:inline distT="0" distB="0" distL="0" distR="0" wp14:anchorId="21CB895B" wp14:editId="18612547">
            <wp:extent cx="5485714" cy="3809524"/>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5714" cy="3809524"/>
                    </a:xfrm>
                    <a:prstGeom prst="rect">
                      <a:avLst/>
                    </a:prstGeom>
                  </pic:spPr>
                </pic:pic>
              </a:graphicData>
            </a:graphic>
          </wp:inline>
        </w:drawing>
      </w:r>
    </w:p>
    <w:p w14:paraId="3E2A12CD" w14:textId="19890BCB" w:rsidR="008607B4" w:rsidRPr="00A81507" w:rsidRDefault="00E229F8" w:rsidP="00A81507">
      <w:pPr>
        <w:pStyle w:val="Caption"/>
        <w:spacing w:line="360" w:lineRule="auto"/>
        <w:ind w:left="180" w:right="-360"/>
        <w:rPr>
          <w:rFonts w:ascii="Times New Roman" w:hAnsi="Times New Roman" w:cs="Times New Roman"/>
          <w:i w:val="0"/>
          <w:color w:val="auto"/>
          <w:sz w:val="24"/>
          <w:szCs w:val="24"/>
        </w:rPr>
      </w:pPr>
      <w:r w:rsidRPr="00A81507">
        <w:rPr>
          <w:rFonts w:ascii="Times New Roman" w:hAnsi="Times New Roman" w:cs="Times New Roman"/>
          <w:b/>
          <w:i w:val="0"/>
          <w:color w:val="auto"/>
          <w:sz w:val="24"/>
          <w:szCs w:val="24"/>
        </w:rPr>
        <w:t>Figure S</w:t>
      </w:r>
      <w:r w:rsidR="00BD1D37">
        <w:rPr>
          <w:rFonts w:ascii="Times New Roman" w:hAnsi="Times New Roman" w:cs="Times New Roman"/>
          <w:b/>
          <w:i w:val="0"/>
          <w:color w:val="auto"/>
          <w:sz w:val="24"/>
          <w:szCs w:val="24"/>
        </w:rPr>
        <w:t>5</w:t>
      </w:r>
      <w:r w:rsidRPr="00A81507">
        <w:rPr>
          <w:rFonts w:ascii="Times New Roman" w:hAnsi="Times New Roman" w:cs="Times New Roman"/>
          <w:b/>
          <w:i w:val="0"/>
          <w:color w:val="auto"/>
          <w:sz w:val="24"/>
          <w:szCs w:val="24"/>
        </w:rPr>
        <w:t xml:space="preserve">. </w:t>
      </w:r>
      <w:r w:rsidR="008607B4" w:rsidRPr="00A81507">
        <w:rPr>
          <w:rFonts w:ascii="Times New Roman" w:hAnsi="Times New Roman" w:cs="Times New Roman"/>
          <w:b/>
          <w:i w:val="0"/>
          <w:color w:val="auto"/>
          <w:sz w:val="24"/>
          <w:szCs w:val="24"/>
        </w:rPr>
        <w:t>PLS-DA model accuracy, Kappa, and sensitivity to oak wilt by oak wilt-treatments wilted canopy fractions</w:t>
      </w:r>
      <w:r w:rsidRPr="00A81507">
        <w:rPr>
          <w:rFonts w:ascii="Times New Roman" w:hAnsi="Times New Roman" w:cs="Times New Roman"/>
          <w:b/>
          <w:sz w:val="24"/>
          <w:szCs w:val="24"/>
        </w:rPr>
        <w:t>.</w:t>
      </w:r>
      <w:r w:rsidRPr="00A81507">
        <w:rPr>
          <w:rFonts w:ascii="Times New Roman" w:hAnsi="Times New Roman" w:cs="Times New Roman"/>
          <w:sz w:val="24"/>
          <w:szCs w:val="24"/>
        </w:rPr>
        <w:t xml:space="preserve"> </w:t>
      </w:r>
      <w:r w:rsidR="008607B4" w:rsidRPr="00A81507">
        <w:rPr>
          <w:rFonts w:ascii="Times New Roman" w:hAnsi="Times New Roman" w:cs="Times New Roman"/>
          <w:i w:val="0"/>
          <w:color w:val="auto"/>
          <w:sz w:val="24"/>
          <w:szCs w:val="24"/>
        </w:rPr>
        <w:t xml:space="preserve">Model performance statistics from PLS-DA classifications of data into oak wilt or not oak wilt (all other treatments grouped) in spectral reflectance weekly datasets plotted against mean canopy fraction of wilted leaves among oak wilt-inoculated plants. </w:t>
      </w:r>
      <w:r w:rsidR="008607B4" w:rsidRPr="00A81507">
        <w:rPr>
          <w:rFonts w:ascii="Times New Roman" w:hAnsi="Times New Roman" w:cs="Times New Roman"/>
          <w:b/>
          <w:i w:val="0"/>
          <w:color w:val="auto"/>
          <w:sz w:val="24"/>
          <w:szCs w:val="24"/>
        </w:rPr>
        <w:t>a)</w:t>
      </w:r>
      <w:r w:rsidR="008607B4" w:rsidRPr="00A81507">
        <w:rPr>
          <w:rFonts w:ascii="Times New Roman" w:hAnsi="Times New Roman" w:cs="Times New Roman"/>
          <w:i w:val="0"/>
          <w:color w:val="auto"/>
          <w:sz w:val="24"/>
          <w:szCs w:val="24"/>
        </w:rPr>
        <w:t xml:space="preserve"> </w:t>
      </w:r>
      <w:proofErr w:type="gramStart"/>
      <w:r w:rsidR="008607B4" w:rsidRPr="00A81507">
        <w:rPr>
          <w:rFonts w:ascii="Times New Roman" w:hAnsi="Times New Roman" w:cs="Times New Roman"/>
          <w:i w:val="0"/>
          <w:color w:val="auto"/>
          <w:sz w:val="24"/>
          <w:szCs w:val="24"/>
        </w:rPr>
        <w:t>asymptomatic</w:t>
      </w:r>
      <w:proofErr w:type="gramEnd"/>
      <w:r w:rsidR="008607B4" w:rsidRPr="00A81507">
        <w:rPr>
          <w:rFonts w:ascii="Times New Roman" w:hAnsi="Times New Roman" w:cs="Times New Roman"/>
          <w:i w:val="0"/>
          <w:color w:val="auto"/>
          <w:sz w:val="24"/>
          <w:szCs w:val="24"/>
        </w:rPr>
        <w:t xml:space="preserve"> leaves </w:t>
      </w:r>
      <w:r w:rsidR="008607B4" w:rsidRPr="00A81507">
        <w:rPr>
          <w:rFonts w:ascii="Times New Roman" w:hAnsi="Times New Roman" w:cs="Times New Roman"/>
          <w:b/>
          <w:i w:val="0"/>
          <w:color w:val="auto"/>
          <w:sz w:val="24"/>
          <w:szCs w:val="24"/>
        </w:rPr>
        <w:t>b)</w:t>
      </w:r>
      <w:r w:rsidR="008607B4" w:rsidRPr="00A81507">
        <w:rPr>
          <w:rFonts w:ascii="Times New Roman" w:hAnsi="Times New Roman" w:cs="Times New Roman"/>
          <w:i w:val="0"/>
          <w:color w:val="auto"/>
          <w:sz w:val="24"/>
          <w:szCs w:val="24"/>
        </w:rPr>
        <w:t xml:space="preserve"> symptomatic leaves, and c</w:t>
      </w:r>
      <w:r w:rsidR="008607B4" w:rsidRPr="00A81507">
        <w:rPr>
          <w:rFonts w:ascii="Times New Roman" w:hAnsi="Times New Roman" w:cs="Times New Roman"/>
          <w:b/>
          <w:i w:val="0"/>
          <w:color w:val="auto"/>
          <w:sz w:val="24"/>
          <w:szCs w:val="24"/>
        </w:rPr>
        <w:t>)</w:t>
      </w:r>
      <w:r w:rsidR="008607B4" w:rsidRPr="00A81507">
        <w:rPr>
          <w:rFonts w:ascii="Times New Roman" w:hAnsi="Times New Roman" w:cs="Times New Roman"/>
          <w:i w:val="0"/>
          <w:color w:val="auto"/>
          <w:sz w:val="24"/>
          <w:szCs w:val="24"/>
        </w:rPr>
        <w:t xml:space="preserve"> seedling canopies. Letters denote significant comparisons (post hoc Tukey test, </w:t>
      </w:r>
      <w:r w:rsidR="000537E4" w:rsidRPr="000537E4">
        <w:rPr>
          <w:rFonts w:ascii="Times New Roman" w:hAnsi="Times New Roman" w:cs="Times New Roman"/>
          <w:color w:val="auto"/>
          <w:sz w:val="24"/>
          <w:szCs w:val="24"/>
        </w:rPr>
        <w:t xml:space="preserve">P </w:t>
      </w:r>
      <w:r w:rsidR="008607B4" w:rsidRPr="00A81507">
        <w:rPr>
          <w:rFonts w:ascii="Times New Roman" w:hAnsi="Times New Roman" w:cs="Times New Roman"/>
          <w:i w:val="0"/>
          <w:color w:val="auto"/>
          <w:sz w:val="24"/>
          <w:szCs w:val="24"/>
        </w:rPr>
        <w:t xml:space="preserve">&lt; 0.001) between oak wilt sensitivities of each week’s models and error bars are one SD (100 iterations of model fitting). </w:t>
      </w:r>
    </w:p>
    <w:p w14:paraId="6F20138B" w14:textId="77777777" w:rsidR="00E229F8" w:rsidRPr="00A81507" w:rsidRDefault="00E229F8" w:rsidP="00A81507">
      <w:pPr>
        <w:spacing w:line="360" w:lineRule="auto"/>
        <w:rPr>
          <w:rFonts w:ascii="Times New Roman" w:hAnsi="Times New Roman" w:cs="Times New Roman"/>
          <w:sz w:val="24"/>
          <w:szCs w:val="24"/>
        </w:rPr>
      </w:pPr>
    </w:p>
    <w:p w14:paraId="3C9AA9DE" w14:textId="77777777" w:rsidR="00E229F8" w:rsidRPr="00A81507" w:rsidRDefault="00E229F8" w:rsidP="00A81507">
      <w:pPr>
        <w:spacing w:line="360" w:lineRule="auto"/>
        <w:rPr>
          <w:rFonts w:ascii="Times New Roman" w:hAnsi="Times New Roman" w:cs="Times New Roman"/>
          <w:sz w:val="24"/>
          <w:szCs w:val="24"/>
        </w:rPr>
      </w:pPr>
    </w:p>
    <w:p w14:paraId="1473728F" w14:textId="77777777" w:rsidR="00E229F8" w:rsidRPr="00A81507" w:rsidRDefault="00E229F8" w:rsidP="00A81507">
      <w:pPr>
        <w:spacing w:line="360" w:lineRule="auto"/>
        <w:rPr>
          <w:rFonts w:ascii="Times New Roman" w:hAnsi="Times New Roman" w:cs="Times New Roman"/>
          <w:sz w:val="24"/>
          <w:szCs w:val="24"/>
        </w:rPr>
      </w:pPr>
    </w:p>
    <w:p w14:paraId="2BFE8150" w14:textId="77777777" w:rsidR="00E229F8" w:rsidRPr="00A81507" w:rsidRDefault="00E229F8" w:rsidP="00A81507">
      <w:pPr>
        <w:spacing w:line="360" w:lineRule="auto"/>
        <w:rPr>
          <w:rFonts w:ascii="Times New Roman" w:hAnsi="Times New Roman" w:cs="Times New Roman"/>
          <w:sz w:val="24"/>
          <w:szCs w:val="24"/>
        </w:rPr>
      </w:pPr>
    </w:p>
    <w:p w14:paraId="5DB397BA" w14:textId="77777777" w:rsidR="00E229F8" w:rsidRPr="00A81507" w:rsidRDefault="00E229F8" w:rsidP="00A81507">
      <w:pPr>
        <w:spacing w:line="360" w:lineRule="auto"/>
        <w:rPr>
          <w:rFonts w:ascii="Times New Roman" w:hAnsi="Times New Roman" w:cs="Times New Roman"/>
          <w:sz w:val="24"/>
          <w:szCs w:val="24"/>
        </w:rPr>
      </w:pPr>
    </w:p>
    <w:p w14:paraId="4DD0A737" w14:textId="77777777" w:rsidR="00E229F8" w:rsidRPr="00A81507" w:rsidRDefault="00E229F8" w:rsidP="00A81507">
      <w:pPr>
        <w:spacing w:line="360" w:lineRule="auto"/>
        <w:rPr>
          <w:rFonts w:ascii="Times New Roman" w:hAnsi="Times New Roman" w:cs="Times New Roman"/>
          <w:sz w:val="24"/>
          <w:szCs w:val="24"/>
        </w:rPr>
      </w:pPr>
    </w:p>
    <w:p w14:paraId="58ABD15B" w14:textId="77777777" w:rsidR="00E229F8" w:rsidRPr="00A81507" w:rsidRDefault="00E229F8" w:rsidP="00A81507">
      <w:pPr>
        <w:pStyle w:val="Caption"/>
        <w:spacing w:line="360" w:lineRule="auto"/>
        <w:ind w:left="180" w:right="-360"/>
        <w:rPr>
          <w:rFonts w:ascii="Times New Roman" w:hAnsi="Times New Roman" w:cs="Times New Roman"/>
          <w:b/>
          <w:i w:val="0"/>
          <w:color w:val="auto"/>
          <w:sz w:val="24"/>
          <w:szCs w:val="24"/>
        </w:rPr>
      </w:pPr>
      <w:r w:rsidRPr="00A81507">
        <w:rPr>
          <w:rFonts w:ascii="Times New Roman" w:hAnsi="Times New Roman" w:cs="Times New Roman"/>
          <w:noProof/>
          <w:sz w:val="24"/>
          <w:szCs w:val="24"/>
        </w:rPr>
        <w:lastRenderedPageBreak/>
        <w:drawing>
          <wp:inline distT="0" distB="0" distL="0" distR="0" wp14:anchorId="61DFD7A1" wp14:editId="3F491080">
            <wp:extent cx="3657600" cy="5495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5495805"/>
                    </a:xfrm>
                    <a:prstGeom prst="rect">
                      <a:avLst/>
                    </a:prstGeom>
                    <a:noFill/>
                    <a:ln>
                      <a:noFill/>
                    </a:ln>
                  </pic:spPr>
                </pic:pic>
              </a:graphicData>
            </a:graphic>
          </wp:inline>
        </w:drawing>
      </w:r>
    </w:p>
    <w:p w14:paraId="528B6ADF" w14:textId="39962890" w:rsidR="00E229F8" w:rsidRPr="00A81507" w:rsidRDefault="00E229F8" w:rsidP="00A81507">
      <w:pPr>
        <w:spacing w:line="360" w:lineRule="auto"/>
        <w:rPr>
          <w:rFonts w:ascii="Times New Roman" w:hAnsi="Times New Roman" w:cs="Times New Roman"/>
          <w:sz w:val="24"/>
          <w:szCs w:val="24"/>
        </w:rPr>
      </w:pPr>
      <w:r w:rsidRPr="00A81507">
        <w:rPr>
          <w:rFonts w:ascii="Times New Roman" w:hAnsi="Times New Roman" w:cs="Times New Roman"/>
          <w:b/>
          <w:sz w:val="24"/>
          <w:szCs w:val="24"/>
        </w:rPr>
        <w:t>Figure S</w:t>
      </w:r>
      <w:r w:rsidR="00C342AF">
        <w:rPr>
          <w:rFonts w:ascii="Times New Roman" w:hAnsi="Times New Roman" w:cs="Times New Roman"/>
          <w:b/>
          <w:sz w:val="24"/>
          <w:szCs w:val="24"/>
        </w:rPr>
        <w:t>6</w:t>
      </w:r>
      <w:r w:rsidRPr="00A81507">
        <w:rPr>
          <w:rFonts w:ascii="Times New Roman" w:hAnsi="Times New Roman" w:cs="Times New Roman"/>
          <w:b/>
          <w:sz w:val="24"/>
          <w:szCs w:val="24"/>
        </w:rPr>
        <w:t xml:space="preserve">. Confusion matrices of PLS-DA classification to treatment in leaf level, symptom status data sets subset to species. </w:t>
      </w:r>
      <w:r w:rsidRPr="00A81507">
        <w:rPr>
          <w:rFonts w:ascii="Times New Roman" w:hAnsi="Times New Roman" w:cs="Times New Roman"/>
          <w:sz w:val="24"/>
          <w:szCs w:val="24"/>
        </w:rPr>
        <w:t xml:space="preserve">Average percentage of treatment individuals classified in PLS-DA models (100 iterations for each dataset) of subsets of: symptomatic leaves </w:t>
      </w:r>
      <w:r w:rsidRPr="00A81507">
        <w:rPr>
          <w:rFonts w:ascii="Times New Roman" w:hAnsi="Times New Roman" w:cs="Times New Roman"/>
          <w:b/>
          <w:sz w:val="24"/>
          <w:szCs w:val="24"/>
        </w:rPr>
        <w:t xml:space="preserve">a) </w:t>
      </w:r>
      <w:r w:rsidRPr="00A81507">
        <w:rPr>
          <w:rFonts w:ascii="Times New Roman" w:hAnsi="Times New Roman" w:cs="Times New Roman"/>
          <w:i/>
          <w:sz w:val="24"/>
          <w:szCs w:val="24"/>
        </w:rPr>
        <w:t>Q. macrocarpa</w:t>
      </w:r>
      <w:r w:rsidRPr="00A81507">
        <w:rPr>
          <w:rFonts w:ascii="Times New Roman" w:hAnsi="Times New Roman" w:cs="Times New Roman"/>
          <w:sz w:val="24"/>
          <w:szCs w:val="24"/>
        </w:rPr>
        <w:t>,</w:t>
      </w:r>
      <w:r w:rsidRPr="00A81507">
        <w:rPr>
          <w:rFonts w:ascii="Times New Roman" w:hAnsi="Times New Roman" w:cs="Times New Roman"/>
          <w:b/>
          <w:sz w:val="24"/>
          <w:szCs w:val="24"/>
        </w:rPr>
        <w:t xml:space="preserve"> b) </w:t>
      </w:r>
      <w:r w:rsidRPr="00A81507">
        <w:rPr>
          <w:rFonts w:ascii="Times New Roman" w:hAnsi="Times New Roman" w:cs="Times New Roman"/>
          <w:i/>
          <w:sz w:val="24"/>
          <w:szCs w:val="24"/>
        </w:rPr>
        <w:t>Q. ellipsoidalis</w:t>
      </w:r>
      <w:r w:rsidRPr="00A81507">
        <w:rPr>
          <w:rFonts w:ascii="Times New Roman" w:hAnsi="Times New Roman" w:cs="Times New Roman"/>
          <w:sz w:val="24"/>
          <w:szCs w:val="24"/>
        </w:rPr>
        <w:t xml:space="preserve">, </w:t>
      </w:r>
      <w:r w:rsidRPr="00A81507">
        <w:rPr>
          <w:rFonts w:ascii="Times New Roman" w:hAnsi="Times New Roman" w:cs="Times New Roman"/>
          <w:b/>
          <w:sz w:val="24"/>
          <w:szCs w:val="24"/>
        </w:rPr>
        <w:t xml:space="preserve">c) </w:t>
      </w:r>
      <w:r w:rsidRPr="00A81507">
        <w:rPr>
          <w:rFonts w:ascii="Times New Roman" w:hAnsi="Times New Roman" w:cs="Times New Roman"/>
          <w:i/>
          <w:sz w:val="24"/>
          <w:szCs w:val="24"/>
        </w:rPr>
        <w:t xml:space="preserve">Q. macrocarpa </w:t>
      </w:r>
      <w:r w:rsidRPr="00A81507">
        <w:rPr>
          <w:rFonts w:ascii="Times New Roman" w:hAnsi="Times New Roman" w:cs="Times New Roman"/>
          <w:sz w:val="24"/>
          <w:szCs w:val="24"/>
        </w:rPr>
        <w:t xml:space="preserve">when bur oak blight individuals are excluded from the analysis; and asymptomatic leaves </w:t>
      </w:r>
      <w:r w:rsidRPr="00A81507">
        <w:rPr>
          <w:rFonts w:ascii="Times New Roman" w:hAnsi="Times New Roman" w:cs="Times New Roman"/>
          <w:b/>
          <w:sz w:val="24"/>
          <w:szCs w:val="24"/>
        </w:rPr>
        <w:t xml:space="preserve">d) </w:t>
      </w:r>
      <w:r w:rsidRPr="00A81507">
        <w:rPr>
          <w:rFonts w:ascii="Times New Roman" w:hAnsi="Times New Roman" w:cs="Times New Roman"/>
          <w:i/>
          <w:sz w:val="24"/>
          <w:szCs w:val="24"/>
        </w:rPr>
        <w:t>Q. macrocarpa</w:t>
      </w:r>
      <w:r w:rsidRPr="00A81507">
        <w:rPr>
          <w:rFonts w:ascii="Times New Roman" w:hAnsi="Times New Roman" w:cs="Times New Roman"/>
          <w:sz w:val="24"/>
          <w:szCs w:val="24"/>
        </w:rPr>
        <w:t xml:space="preserve">, </w:t>
      </w:r>
      <w:r w:rsidRPr="00A81507">
        <w:rPr>
          <w:rFonts w:ascii="Times New Roman" w:hAnsi="Times New Roman" w:cs="Times New Roman"/>
          <w:b/>
          <w:sz w:val="24"/>
          <w:szCs w:val="24"/>
        </w:rPr>
        <w:t xml:space="preserve">e) </w:t>
      </w:r>
      <w:r w:rsidRPr="00A81507">
        <w:rPr>
          <w:rFonts w:ascii="Times New Roman" w:hAnsi="Times New Roman" w:cs="Times New Roman"/>
          <w:i/>
          <w:sz w:val="24"/>
          <w:szCs w:val="24"/>
        </w:rPr>
        <w:t>Q. ellipsoidalis</w:t>
      </w:r>
      <w:r w:rsidRPr="00A81507">
        <w:rPr>
          <w:rFonts w:ascii="Times New Roman" w:hAnsi="Times New Roman" w:cs="Times New Roman"/>
          <w:sz w:val="24"/>
          <w:szCs w:val="24"/>
        </w:rPr>
        <w:t xml:space="preserve">, and </w:t>
      </w:r>
      <w:r w:rsidRPr="00A81507">
        <w:rPr>
          <w:rFonts w:ascii="Times New Roman" w:hAnsi="Times New Roman" w:cs="Times New Roman"/>
          <w:b/>
          <w:sz w:val="24"/>
          <w:szCs w:val="24"/>
        </w:rPr>
        <w:t>f)</w:t>
      </w:r>
      <w:r w:rsidRPr="00A81507">
        <w:rPr>
          <w:rFonts w:ascii="Times New Roman" w:hAnsi="Times New Roman" w:cs="Times New Roman"/>
          <w:sz w:val="24"/>
          <w:szCs w:val="24"/>
        </w:rPr>
        <w:t xml:space="preserve"> </w:t>
      </w:r>
      <w:r w:rsidRPr="00A81507">
        <w:rPr>
          <w:rFonts w:ascii="Times New Roman" w:hAnsi="Times New Roman" w:cs="Times New Roman"/>
          <w:i/>
          <w:sz w:val="24"/>
          <w:szCs w:val="24"/>
        </w:rPr>
        <w:t xml:space="preserve">Q. macrocarpa </w:t>
      </w:r>
      <w:r w:rsidRPr="00A81507">
        <w:rPr>
          <w:rFonts w:ascii="Times New Roman" w:hAnsi="Times New Roman" w:cs="Times New Roman"/>
          <w:sz w:val="24"/>
          <w:szCs w:val="24"/>
        </w:rPr>
        <w:t>when bur oak blight individuals are excluded from the analysis. Vertical axis is applied treatments and horizontal axis is predicted classification.</w:t>
      </w:r>
    </w:p>
    <w:p w14:paraId="498FCC8C" w14:textId="77777777" w:rsidR="00E229F8" w:rsidRPr="00A81507" w:rsidRDefault="00E229F8" w:rsidP="00A81507">
      <w:pPr>
        <w:spacing w:line="360" w:lineRule="auto"/>
        <w:rPr>
          <w:rFonts w:ascii="Times New Roman" w:hAnsi="Times New Roman" w:cs="Times New Roman"/>
          <w:sz w:val="24"/>
          <w:szCs w:val="24"/>
        </w:rPr>
      </w:pPr>
      <w:r w:rsidRPr="00A81507">
        <w:rPr>
          <w:rFonts w:ascii="Times New Roman" w:hAnsi="Times New Roman" w:cs="Times New Roman"/>
          <w:noProof/>
          <w:sz w:val="24"/>
          <w:szCs w:val="24"/>
        </w:rPr>
        <w:lastRenderedPageBreak/>
        <w:drawing>
          <wp:inline distT="0" distB="0" distL="0" distR="0" wp14:anchorId="784187A2" wp14:editId="04FD4685">
            <wp:extent cx="54864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CA6E10A" w14:textId="509EF088" w:rsidR="00E229F8" w:rsidRPr="00A81507" w:rsidRDefault="00E229F8" w:rsidP="00A81507">
      <w:pPr>
        <w:spacing w:line="360" w:lineRule="auto"/>
        <w:rPr>
          <w:rFonts w:ascii="Times New Roman" w:hAnsi="Times New Roman" w:cs="Times New Roman"/>
          <w:sz w:val="24"/>
          <w:szCs w:val="24"/>
        </w:rPr>
      </w:pPr>
      <w:r w:rsidRPr="00A81507">
        <w:rPr>
          <w:rFonts w:ascii="Times New Roman" w:hAnsi="Times New Roman" w:cs="Times New Roman"/>
          <w:b/>
          <w:sz w:val="24"/>
          <w:szCs w:val="24"/>
        </w:rPr>
        <w:t>Figure S</w:t>
      </w:r>
      <w:r w:rsidR="00771C0C">
        <w:rPr>
          <w:rFonts w:ascii="Times New Roman" w:hAnsi="Times New Roman" w:cs="Times New Roman"/>
          <w:b/>
          <w:sz w:val="24"/>
          <w:szCs w:val="24"/>
        </w:rPr>
        <w:t>7</w:t>
      </w:r>
      <w:r w:rsidRPr="00A81507">
        <w:rPr>
          <w:rFonts w:ascii="Times New Roman" w:hAnsi="Times New Roman" w:cs="Times New Roman"/>
          <w:b/>
          <w:sz w:val="24"/>
          <w:szCs w:val="24"/>
        </w:rPr>
        <w:t xml:space="preserve">. Confusion matrices of PLS-DA classification to treatment whole plant and leaf aggregated data sets. </w:t>
      </w:r>
      <w:r w:rsidRPr="00A81507">
        <w:rPr>
          <w:rFonts w:ascii="Times New Roman" w:hAnsi="Times New Roman" w:cs="Times New Roman"/>
          <w:sz w:val="24"/>
          <w:szCs w:val="24"/>
        </w:rPr>
        <w:t xml:space="preserve">Average percentage of treatment individuals classified in PLS-DA models (100 iterations for each dataset) of subsets of: canopy reflectance </w:t>
      </w:r>
      <w:r w:rsidRPr="00A81507">
        <w:rPr>
          <w:rFonts w:ascii="Times New Roman" w:hAnsi="Times New Roman" w:cs="Times New Roman"/>
          <w:b/>
          <w:sz w:val="24"/>
          <w:szCs w:val="24"/>
        </w:rPr>
        <w:t xml:space="preserve">a) </w:t>
      </w:r>
      <w:r w:rsidRPr="00A81507">
        <w:rPr>
          <w:rFonts w:ascii="Times New Roman" w:hAnsi="Times New Roman" w:cs="Times New Roman"/>
          <w:i/>
          <w:sz w:val="24"/>
          <w:szCs w:val="24"/>
        </w:rPr>
        <w:t>Q. macrocarpa</w:t>
      </w:r>
      <w:r w:rsidRPr="00A81507">
        <w:rPr>
          <w:rFonts w:ascii="Times New Roman" w:hAnsi="Times New Roman" w:cs="Times New Roman"/>
          <w:sz w:val="24"/>
          <w:szCs w:val="24"/>
        </w:rPr>
        <w:t>,</w:t>
      </w:r>
      <w:r w:rsidRPr="00A81507">
        <w:rPr>
          <w:rFonts w:ascii="Times New Roman" w:hAnsi="Times New Roman" w:cs="Times New Roman"/>
          <w:b/>
          <w:sz w:val="24"/>
          <w:szCs w:val="24"/>
        </w:rPr>
        <w:t xml:space="preserve"> b) </w:t>
      </w:r>
      <w:r w:rsidRPr="00A81507">
        <w:rPr>
          <w:rFonts w:ascii="Times New Roman" w:hAnsi="Times New Roman" w:cs="Times New Roman"/>
          <w:i/>
          <w:sz w:val="24"/>
          <w:szCs w:val="24"/>
        </w:rPr>
        <w:t>Q. ellipsoidalis</w:t>
      </w:r>
      <w:r w:rsidRPr="00A81507">
        <w:rPr>
          <w:rFonts w:ascii="Times New Roman" w:hAnsi="Times New Roman" w:cs="Times New Roman"/>
          <w:sz w:val="24"/>
          <w:szCs w:val="24"/>
        </w:rPr>
        <w:t xml:space="preserve">; and leaf reflectance (2017) </w:t>
      </w:r>
      <w:r w:rsidRPr="00A81507">
        <w:rPr>
          <w:rFonts w:ascii="Times New Roman" w:hAnsi="Times New Roman" w:cs="Times New Roman"/>
          <w:b/>
          <w:sz w:val="24"/>
          <w:szCs w:val="24"/>
        </w:rPr>
        <w:t xml:space="preserve">c) </w:t>
      </w:r>
      <w:r w:rsidRPr="00A81507">
        <w:rPr>
          <w:rFonts w:ascii="Times New Roman" w:hAnsi="Times New Roman" w:cs="Times New Roman"/>
          <w:i/>
          <w:sz w:val="24"/>
          <w:szCs w:val="24"/>
        </w:rPr>
        <w:t>Q. macrocarpa</w:t>
      </w:r>
      <w:r w:rsidRPr="00A81507">
        <w:rPr>
          <w:rFonts w:ascii="Times New Roman" w:hAnsi="Times New Roman" w:cs="Times New Roman"/>
          <w:sz w:val="24"/>
          <w:szCs w:val="24"/>
        </w:rPr>
        <w:t>, d</w:t>
      </w:r>
      <w:r w:rsidRPr="00A81507">
        <w:rPr>
          <w:rFonts w:ascii="Times New Roman" w:hAnsi="Times New Roman" w:cs="Times New Roman"/>
          <w:b/>
          <w:sz w:val="24"/>
          <w:szCs w:val="24"/>
        </w:rPr>
        <w:t xml:space="preserve">) </w:t>
      </w:r>
      <w:r w:rsidRPr="00A81507">
        <w:rPr>
          <w:rFonts w:ascii="Times New Roman" w:hAnsi="Times New Roman" w:cs="Times New Roman"/>
          <w:i/>
          <w:sz w:val="24"/>
          <w:szCs w:val="24"/>
        </w:rPr>
        <w:t>Q. ellipsoidalis</w:t>
      </w:r>
      <w:r w:rsidRPr="00A81507">
        <w:rPr>
          <w:rFonts w:ascii="Times New Roman" w:hAnsi="Times New Roman" w:cs="Times New Roman"/>
          <w:sz w:val="24"/>
          <w:szCs w:val="24"/>
        </w:rPr>
        <w:t>. Vertical axis is applied treatments and horizontal axis is predicted classification.</w:t>
      </w:r>
    </w:p>
    <w:p w14:paraId="19140FBB" w14:textId="77777777" w:rsidR="00E229F8" w:rsidRPr="00A81507" w:rsidRDefault="00E229F8" w:rsidP="00A81507">
      <w:pPr>
        <w:spacing w:line="360" w:lineRule="auto"/>
        <w:rPr>
          <w:rFonts w:ascii="Times New Roman" w:hAnsi="Times New Roman" w:cs="Times New Roman"/>
          <w:sz w:val="24"/>
          <w:szCs w:val="24"/>
        </w:rPr>
      </w:pPr>
    </w:p>
    <w:p w14:paraId="31AC3D45" w14:textId="77777777" w:rsidR="00E229F8" w:rsidRPr="00A81507" w:rsidRDefault="00E229F8" w:rsidP="00A81507">
      <w:pPr>
        <w:spacing w:line="360" w:lineRule="auto"/>
        <w:rPr>
          <w:rFonts w:ascii="Times New Roman" w:hAnsi="Times New Roman" w:cs="Times New Roman"/>
          <w:sz w:val="24"/>
          <w:szCs w:val="24"/>
        </w:rPr>
      </w:pPr>
    </w:p>
    <w:p w14:paraId="37B74CB8" w14:textId="77777777" w:rsidR="00E229F8" w:rsidRPr="00A81507" w:rsidRDefault="00E229F8" w:rsidP="00A81507">
      <w:pPr>
        <w:spacing w:line="360" w:lineRule="auto"/>
        <w:rPr>
          <w:rFonts w:ascii="Times New Roman" w:hAnsi="Times New Roman" w:cs="Times New Roman"/>
          <w:sz w:val="24"/>
          <w:szCs w:val="24"/>
        </w:rPr>
      </w:pPr>
    </w:p>
    <w:p w14:paraId="0E0701B8" w14:textId="77777777" w:rsidR="00E229F8" w:rsidRPr="00A81507" w:rsidRDefault="00E229F8" w:rsidP="00A81507">
      <w:pPr>
        <w:spacing w:line="360" w:lineRule="auto"/>
        <w:rPr>
          <w:rFonts w:ascii="Times New Roman" w:hAnsi="Times New Roman" w:cs="Times New Roman"/>
          <w:sz w:val="24"/>
          <w:szCs w:val="24"/>
        </w:rPr>
      </w:pPr>
    </w:p>
    <w:p w14:paraId="3DD99F46" w14:textId="77777777" w:rsidR="00E229F8" w:rsidRPr="00A81507" w:rsidRDefault="00E229F8" w:rsidP="00A81507">
      <w:pPr>
        <w:spacing w:line="360" w:lineRule="auto"/>
        <w:rPr>
          <w:rFonts w:ascii="Times New Roman" w:hAnsi="Times New Roman" w:cs="Times New Roman"/>
          <w:sz w:val="24"/>
          <w:szCs w:val="24"/>
        </w:rPr>
      </w:pPr>
      <w:r w:rsidRPr="00A81507">
        <w:rPr>
          <w:rFonts w:ascii="Times New Roman" w:hAnsi="Times New Roman" w:cs="Times New Roman"/>
          <w:noProof/>
          <w:sz w:val="24"/>
          <w:szCs w:val="24"/>
        </w:rPr>
        <w:drawing>
          <wp:inline distT="0" distB="0" distL="0" distR="0" wp14:anchorId="038708C1" wp14:editId="6E677C92">
            <wp:extent cx="54864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60C01971" w14:textId="7C7E7189" w:rsidR="00E229F8" w:rsidRPr="00A81507" w:rsidRDefault="00E229F8" w:rsidP="00A81507">
      <w:pPr>
        <w:spacing w:line="360" w:lineRule="auto"/>
        <w:rPr>
          <w:rFonts w:ascii="Times New Roman" w:hAnsi="Times New Roman" w:cs="Times New Roman"/>
          <w:sz w:val="24"/>
          <w:szCs w:val="24"/>
        </w:rPr>
      </w:pPr>
      <w:r w:rsidRPr="00A81507">
        <w:rPr>
          <w:rFonts w:ascii="Times New Roman" w:hAnsi="Times New Roman" w:cs="Times New Roman"/>
          <w:b/>
          <w:sz w:val="24"/>
          <w:szCs w:val="24"/>
        </w:rPr>
        <w:t>Figure S</w:t>
      </w:r>
      <w:r w:rsidR="00923068">
        <w:rPr>
          <w:rFonts w:ascii="Times New Roman" w:hAnsi="Times New Roman" w:cs="Times New Roman"/>
          <w:b/>
          <w:sz w:val="24"/>
          <w:szCs w:val="24"/>
        </w:rPr>
        <w:t>8</w:t>
      </w:r>
      <w:r w:rsidRPr="00A81507">
        <w:rPr>
          <w:rFonts w:ascii="Times New Roman" w:hAnsi="Times New Roman" w:cs="Times New Roman"/>
          <w:b/>
          <w:sz w:val="24"/>
          <w:szCs w:val="24"/>
        </w:rPr>
        <w:t xml:space="preserve">. Oak wilt diagnostic wavelengths only as predictors perform classifications as well in symptomatic leaves, but not in asymptomatic leaves or canopy reflectance datasets. </w:t>
      </w:r>
      <w:r w:rsidRPr="00A81507">
        <w:rPr>
          <w:rFonts w:ascii="Times New Roman" w:hAnsi="Times New Roman" w:cs="Times New Roman"/>
          <w:sz w:val="24"/>
          <w:szCs w:val="24"/>
        </w:rPr>
        <w:t xml:space="preserve">Using 30 wavelengths found to be significantly different in oak wilt reflectance spectra from other treatments, the average percentage of treatment individuals classified in PLS-DA models (100 iterations for each dataset) in </w:t>
      </w:r>
      <w:r w:rsidRPr="00A81507">
        <w:rPr>
          <w:rFonts w:ascii="Times New Roman" w:hAnsi="Times New Roman" w:cs="Times New Roman"/>
          <w:b/>
          <w:sz w:val="24"/>
          <w:szCs w:val="24"/>
        </w:rPr>
        <w:t xml:space="preserve">a) </w:t>
      </w:r>
      <w:r w:rsidRPr="00A81507">
        <w:rPr>
          <w:rFonts w:ascii="Times New Roman" w:hAnsi="Times New Roman" w:cs="Times New Roman"/>
          <w:sz w:val="24"/>
          <w:szCs w:val="24"/>
        </w:rPr>
        <w:t>symptomatic leaves,</w:t>
      </w:r>
      <w:r w:rsidRPr="00A81507">
        <w:rPr>
          <w:rFonts w:ascii="Times New Roman" w:hAnsi="Times New Roman" w:cs="Times New Roman"/>
          <w:b/>
          <w:sz w:val="24"/>
          <w:szCs w:val="24"/>
        </w:rPr>
        <w:t xml:space="preserve"> b) </w:t>
      </w:r>
      <w:r w:rsidRPr="00A81507">
        <w:rPr>
          <w:rFonts w:ascii="Times New Roman" w:hAnsi="Times New Roman" w:cs="Times New Roman"/>
          <w:sz w:val="24"/>
          <w:szCs w:val="24"/>
        </w:rPr>
        <w:t>asymptomatic leaves, and</w:t>
      </w:r>
      <w:r w:rsidRPr="00A81507">
        <w:rPr>
          <w:rFonts w:ascii="Times New Roman" w:hAnsi="Times New Roman" w:cs="Times New Roman"/>
          <w:b/>
          <w:sz w:val="24"/>
          <w:szCs w:val="24"/>
        </w:rPr>
        <w:t xml:space="preserve"> c) </w:t>
      </w:r>
      <w:r w:rsidRPr="00A81507">
        <w:rPr>
          <w:rFonts w:ascii="Times New Roman" w:hAnsi="Times New Roman" w:cs="Times New Roman"/>
          <w:sz w:val="24"/>
          <w:szCs w:val="24"/>
        </w:rPr>
        <w:t>canopy reflectances. Vertical axis is applied treatments and horizontal axis is predicted classification.</w:t>
      </w:r>
    </w:p>
    <w:p w14:paraId="449CFC29" w14:textId="77777777" w:rsidR="00E229F8" w:rsidRPr="00A81507" w:rsidRDefault="00E229F8" w:rsidP="00A81507">
      <w:pPr>
        <w:spacing w:line="360" w:lineRule="auto"/>
        <w:rPr>
          <w:rFonts w:ascii="Times New Roman" w:hAnsi="Times New Roman" w:cs="Times New Roman"/>
          <w:sz w:val="24"/>
          <w:szCs w:val="24"/>
        </w:rPr>
      </w:pPr>
    </w:p>
    <w:p w14:paraId="55829140" w14:textId="0AF820F1" w:rsidR="00E229F8" w:rsidRDefault="00E229F8" w:rsidP="00A81507">
      <w:pPr>
        <w:spacing w:line="360" w:lineRule="auto"/>
        <w:rPr>
          <w:rFonts w:ascii="Times New Roman" w:hAnsi="Times New Roman" w:cs="Times New Roman"/>
          <w:sz w:val="24"/>
          <w:szCs w:val="24"/>
        </w:rPr>
      </w:pPr>
    </w:p>
    <w:p w14:paraId="6C1461BD" w14:textId="59845FBB" w:rsidR="00195C8D" w:rsidRDefault="00195C8D" w:rsidP="00A81507">
      <w:pPr>
        <w:spacing w:line="360" w:lineRule="auto"/>
        <w:rPr>
          <w:rFonts w:ascii="Times New Roman" w:hAnsi="Times New Roman" w:cs="Times New Roman"/>
          <w:sz w:val="24"/>
          <w:szCs w:val="24"/>
        </w:rPr>
      </w:pPr>
    </w:p>
    <w:p w14:paraId="465969AA" w14:textId="4253F4EC" w:rsidR="00195C8D" w:rsidRDefault="00195C8D" w:rsidP="00A81507">
      <w:pPr>
        <w:spacing w:line="360" w:lineRule="auto"/>
        <w:rPr>
          <w:rFonts w:ascii="Times New Roman" w:hAnsi="Times New Roman" w:cs="Times New Roman"/>
          <w:sz w:val="24"/>
          <w:szCs w:val="24"/>
        </w:rPr>
      </w:pPr>
    </w:p>
    <w:p w14:paraId="29E7EBAF" w14:textId="1850888D" w:rsidR="00195C8D" w:rsidRDefault="00195C8D" w:rsidP="00A81507">
      <w:pPr>
        <w:spacing w:line="360" w:lineRule="auto"/>
        <w:rPr>
          <w:rFonts w:ascii="Times New Roman" w:hAnsi="Times New Roman" w:cs="Times New Roman"/>
          <w:sz w:val="24"/>
          <w:szCs w:val="24"/>
        </w:rPr>
      </w:pPr>
    </w:p>
    <w:p w14:paraId="64934DEE" w14:textId="330127C5" w:rsidR="00195C8D" w:rsidRDefault="00195C8D" w:rsidP="00A81507">
      <w:pPr>
        <w:spacing w:line="360" w:lineRule="auto"/>
        <w:rPr>
          <w:rFonts w:ascii="Times New Roman" w:hAnsi="Times New Roman" w:cs="Times New Roman"/>
          <w:sz w:val="24"/>
          <w:szCs w:val="24"/>
        </w:rPr>
      </w:pPr>
    </w:p>
    <w:p w14:paraId="4E5F8DED" w14:textId="7F250152" w:rsidR="00195C8D" w:rsidRDefault="00195C8D" w:rsidP="00A81507">
      <w:pPr>
        <w:spacing w:line="360" w:lineRule="auto"/>
        <w:rPr>
          <w:rFonts w:ascii="Times New Roman" w:hAnsi="Times New Roman" w:cs="Times New Roman"/>
          <w:sz w:val="24"/>
          <w:szCs w:val="24"/>
        </w:rPr>
      </w:pPr>
    </w:p>
    <w:p w14:paraId="49B0A7E4" w14:textId="5F685565" w:rsidR="00195C8D" w:rsidRDefault="00195C8D" w:rsidP="00A81507">
      <w:pPr>
        <w:spacing w:line="360" w:lineRule="auto"/>
        <w:rPr>
          <w:rFonts w:ascii="Times New Roman" w:hAnsi="Times New Roman" w:cs="Times New Roman"/>
          <w:sz w:val="24"/>
          <w:szCs w:val="24"/>
        </w:rPr>
      </w:pPr>
    </w:p>
    <w:p w14:paraId="40A0F31C" w14:textId="153BE9A3" w:rsidR="00195C8D" w:rsidRDefault="00195C8D" w:rsidP="00A81507">
      <w:pPr>
        <w:spacing w:line="360" w:lineRule="auto"/>
        <w:rPr>
          <w:rFonts w:ascii="Times New Roman" w:hAnsi="Times New Roman" w:cs="Times New Roman"/>
          <w:sz w:val="24"/>
          <w:szCs w:val="24"/>
        </w:rPr>
      </w:pPr>
    </w:p>
    <w:p w14:paraId="367EBD86" w14:textId="032E046A" w:rsidR="00195C8D" w:rsidRDefault="00195C8D" w:rsidP="00A81507">
      <w:pPr>
        <w:spacing w:line="360" w:lineRule="auto"/>
        <w:rPr>
          <w:rFonts w:ascii="Times New Roman" w:hAnsi="Times New Roman" w:cs="Times New Roman"/>
          <w:sz w:val="24"/>
          <w:szCs w:val="24"/>
        </w:rPr>
      </w:pPr>
    </w:p>
    <w:p w14:paraId="176C0C89" w14:textId="5058C41D" w:rsidR="00195C8D" w:rsidRDefault="00195C8D" w:rsidP="00A81507">
      <w:pPr>
        <w:spacing w:line="360" w:lineRule="auto"/>
        <w:rPr>
          <w:rFonts w:ascii="Times New Roman" w:hAnsi="Times New Roman" w:cs="Times New Roman"/>
          <w:sz w:val="24"/>
          <w:szCs w:val="24"/>
        </w:rPr>
      </w:pPr>
    </w:p>
    <w:p w14:paraId="09C32628" w14:textId="77777777" w:rsidR="00B5525F" w:rsidRDefault="00B5525F" w:rsidP="00D81D18">
      <w:pPr>
        <w:rPr>
          <w:rFonts w:ascii="Times New Roman" w:hAnsi="Times New Roman" w:cs="Times New Roman"/>
          <w:b/>
          <w:sz w:val="24"/>
          <w:szCs w:val="24"/>
        </w:rPr>
      </w:pPr>
    </w:p>
    <w:p w14:paraId="14CC5628" w14:textId="73AA7BFE" w:rsidR="00B5525F" w:rsidRDefault="00C0521C" w:rsidP="00D81D18">
      <w:pPr>
        <w:rPr>
          <w:rFonts w:ascii="Times New Roman" w:hAnsi="Times New Roman" w:cs="Times New Roman"/>
          <w:b/>
          <w:sz w:val="24"/>
          <w:szCs w:val="24"/>
        </w:rPr>
      </w:pPr>
      <w:r>
        <w:rPr>
          <w:noProof/>
        </w:rPr>
        <w:drawing>
          <wp:inline distT="0" distB="0" distL="0" distR="0" wp14:anchorId="6E63B1FC" wp14:editId="01B0145A">
            <wp:extent cx="4572009" cy="2362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009" cy="2362205"/>
                    </a:xfrm>
                    <a:prstGeom prst="rect">
                      <a:avLst/>
                    </a:prstGeom>
                  </pic:spPr>
                </pic:pic>
              </a:graphicData>
            </a:graphic>
          </wp:inline>
        </w:drawing>
      </w:r>
    </w:p>
    <w:p w14:paraId="372FE963" w14:textId="77777777" w:rsidR="00B5525F" w:rsidRDefault="00B5525F" w:rsidP="00D81D18">
      <w:pPr>
        <w:rPr>
          <w:rFonts w:ascii="Times New Roman" w:hAnsi="Times New Roman" w:cs="Times New Roman"/>
          <w:b/>
          <w:sz w:val="24"/>
          <w:szCs w:val="24"/>
        </w:rPr>
      </w:pPr>
    </w:p>
    <w:p w14:paraId="3B9FE8DE" w14:textId="212016F4" w:rsidR="00777D59" w:rsidRDefault="00B5525F" w:rsidP="00777D59">
      <w:pPr>
        <w:rPr>
          <w:rFonts w:ascii="Times New Roman" w:hAnsi="Times New Roman" w:cs="Times New Roman"/>
          <w:sz w:val="24"/>
          <w:szCs w:val="24"/>
        </w:rPr>
      </w:pPr>
      <w:r>
        <w:rPr>
          <w:rFonts w:ascii="Times New Roman" w:hAnsi="Times New Roman" w:cs="Times New Roman"/>
          <w:b/>
          <w:sz w:val="24"/>
          <w:szCs w:val="24"/>
        </w:rPr>
        <w:t>Figure S</w:t>
      </w:r>
      <w:r w:rsidR="00DE39FC">
        <w:rPr>
          <w:rFonts w:ascii="Times New Roman" w:hAnsi="Times New Roman" w:cs="Times New Roman"/>
          <w:b/>
          <w:sz w:val="24"/>
          <w:szCs w:val="24"/>
        </w:rPr>
        <w:t>9</w:t>
      </w:r>
      <w:r w:rsidR="00D81D18">
        <w:rPr>
          <w:rFonts w:ascii="Times New Roman" w:hAnsi="Times New Roman" w:cs="Times New Roman"/>
          <w:b/>
          <w:sz w:val="24"/>
          <w:szCs w:val="24"/>
        </w:rPr>
        <w:t xml:space="preserve">. </w:t>
      </w:r>
      <w:r w:rsidR="00777D59" w:rsidRPr="00533A01">
        <w:rPr>
          <w:rFonts w:ascii="Times New Roman" w:hAnsi="Times New Roman" w:cs="Times New Roman"/>
          <w:b/>
          <w:sz w:val="24"/>
          <w:szCs w:val="24"/>
        </w:rPr>
        <w:t xml:space="preserve">PLS-DA model oak wilt sensitivity increases as photosynthesis and stomatal conductance decline in oak wilt-inoculated plants.  </w:t>
      </w:r>
      <w:r w:rsidR="00777D59" w:rsidRPr="00533A01">
        <w:rPr>
          <w:rFonts w:ascii="Times New Roman" w:hAnsi="Times New Roman" w:cs="Times New Roman"/>
          <w:sz w:val="24"/>
          <w:szCs w:val="24"/>
        </w:rPr>
        <w:t xml:space="preserve">Mean PLS-DA oak wilt sensitivity by differences between oak wilt-inoculated individual leaf gas exchange rates and controls. Error bars are standard </w:t>
      </w:r>
      <w:r w:rsidR="00777D59">
        <w:rPr>
          <w:rFonts w:ascii="Times New Roman" w:hAnsi="Times New Roman" w:cs="Times New Roman"/>
          <w:sz w:val="24"/>
          <w:szCs w:val="24"/>
        </w:rPr>
        <w:t>error</w:t>
      </w:r>
      <w:r w:rsidR="00777D59" w:rsidRPr="00533A01">
        <w:rPr>
          <w:rFonts w:ascii="Times New Roman" w:hAnsi="Times New Roman" w:cs="Times New Roman"/>
          <w:sz w:val="24"/>
          <w:szCs w:val="24"/>
        </w:rPr>
        <w:t xml:space="preserve"> of oak wilt sensitivity and standard error of the mean in gas exchange. *** = </w:t>
      </w:r>
      <w:r w:rsidR="000537E4" w:rsidRPr="000537E4">
        <w:rPr>
          <w:rFonts w:ascii="Times New Roman" w:hAnsi="Times New Roman" w:cs="Times New Roman"/>
          <w:i/>
          <w:sz w:val="24"/>
          <w:szCs w:val="24"/>
        </w:rPr>
        <w:t xml:space="preserve">P </w:t>
      </w:r>
      <w:r w:rsidR="00777D59" w:rsidRPr="00533A01">
        <w:rPr>
          <w:rFonts w:ascii="Times New Roman" w:hAnsi="Times New Roman" w:cs="Times New Roman"/>
          <w:sz w:val="24"/>
          <w:szCs w:val="24"/>
        </w:rPr>
        <w:t xml:space="preserve">&lt; 0.001, ** = </w:t>
      </w:r>
      <w:r w:rsidR="000537E4" w:rsidRPr="000537E4">
        <w:rPr>
          <w:rFonts w:ascii="Times New Roman" w:hAnsi="Times New Roman" w:cs="Times New Roman"/>
          <w:i/>
          <w:sz w:val="24"/>
          <w:szCs w:val="24"/>
        </w:rPr>
        <w:t xml:space="preserve">P </w:t>
      </w:r>
      <w:r w:rsidR="00777D59" w:rsidRPr="00533A01">
        <w:rPr>
          <w:rFonts w:ascii="Times New Roman" w:hAnsi="Times New Roman" w:cs="Times New Roman"/>
          <w:sz w:val="24"/>
          <w:szCs w:val="24"/>
        </w:rPr>
        <w:t xml:space="preserve">&lt; 0.01. </w:t>
      </w:r>
      <w:r w:rsidR="00777D59" w:rsidRPr="00533A01">
        <w:rPr>
          <w:rFonts w:ascii="Times New Roman" w:hAnsi="Times New Roman" w:cs="Times New Roman"/>
          <w:b/>
          <w:sz w:val="24"/>
          <w:szCs w:val="24"/>
        </w:rPr>
        <w:t xml:space="preserve">a) </w:t>
      </w:r>
      <w:proofErr w:type="gramStart"/>
      <w:r w:rsidR="00777D59" w:rsidRPr="00533A01">
        <w:rPr>
          <w:rFonts w:ascii="Times New Roman" w:hAnsi="Times New Roman" w:cs="Times New Roman"/>
          <w:sz w:val="24"/>
          <w:szCs w:val="24"/>
        </w:rPr>
        <w:t>instantaneous</w:t>
      </w:r>
      <w:proofErr w:type="gramEnd"/>
      <w:r w:rsidR="00777D59" w:rsidRPr="00533A01">
        <w:rPr>
          <w:rFonts w:ascii="Times New Roman" w:hAnsi="Times New Roman" w:cs="Times New Roman"/>
          <w:sz w:val="24"/>
          <w:szCs w:val="24"/>
        </w:rPr>
        <w:t xml:space="preserve"> photosynthetic assimilation rate declines</w:t>
      </w:r>
      <w:r w:rsidR="002F0DFB">
        <w:rPr>
          <w:rFonts w:ascii="Times New Roman" w:hAnsi="Times New Roman" w:cs="Times New Roman"/>
          <w:sz w:val="24"/>
          <w:szCs w:val="24"/>
        </w:rPr>
        <w:t xml:space="preserve"> </w:t>
      </w:r>
      <w:r w:rsidR="002F0DFB" w:rsidRPr="00A00636">
        <w:rPr>
          <w:rFonts w:ascii="Times New Roman" w:hAnsi="Times New Roman" w:cs="Times New Roman"/>
          <w:sz w:val="24"/>
          <w:szCs w:val="24"/>
        </w:rPr>
        <w:t>(R</w:t>
      </w:r>
      <w:r w:rsidR="002F0DFB" w:rsidRPr="00A00636">
        <w:rPr>
          <w:rFonts w:ascii="Times New Roman" w:hAnsi="Times New Roman" w:cs="Times New Roman"/>
          <w:sz w:val="24"/>
          <w:szCs w:val="24"/>
          <w:vertAlign w:val="superscript"/>
        </w:rPr>
        <w:t>2</w:t>
      </w:r>
      <w:r w:rsidR="002F0DFB" w:rsidRPr="00A00636">
        <w:rPr>
          <w:rFonts w:ascii="Times New Roman" w:hAnsi="Times New Roman" w:cs="Times New Roman"/>
          <w:sz w:val="24"/>
          <w:szCs w:val="24"/>
        </w:rPr>
        <w:t xml:space="preserve"> = 0.69, </w:t>
      </w:r>
      <w:r w:rsidR="000537E4" w:rsidRPr="000537E4">
        <w:rPr>
          <w:rFonts w:ascii="Times New Roman" w:hAnsi="Times New Roman" w:cs="Times New Roman"/>
          <w:i/>
          <w:sz w:val="24"/>
          <w:szCs w:val="24"/>
        </w:rPr>
        <w:t xml:space="preserve">P </w:t>
      </w:r>
      <w:r w:rsidR="002F0DFB" w:rsidRPr="00A00636">
        <w:rPr>
          <w:rFonts w:ascii="Times New Roman" w:hAnsi="Times New Roman" w:cs="Times New Roman"/>
          <w:sz w:val="24"/>
          <w:szCs w:val="24"/>
        </w:rPr>
        <w:t>&lt; 0.001, F</w:t>
      </w:r>
      <w:r w:rsidR="002F0DFB" w:rsidRPr="00A00636">
        <w:rPr>
          <w:rFonts w:ascii="Times New Roman" w:hAnsi="Times New Roman" w:cs="Times New Roman"/>
          <w:sz w:val="24"/>
          <w:szCs w:val="24"/>
          <w:vertAlign w:val="subscript"/>
        </w:rPr>
        <w:t>1,10</w:t>
      </w:r>
      <w:r w:rsidR="002F0DFB" w:rsidRPr="00A00636">
        <w:rPr>
          <w:rFonts w:ascii="Times New Roman" w:hAnsi="Times New Roman" w:cs="Times New Roman"/>
          <w:sz w:val="24"/>
          <w:szCs w:val="24"/>
        </w:rPr>
        <w:t xml:space="preserve"> = 22</w:t>
      </w:r>
      <w:r w:rsidR="002F0DFB">
        <w:rPr>
          <w:rFonts w:ascii="Times New Roman" w:hAnsi="Times New Roman" w:cs="Times New Roman"/>
          <w:sz w:val="24"/>
          <w:szCs w:val="24"/>
        </w:rPr>
        <w:t>)</w:t>
      </w:r>
      <w:r w:rsidR="00777D59" w:rsidRPr="00533A01">
        <w:rPr>
          <w:rFonts w:ascii="Times New Roman" w:hAnsi="Times New Roman" w:cs="Times New Roman"/>
          <w:sz w:val="24"/>
          <w:szCs w:val="24"/>
        </w:rPr>
        <w:t xml:space="preserve"> and </w:t>
      </w:r>
      <w:r w:rsidR="00777D59" w:rsidRPr="00533A01">
        <w:rPr>
          <w:rFonts w:ascii="Times New Roman" w:hAnsi="Times New Roman" w:cs="Times New Roman"/>
          <w:b/>
          <w:sz w:val="24"/>
          <w:szCs w:val="24"/>
        </w:rPr>
        <w:t xml:space="preserve">b) </w:t>
      </w:r>
      <w:r w:rsidR="00777D59" w:rsidRPr="00533A01">
        <w:rPr>
          <w:rFonts w:ascii="Times New Roman" w:hAnsi="Times New Roman" w:cs="Times New Roman"/>
          <w:sz w:val="24"/>
          <w:szCs w:val="24"/>
        </w:rPr>
        <w:t>instantaneous stomatal conductance rate declines</w:t>
      </w:r>
      <w:r w:rsidR="002F0DFB">
        <w:rPr>
          <w:rFonts w:ascii="Times New Roman" w:hAnsi="Times New Roman" w:cs="Times New Roman"/>
          <w:sz w:val="24"/>
          <w:szCs w:val="24"/>
        </w:rPr>
        <w:t xml:space="preserve"> (</w:t>
      </w:r>
      <w:r w:rsidR="002F0DFB" w:rsidRPr="00A00636">
        <w:rPr>
          <w:rFonts w:ascii="Times New Roman" w:hAnsi="Times New Roman" w:cs="Times New Roman"/>
          <w:sz w:val="24"/>
          <w:szCs w:val="24"/>
        </w:rPr>
        <w:t>R</w:t>
      </w:r>
      <w:r w:rsidR="002F0DFB" w:rsidRPr="00A00636">
        <w:rPr>
          <w:rFonts w:ascii="Times New Roman" w:hAnsi="Times New Roman" w:cs="Times New Roman"/>
          <w:sz w:val="24"/>
          <w:szCs w:val="24"/>
          <w:vertAlign w:val="superscript"/>
        </w:rPr>
        <w:t>2</w:t>
      </w:r>
      <w:r w:rsidR="002F0DFB" w:rsidRPr="00A00636">
        <w:rPr>
          <w:rFonts w:ascii="Times New Roman" w:hAnsi="Times New Roman" w:cs="Times New Roman"/>
          <w:sz w:val="24"/>
          <w:szCs w:val="24"/>
        </w:rPr>
        <w:t xml:space="preserve"> = 0.56, </w:t>
      </w:r>
      <w:r w:rsidR="000537E4" w:rsidRPr="000537E4">
        <w:rPr>
          <w:rFonts w:ascii="Times New Roman" w:hAnsi="Times New Roman" w:cs="Times New Roman"/>
          <w:i/>
          <w:sz w:val="24"/>
          <w:szCs w:val="24"/>
        </w:rPr>
        <w:t xml:space="preserve">P </w:t>
      </w:r>
      <w:r w:rsidR="002F0DFB" w:rsidRPr="00A00636">
        <w:rPr>
          <w:rFonts w:ascii="Times New Roman" w:hAnsi="Times New Roman" w:cs="Times New Roman"/>
          <w:sz w:val="24"/>
          <w:szCs w:val="24"/>
        </w:rPr>
        <w:t>= 0.005, F</w:t>
      </w:r>
      <w:r w:rsidR="002F0DFB" w:rsidRPr="00A00636">
        <w:rPr>
          <w:rFonts w:ascii="Times New Roman" w:hAnsi="Times New Roman" w:cs="Times New Roman"/>
          <w:sz w:val="24"/>
          <w:szCs w:val="24"/>
          <w:vertAlign w:val="subscript"/>
        </w:rPr>
        <w:t>1,10</w:t>
      </w:r>
      <w:r w:rsidR="002F0DFB" w:rsidRPr="00A00636">
        <w:rPr>
          <w:rFonts w:ascii="Times New Roman" w:hAnsi="Times New Roman" w:cs="Times New Roman"/>
          <w:sz w:val="24"/>
          <w:szCs w:val="24"/>
        </w:rPr>
        <w:t xml:space="preserve"> = 12.9</w:t>
      </w:r>
      <w:r w:rsidR="002F0DFB">
        <w:rPr>
          <w:rFonts w:ascii="Times New Roman" w:hAnsi="Times New Roman" w:cs="Times New Roman"/>
          <w:sz w:val="24"/>
          <w:szCs w:val="24"/>
        </w:rPr>
        <w:t>)</w:t>
      </w:r>
      <w:r w:rsidR="00777D59" w:rsidRPr="00533A01">
        <w:rPr>
          <w:rFonts w:ascii="Times New Roman" w:hAnsi="Times New Roman" w:cs="Times New Roman"/>
          <w:sz w:val="24"/>
          <w:szCs w:val="24"/>
        </w:rPr>
        <w:t>.</w:t>
      </w:r>
    </w:p>
    <w:p w14:paraId="7F00B669" w14:textId="0631123B" w:rsidR="002F0DFB" w:rsidRDefault="002F0DFB" w:rsidP="00777D59">
      <w:pPr>
        <w:rPr>
          <w:rFonts w:ascii="Times New Roman" w:hAnsi="Times New Roman" w:cs="Times New Roman"/>
          <w:sz w:val="24"/>
          <w:szCs w:val="24"/>
        </w:rPr>
      </w:pPr>
    </w:p>
    <w:p w14:paraId="413671DE" w14:textId="77777777" w:rsidR="00777D59" w:rsidRDefault="00777D59" w:rsidP="00D81D18">
      <w:pPr>
        <w:rPr>
          <w:rFonts w:ascii="Times New Roman" w:hAnsi="Times New Roman" w:cs="Times New Roman"/>
          <w:sz w:val="24"/>
          <w:szCs w:val="24"/>
        </w:rPr>
      </w:pPr>
    </w:p>
    <w:p w14:paraId="78685BCE" w14:textId="77777777" w:rsidR="00195C8D" w:rsidRPr="00A81507" w:rsidRDefault="00195C8D" w:rsidP="00A81507">
      <w:pPr>
        <w:spacing w:line="360" w:lineRule="auto"/>
        <w:rPr>
          <w:rFonts w:ascii="Times New Roman" w:hAnsi="Times New Roman" w:cs="Times New Roman"/>
          <w:sz w:val="24"/>
          <w:szCs w:val="24"/>
        </w:rPr>
      </w:pPr>
    </w:p>
    <w:p w14:paraId="0D0B34B9" w14:textId="77777777" w:rsidR="00E229F8" w:rsidRPr="00A81507" w:rsidRDefault="00E229F8" w:rsidP="00A81507">
      <w:pPr>
        <w:spacing w:line="360" w:lineRule="auto"/>
        <w:rPr>
          <w:rFonts w:ascii="Times New Roman" w:hAnsi="Times New Roman" w:cs="Times New Roman"/>
          <w:sz w:val="24"/>
          <w:szCs w:val="24"/>
        </w:rPr>
      </w:pPr>
    </w:p>
    <w:p w14:paraId="01F242FA" w14:textId="77777777" w:rsidR="00E229F8" w:rsidRPr="00A81507" w:rsidRDefault="00E229F8" w:rsidP="00A81507">
      <w:pPr>
        <w:spacing w:line="360" w:lineRule="auto"/>
        <w:rPr>
          <w:rFonts w:ascii="Times New Roman" w:hAnsi="Times New Roman" w:cs="Times New Roman"/>
          <w:sz w:val="24"/>
          <w:szCs w:val="24"/>
        </w:rPr>
      </w:pPr>
    </w:p>
    <w:p w14:paraId="460012EA" w14:textId="77777777" w:rsidR="00E229F8" w:rsidRPr="00A81507" w:rsidRDefault="00E229F8" w:rsidP="00A81507">
      <w:pPr>
        <w:spacing w:line="360" w:lineRule="auto"/>
        <w:rPr>
          <w:rFonts w:ascii="Times New Roman" w:hAnsi="Times New Roman" w:cs="Times New Roman"/>
          <w:sz w:val="24"/>
          <w:szCs w:val="24"/>
        </w:rPr>
      </w:pPr>
    </w:p>
    <w:p w14:paraId="0BE2674A" w14:textId="77777777" w:rsidR="00E229F8" w:rsidRPr="00A81507" w:rsidRDefault="00E229F8" w:rsidP="00A81507">
      <w:pPr>
        <w:spacing w:line="360" w:lineRule="auto"/>
        <w:rPr>
          <w:rFonts w:ascii="Times New Roman" w:hAnsi="Times New Roman" w:cs="Times New Roman"/>
          <w:sz w:val="24"/>
          <w:szCs w:val="24"/>
        </w:rPr>
      </w:pPr>
    </w:p>
    <w:p w14:paraId="07A148EB" w14:textId="77777777" w:rsidR="00E229F8" w:rsidRPr="00A81507" w:rsidRDefault="00E229F8" w:rsidP="00A81507">
      <w:pPr>
        <w:spacing w:line="360" w:lineRule="auto"/>
        <w:rPr>
          <w:rFonts w:ascii="Times New Roman" w:hAnsi="Times New Roman" w:cs="Times New Roman"/>
          <w:sz w:val="24"/>
          <w:szCs w:val="24"/>
        </w:rPr>
      </w:pPr>
    </w:p>
    <w:p w14:paraId="51771A57" w14:textId="77777777" w:rsidR="00E229F8" w:rsidRPr="00A81507" w:rsidRDefault="00E229F8" w:rsidP="00A81507">
      <w:pPr>
        <w:spacing w:line="360" w:lineRule="auto"/>
        <w:rPr>
          <w:rFonts w:ascii="Times New Roman" w:hAnsi="Times New Roman" w:cs="Times New Roman"/>
          <w:sz w:val="24"/>
          <w:szCs w:val="24"/>
        </w:rPr>
      </w:pPr>
    </w:p>
    <w:p w14:paraId="613A5392" w14:textId="77777777" w:rsidR="00E229F8" w:rsidRPr="00A81507" w:rsidRDefault="00E229F8" w:rsidP="00A81507">
      <w:pPr>
        <w:spacing w:line="360" w:lineRule="auto"/>
        <w:rPr>
          <w:rFonts w:ascii="Times New Roman" w:hAnsi="Times New Roman" w:cs="Times New Roman"/>
          <w:sz w:val="24"/>
          <w:szCs w:val="24"/>
        </w:rPr>
      </w:pPr>
    </w:p>
    <w:p w14:paraId="15A4EB52" w14:textId="77777777" w:rsidR="00E229F8" w:rsidRPr="00A81507" w:rsidRDefault="00E229F8" w:rsidP="00A81507">
      <w:pPr>
        <w:spacing w:line="360" w:lineRule="auto"/>
        <w:rPr>
          <w:rFonts w:ascii="Times New Roman" w:hAnsi="Times New Roman" w:cs="Times New Roman"/>
          <w:sz w:val="24"/>
          <w:szCs w:val="24"/>
        </w:rPr>
      </w:pPr>
    </w:p>
    <w:p w14:paraId="22BE6167" w14:textId="77777777" w:rsidR="009F3208" w:rsidRDefault="009F3208" w:rsidP="00A81507">
      <w:pPr>
        <w:spacing w:line="360" w:lineRule="auto"/>
        <w:rPr>
          <w:rFonts w:ascii="Times New Roman" w:hAnsi="Times New Roman" w:cs="Times New Roman"/>
          <w:b/>
          <w:sz w:val="24"/>
          <w:szCs w:val="24"/>
        </w:rPr>
      </w:pPr>
    </w:p>
    <w:p w14:paraId="2236171E" w14:textId="13CC5564" w:rsidR="009F3208" w:rsidRDefault="009B481C" w:rsidP="00A81507">
      <w:pPr>
        <w:spacing w:line="360" w:lineRule="auto"/>
        <w:rPr>
          <w:rFonts w:ascii="Times New Roman" w:hAnsi="Times New Roman" w:cs="Times New Roman"/>
          <w:b/>
          <w:sz w:val="24"/>
          <w:szCs w:val="24"/>
        </w:rPr>
      </w:pPr>
      <w:r>
        <w:rPr>
          <w:noProof/>
        </w:rPr>
        <w:drawing>
          <wp:inline distT="0" distB="0" distL="0" distR="0" wp14:anchorId="20F4A543" wp14:editId="508714B0">
            <wp:extent cx="5943600" cy="30460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46095"/>
                    </a:xfrm>
                    <a:prstGeom prst="rect">
                      <a:avLst/>
                    </a:prstGeom>
                  </pic:spPr>
                </pic:pic>
              </a:graphicData>
            </a:graphic>
          </wp:inline>
        </w:drawing>
      </w:r>
    </w:p>
    <w:p w14:paraId="72E4761D" w14:textId="78AB57B1" w:rsidR="00E229F8" w:rsidRDefault="009F3208" w:rsidP="00AB5295">
      <w:pPr>
        <w:spacing w:line="240" w:lineRule="auto"/>
        <w:rPr>
          <w:rFonts w:ascii="Times New Roman" w:hAnsi="Times New Roman" w:cs="Times New Roman"/>
          <w:sz w:val="24"/>
          <w:szCs w:val="24"/>
        </w:rPr>
      </w:pPr>
      <w:r>
        <w:rPr>
          <w:rFonts w:ascii="Times New Roman" w:hAnsi="Times New Roman" w:cs="Times New Roman"/>
          <w:b/>
          <w:sz w:val="24"/>
          <w:szCs w:val="24"/>
        </w:rPr>
        <w:t>Figure S1</w:t>
      </w:r>
      <w:r w:rsidR="00250493">
        <w:rPr>
          <w:rFonts w:ascii="Times New Roman" w:hAnsi="Times New Roman" w:cs="Times New Roman"/>
          <w:b/>
          <w:sz w:val="24"/>
          <w:szCs w:val="24"/>
        </w:rPr>
        <w:t>0</w:t>
      </w:r>
      <w:r>
        <w:rPr>
          <w:rFonts w:ascii="Times New Roman" w:hAnsi="Times New Roman" w:cs="Times New Roman"/>
          <w:b/>
          <w:sz w:val="24"/>
          <w:szCs w:val="24"/>
        </w:rPr>
        <w:t xml:space="preserve">. </w:t>
      </w:r>
      <w:r w:rsidR="00AB5295" w:rsidRPr="00533A01">
        <w:rPr>
          <w:rFonts w:ascii="Times New Roman" w:hAnsi="Times New Roman" w:cs="Times New Roman"/>
          <w:b/>
          <w:sz w:val="24"/>
          <w:szCs w:val="24"/>
        </w:rPr>
        <w:t>Gas exchange rate declines correlated with symptom progression in canopies.</w:t>
      </w:r>
      <w:r w:rsidR="00AB5295" w:rsidRPr="00533A01">
        <w:rPr>
          <w:rFonts w:ascii="Times New Roman" w:hAnsi="Times New Roman" w:cs="Times New Roman"/>
          <w:sz w:val="24"/>
          <w:szCs w:val="24"/>
        </w:rPr>
        <w:t xml:space="preserve"> Mean weekly </w:t>
      </w:r>
      <w:r w:rsidR="0048796C">
        <w:rPr>
          <w:rFonts w:ascii="Times New Roman" w:hAnsi="Times New Roman" w:cs="Times New Roman"/>
          <w:sz w:val="24"/>
          <w:szCs w:val="24"/>
        </w:rPr>
        <w:t>treatment</w:t>
      </w:r>
      <w:r w:rsidR="00AB5295" w:rsidRPr="00533A01">
        <w:rPr>
          <w:rFonts w:ascii="Times New Roman" w:hAnsi="Times New Roman" w:cs="Times New Roman"/>
          <w:sz w:val="24"/>
          <w:szCs w:val="24"/>
        </w:rPr>
        <w:t xml:space="preserve"> differences from control by mea</w:t>
      </w:r>
      <w:r w:rsidR="0048796C">
        <w:rPr>
          <w:rFonts w:ascii="Times New Roman" w:hAnsi="Times New Roman" w:cs="Times New Roman"/>
          <w:sz w:val="24"/>
          <w:szCs w:val="24"/>
        </w:rPr>
        <w:t xml:space="preserve">n symptom prevalence in canopy </w:t>
      </w:r>
      <w:r w:rsidR="00AB5295" w:rsidRPr="00533A01">
        <w:rPr>
          <w:rFonts w:ascii="Times New Roman" w:hAnsi="Times New Roman" w:cs="Times New Roman"/>
          <w:sz w:val="24"/>
          <w:szCs w:val="24"/>
        </w:rPr>
        <w:t xml:space="preserve">and leaf symptom type. </w:t>
      </w:r>
      <w:r w:rsidR="0048796C">
        <w:rPr>
          <w:rFonts w:ascii="Times New Roman" w:hAnsi="Times New Roman" w:cs="Times New Roman"/>
          <w:sz w:val="24"/>
          <w:szCs w:val="24"/>
        </w:rPr>
        <w:t>Species are shown by squares (</w:t>
      </w:r>
      <w:r w:rsidR="0048796C">
        <w:rPr>
          <w:rFonts w:ascii="Times New Roman" w:hAnsi="Times New Roman" w:cs="Times New Roman"/>
          <w:i/>
          <w:sz w:val="24"/>
          <w:szCs w:val="24"/>
        </w:rPr>
        <w:t xml:space="preserve">Q. </w:t>
      </w:r>
      <w:r w:rsidR="0048796C" w:rsidRPr="008A01E3">
        <w:rPr>
          <w:rFonts w:ascii="Times New Roman" w:hAnsi="Times New Roman" w:cs="Times New Roman"/>
          <w:sz w:val="24"/>
          <w:szCs w:val="24"/>
        </w:rPr>
        <w:t>ellipsoidalis</w:t>
      </w:r>
      <w:r w:rsidR="0048796C">
        <w:rPr>
          <w:rFonts w:ascii="Times New Roman" w:hAnsi="Times New Roman" w:cs="Times New Roman"/>
          <w:sz w:val="24"/>
          <w:szCs w:val="24"/>
        </w:rPr>
        <w:t>) and circles (</w:t>
      </w:r>
      <w:r w:rsidR="0048796C">
        <w:rPr>
          <w:rFonts w:ascii="Times New Roman" w:hAnsi="Times New Roman" w:cs="Times New Roman"/>
          <w:i/>
          <w:sz w:val="24"/>
          <w:szCs w:val="24"/>
        </w:rPr>
        <w:t>Q. macrocarpa)</w:t>
      </w:r>
      <w:r w:rsidR="0048796C">
        <w:rPr>
          <w:rFonts w:ascii="Times New Roman" w:hAnsi="Times New Roman" w:cs="Times New Roman"/>
          <w:sz w:val="24"/>
          <w:szCs w:val="24"/>
        </w:rPr>
        <w:t xml:space="preserve">. </w:t>
      </w:r>
      <w:r w:rsidR="00AB5295" w:rsidRPr="00533A01">
        <w:rPr>
          <w:rFonts w:ascii="Times New Roman" w:hAnsi="Times New Roman" w:cs="Times New Roman"/>
          <w:sz w:val="24"/>
          <w:szCs w:val="24"/>
        </w:rPr>
        <w:t>Values are R</w:t>
      </w:r>
      <w:r w:rsidR="00AB5295" w:rsidRPr="00533A01">
        <w:rPr>
          <w:rFonts w:ascii="Times New Roman" w:hAnsi="Times New Roman" w:cs="Times New Roman"/>
          <w:sz w:val="24"/>
          <w:szCs w:val="24"/>
          <w:vertAlign w:val="superscript"/>
        </w:rPr>
        <w:t>2</w:t>
      </w:r>
      <w:r w:rsidR="00AB5295" w:rsidRPr="00533A01">
        <w:rPr>
          <w:rFonts w:ascii="Times New Roman" w:hAnsi="Times New Roman" w:cs="Times New Roman"/>
          <w:sz w:val="24"/>
          <w:szCs w:val="24"/>
        </w:rPr>
        <w:t xml:space="preserve"> followed by significance (</w:t>
      </w:r>
      <w:r w:rsidR="00AB5295" w:rsidRPr="00533A01">
        <w:rPr>
          <w:rFonts w:ascii="Times New Roman" w:hAnsi="Times New Roman" w:cs="Times New Roman"/>
          <w:sz w:val="24"/>
          <w:szCs w:val="24"/>
          <w:vertAlign w:val="superscript"/>
        </w:rPr>
        <w:t>+</w:t>
      </w:r>
      <w:r w:rsidR="00AB5295" w:rsidRPr="00533A01">
        <w:rPr>
          <w:rFonts w:ascii="Times New Roman" w:hAnsi="Times New Roman" w:cs="Times New Roman"/>
          <w:sz w:val="24"/>
          <w:szCs w:val="24"/>
        </w:rPr>
        <w:t xml:space="preserve"> = </w:t>
      </w:r>
      <w:r w:rsidR="000537E4" w:rsidRPr="000537E4">
        <w:rPr>
          <w:rFonts w:ascii="Times New Roman" w:hAnsi="Times New Roman" w:cs="Times New Roman"/>
          <w:i/>
          <w:sz w:val="24"/>
          <w:szCs w:val="24"/>
        </w:rPr>
        <w:t xml:space="preserve">P </w:t>
      </w:r>
      <w:r w:rsidR="00AB5295" w:rsidRPr="00533A01">
        <w:rPr>
          <w:rFonts w:ascii="Times New Roman" w:hAnsi="Times New Roman" w:cs="Times New Roman"/>
          <w:sz w:val="24"/>
          <w:szCs w:val="24"/>
        </w:rPr>
        <w:t xml:space="preserve">&lt; 0.1, * = </w:t>
      </w:r>
      <w:r w:rsidR="000537E4" w:rsidRPr="000537E4">
        <w:rPr>
          <w:rFonts w:ascii="Times New Roman" w:hAnsi="Times New Roman" w:cs="Times New Roman"/>
          <w:i/>
          <w:sz w:val="24"/>
          <w:szCs w:val="24"/>
        </w:rPr>
        <w:t xml:space="preserve">P </w:t>
      </w:r>
      <w:r w:rsidR="00AB5295" w:rsidRPr="00533A01">
        <w:rPr>
          <w:rFonts w:ascii="Times New Roman" w:hAnsi="Times New Roman" w:cs="Times New Roman"/>
          <w:sz w:val="24"/>
          <w:szCs w:val="24"/>
        </w:rPr>
        <w:t xml:space="preserve">&lt; 0.05, ** = </w:t>
      </w:r>
      <w:r w:rsidR="000537E4" w:rsidRPr="000537E4">
        <w:rPr>
          <w:rFonts w:ascii="Times New Roman" w:hAnsi="Times New Roman" w:cs="Times New Roman"/>
          <w:i/>
          <w:sz w:val="24"/>
          <w:szCs w:val="24"/>
        </w:rPr>
        <w:t xml:space="preserve">P </w:t>
      </w:r>
      <w:r w:rsidR="00AB5295" w:rsidRPr="00533A01">
        <w:rPr>
          <w:rFonts w:ascii="Times New Roman" w:hAnsi="Times New Roman" w:cs="Times New Roman"/>
          <w:sz w:val="24"/>
          <w:szCs w:val="24"/>
        </w:rPr>
        <w:t xml:space="preserve">&lt; 0.01, *** = </w:t>
      </w:r>
      <w:r w:rsidR="000537E4" w:rsidRPr="000537E4">
        <w:rPr>
          <w:rFonts w:ascii="Times New Roman" w:hAnsi="Times New Roman" w:cs="Times New Roman"/>
          <w:i/>
          <w:sz w:val="24"/>
          <w:szCs w:val="24"/>
        </w:rPr>
        <w:t xml:space="preserve">P </w:t>
      </w:r>
      <w:r w:rsidR="00AB5295" w:rsidRPr="00533A01">
        <w:rPr>
          <w:rFonts w:ascii="Times New Roman" w:hAnsi="Times New Roman" w:cs="Times New Roman"/>
          <w:sz w:val="24"/>
          <w:szCs w:val="24"/>
        </w:rPr>
        <w:t>&lt; 0.001). Instantaneous photosynthetic rate difference from control (</w:t>
      </w:r>
      <w:proofErr w:type="spellStart"/>
      <w:r w:rsidR="00AB5295" w:rsidRPr="00533A01">
        <w:rPr>
          <w:rFonts w:ascii="Times New Roman" w:hAnsi="Times New Roman" w:cs="Times New Roman"/>
          <w:b/>
          <w:sz w:val="24"/>
          <w:szCs w:val="24"/>
        </w:rPr>
        <w:t>a</w:t>
      </w:r>
      <w:proofErr w:type="gramStart"/>
      <w:r w:rsidR="00AB5295" w:rsidRPr="00533A01">
        <w:rPr>
          <w:rFonts w:ascii="Times New Roman" w:hAnsi="Times New Roman" w:cs="Times New Roman"/>
          <w:b/>
          <w:sz w:val="24"/>
          <w:szCs w:val="24"/>
        </w:rPr>
        <w:t>,b,c</w:t>
      </w:r>
      <w:proofErr w:type="spellEnd"/>
      <w:proofErr w:type="gramEnd"/>
      <w:r w:rsidR="00AB5295" w:rsidRPr="00533A01">
        <w:rPr>
          <w:rFonts w:ascii="Times New Roman" w:hAnsi="Times New Roman" w:cs="Times New Roman"/>
          <w:sz w:val="24"/>
          <w:szCs w:val="24"/>
        </w:rPr>
        <w:t>) or mean stomatal conductance difference from control (</w:t>
      </w:r>
      <w:proofErr w:type="spellStart"/>
      <w:r w:rsidR="00AB5295" w:rsidRPr="00533A01">
        <w:rPr>
          <w:rFonts w:ascii="Times New Roman" w:hAnsi="Times New Roman" w:cs="Times New Roman"/>
          <w:b/>
          <w:sz w:val="24"/>
          <w:szCs w:val="24"/>
        </w:rPr>
        <w:t>d,e,f</w:t>
      </w:r>
      <w:proofErr w:type="spellEnd"/>
      <w:r w:rsidR="00AB5295" w:rsidRPr="00533A01">
        <w:rPr>
          <w:rFonts w:ascii="Times New Roman" w:hAnsi="Times New Roman" w:cs="Times New Roman"/>
          <w:sz w:val="24"/>
          <w:szCs w:val="24"/>
        </w:rPr>
        <w:t>) by mean canopy fraction of healthy, wilted, and abscissed leaves.</w:t>
      </w:r>
    </w:p>
    <w:p w14:paraId="419421C2" w14:textId="77777777" w:rsidR="00E229F8" w:rsidRPr="00A81507" w:rsidRDefault="00E229F8" w:rsidP="00A81507">
      <w:pPr>
        <w:spacing w:line="360" w:lineRule="auto"/>
        <w:rPr>
          <w:rFonts w:ascii="Times New Roman" w:hAnsi="Times New Roman" w:cs="Times New Roman"/>
          <w:sz w:val="24"/>
          <w:szCs w:val="24"/>
        </w:rPr>
      </w:pPr>
    </w:p>
    <w:p w14:paraId="6ADFE69E" w14:textId="77777777" w:rsidR="00E229F8" w:rsidRPr="00A81507" w:rsidRDefault="00E229F8" w:rsidP="00A81507">
      <w:pPr>
        <w:spacing w:line="360" w:lineRule="auto"/>
        <w:rPr>
          <w:rFonts w:ascii="Times New Roman" w:hAnsi="Times New Roman" w:cs="Times New Roman"/>
          <w:sz w:val="24"/>
          <w:szCs w:val="24"/>
        </w:rPr>
      </w:pPr>
    </w:p>
    <w:p w14:paraId="2A9F1EC1" w14:textId="77777777" w:rsidR="00E229F8" w:rsidRPr="00A81507" w:rsidRDefault="00E229F8" w:rsidP="00A81507">
      <w:pPr>
        <w:spacing w:line="360" w:lineRule="auto"/>
        <w:rPr>
          <w:rFonts w:ascii="Times New Roman" w:hAnsi="Times New Roman" w:cs="Times New Roman"/>
          <w:sz w:val="24"/>
          <w:szCs w:val="24"/>
        </w:rPr>
      </w:pPr>
    </w:p>
    <w:p w14:paraId="508FEB53" w14:textId="77777777" w:rsidR="00E229F8" w:rsidRPr="00A81507" w:rsidRDefault="00E229F8" w:rsidP="00A81507">
      <w:pPr>
        <w:spacing w:line="360" w:lineRule="auto"/>
        <w:rPr>
          <w:rFonts w:ascii="Times New Roman" w:hAnsi="Times New Roman" w:cs="Times New Roman"/>
          <w:b/>
          <w:sz w:val="24"/>
          <w:szCs w:val="24"/>
        </w:rPr>
      </w:pPr>
    </w:p>
    <w:p w14:paraId="3C43A8D8" w14:textId="77777777" w:rsidR="00A273DB" w:rsidRPr="00A81507" w:rsidRDefault="00A273DB" w:rsidP="00A81507">
      <w:pPr>
        <w:spacing w:line="360" w:lineRule="auto"/>
        <w:rPr>
          <w:rFonts w:ascii="Times New Roman" w:hAnsi="Times New Roman" w:cs="Times New Roman"/>
          <w:sz w:val="24"/>
          <w:szCs w:val="24"/>
        </w:rPr>
      </w:pPr>
    </w:p>
    <w:p w14:paraId="0AB12A35" w14:textId="427755DD" w:rsidR="00A273DB" w:rsidRDefault="00A273DB" w:rsidP="00A81507">
      <w:pPr>
        <w:spacing w:line="360" w:lineRule="auto"/>
        <w:rPr>
          <w:rFonts w:ascii="Times New Roman" w:hAnsi="Times New Roman" w:cs="Times New Roman"/>
          <w:sz w:val="24"/>
          <w:szCs w:val="24"/>
        </w:rPr>
      </w:pPr>
    </w:p>
    <w:p w14:paraId="55D73189" w14:textId="77777777" w:rsidR="00C031BD" w:rsidRPr="00A81507" w:rsidRDefault="00C031BD" w:rsidP="00C031BD">
      <w:pPr>
        <w:keepNext/>
        <w:spacing w:line="360" w:lineRule="auto"/>
        <w:rPr>
          <w:rFonts w:ascii="Times New Roman" w:hAnsi="Times New Roman" w:cs="Times New Roman"/>
          <w:b/>
          <w:i/>
          <w:sz w:val="24"/>
          <w:szCs w:val="24"/>
        </w:rPr>
      </w:pPr>
      <w:r>
        <w:rPr>
          <w:noProof/>
        </w:rPr>
        <w:lastRenderedPageBreak/>
        <w:drawing>
          <wp:inline distT="0" distB="0" distL="0" distR="0" wp14:anchorId="11391734" wp14:editId="563BD266">
            <wp:extent cx="5486411" cy="5029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11" cy="5029210"/>
                    </a:xfrm>
                    <a:prstGeom prst="rect">
                      <a:avLst/>
                    </a:prstGeom>
                  </pic:spPr>
                </pic:pic>
              </a:graphicData>
            </a:graphic>
          </wp:inline>
        </w:drawing>
      </w:r>
    </w:p>
    <w:p w14:paraId="3B9427DE" w14:textId="77777777" w:rsidR="00C031BD" w:rsidRPr="00A81507" w:rsidRDefault="00C031BD" w:rsidP="00C031BD">
      <w:pPr>
        <w:keepNext/>
        <w:spacing w:line="360" w:lineRule="auto"/>
        <w:rPr>
          <w:rFonts w:ascii="Times New Roman" w:hAnsi="Times New Roman" w:cs="Times New Roman"/>
          <w:b/>
          <w:i/>
          <w:sz w:val="24"/>
          <w:szCs w:val="24"/>
        </w:rPr>
      </w:pPr>
    </w:p>
    <w:p w14:paraId="3DCA33FC" w14:textId="3878F82F" w:rsidR="00C031BD" w:rsidRPr="00A81507" w:rsidRDefault="00C031BD" w:rsidP="00C031BD">
      <w:pPr>
        <w:keepNext/>
        <w:spacing w:line="360" w:lineRule="auto"/>
        <w:rPr>
          <w:rFonts w:ascii="Times New Roman" w:hAnsi="Times New Roman" w:cs="Times New Roman"/>
          <w:sz w:val="24"/>
          <w:szCs w:val="24"/>
        </w:rPr>
      </w:pPr>
      <w:r w:rsidRPr="00A81507">
        <w:rPr>
          <w:rFonts w:ascii="Times New Roman" w:hAnsi="Times New Roman" w:cs="Times New Roman"/>
          <w:b/>
          <w:sz w:val="24"/>
          <w:szCs w:val="24"/>
        </w:rPr>
        <w:t>Figure S</w:t>
      </w:r>
      <w:r w:rsidR="00025E64">
        <w:rPr>
          <w:rFonts w:ascii="Times New Roman" w:hAnsi="Times New Roman" w:cs="Times New Roman"/>
          <w:b/>
          <w:sz w:val="24"/>
          <w:szCs w:val="24"/>
        </w:rPr>
        <w:t>11</w:t>
      </w:r>
      <w:r w:rsidRPr="00A81507">
        <w:rPr>
          <w:rFonts w:ascii="Times New Roman" w:hAnsi="Times New Roman" w:cs="Times New Roman"/>
          <w:b/>
          <w:sz w:val="24"/>
          <w:szCs w:val="24"/>
        </w:rPr>
        <w:t>. Differences from mean control gas exchange rates by experimental week, species, and treatment</w:t>
      </w:r>
      <w:r w:rsidRPr="00A81507">
        <w:rPr>
          <w:rFonts w:ascii="Times New Roman" w:hAnsi="Times New Roman" w:cs="Times New Roman"/>
          <w:sz w:val="24"/>
          <w:szCs w:val="24"/>
        </w:rPr>
        <w:t xml:space="preserve">. Difference between mean control treatments of each species and week, instantaneous photosynthetic and stomatal conductance rates. </w:t>
      </w:r>
      <w:r w:rsidRPr="00A81507">
        <w:rPr>
          <w:rFonts w:ascii="Times New Roman" w:hAnsi="Times New Roman" w:cs="Times New Roman"/>
          <w:b/>
          <w:sz w:val="24"/>
          <w:szCs w:val="24"/>
        </w:rPr>
        <w:t xml:space="preserve">a &amp; b) </w:t>
      </w:r>
      <w:r w:rsidRPr="00A81507">
        <w:rPr>
          <w:rFonts w:ascii="Times New Roman" w:hAnsi="Times New Roman" w:cs="Times New Roman"/>
          <w:sz w:val="24"/>
          <w:szCs w:val="24"/>
        </w:rPr>
        <w:t xml:space="preserve">Measurements on asymptomatic leaves in 2018 seedling experiment, </w:t>
      </w:r>
      <w:r w:rsidRPr="00A81507">
        <w:rPr>
          <w:rFonts w:ascii="Times New Roman" w:hAnsi="Times New Roman" w:cs="Times New Roman"/>
          <w:b/>
          <w:sz w:val="24"/>
          <w:szCs w:val="24"/>
        </w:rPr>
        <w:t xml:space="preserve">c &amp; d) </w:t>
      </w:r>
      <w:r w:rsidRPr="00A81507">
        <w:rPr>
          <w:rFonts w:ascii="Times New Roman" w:hAnsi="Times New Roman" w:cs="Times New Roman"/>
          <w:sz w:val="24"/>
          <w:szCs w:val="24"/>
        </w:rPr>
        <w:t xml:space="preserve">Measurements of symptomatic leaves in 2018 seedling experiment, </w:t>
      </w:r>
      <w:r w:rsidRPr="00A81507">
        <w:rPr>
          <w:rFonts w:ascii="Times New Roman" w:hAnsi="Times New Roman" w:cs="Times New Roman"/>
          <w:b/>
          <w:sz w:val="24"/>
          <w:szCs w:val="24"/>
        </w:rPr>
        <w:t>e &amp; f)</w:t>
      </w:r>
      <w:r w:rsidRPr="00A81507">
        <w:rPr>
          <w:rFonts w:ascii="Times New Roman" w:hAnsi="Times New Roman" w:cs="Times New Roman"/>
          <w:sz w:val="24"/>
          <w:szCs w:val="24"/>
        </w:rPr>
        <w:t xml:space="preserve"> Measurements of leaves, without symptom status considered in 2017 seedling experiment. Error bars show one standard error around the mean differences.</w:t>
      </w:r>
    </w:p>
    <w:p w14:paraId="5D894D94" w14:textId="5F5BF693" w:rsidR="00B006AE" w:rsidRDefault="00B006AE" w:rsidP="00A81507">
      <w:pPr>
        <w:spacing w:line="360" w:lineRule="auto"/>
        <w:rPr>
          <w:rFonts w:ascii="Times New Roman" w:hAnsi="Times New Roman" w:cs="Times New Roman"/>
          <w:sz w:val="24"/>
          <w:szCs w:val="24"/>
        </w:rPr>
        <w:sectPr w:rsidR="00B006AE">
          <w:headerReference w:type="default" r:id="rId25"/>
          <w:pgSz w:w="12240" w:h="15840"/>
          <w:pgMar w:top="1440" w:right="1440" w:bottom="1440" w:left="1440" w:header="720" w:footer="720" w:gutter="0"/>
          <w:cols w:space="720"/>
          <w:docGrid w:linePitch="360"/>
        </w:sectPr>
      </w:pPr>
    </w:p>
    <w:p w14:paraId="27537ACB" w14:textId="418E40D5"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D830CC">
        <w:rPr>
          <w:rFonts w:ascii="Times New Roman" w:hAnsi="Times New Roman" w:cs="Times New Roman"/>
          <w:noProof/>
          <w:sz w:val="24"/>
          <w:szCs w:val="24"/>
        </w:rPr>
        <w:t xml:space="preserve">Blackburn, G. A. (1998). Spectral indices for estimating photosynthetic pigment concentrations: A test using senescent tree leaves. </w:t>
      </w:r>
      <w:r w:rsidRPr="00D830CC">
        <w:rPr>
          <w:rFonts w:ascii="Times New Roman" w:hAnsi="Times New Roman" w:cs="Times New Roman"/>
          <w:i/>
          <w:iCs/>
          <w:noProof/>
          <w:sz w:val="24"/>
          <w:szCs w:val="24"/>
        </w:rPr>
        <w:t>International Journal of Remote Sensing</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19</w:t>
      </w:r>
      <w:r w:rsidRPr="00D830CC">
        <w:rPr>
          <w:rFonts w:ascii="Times New Roman" w:hAnsi="Times New Roman" w:cs="Times New Roman"/>
          <w:noProof/>
          <w:sz w:val="24"/>
          <w:szCs w:val="24"/>
        </w:rPr>
        <w:t>(4), 657–675. https://doi.org/10.1080/014311698215919</w:t>
      </w:r>
    </w:p>
    <w:p w14:paraId="489A7F02"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Carter, G. A. (1993). Responses of Leaf Spectral Reflectance To Plant Stress. </w:t>
      </w:r>
      <w:r w:rsidRPr="00D830CC">
        <w:rPr>
          <w:rFonts w:ascii="Times New Roman" w:hAnsi="Times New Roman" w:cs="Times New Roman"/>
          <w:i/>
          <w:iCs/>
          <w:noProof/>
          <w:sz w:val="24"/>
          <w:szCs w:val="24"/>
        </w:rPr>
        <w:t>American Journal of Botany</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80</w:t>
      </w:r>
      <w:r w:rsidRPr="00D830CC">
        <w:rPr>
          <w:rFonts w:ascii="Times New Roman" w:hAnsi="Times New Roman" w:cs="Times New Roman"/>
          <w:noProof/>
          <w:sz w:val="24"/>
          <w:szCs w:val="24"/>
        </w:rPr>
        <w:t>(3), 239–243. https:</w:t>
      </w:r>
      <w:bookmarkStart w:id="0" w:name="_GoBack"/>
      <w:bookmarkEnd w:id="0"/>
      <w:r w:rsidRPr="00D830CC">
        <w:rPr>
          <w:rFonts w:ascii="Times New Roman" w:hAnsi="Times New Roman" w:cs="Times New Roman"/>
          <w:noProof/>
          <w:sz w:val="24"/>
          <w:szCs w:val="24"/>
        </w:rPr>
        <w:t>//doi.org/10.1002/j.1537-2197.1993.tb13796.x</w:t>
      </w:r>
    </w:p>
    <w:p w14:paraId="6A075195"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Carter, G. A., &amp; Miller, R. L. (1994). Early detection of plant stress by digital imaging within narrow stress-sensitive wavebands. </w:t>
      </w:r>
      <w:r w:rsidRPr="00D830CC">
        <w:rPr>
          <w:rFonts w:ascii="Times New Roman" w:hAnsi="Times New Roman" w:cs="Times New Roman"/>
          <w:i/>
          <w:iCs/>
          <w:noProof/>
          <w:sz w:val="24"/>
          <w:szCs w:val="24"/>
        </w:rPr>
        <w:t>Remote Sensing of Environment</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50</w:t>
      </w:r>
      <w:r w:rsidRPr="00D830CC">
        <w:rPr>
          <w:rFonts w:ascii="Times New Roman" w:hAnsi="Times New Roman" w:cs="Times New Roman"/>
          <w:noProof/>
          <w:sz w:val="24"/>
          <w:szCs w:val="24"/>
        </w:rPr>
        <w:t>(3), 295–302. https://doi.org/10.1016/0034-4257(94)90079-5</w:t>
      </w:r>
    </w:p>
    <w:p w14:paraId="35D1A383"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Cotrozzi, L., Couture, J. J., Cavender-Bares, J., Kingdon, C. C., Fallon, B., Pilz, G., … Townsend, P. A. (2017). Using foliar spectral properties to assess the effects of drought on plant water potential. </w:t>
      </w:r>
      <w:r w:rsidRPr="00D830CC">
        <w:rPr>
          <w:rFonts w:ascii="Times New Roman" w:hAnsi="Times New Roman" w:cs="Times New Roman"/>
          <w:i/>
          <w:iCs/>
          <w:noProof/>
          <w:sz w:val="24"/>
          <w:szCs w:val="24"/>
        </w:rPr>
        <w:t>Tree Physiology</w:t>
      </w:r>
      <w:r w:rsidRPr="00D830CC">
        <w:rPr>
          <w:rFonts w:ascii="Times New Roman" w:hAnsi="Times New Roman" w:cs="Times New Roman"/>
          <w:noProof/>
          <w:sz w:val="24"/>
          <w:szCs w:val="24"/>
        </w:rPr>
        <w:t>, (October), 1–10. https://doi.org/10.1093/treephys/tpx106</w:t>
      </w:r>
    </w:p>
    <w:p w14:paraId="467A9F06"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Curran, P. J. (1989). Remote sensing of foliar chemistry. </w:t>
      </w:r>
      <w:r w:rsidRPr="00D830CC">
        <w:rPr>
          <w:rFonts w:ascii="Times New Roman" w:hAnsi="Times New Roman" w:cs="Times New Roman"/>
          <w:i/>
          <w:iCs/>
          <w:noProof/>
          <w:sz w:val="24"/>
          <w:szCs w:val="24"/>
        </w:rPr>
        <w:t>Remote Sensing of Environment</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30</w:t>
      </w:r>
      <w:r w:rsidRPr="00D830CC">
        <w:rPr>
          <w:rFonts w:ascii="Times New Roman" w:hAnsi="Times New Roman" w:cs="Times New Roman"/>
          <w:noProof/>
          <w:sz w:val="24"/>
          <w:szCs w:val="24"/>
        </w:rPr>
        <w:t>, 271–278. Retrieved from https://www.scopus.com/inward/record.uri?eid=2-s2.0-85009802387&amp;doi=10.3303%2FCET1652182&amp;partnerID=40&amp;md5=8d95c8e3ded7e5a8966281de61079cd3</w:t>
      </w:r>
    </w:p>
    <w:p w14:paraId="69337920"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Elvidge, C. D. (1990). Visible and near infrared reflectance characteristics of dry plant materials. </w:t>
      </w:r>
      <w:r w:rsidRPr="00D830CC">
        <w:rPr>
          <w:rFonts w:ascii="Times New Roman" w:hAnsi="Times New Roman" w:cs="Times New Roman"/>
          <w:i/>
          <w:iCs/>
          <w:noProof/>
          <w:sz w:val="24"/>
          <w:szCs w:val="24"/>
        </w:rPr>
        <w:t>International Journal of Remote Sensing1</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11</w:t>
      </w:r>
      <w:r w:rsidRPr="00D830CC">
        <w:rPr>
          <w:rFonts w:ascii="Times New Roman" w:hAnsi="Times New Roman" w:cs="Times New Roman"/>
          <w:noProof/>
          <w:sz w:val="24"/>
          <w:szCs w:val="24"/>
        </w:rPr>
        <w:t>(10), 1775–1795.</w:t>
      </w:r>
    </w:p>
    <w:p w14:paraId="76BAB98E"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Gamon, J. A., Field, C. B., Bilger, W., Björkman, O., Fredeen, A. L., &amp; Peñuelas, J. (1990). Remote sensing of the xanthophyll cycle and chlorophyll fluorescence in sunflower leaves and canopies. </w:t>
      </w:r>
      <w:r w:rsidRPr="00D830CC">
        <w:rPr>
          <w:rFonts w:ascii="Times New Roman" w:hAnsi="Times New Roman" w:cs="Times New Roman"/>
          <w:i/>
          <w:iCs/>
          <w:noProof/>
          <w:sz w:val="24"/>
          <w:szCs w:val="24"/>
        </w:rPr>
        <w:t>Oecologia</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85</w:t>
      </w:r>
      <w:r w:rsidRPr="00D830CC">
        <w:rPr>
          <w:rFonts w:ascii="Times New Roman" w:hAnsi="Times New Roman" w:cs="Times New Roman"/>
          <w:noProof/>
          <w:sz w:val="24"/>
          <w:szCs w:val="24"/>
        </w:rPr>
        <w:t>(1), 1–7. https://doi.org/10.1007/BF00317336</w:t>
      </w:r>
    </w:p>
    <w:p w14:paraId="746D833B"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Gamon, J. A., Serrano, L., &amp; Surfus, J. S. (1997). The photochemical reflectance index: An optical indicator of photosynthetic radiation use efficiency across species, functional types, and nutrient levels. </w:t>
      </w:r>
      <w:r w:rsidRPr="00D830CC">
        <w:rPr>
          <w:rFonts w:ascii="Times New Roman" w:hAnsi="Times New Roman" w:cs="Times New Roman"/>
          <w:i/>
          <w:iCs/>
          <w:noProof/>
          <w:sz w:val="24"/>
          <w:szCs w:val="24"/>
        </w:rPr>
        <w:t>Oecologia</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112</w:t>
      </w:r>
      <w:r w:rsidRPr="00D830CC">
        <w:rPr>
          <w:rFonts w:ascii="Times New Roman" w:hAnsi="Times New Roman" w:cs="Times New Roman"/>
          <w:noProof/>
          <w:sz w:val="24"/>
          <w:szCs w:val="24"/>
        </w:rPr>
        <w:t>(4), 492–501. https://doi.org/10.1007/s004420050337</w:t>
      </w:r>
    </w:p>
    <w:p w14:paraId="28505802"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Govender, M., Dye, P. J., Weiersbye, I. M., Witkowski, E. T. F., &amp; Ahmed, F. (2009). Review of commonly used remote sensing and ground-based technologies to measure plant water stress. </w:t>
      </w:r>
      <w:r w:rsidRPr="00D830CC">
        <w:rPr>
          <w:rFonts w:ascii="Times New Roman" w:hAnsi="Times New Roman" w:cs="Times New Roman"/>
          <w:i/>
          <w:iCs/>
          <w:noProof/>
          <w:sz w:val="24"/>
          <w:szCs w:val="24"/>
        </w:rPr>
        <w:t>Water SA</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35</w:t>
      </w:r>
      <w:r w:rsidRPr="00D830CC">
        <w:rPr>
          <w:rFonts w:ascii="Times New Roman" w:hAnsi="Times New Roman" w:cs="Times New Roman"/>
          <w:noProof/>
          <w:sz w:val="24"/>
          <w:szCs w:val="24"/>
        </w:rPr>
        <w:t>(5), 741–752. https://doi.org/10.4314/wsa.v35i5.49201</w:t>
      </w:r>
    </w:p>
    <w:p w14:paraId="2D4D1C05"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Kumar, L. (2007). High-spectral resolution data for determining leaf water content in Eucalyptus </w:t>
      </w:r>
      <w:r w:rsidRPr="00D830CC">
        <w:rPr>
          <w:rFonts w:ascii="Times New Roman" w:hAnsi="Times New Roman" w:cs="Times New Roman"/>
          <w:noProof/>
          <w:sz w:val="24"/>
          <w:szCs w:val="24"/>
        </w:rPr>
        <w:lastRenderedPageBreak/>
        <w:t xml:space="preserve">species: Leaf level experiments. </w:t>
      </w:r>
      <w:r w:rsidRPr="00D830CC">
        <w:rPr>
          <w:rFonts w:ascii="Times New Roman" w:hAnsi="Times New Roman" w:cs="Times New Roman"/>
          <w:i/>
          <w:iCs/>
          <w:noProof/>
          <w:sz w:val="24"/>
          <w:szCs w:val="24"/>
        </w:rPr>
        <w:t>Geocarto International</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22</w:t>
      </w:r>
      <w:r w:rsidRPr="00D830CC">
        <w:rPr>
          <w:rFonts w:ascii="Times New Roman" w:hAnsi="Times New Roman" w:cs="Times New Roman"/>
          <w:noProof/>
          <w:sz w:val="24"/>
          <w:szCs w:val="24"/>
        </w:rPr>
        <w:t>(1), 3–16. https://doi.org/10.1080/10106040701204396</w:t>
      </w:r>
    </w:p>
    <w:p w14:paraId="0238B6C0"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Lehmann, J. R. K., Große-Stoltenberg, A., Römer, M., &amp; Oldeland, J. (2015). Field spectroscopy in the VNIR-SWIR region to discriminate between mediterranean native plants and exotic-invasive shrubs based on leaf tannin content. </w:t>
      </w:r>
      <w:r w:rsidRPr="00D830CC">
        <w:rPr>
          <w:rFonts w:ascii="Times New Roman" w:hAnsi="Times New Roman" w:cs="Times New Roman"/>
          <w:i/>
          <w:iCs/>
          <w:noProof/>
          <w:sz w:val="24"/>
          <w:szCs w:val="24"/>
        </w:rPr>
        <w:t>Remote Sensing</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7</w:t>
      </w:r>
      <w:r w:rsidRPr="00D830CC">
        <w:rPr>
          <w:rFonts w:ascii="Times New Roman" w:hAnsi="Times New Roman" w:cs="Times New Roman"/>
          <w:noProof/>
          <w:sz w:val="24"/>
          <w:szCs w:val="24"/>
        </w:rPr>
        <w:t>(2), 1225–1241. https://doi.org/10.3390/rs70201225</w:t>
      </w:r>
    </w:p>
    <w:p w14:paraId="54C78970"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Mohammed, G. H., Binder, W. D., &amp; Gillies, S. L. (1995). Chlorophyll fluorescence: A review of its practical forestry applications and instrumentation. </w:t>
      </w:r>
      <w:r w:rsidRPr="00D830CC">
        <w:rPr>
          <w:rFonts w:ascii="Times New Roman" w:hAnsi="Times New Roman" w:cs="Times New Roman"/>
          <w:i/>
          <w:iCs/>
          <w:noProof/>
          <w:sz w:val="24"/>
          <w:szCs w:val="24"/>
        </w:rPr>
        <w:t>Scandinavian Journal of Forest Research</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10</w:t>
      </w:r>
      <w:r w:rsidRPr="00D830CC">
        <w:rPr>
          <w:rFonts w:ascii="Times New Roman" w:hAnsi="Times New Roman" w:cs="Times New Roman"/>
          <w:noProof/>
          <w:sz w:val="24"/>
          <w:szCs w:val="24"/>
        </w:rPr>
        <w:t>(1–4), 383–410. https://doi.org/10.1080/02827589509382904</w:t>
      </w:r>
    </w:p>
    <w:p w14:paraId="05F0758B"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Osborne, B. G., &amp; Fearn, T. (1986). </w:t>
      </w:r>
      <w:r w:rsidRPr="00D830CC">
        <w:rPr>
          <w:rFonts w:ascii="Times New Roman" w:hAnsi="Times New Roman" w:cs="Times New Roman"/>
          <w:i/>
          <w:iCs/>
          <w:noProof/>
          <w:sz w:val="24"/>
          <w:szCs w:val="24"/>
        </w:rPr>
        <w:t>Near-infrared spectroscopy in food analysis</w:t>
      </w:r>
      <w:r w:rsidRPr="00D830CC">
        <w:rPr>
          <w:rFonts w:ascii="Times New Roman" w:hAnsi="Times New Roman" w:cs="Times New Roman"/>
          <w:noProof/>
          <w:sz w:val="24"/>
          <w:szCs w:val="24"/>
        </w:rPr>
        <w:t>. New York: John Wiley and Sons Inc.</w:t>
      </w:r>
    </w:p>
    <w:p w14:paraId="74DA1688"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Penuelas, J., Pinol, J., Ogaya, R., &amp; Filella, I. (1997). Estimation of plant water concentration by the reflectance Water Index WI (R900/R970). </w:t>
      </w:r>
      <w:r w:rsidRPr="00D830CC">
        <w:rPr>
          <w:rFonts w:ascii="Times New Roman" w:hAnsi="Times New Roman" w:cs="Times New Roman"/>
          <w:i/>
          <w:iCs/>
          <w:noProof/>
          <w:sz w:val="24"/>
          <w:szCs w:val="24"/>
        </w:rPr>
        <w:t>International Journal of Remote Sensing</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18</w:t>
      </w:r>
      <w:r w:rsidRPr="00D830CC">
        <w:rPr>
          <w:rFonts w:ascii="Times New Roman" w:hAnsi="Times New Roman" w:cs="Times New Roman"/>
          <w:noProof/>
          <w:sz w:val="24"/>
          <w:szCs w:val="24"/>
        </w:rPr>
        <w:t>(13), 2869–2875. https://doi.org/10.1080/014311697217396</w:t>
      </w:r>
    </w:p>
    <w:p w14:paraId="6D9F52B8"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Pontius, J., Hallett, R., &amp; Martin, M. (2005). Using AVIRIS to assess hemlock abundance and early decline in the Catskills, New York. </w:t>
      </w:r>
      <w:r w:rsidRPr="00D830CC">
        <w:rPr>
          <w:rFonts w:ascii="Times New Roman" w:hAnsi="Times New Roman" w:cs="Times New Roman"/>
          <w:i/>
          <w:iCs/>
          <w:noProof/>
          <w:sz w:val="24"/>
          <w:szCs w:val="24"/>
        </w:rPr>
        <w:t>Remote Sensing of Environment</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97</w:t>
      </w:r>
      <w:r w:rsidRPr="00D830CC">
        <w:rPr>
          <w:rFonts w:ascii="Times New Roman" w:hAnsi="Times New Roman" w:cs="Times New Roman"/>
          <w:noProof/>
          <w:sz w:val="24"/>
          <w:szCs w:val="24"/>
        </w:rPr>
        <w:t>(2), 163–173. https://doi.org/10.1016/j.rse.2005.04.011</w:t>
      </w:r>
    </w:p>
    <w:p w14:paraId="14354BAA"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Serbin, S. P., Dillaway, D. N., Kruger, E. L., &amp; Townsend, P. A. (2012). Leaf optical properties reflect variation in photosynthetic metabolism and its sensitivity to temperature. </w:t>
      </w:r>
      <w:r w:rsidRPr="00D830CC">
        <w:rPr>
          <w:rFonts w:ascii="Times New Roman" w:hAnsi="Times New Roman" w:cs="Times New Roman"/>
          <w:i/>
          <w:iCs/>
          <w:noProof/>
          <w:sz w:val="24"/>
          <w:szCs w:val="24"/>
        </w:rPr>
        <w:t>Journal of Experimental Botany</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63</w:t>
      </w:r>
      <w:r w:rsidRPr="00D830CC">
        <w:rPr>
          <w:rFonts w:ascii="Times New Roman" w:hAnsi="Times New Roman" w:cs="Times New Roman"/>
          <w:noProof/>
          <w:sz w:val="24"/>
          <w:szCs w:val="24"/>
        </w:rPr>
        <w:t>(1), 489–502. https://doi.org/10.1093/jxb/err294</w:t>
      </w:r>
    </w:p>
    <w:p w14:paraId="5BA4851C"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szCs w:val="24"/>
        </w:rPr>
      </w:pPr>
      <w:r w:rsidRPr="00D830CC">
        <w:rPr>
          <w:rFonts w:ascii="Times New Roman" w:hAnsi="Times New Roman" w:cs="Times New Roman"/>
          <w:noProof/>
          <w:sz w:val="24"/>
          <w:szCs w:val="24"/>
        </w:rPr>
        <w:t xml:space="preserve">Tucker, C. J. (1980). Remote sensing of leaf water content in the near infrared. </w:t>
      </w:r>
      <w:r w:rsidRPr="00D830CC">
        <w:rPr>
          <w:rFonts w:ascii="Times New Roman" w:hAnsi="Times New Roman" w:cs="Times New Roman"/>
          <w:i/>
          <w:iCs/>
          <w:noProof/>
          <w:sz w:val="24"/>
          <w:szCs w:val="24"/>
        </w:rPr>
        <w:t>Remote Sensing of Environment</w:t>
      </w:r>
      <w:r w:rsidRPr="00D830CC">
        <w:rPr>
          <w:rFonts w:ascii="Times New Roman" w:hAnsi="Times New Roman" w:cs="Times New Roman"/>
          <w:noProof/>
          <w:sz w:val="24"/>
          <w:szCs w:val="24"/>
        </w:rPr>
        <w:t xml:space="preserve">, </w:t>
      </w:r>
      <w:r w:rsidRPr="00D830CC">
        <w:rPr>
          <w:rFonts w:ascii="Times New Roman" w:hAnsi="Times New Roman" w:cs="Times New Roman"/>
          <w:i/>
          <w:iCs/>
          <w:noProof/>
          <w:sz w:val="24"/>
          <w:szCs w:val="24"/>
        </w:rPr>
        <w:t>10</w:t>
      </w:r>
      <w:r w:rsidRPr="00D830CC">
        <w:rPr>
          <w:rFonts w:ascii="Times New Roman" w:hAnsi="Times New Roman" w:cs="Times New Roman"/>
          <w:noProof/>
          <w:sz w:val="24"/>
          <w:szCs w:val="24"/>
        </w:rPr>
        <w:t>(1), 23–32. https://doi.org/10.1016/0034-4257(80)90096-6</w:t>
      </w:r>
    </w:p>
    <w:p w14:paraId="51936088" w14:textId="77777777" w:rsidR="00D830CC" w:rsidRPr="00D830CC" w:rsidRDefault="00D830CC" w:rsidP="00D830CC">
      <w:pPr>
        <w:widowControl w:val="0"/>
        <w:autoSpaceDE w:val="0"/>
        <w:autoSpaceDN w:val="0"/>
        <w:adjustRightInd w:val="0"/>
        <w:spacing w:line="360" w:lineRule="auto"/>
        <w:ind w:left="480" w:hanging="480"/>
        <w:rPr>
          <w:rFonts w:ascii="Times New Roman" w:hAnsi="Times New Roman" w:cs="Times New Roman"/>
          <w:noProof/>
          <w:sz w:val="24"/>
        </w:rPr>
      </w:pPr>
      <w:r w:rsidRPr="00D830CC">
        <w:rPr>
          <w:rFonts w:ascii="Times New Roman" w:hAnsi="Times New Roman" w:cs="Times New Roman"/>
          <w:noProof/>
          <w:sz w:val="24"/>
          <w:szCs w:val="24"/>
        </w:rPr>
        <w:t xml:space="preserve">Williams, P., &amp; Norris, K. (1987). </w:t>
      </w:r>
      <w:r w:rsidRPr="00D830CC">
        <w:rPr>
          <w:rFonts w:ascii="Times New Roman" w:hAnsi="Times New Roman" w:cs="Times New Roman"/>
          <w:i/>
          <w:iCs/>
          <w:noProof/>
          <w:sz w:val="24"/>
          <w:szCs w:val="24"/>
        </w:rPr>
        <w:t>Near-infrared technology in the agricultural and food industries</w:t>
      </w:r>
      <w:r w:rsidRPr="00D830CC">
        <w:rPr>
          <w:rFonts w:ascii="Times New Roman" w:hAnsi="Times New Roman" w:cs="Times New Roman"/>
          <w:noProof/>
          <w:sz w:val="24"/>
          <w:szCs w:val="24"/>
        </w:rPr>
        <w:t>. St. Paul, MN: American Association of Cereal Chemists.</w:t>
      </w:r>
    </w:p>
    <w:p w14:paraId="366761E1" w14:textId="49078BE2" w:rsidR="00B006AE" w:rsidRPr="00A81507" w:rsidRDefault="00D830CC" w:rsidP="00A81507">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sectPr w:rsidR="00B006AE" w:rsidRPr="00A81507">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1AB4C" w14:textId="77777777" w:rsidR="003F3427" w:rsidRDefault="003F3427" w:rsidP="00A273DB">
      <w:pPr>
        <w:spacing w:after="0" w:line="240" w:lineRule="auto"/>
      </w:pPr>
      <w:r>
        <w:separator/>
      </w:r>
    </w:p>
  </w:endnote>
  <w:endnote w:type="continuationSeparator" w:id="0">
    <w:p w14:paraId="787D5B63" w14:textId="77777777" w:rsidR="003F3427" w:rsidRDefault="003F3427" w:rsidP="00A27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85A5F" w14:textId="77777777" w:rsidR="003F3427" w:rsidRDefault="003F3427" w:rsidP="00A273DB">
      <w:pPr>
        <w:spacing w:after="0" w:line="240" w:lineRule="auto"/>
      </w:pPr>
      <w:r>
        <w:separator/>
      </w:r>
    </w:p>
  </w:footnote>
  <w:footnote w:type="continuationSeparator" w:id="0">
    <w:p w14:paraId="39E84DB5" w14:textId="77777777" w:rsidR="003F3427" w:rsidRDefault="003F3427" w:rsidP="00A27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CD183" w14:textId="77777777" w:rsidR="000E514D" w:rsidRPr="001840F3" w:rsidRDefault="000E514D">
    <w:pPr>
      <w:pStyle w:val="Header"/>
      <w:rPr>
        <w:rFonts w:ascii="Times New Roman" w:hAnsi="Times New Roman" w:cs="Times New Roman"/>
        <w:sz w:val="24"/>
        <w:szCs w:val="24"/>
      </w:rPr>
    </w:pPr>
    <w:r w:rsidRPr="001840F3">
      <w:rPr>
        <w:rFonts w:ascii="Times New Roman" w:hAnsi="Times New Roman" w:cs="Times New Roman"/>
        <w:sz w:val="24"/>
        <w:szCs w:val="24"/>
      </w:rPr>
      <w:t>Supplemental Materials: Tables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34B7D" w14:textId="77777777" w:rsidR="00A273DB" w:rsidRPr="001840F3" w:rsidRDefault="00A273DB">
    <w:pPr>
      <w:pStyle w:val="Header"/>
      <w:rPr>
        <w:rFonts w:ascii="Times New Roman" w:hAnsi="Times New Roman" w:cs="Times New Roman"/>
        <w:sz w:val="24"/>
        <w:szCs w:val="24"/>
      </w:rPr>
    </w:pPr>
    <w:r w:rsidRPr="001840F3">
      <w:rPr>
        <w:rFonts w:ascii="Times New Roman" w:hAnsi="Times New Roman" w:cs="Times New Roman"/>
        <w:sz w:val="24"/>
        <w:szCs w:val="24"/>
      </w:rPr>
      <w:t>Supplemental Materials: Figures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82AFF" w14:textId="0C86D355" w:rsidR="00B006AE" w:rsidRPr="001840F3" w:rsidRDefault="00B006AE">
    <w:pPr>
      <w:pStyle w:val="Header"/>
      <w:rPr>
        <w:rFonts w:ascii="Times New Roman" w:hAnsi="Times New Roman" w:cs="Times New Roman"/>
        <w:sz w:val="24"/>
        <w:szCs w:val="24"/>
      </w:rPr>
    </w:pPr>
    <w:r w:rsidRPr="001840F3">
      <w:rPr>
        <w:rFonts w:ascii="Times New Roman" w:hAnsi="Times New Roman" w:cs="Times New Roman"/>
        <w:sz w:val="24"/>
        <w:szCs w:val="24"/>
      </w:rPr>
      <w:t xml:space="preserve">Supplemental Materials: </w:t>
    </w:r>
    <w:r>
      <w:rPr>
        <w:rFonts w:ascii="Times New Roman" w:hAnsi="Times New Roman" w:cs="Times New Roman"/>
        <w:sz w:val="24"/>
        <w:szCs w:val="24"/>
      </w:rPr>
      <w:t>References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3DB"/>
    <w:rsid w:val="00025E64"/>
    <w:rsid w:val="000537E4"/>
    <w:rsid w:val="000B5186"/>
    <w:rsid w:val="000D073A"/>
    <w:rsid w:val="000E514D"/>
    <w:rsid w:val="000F03D1"/>
    <w:rsid w:val="00123932"/>
    <w:rsid w:val="00156777"/>
    <w:rsid w:val="00174E9B"/>
    <w:rsid w:val="001840F3"/>
    <w:rsid w:val="00191777"/>
    <w:rsid w:val="00195C8D"/>
    <w:rsid w:val="001E68D5"/>
    <w:rsid w:val="001F5884"/>
    <w:rsid w:val="00250493"/>
    <w:rsid w:val="002A3F20"/>
    <w:rsid w:val="002D397F"/>
    <w:rsid w:val="002F0DFB"/>
    <w:rsid w:val="0032137F"/>
    <w:rsid w:val="00351D0C"/>
    <w:rsid w:val="00385475"/>
    <w:rsid w:val="00391DF2"/>
    <w:rsid w:val="003F3427"/>
    <w:rsid w:val="0048796C"/>
    <w:rsid w:val="004C5DC0"/>
    <w:rsid w:val="00501FF2"/>
    <w:rsid w:val="00516622"/>
    <w:rsid w:val="0052253E"/>
    <w:rsid w:val="00567A19"/>
    <w:rsid w:val="006824AD"/>
    <w:rsid w:val="00701E56"/>
    <w:rsid w:val="00705BF9"/>
    <w:rsid w:val="007334A8"/>
    <w:rsid w:val="00771C0C"/>
    <w:rsid w:val="00777D59"/>
    <w:rsid w:val="008002ED"/>
    <w:rsid w:val="008607B4"/>
    <w:rsid w:val="008E1112"/>
    <w:rsid w:val="008E704A"/>
    <w:rsid w:val="008F49A6"/>
    <w:rsid w:val="00923068"/>
    <w:rsid w:val="009A5B89"/>
    <w:rsid w:val="009B14DA"/>
    <w:rsid w:val="009B481C"/>
    <w:rsid w:val="009C4607"/>
    <w:rsid w:val="009F3208"/>
    <w:rsid w:val="00A273DB"/>
    <w:rsid w:val="00A81507"/>
    <w:rsid w:val="00AB5295"/>
    <w:rsid w:val="00AF7492"/>
    <w:rsid w:val="00B006AE"/>
    <w:rsid w:val="00B1552C"/>
    <w:rsid w:val="00B5525F"/>
    <w:rsid w:val="00BA54D0"/>
    <w:rsid w:val="00BD1D37"/>
    <w:rsid w:val="00C031BD"/>
    <w:rsid w:val="00C0521C"/>
    <w:rsid w:val="00C342AF"/>
    <w:rsid w:val="00C61F50"/>
    <w:rsid w:val="00CA6E7E"/>
    <w:rsid w:val="00D0734C"/>
    <w:rsid w:val="00D213AD"/>
    <w:rsid w:val="00D520DF"/>
    <w:rsid w:val="00D81D18"/>
    <w:rsid w:val="00D830CC"/>
    <w:rsid w:val="00DA5DAE"/>
    <w:rsid w:val="00DE39FC"/>
    <w:rsid w:val="00E04EF2"/>
    <w:rsid w:val="00E200D0"/>
    <w:rsid w:val="00E229F8"/>
    <w:rsid w:val="00E817A8"/>
    <w:rsid w:val="00E830BC"/>
    <w:rsid w:val="00EB1CC8"/>
    <w:rsid w:val="00EB1D74"/>
    <w:rsid w:val="00EC2CBC"/>
    <w:rsid w:val="00EE345D"/>
    <w:rsid w:val="00EE3C11"/>
    <w:rsid w:val="00F37DD3"/>
    <w:rsid w:val="00F72F56"/>
    <w:rsid w:val="00FA5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76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73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3DB"/>
  </w:style>
  <w:style w:type="paragraph" w:styleId="Footer">
    <w:name w:val="footer"/>
    <w:basedOn w:val="Normal"/>
    <w:link w:val="FooterChar"/>
    <w:uiPriority w:val="99"/>
    <w:unhideWhenUsed/>
    <w:rsid w:val="00A273D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273DB"/>
  </w:style>
  <w:style w:type="paragraph" w:styleId="Caption">
    <w:name w:val="caption"/>
    <w:basedOn w:val="Normal"/>
    <w:next w:val="Normal"/>
    <w:uiPriority w:val="35"/>
    <w:semiHidden/>
    <w:unhideWhenUsed/>
    <w:qFormat/>
    <w:rsid w:val="00E229F8"/>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E229F8"/>
  </w:style>
  <w:style w:type="character" w:styleId="CommentReference">
    <w:name w:val="annotation reference"/>
    <w:basedOn w:val="DefaultParagraphFont"/>
    <w:uiPriority w:val="99"/>
    <w:semiHidden/>
    <w:unhideWhenUsed/>
    <w:rsid w:val="00B1552C"/>
    <w:rPr>
      <w:sz w:val="16"/>
      <w:szCs w:val="16"/>
    </w:rPr>
  </w:style>
  <w:style w:type="character" w:customStyle="1" w:styleId="CommentTextChar">
    <w:name w:val="Comment Text Char"/>
    <w:basedOn w:val="DefaultParagraphFont"/>
    <w:link w:val="CommentText"/>
    <w:uiPriority w:val="99"/>
    <w:qFormat/>
    <w:rsid w:val="00B1552C"/>
    <w:rPr>
      <w:sz w:val="20"/>
      <w:szCs w:val="20"/>
    </w:rPr>
  </w:style>
  <w:style w:type="paragraph" w:styleId="CommentText">
    <w:name w:val="annotation text"/>
    <w:basedOn w:val="Normal"/>
    <w:link w:val="CommentTextChar"/>
    <w:uiPriority w:val="99"/>
    <w:unhideWhenUsed/>
    <w:rsid w:val="00B1552C"/>
    <w:pPr>
      <w:spacing w:line="240" w:lineRule="auto"/>
    </w:pPr>
    <w:rPr>
      <w:sz w:val="20"/>
      <w:szCs w:val="20"/>
    </w:rPr>
  </w:style>
  <w:style w:type="character" w:customStyle="1" w:styleId="CommentTextChar1">
    <w:name w:val="Comment Text Char1"/>
    <w:basedOn w:val="DefaultParagraphFont"/>
    <w:uiPriority w:val="99"/>
    <w:semiHidden/>
    <w:rsid w:val="00B1552C"/>
    <w:rPr>
      <w:sz w:val="20"/>
      <w:szCs w:val="20"/>
    </w:rPr>
  </w:style>
  <w:style w:type="paragraph" w:styleId="BalloonText">
    <w:name w:val="Balloon Text"/>
    <w:basedOn w:val="Normal"/>
    <w:link w:val="BalloonTextChar"/>
    <w:uiPriority w:val="99"/>
    <w:semiHidden/>
    <w:unhideWhenUsed/>
    <w:rsid w:val="00B155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5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52868">
      <w:bodyDiv w:val="1"/>
      <w:marLeft w:val="0"/>
      <w:marRight w:val="0"/>
      <w:marTop w:val="0"/>
      <w:marBottom w:val="0"/>
      <w:divBdr>
        <w:top w:val="none" w:sz="0" w:space="0" w:color="auto"/>
        <w:left w:val="none" w:sz="0" w:space="0" w:color="auto"/>
        <w:bottom w:val="none" w:sz="0" w:space="0" w:color="auto"/>
        <w:right w:val="none" w:sz="0" w:space="0" w:color="auto"/>
      </w:divBdr>
    </w:div>
    <w:div w:id="329798929">
      <w:bodyDiv w:val="1"/>
      <w:marLeft w:val="0"/>
      <w:marRight w:val="0"/>
      <w:marTop w:val="0"/>
      <w:marBottom w:val="0"/>
      <w:divBdr>
        <w:top w:val="none" w:sz="0" w:space="0" w:color="auto"/>
        <w:left w:val="none" w:sz="0" w:space="0" w:color="auto"/>
        <w:bottom w:val="none" w:sz="0" w:space="0" w:color="auto"/>
        <w:right w:val="none" w:sz="0" w:space="0" w:color="auto"/>
      </w:divBdr>
    </w:div>
    <w:div w:id="775052949">
      <w:bodyDiv w:val="1"/>
      <w:marLeft w:val="0"/>
      <w:marRight w:val="0"/>
      <w:marTop w:val="0"/>
      <w:marBottom w:val="0"/>
      <w:divBdr>
        <w:top w:val="none" w:sz="0" w:space="0" w:color="auto"/>
        <w:left w:val="none" w:sz="0" w:space="0" w:color="auto"/>
        <w:bottom w:val="none" w:sz="0" w:space="0" w:color="auto"/>
        <w:right w:val="none" w:sz="0" w:space="0" w:color="auto"/>
      </w:divBdr>
    </w:div>
    <w:div w:id="198346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52ADB-B5AF-4349-A985-30F2E971E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5698</Words>
  <Characters>32485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2019-12-31T04:44:00Z</dcterms:created>
  <dcterms:modified xsi:type="dcterms:W3CDTF">2019-12-31T04:44:00Z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http://www.zotero.org/styles/new-phytologist</vt:lpwstr>
  </property>
  <property fmtid="{D5CDD505-2E9C-101B-9397-08002B2CF9AE}" pid="19" name="Mendeley Recent Style Name 8_1">
    <vt:lpwstr>New Phytologist</vt:lpwstr>
  </property>
  <property fmtid="{D5CDD505-2E9C-101B-9397-08002B2CF9AE}" pid="20" name="Mendeley Recent Style Id 9_1">
    <vt:lpwstr>http://www.zotero.org/styles/tree-physiology</vt:lpwstr>
  </property>
  <property fmtid="{D5CDD505-2E9C-101B-9397-08002B2CF9AE}" pid="21" name="Mendeley Recent Style Name 9_1">
    <vt:lpwstr>Tree Physiology</vt:lpwstr>
  </property>
</Properties>
</file>